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61DA3">
      <w:pPr>
        <w:rPr>
          <w:rFonts w:hint="default" w:ascii="Times New Roman" w:hAnsi="Times New Roman" w:eastAsia="仿宋_GB2312" w:cs="Times New Roman"/>
          <w:kern w:val="0"/>
          <w:sz w:val="32"/>
          <w:szCs w:val="32"/>
          <w:lang w:val="en-US" w:eastAsia="zh-CN"/>
        </w:rPr>
      </w:pPr>
    </w:p>
    <w:p w14:paraId="2E619FCF">
      <w:pPr>
        <w:rPr>
          <w:rFonts w:hint="default" w:ascii="Times New Roman" w:hAnsi="Times New Roman" w:eastAsia="黑体" w:cs="Times New Roman"/>
          <w:kern w:val="0"/>
          <w:sz w:val="72"/>
          <w:szCs w:val="72"/>
        </w:rPr>
      </w:pPr>
    </w:p>
    <w:p w14:paraId="58176C4A">
      <w:pPr>
        <w:rPr>
          <w:rFonts w:hint="default" w:ascii="Times New Roman" w:hAnsi="Times New Roman" w:eastAsia="黑体" w:cs="Times New Roman"/>
          <w:kern w:val="0"/>
          <w:sz w:val="72"/>
          <w:szCs w:val="72"/>
        </w:rPr>
      </w:pPr>
    </w:p>
    <w:p w14:paraId="3D0F6B7D">
      <w:pPr>
        <w:jc w:val="center"/>
        <w:rPr>
          <w:rFonts w:hint="default" w:ascii="Times New Roman" w:hAnsi="Times New Roman" w:eastAsia="方正小标宋简体" w:cs="Times New Roman"/>
          <w:bCs/>
          <w:color w:val="000000"/>
          <w:sz w:val="52"/>
          <w:szCs w:val="52"/>
        </w:rPr>
      </w:pPr>
      <w:r>
        <w:rPr>
          <w:rFonts w:hint="default" w:ascii="Times New Roman" w:hAnsi="Times New Roman" w:eastAsia="方正小标宋简体" w:cs="Times New Roman"/>
          <w:kern w:val="0"/>
          <w:sz w:val="52"/>
          <w:szCs w:val="52"/>
        </w:rPr>
        <w:t>广西壮族自治区中医骨伤科研究所</w:t>
      </w:r>
    </w:p>
    <w:p w14:paraId="50AD3AE9">
      <w:pPr>
        <w:jc w:val="center"/>
        <w:rPr>
          <w:rFonts w:hint="default" w:ascii="Times New Roman" w:hAnsi="Times New Roman" w:eastAsia="方正小标宋简体" w:cs="Times New Roman"/>
          <w:kern w:val="0"/>
          <w:sz w:val="52"/>
          <w:szCs w:val="52"/>
        </w:rPr>
      </w:pPr>
      <w:r>
        <w:rPr>
          <w:rFonts w:hint="default" w:ascii="Times New Roman" w:hAnsi="Times New Roman" w:eastAsia="方正小标宋简体" w:cs="Times New Roman"/>
          <w:kern w:val="0"/>
          <w:sz w:val="52"/>
          <w:szCs w:val="52"/>
          <w:lang w:eastAsia="zh-CN"/>
        </w:rPr>
        <w:t>2025</w:t>
      </w:r>
      <w:r>
        <w:rPr>
          <w:rFonts w:hint="default" w:ascii="Times New Roman" w:hAnsi="Times New Roman" w:eastAsia="方正小标宋简体" w:cs="Times New Roman"/>
          <w:kern w:val="0"/>
          <w:sz w:val="52"/>
          <w:szCs w:val="52"/>
        </w:rPr>
        <w:t>年度部门决算</w:t>
      </w:r>
    </w:p>
    <w:p w14:paraId="3017A9AB">
      <w:pPr>
        <w:rPr>
          <w:rFonts w:hint="default" w:ascii="Times New Roman" w:hAnsi="Times New Roman" w:eastAsia="方正小标宋简体" w:cs="Times New Roman"/>
          <w:kern w:val="0"/>
          <w:sz w:val="84"/>
          <w:szCs w:val="84"/>
        </w:rPr>
      </w:pPr>
    </w:p>
    <w:p w14:paraId="1A697196">
      <w:pPr>
        <w:rPr>
          <w:rFonts w:hint="default" w:ascii="Times New Roman" w:hAnsi="Times New Roman" w:eastAsia="ArialUnicodeMS" w:cs="Times New Roman"/>
          <w:kern w:val="0"/>
          <w:sz w:val="84"/>
          <w:szCs w:val="84"/>
        </w:rPr>
      </w:pPr>
    </w:p>
    <w:p w14:paraId="5AEC494C">
      <w:pPr>
        <w:rPr>
          <w:rFonts w:hint="default" w:ascii="Times New Roman" w:hAnsi="Times New Roman" w:eastAsia="ArialUnicodeMS" w:cs="Times New Roman"/>
          <w:kern w:val="0"/>
          <w:sz w:val="84"/>
          <w:szCs w:val="84"/>
        </w:rPr>
      </w:pPr>
    </w:p>
    <w:p w14:paraId="0FF1C21C">
      <w:pPr>
        <w:rPr>
          <w:rFonts w:hint="default" w:ascii="Times New Roman" w:hAnsi="Times New Roman" w:eastAsia="ArialUnicodeMS" w:cs="Times New Roman"/>
          <w:kern w:val="0"/>
          <w:sz w:val="84"/>
          <w:szCs w:val="84"/>
        </w:rPr>
      </w:pPr>
    </w:p>
    <w:p w14:paraId="0DDDBA70">
      <w:pPr>
        <w:rPr>
          <w:rFonts w:hint="default" w:ascii="Times New Roman" w:hAnsi="Times New Roman" w:eastAsia="ArialUnicodeMS" w:cs="Times New Roman"/>
          <w:kern w:val="0"/>
          <w:sz w:val="84"/>
          <w:szCs w:val="84"/>
        </w:rPr>
      </w:pPr>
    </w:p>
    <w:p w14:paraId="59D3A346">
      <w:pPr>
        <w:jc w:val="center"/>
        <w:rPr>
          <w:rFonts w:hint="default" w:ascii="Times New Roman" w:hAnsi="Times New Roman" w:eastAsia="黑体" w:cs="Times New Roman"/>
          <w:kern w:val="0"/>
          <w:sz w:val="44"/>
          <w:szCs w:val="44"/>
        </w:rPr>
      </w:pPr>
    </w:p>
    <w:p w14:paraId="41E05A8F">
      <w:pPr>
        <w:jc w:val="center"/>
        <w:rPr>
          <w:rFonts w:hint="default" w:ascii="Times New Roman" w:hAnsi="Times New Roman" w:eastAsia="黑体" w:cs="Times New Roman"/>
          <w:kern w:val="0"/>
          <w:sz w:val="44"/>
          <w:szCs w:val="44"/>
        </w:rPr>
      </w:pPr>
    </w:p>
    <w:p w14:paraId="5ECA24E6">
      <w:pPr>
        <w:spacing w:line="560" w:lineRule="exact"/>
        <w:ind w:firstLine="646"/>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目    录</w:t>
      </w:r>
    </w:p>
    <w:p w14:paraId="5D160303">
      <w:pPr>
        <w:spacing w:line="560" w:lineRule="exact"/>
        <w:ind w:firstLine="645"/>
        <w:rPr>
          <w:rFonts w:hint="default" w:ascii="Times New Roman" w:hAnsi="Times New Roman" w:eastAsia="仿宋_GB2312" w:cs="Times New Roman"/>
          <w:b/>
          <w:sz w:val="32"/>
          <w:szCs w:val="32"/>
        </w:rPr>
      </w:pPr>
    </w:p>
    <w:p w14:paraId="3F4BF052">
      <w:pPr>
        <w:spacing w:line="56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b w:val="0"/>
          <w:bCs w:val="0"/>
          <w:sz w:val="32"/>
          <w:szCs w:val="32"/>
          <w:lang w:bidi="ar-SA"/>
        </w:rPr>
        <w:t>广西壮族自治区中医骨伤科研究所</w:t>
      </w:r>
      <w:r>
        <w:rPr>
          <w:rFonts w:hint="default" w:ascii="Times New Roman" w:hAnsi="Times New Roman" w:eastAsia="黑体" w:cs="Times New Roman"/>
          <w:sz w:val="32"/>
          <w:szCs w:val="32"/>
        </w:rPr>
        <w:t>概况</w:t>
      </w:r>
    </w:p>
    <w:p w14:paraId="0F4486A1">
      <w:pPr>
        <w:spacing w:line="560" w:lineRule="exact"/>
        <w:ind w:firstLine="645"/>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eastAsia="zh-CN"/>
        </w:rPr>
        <w:t>主要职能</w:t>
      </w:r>
    </w:p>
    <w:p w14:paraId="2AF71F38">
      <w:pPr>
        <w:spacing w:line="560" w:lineRule="exact"/>
        <w:ind w:firstLine="645"/>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机构设置情况</w:t>
      </w:r>
    </w:p>
    <w:p w14:paraId="53C7F8B0">
      <w:pPr>
        <w:spacing w:line="560" w:lineRule="exact"/>
        <w:ind w:firstLine="645"/>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三、人员构成情况</w:t>
      </w:r>
    </w:p>
    <w:p w14:paraId="3A451E91">
      <w:pPr>
        <w:spacing w:line="56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w:t>
      </w:r>
      <w:r>
        <w:rPr>
          <w:rFonts w:hint="default" w:ascii="Times New Roman" w:hAnsi="Times New Roman" w:eastAsia="黑体" w:cs="Times New Roman"/>
          <w:sz w:val="32"/>
          <w:szCs w:val="32"/>
          <w:lang w:eastAsia="zh-CN"/>
        </w:rPr>
        <w:t>2025</w:t>
      </w:r>
      <w:r>
        <w:rPr>
          <w:rFonts w:hint="default" w:ascii="Times New Roman" w:hAnsi="Times New Roman" w:eastAsia="黑体" w:cs="Times New Roman"/>
          <w:sz w:val="32"/>
          <w:szCs w:val="32"/>
        </w:rPr>
        <w:t>年度部门决算报表</w:t>
      </w:r>
    </w:p>
    <w:p w14:paraId="4B6FC38E">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表一：收入支出决算总表</w:t>
      </w:r>
    </w:p>
    <w:p w14:paraId="6621C633">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表二：收入决算表</w:t>
      </w:r>
    </w:p>
    <w:p w14:paraId="0F54F50E">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表三：支出决算表</w:t>
      </w:r>
    </w:p>
    <w:p w14:paraId="6F5D9F1F">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表四：财政拨款收入支出决算总表</w:t>
      </w:r>
    </w:p>
    <w:p w14:paraId="76F6EBC3">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表五：一般公共预算财政拨款支出决算表</w:t>
      </w:r>
    </w:p>
    <w:p w14:paraId="690DBB84">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表六：一般公共预算财政拨款基本支出决算明细表</w:t>
      </w:r>
    </w:p>
    <w:p w14:paraId="7C219F98">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表七：政府性基金</w:t>
      </w:r>
      <w:r>
        <w:rPr>
          <w:rFonts w:hint="default" w:ascii="Times New Roman" w:hAnsi="Times New Roman" w:eastAsia="仿宋_GB2312" w:cs="Times New Roman"/>
          <w:sz w:val="32"/>
          <w:szCs w:val="32"/>
        </w:rPr>
        <w:t>预算财政拨款</w:t>
      </w:r>
      <w:r>
        <w:rPr>
          <w:rFonts w:hint="default" w:ascii="Times New Roman" w:hAnsi="Times New Roman" w:eastAsia="仿宋_GB2312" w:cs="Times New Roman"/>
          <w:sz w:val="32"/>
          <w:szCs w:val="32"/>
        </w:rPr>
        <w:t>收入支出决算表</w:t>
      </w:r>
    </w:p>
    <w:p w14:paraId="33D7E173">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表八：国有资本经营预算</w:t>
      </w:r>
      <w:r>
        <w:rPr>
          <w:rFonts w:hint="default" w:ascii="Times New Roman" w:hAnsi="Times New Roman" w:eastAsia="仿宋_GB2312" w:cs="Times New Roman"/>
          <w:sz w:val="32"/>
          <w:szCs w:val="32"/>
        </w:rPr>
        <w:t>财政拨款</w:t>
      </w:r>
      <w:r>
        <w:rPr>
          <w:rFonts w:hint="default" w:ascii="Times New Roman" w:hAnsi="Times New Roman" w:eastAsia="仿宋_GB2312" w:cs="Times New Roman"/>
          <w:sz w:val="32"/>
          <w:szCs w:val="32"/>
        </w:rPr>
        <w:t>支出决算表</w:t>
      </w:r>
    </w:p>
    <w:p w14:paraId="13CA4403">
      <w:pPr>
        <w:spacing w:line="560" w:lineRule="exact"/>
        <w:ind w:left="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表九：财政拨款“三公”经费支出决算表</w:t>
      </w:r>
    </w:p>
    <w:p w14:paraId="25C7DF9A">
      <w:pPr>
        <w:spacing w:line="56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w:t>
      </w:r>
      <w:r>
        <w:rPr>
          <w:rFonts w:hint="default" w:ascii="Times New Roman" w:hAnsi="Times New Roman" w:eastAsia="黑体" w:cs="Times New Roman"/>
          <w:sz w:val="32"/>
          <w:szCs w:val="32"/>
          <w:lang w:eastAsia="zh-CN"/>
        </w:rPr>
        <w:t>2025</w:t>
      </w:r>
      <w:r>
        <w:rPr>
          <w:rFonts w:hint="default" w:ascii="Times New Roman" w:hAnsi="Times New Roman" w:eastAsia="黑体" w:cs="Times New Roman"/>
          <w:sz w:val="32"/>
          <w:szCs w:val="32"/>
        </w:rPr>
        <w:t>年度部门决算情况说明</w:t>
      </w:r>
    </w:p>
    <w:p w14:paraId="2A06C51B">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年度收入支出决算总体情况。</w:t>
      </w:r>
    </w:p>
    <w:p w14:paraId="6756FAB1">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sz w:val="32"/>
          <w:szCs w:val="32"/>
        </w:rPr>
        <w:t>一般</w:t>
      </w:r>
      <w:r>
        <w:rPr>
          <w:rFonts w:hint="default" w:ascii="Times New Roman" w:hAnsi="Times New Roman" w:eastAsia="仿宋_GB2312" w:cs="Times New Roman"/>
          <w:kern w:val="0"/>
          <w:sz w:val="32"/>
          <w:szCs w:val="32"/>
        </w:rPr>
        <w:t>公共预算财政拨款支出决算情况。</w:t>
      </w:r>
    </w:p>
    <w:p w14:paraId="5A7113CF">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年度一般公共预算财政拨款基本支出决算情况说明。</w:t>
      </w:r>
    </w:p>
    <w:p w14:paraId="2C435084">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年度政府性基金支出决算情况。</w:t>
      </w:r>
    </w:p>
    <w:p w14:paraId="0264E936">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年度国有资本经营预算支出决算情况</w:t>
      </w:r>
    </w:p>
    <w:p w14:paraId="421AED15">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六、财政拨款安排的“三公”经费支出决算情况说明。</w:t>
      </w:r>
    </w:p>
    <w:p w14:paraId="44231403">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七、其他重要事项情况说明。</w:t>
      </w:r>
    </w:p>
    <w:p w14:paraId="0E7B5A53">
      <w:pPr>
        <w:autoSpaceDE w:val="0"/>
        <w:autoSpaceDN w:val="0"/>
        <w:adjustRightInd w:val="0"/>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八、</w:t>
      </w:r>
      <w:r>
        <w:rPr>
          <w:rFonts w:hint="default" w:ascii="Times New Roman" w:hAnsi="Times New Roman" w:eastAsia="仿宋_GB2312" w:cs="Times New Roman"/>
          <w:kern w:val="0"/>
          <w:sz w:val="32"/>
          <w:szCs w:val="32"/>
        </w:rPr>
        <w:t>预算绩效管理工作开展情况。</w:t>
      </w:r>
    </w:p>
    <w:p w14:paraId="276F5D5A">
      <w:pPr>
        <w:autoSpaceDE w:val="0"/>
        <w:autoSpaceDN w:val="0"/>
        <w:adjustRightInd w:val="0"/>
        <w:spacing w:line="56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第四部分：名词解释</w:t>
      </w:r>
    </w:p>
    <w:p w14:paraId="22A7DE7C">
      <w:pPr>
        <w:spacing w:line="560" w:lineRule="exact"/>
        <w:jc w:val="center"/>
        <w:rPr>
          <w:rFonts w:hint="default" w:ascii="Times New Roman" w:hAnsi="Times New Roman" w:eastAsia="仿宋_GB2312" w:cs="Times New Roman"/>
        </w:rPr>
      </w:pPr>
    </w:p>
    <w:p w14:paraId="58098F3B">
      <w:pPr>
        <w:rPr>
          <w:rFonts w:hint="default" w:ascii="Times New Roman" w:hAnsi="Times New Roman" w:eastAsia="仿宋_GB2312" w:cs="Times New Roman"/>
          <w:b/>
          <w:sz w:val="32"/>
          <w:szCs w:val="32"/>
        </w:rPr>
      </w:pPr>
    </w:p>
    <w:p w14:paraId="3E7B648D">
      <w:pPr>
        <w:rPr>
          <w:rFonts w:hint="default" w:ascii="Times New Roman" w:hAnsi="Times New Roman" w:eastAsia="仿宋_GB2312" w:cs="Times New Roman"/>
          <w:b/>
          <w:sz w:val="32"/>
          <w:szCs w:val="32"/>
        </w:rPr>
      </w:pPr>
    </w:p>
    <w:p w14:paraId="205A74B7">
      <w:pPr>
        <w:rPr>
          <w:rFonts w:hint="default" w:ascii="Times New Roman" w:hAnsi="Times New Roman" w:eastAsia="仿宋_GB2312" w:cs="Times New Roman"/>
          <w:b/>
          <w:sz w:val="32"/>
          <w:szCs w:val="32"/>
        </w:rPr>
      </w:pPr>
    </w:p>
    <w:p w14:paraId="4A3D3531">
      <w:pPr>
        <w:rPr>
          <w:rFonts w:hint="default" w:ascii="Times New Roman" w:hAnsi="Times New Roman" w:eastAsia="仿宋_GB2312" w:cs="Times New Roman"/>
          <w:b/>
          <w:sz w:val="32"/>
          <w:szCs w:val="32"/>
        </w:rPr>
      </w:pPr>
    </w:p>
    <w:p w14:paraId="5CFEC8B7">
      <w:pPr>
        <w:rPr>
          <w:rFonts w:hint="default" w:ascii="Times New Roman" w:hAnsi="Times New Roman" w:eastAsia="仿宋_GB2312" w:cs="Times New Roman"/>
          <w:b/>
          <w:sz w:val="32"/>
          <w:szCs w:val="32"/>
        </w:rPr>
      </w:pPr>
    </w:p>
    <w:p w14:paraId="56CD4778">
      <w:pPr>
        <w:rPr>
          <w:rFonts w:hint="default" w:ascii="Times New Roman" w:hAnsi="Times New Roman" w:eastAsia="仿宋_GB2312" w:cs="Times New Roman"/>
          <w:b/>
          <w:sz w:val="32"/>
          <w:szCs w:val="32"/>
        </w:rPr>
      </w:pPr>
    </w:p>
    <w:p w14:paraId="744EDBBB">
      <w:pPr>
        <w:rPr>
          <w:rFonts w:hint="default" w:ascii="Times New Roman" w:hAnsi="Times New Roman" w:eastAsia="仿宋_GB2312" w:cs="Times New Roman"/>
          <w:b/>
          <w:sz w:val="32"/>
          <w:szCs w:val="32"/>
        </w:rPr>
      </w:pPr>
    </w:p>
    <w:p w14:paraId="458CA1BD">
      <w:pPr>
        <w:rPr>
          <w:rFonts w:hint="default" w:ascii="Times New Roman" w:hAnsi="Times New Roman" w:eastAsia="仿宋_GB2312" w:cs="Times New Roman"/>
          <w:b/>
          <w:sz w:val="32"/>
          <w:szCs w:val="32"/>
        </w:rPr>
      </w:pPr>
    </w:p>
    <w:p w14:paraId="3006DF97">
      <w:pPr>
        <w:rPr>
          <w:rFonts w:hint="default" w:ascii="Times New Roman" w:hAnsi="Times New Roman" w:eastAsia="仿宋_GB2312" w:cs="Times New Roman"/>
          <w:b/>
          <w:sz w:val="32"/>
          <w:szCs w:val="32"/>
        </w:rPr>
      </w:pPr>
    </w:p>
    <w:p w14:paraId="3245C1F6">
      <w:pPr>
        <w:rPr>
          <w:rFonts w:hint="default" w:ascii="Times New Roman" w:hAnsi="Times New Roman" w:eastAsia="仿宋_GB2312" w:cs="Times New Roman"/>
          <w:b/>
          <w:sz w:val="32"/>
          <w:szCs w:val="32"/>
        </w:rPr>
      </w:pPr>
    </w:p>
    <w:p w14:paraId="215198E9">
      <w:pPr>
        <w:rPr>
          <w:rFonts w:hint="default" w:ascii="Times New Roman" w:hAnsi="Times New Roman" w:eastAsia="仿宋_GB2312" w:cs="Times New Roman"/>
          <w:b/>
          <w:sz w:val="32"/>
          <w:szCs w:val="32"/>
        </w:rPr>
      </w:pPr>
    </w:p>
    <w:p w14:paraId="20EE2713">
      <w:pPr>
        <w:rPr>
          <w:rFonts w:hint="default" w:ascii="Times New Roman" w:hAnsi="Times New Roman" w:eastAsia="仿宋_GB2312" w:cs="Times New Roman"/>
          <w:b/>
          <w:sz w:val="32"/>
          <w:szCs w:val="32"/>
        </w:rPr>
      </w:pPr>
    </w:p>
    <w:p w14:paraId="3ACB5248">
      <w:pPr>
        <w:rPr>
          <w:rFonts w:hint="default" w:ascii="Times New Roman" w:hAnsi="Times New Roman" w:eastAsia="仿宋_GB2312" w:cs="Times New Roman"/>
          <w:b/>
          <w:sz w:val="32"/>
          <w:szCs w:val="32"/>
        </w:rPr>
      </w:pPr>
    </w:p>
    <w:p w14:paraId="3C6F38F4">
      <w:pPr>
        <w:rPr>
          <w:rFonts w:hint="default" w:ascii="Times New Roman" w:hAnsi="Times New Roman" w:eastAsia="仿宋_GB2312" w:cs="Times New Roman"/>
          <w:b/>
          <w:sz w:val="32"/>
          <w:szCs w:val="32"/>
        </w:rPr>
      </w:pPr>
    </w:p>
    <w:p w14:paraId="7BFFB7C8">
      <w:pPr>
        <w:rPr>
          <w:rFonts w:hint="default" w:ascii="Times New Roman" w:hAnsi="Times New Roman" w:eastAsia="仿宋_GB2312" w:cs="Times New Roman"/>
          <w:b/>
          <w:sz w:val="32"/>
          <w:szCs w:val="32"/>
        </w:rPr>
      </w:pPr>
    </w:p>
    <w:p w14:paraId="5A3BC64E">
      <w:pPr>
        <w:rPr>
          <w:rFonts w:hint="default" w:ascii="Times New Roman" w:hAnsi="Times New Roman" w:eastAsia="仿宋_GB2312" w:cs="Times New Roman"/>
          <w:b/>
          <w:sz w:val="32"/>
          <w:szCs w:val="32"/>
        </w:rPr>
      </w:pPr>
    </w:p>
    <w:p w14:paraId="55A5D902">
      <w:pPr>
        <w:rPr>
          <w:rFonts w:hint="default" w:ascii="Times New Roman" w:hAnsi="Times New Roman" w:eastAsia="仿宋_GB2312" w:cs="Times New Roman"/>
          <w:b/>
          <w:sz w:val="32"/>
          <w:szCs w:val="32"/>
        </w:rPr>
      </w:pPr>
    </w:p>
    <w:p w14:paraId="6D0BEB95">
      <w:pPr>
        <w:rPr>
          <w:rFonts w:hint="default" w:ascii="Times New Roman" w:hAnsi="Times New Roman" w:eastAsia="仿宋_GB2312" w:cs="Times New Roman"/>
          <w:b/>
          <w:sz w:val="32"/>
          <w:szCs w:val="32"/>
        </w:rPr>
      </w:pPr>
    </w:p>
    <w:p w14:paraId="23F7B65A">
      <w:pPr>
        <w:pStyle w:val="3"/>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第一部分：广西壮族自治区中医骨伤科研究所概况</w:t>
      </w:r>
    </w:p>
    <w:p w14:paraId="4B40C722">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一、主要职能</w:t>
      </w:r>
    </w:p>
    <w:p w14:paraId="109112B5">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广西壮族自治区中医骨伤科研究所成立于1986年，1995年增挂广西骨伤医院牌子，是一所集临床、医疗、预防、保健和中医骨伤研究为一体的自治区级医疗科研单位，是自治区中医药管理局直属的国家三级甲等中西医结合骨科医院、广西中医药大学附属骨伤医院、广西红十字会骨伤医院、高等医学院校临床教学基地和骨伤专业硕士点、自治区级中医康复中心建设单位。</w:t>
      </w:r>
    </w:p>
    <w:p w14:paraId="3AF81E1F">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二、</w:t>
      </w:r>
      <w:r>
        <w:rPr>
          <w:rFonts w:hint="default" w:ascii="Times New Roman" w:hAnsi="Times New Roman" w:eastAsia="黑体" w:cs="Times New Roman"/>
          <w:b w:val="0"/>
          <w:bCs w:val="0"/>
          <w:sz w:val="32"/>
          <w:highlight w:val="none"/>
        </w:rPr>
        <w:t>机构设置情况</w:t>
      </w:r>
    </w:p>
    <w:p w14:paraId="1D26EA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广西壮族自治区中医骨伤科研究所内设机构有：1.临床科室：四肢创伤科、脊柱骨病科、关节科、康复医学科、重症医学科、麻醉科、</w:t>
      </w:r>
      <w:r>
        <w:rPr>
          <w:rFonts w:hint="default" w:ascii="Times New Roman" w:hAnsi="Times New Roman" w:eastAsia="仿宋_GB2312" w:cs="Times New Roman"/>
          <w:sz w:val="32"/>
          <w:szCs w:val="32"/>
        </w:rPr>
        <w:t>内科</w:t>
      </w:r>
      <w:r>
        <w:rPr>
          <w:rFonts w:hint="default" w:ascii="Times New Roman" w:hAnsi="Times New Roman" w:eastAsia="仿宋_GB2312" w:cs="Times New Roman"/>
          <w:kern w:val="2"/>
          <w:sz w:val="32"/>
          <w:szCs w:val="32"/>
          <w:lang w:val="en-US" w:eastAsia="zh-CN" w:bidi="ar-SA"/>
        </w:rPr>
        <w:t>、治未病科、正骨科、急诊医学科、筋伤科。2.门诊科室：外科门诊、骨科门诊、儿科门诊、口腔科门诊、皮肤科门诊、疼痛科门诊、</w:t>
      </w:r>
      <w:r>
        <w:rPr>
          <w:rFonts w:hint="default" w:ascii="Times New Roman" w:hAnsi="Times New Roman" w:eastAsia="仿宋_GB2312" w:cs="Times New Roman"/>
          <w:sz w:val="32"/>
          <w:szCs w:val="32"/>
        </w:rPr>
        <w:t>内科</w:t>
      </w:r>
      <w:r>
        <w:rPr>
          <w:rFonts w:hint="default" w:ascii="Times New Roman" w:hAnsi="Times New Roman" w:eastAsia="仿宋_GB2312" w:cs="Times New Roman"/>
          <w:kern w:val="2"/>
          <w:sz w:val="32"/>
          <w:szCs w:val="32"/>
          <w:lang w:val="en-US" w:eastAsia="zh-CN" w:bidi="ar-SA"/>
        </w:rPr>
        <w:t>门诊、便民门诊。3.社区卫生服务中心：方园社区卫生服务中心、长虹社区卫生服务中心。4.医技科室：药学部、放射科、心电超声科、检验科、输血科、病理科、手术室。5.党政科室：党政办公室、纪检监察室、人力资源部、医务部、采购办、护理部、审计科、科教部、财务运营部、保障部、工会。</w:t>
      </w:r>
    </w:p>
    <w:p w14:paraId="00C2B90D">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三、人员构成情况</w:t>
      </w:r>
    </w:p>
    <w:p w14:paraId="2B5646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1.在职实有人数479人。其中：事业编制165人、机关后勤控制数1人。</w:t>
      </w:r>
    </w:p>
    <w:p w14:paraId="49E6BA0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2.离退休人员156人。其中：离休人员0人、退休人员156人。</w:t>
      </w:r>
    </w:p>
    <w:p w14:paraId="526F2ACF">
      <w:pPr>
        <w:pStyle w:val="3"/>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sz w:val="32"/>
          <w:szCs w:val="32"/>
          <w:lang w:bidi="ar-SA"/>
        </w:rPr>
        <w:t>第二部分：广西壮族自治区中医骨伤科研究所</w:t>
      </w:r>
      <w:r>
        <w:rPr>
          <w:rFonts w:hint="default" w:ascii="Times New Roman" w:hAnsi="Times New Roman" w:eastAsia="黑体" w:cs="Times New Roman"/>
          <w:b w:val="0"/>
          <w:bCs w:val="0"/>
          <w:kern w:val="2"/>
          <w:sz w:val="32"/>
          <w:szCs w:val="32"/>
          <w:lang w:val="en-US" w:eastAsia="zh-CN" w:bidi="ar-SA"/>
        </w:rPr>
        <w:t>2025年度部门决算报表</w:t>
      </w:r>
    </w:p>
    <w:p w14:paraId="2E8D4A3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i w:val="0"/>
          <w:iCs w:val="0"/>
          <w:caps w:val="0"/>
          <w:color w:val="auto"/>
          <w:spacing w:val="0"/>
          <w:sz w:val="31"/>
          <w:szCs w:val="31"/>
          <w:shd w:val="clear" w:fill="F6F3EA"/>
        </w:rPr>
      </w:pPr>
      <w:r>
        <w:rPr>
          <w:rFonts w:hint="default" w:ascii="Times New Roman" w:hAnsi="Times New Roman" w:eastAsia="仿宋_GB2312" w:cs="Times New Roman"/>
          <w:kern w:val="2"/>
          <w:sz w:val="32"/>
          <w:szCs w:val="32"/>
          <w:lang w:val="en-US" w:eastAsia="zh-CN" w:bidi="ar-SA"/>
        </w:rPr>
        <w:t>《收入支出决算总表》《收入决算表》《支出决算表》《财政拨款收入支出决算总表》《一般公共预算财政拨款支出决算表》《一般公共预算财政拨款基本支出决算明细表》《政府性基金预算财政拨款收入支出决算表》《国有资本经营预算财政拨款支出决算表》《财政拨款“三公”经费支出决算表》(此部分另附表格，详见附件：广西壮族自治区中医骨伤科研究所2025年度部门决算公开附表)</w:t>
      </w:r>
    </w:p>
    <w:p w14:paraId="52A36A9E">
      <w:pPr>
        <w:pStyle w:val="3"/>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default" w:ascii="Times New Roman" w:hAnsi="Times New Roman" w:eastAsia="黑体" w:cs="Times New Roman"/>
          <w:b w:val="0"/>
          <w:bCs w:val="0"/>
          <w:sz w:val="32"/>
          <w:szCs w:val="32"/>
          <w:highlight w:val="none"/>
          <w:lang w:bidi="ar-SA"/>
        </w:rPr>
      </w:pPr>
      <w:r>
        <w:rPr>
          <w:rFonts w:hint="default" w:ascii="Times New Roman" w:hAnsi="Times New Roman" w:eastAsia="黑体" w:cs="Times New Roman"/>
          <w:b w:val="0"/>
          <w:bCs w:val="0"/>
          <w:sz w:val="32"/>
          <w:szCs w:val="32"/>
          <w:lang w:bidi="ar-SA"/>
        </w:rPr>
        <w:t>第三部分：</w:t>
      </w:r>
      <w:r>
        <w:rPr>
          <w:rFonts w:hint="default" w:ascii="Times New Roman" w:hAnsi="Times New Roman" w:eastAsia="黑体" w:cs="Times New Roman"/>
          <w:b w:val="0"/>
          <w:bCs w:val="0"/>
          <w:sz w:val="32"/>
          <w:szCs w:val="32"/>
          <w:highlight w:val="none"/>
          <w:lang w:bidi="ar-SA"/>
        </w:rPr>
        <w:t>广西壮族自治区中医骨伤科研究所</w:t>
      </w:r>
      <w:r>
        <w:rPr>
          <w:rFonts w:hint="default" w:ascii="Times New Roman" w:hAnsi="Times New Roman" w:eastAsia="黑体" w:cs="Times New Roman"/>
          <w:b w:val="0"/>
          <w:bCs w:val="0"/>
          <w:sz w:val="32"/>
          <w:szCs w:val="32"/>
          <w:highlight w:val="none"/>
          <w:lang w:eastAsia="zh-CN" w:bidi="ar-SA"/>
        </w:rPr>
        <w:t>2025年度</w:t>
      </w:r>
      <w:r>
        <w:rPr>
          <w:rFonts w:hint="default" w:ascii="Times New Roman" w:hAnsi="Times New Roman" w:eastAsia="黑体" w:cs="Times New Roman"/>
          <w:b w:val="0"/>
          <w:bCs w:val="0"/>
          <w:sz w:val="32"/>
          <w:szCs w:val="32"/>
          <w:highlight w:val="none"/>
          <w:lang w:bidi="ar-SA"/>
        </w:rPr>
        <w:t>部门决算情况说明</w:t>
      </w:r>
    </w:p>
    <w:p w14:paraId="6513C85C">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一、</w:t>
      </w:r>
      <w:r>
        <w:rPr>
          <w:rFonts w:hint="default" w:ascii="Times New Roman" w:hAnsi="Times New Roman" w:cs="Times New Roman"/>
          <w:b w:val="0"/>
          <w:bCs w:val="0"/>
          <w:sz w:val="32"/>
          <w:lang w:eastAsia="zh-CN"/>
        </w:rPr>
        <w:t>2025年</w:t>
      </w:r>
      <w:r>
        <w:rPr>
          <w:rFonts w:hint="default" w:ascii="Times New Roman" w:hAnsi="Times New Roman" w:eastAsia="黑体" w:cs="Times New Roman"/>
          <w:b w:val="0"/>
          <w:bCs w:val="0"/>
          <w:sz w:val="32"/>
          <w:lang w:eastAsia="zh-CN"/>
        </w:rPr>
        <w:t>度</w:t>
      </w:r>
      <w:r>
        <w:rPr>
          <w:rFonts w:hint="default" w:ascii="Times New Roman" w:hAnsi="Times New Roman" w:eastAsia="黑体" w:cs="Times New Roman"/>
          <w:b w:val="0"/>
          <w:bCs w:val="0"/>
          <w:sz w:val="32"/>
        </w:rPr>
        <w:t>收入支出决算总体情况</w:t>
      </w:r>
    </w:p>
    <w:p w14:paraId="344E3F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（一）本</w:t>
      </w:r>
      <w:r>
        <w:rPr>
          <w:rFonts w:hint="default" w:ascii="Times New Roman" w:hAnsi="Times New Roman" w:eastAsia="仿宋_GB2312" w:cs="Times New Roman"/>
          <w:color w:val="auto"/>
          <w:kern w:val="2"/>
          <w:sz w:val="32"/>
          <w:szCs w:val="32"/>
          <w:lang w:val="en-US" w:eastAsia="zh-CN" w:bidi="ar-SA"/>
        </w:rPr>
        <w:t>单位2025年度总收入19058.08万元，其中本年收入18905.79万元,较上年度总收入决算数17618.90万元增加1439.18万元，增长8.17%。收入</w:t>
      </w:r>
      <w:r>
        <w:rPr>
          <w:rFonts w:hint="default" w:ascii="Times New Roman" w:hAnsi="Times New Roman" w:eastAsia="仿宋_GB2312" w:cs="Times New Roman"/>
          <w:kern w:val="2"/>
          <w:sz w:val="32"/>
          <w:szCs w:val="32"/>
          <w:lang w:val="en-US" w:eastAsia="zh-CN" w:bidi="ar-SA"/>
        </w:rPr>
        <w:t>具体情况如下。</w:t>
      </w:r>
    </w:p>
    <w:p w14:paraId="76233B4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0"/>
          <w:sz w:val="32"/>
          <w:szCs w:val="32"/>
        </w:rPr>
        <w:t>一般公共预算</w:t>
      </w:r>
      <w:r>
        <w:rPr>
          <w:rFonts w:hint="default" w:ascii="Times New Roman" w:hAnsi="Times New Roman" w:eastAsia="仿宋_GB2312" w:cs="Times New Roman"/>
          <w:kern w:val="2"/>
          <w:sz w:val="32"/>
          <w:szCs w:val="32"/>
          <w:lang w:val="en-US" w:eastAsia="zh-CN" w:bidi="ar-SA"/>
        </w:rPr>
        <w:t>拨款收入1850.01万元，为中央及自治区本级财政当年拨付的资金。较上年度决算数1625.32万元增加224.69万元，增长13.82%，</w:t>
      </w:r>
      <w:r>
        <w:rPr>
          <w:rFonts w:hint="default" w:ascii="Times New Roman" w:hAnsi="Times New Roman" w:eastAsia="仿宋_GB2312" w:cs="Times New Roman"/>
          <w:color w:val="auto"/>
          <w:kern w:val="2"/>
          <w:sz w:val="32"/>
          <w:szCs w:val="32"/>
          <w:lang w:val="en-US" w:eastAsia="zh-CN" w:bidi="ar-SA"/>
        </w:rPr>
        <w:t>主要原因是本年度获一般公共预算拨款项目增加。</w:t>
      </w:r>
    </w:p>
    <w:p w14:paraId="66B871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2.事业收入15482.26万元，为单位开展业务活动取得的收入。较上年度决算数15342.58万元增加139.68万元，增长0.91%。</w:t>
      </w:r>
    </w:p>
    <w:p w14:paraId="52AC1B8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3.其他收入1573.52万元，为单位在“财政拨款收入”“事业收入”“经营收入”之外取得的收入。较上年度决算数471.30增加</w:t>
      </w:r>
      <w:r>
        <w:rPr>
          <w:rFonts w:hint="default" w:ascii="Times New Roman" w:hAnsi="Times New Roman" w:eastAsia="仿宋_GB2312" w:cs="Times New Roman"/>
          <w:kern w:val="2"/>
          <w:sz w:val="32"/>
          <w:szCs w:val="32"/>
          <w:highlight w:val="none"/>
          <w:lang w:val="en-US" w:eastAsia="zh-CN" w:bidi="ar-SA"/>
        </w:rPr>
        <w:t>1102.22万元，增长233.87%</w:t>
      </w:r>
      <w:r>
        <w:rPr>
          <w:rFonts w:hint="default" w:ascii="Times New Roman" w:hAnsi="Times New Roman" w:eastAsia="仿宋_GB2312" w:cs="Times New Roman"/>
          <w:color w:val="auto"/>
          <w:kern w:val="2"/>
          <w:sz w:val="32"/>
          <w:szCs w:val="32"/>
          <w:highlight w:val="none"/>
          <w:lang w:val="en-US" w:eastAsia="zh-CN" w:bidi="ar-SA"/>
        </w:rPr>
        <w:t>，主要原因是当年度新增银行借款收入。</w:t>
      </w:r>
    </w:p>
    <w:p w14:paraId="34389E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0"/>
          <w:sz w:val="32"/>
          <w:szCs w:val="32"/>
        </w:rPr>
        <w:t>使用非财政拨款结余</w:t>
      </w:r>
      <w:r>
        <w:rPr>
          <w:rFonts w:hint="default" w:ascii="Times New Roman" w:hAnsi="Times New Roman" w:eastAsia="仿宋_GB2312" w:cs="Times New Roman"/>
          <w:kern w:val="0"/>
          <w:sz w:val="32"/>
          <w:szCs w:val="32"/>
          <w:lang w:eastAsia="zh-CN"/>
        </w:rPr>
        <w:t>（含专用结余）</w:t>
      </w:r>
      <w:r>
        <w:rPr>
          <w:rFonts w:hint="default" w:ascii="Times New Roman" w:hAnsi="Times New Roman" w:eastAsia="仿宋_GB2312" w:cs="Times New Roman"/>
          <w:kern w:val="2"/>
          <w:sz w:val="32"/>
          <w:szCs w:val="32"/>
          <w:lang w:val="en-US" w:eastAsia="zh-CN" w:bidi="ar-SA"/>
        </w:rPr>
        <w:t>0万元，主</w:t>
      </w:r>
      <w:r>
        <w:rPr>
          <w:rFonts w:hint="default" w:ascii="Times New Roman" w:hAnsi="Times New Roman" w:eastAsia="仿宋_GB2312" w:cs="Times New Roman"/>
          <w:color w:val="auto"/>
          <w:kern w:val="2"/>
          <w:sz w:val="32"/>
          <w:szCs w:val="32"/>
          <w:lang w:val="en-US" w:eastAsia="zh-CN" w:bidi="ar-SA"/>
        </w:rPr>
        <w:t>要是单位在当年的“财政拨款收入”“事业收入”“经营收入”及“其他收入”不能保证支出的情况下，</w:t>
      </w:r>
      <w:r>
        <w:rPr>
          <w:rFonts w:hint="default" w:ascii="Times New Roman" w:hAnsi="Times New Roman" w:eastAsia="仿宋_GB2312" w:cs="Times New Roman"/>
          <w:color w:val="auto"/>
          <w:kern w:val="0"/>
          <w:sz w:val="32"/>
          <w:szCs w:val="32"/>
        </w:rPr>
        <w:t>使用以前年度积累的非财政拨款结余</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sz w:val="32"/>
          <w:szCs w:val="32"/>
        </w:rPr>
        <w:t>专用结余</w:t>
      </w:r>
      <w:r>
        <w:rPr>
          <w:rFonts w:hint="default" w:ascii="Times New Roman" w:hAnsi="Times New Roman" w:eastAsia="仿宋_GB2312" w:cs="Times New Roman"/>
          <w:color w:val="auto"/>
          <w:kern w:val="0"/>
          <w:sz w:val="32"/>
          <w:szCs w:val="32"/>
        </w:rPr>
        <w:t>弥补本年度收支缺口的资金。</w:t>
      </w:r>
      <w:r>
        <w:rPr>
          <w:rFonts w:hint="default" w:ascii="Times New Roman" w:hAnsi="Times New Roman" w:eastAsia="仿宋_GB2312" w:cs="Times New Roman"/>
          <w:color w:val="auto"/>
          <w:kern w:val="0"/>
          <w:sz w:val="32"/>
          <w:szCs w:val="32"/>
          <w:lang w:val="en-US" w:eastAsia="zh-CN"/>
        </w:rPr>
        <w:t>与上年决算数一致</w:t>
      </w:r>
      <w:r>
        <w:rPr>
          <w:rFonts w:hint="default" w:ascii="Times New Roman" w:hAnsi="Times New Roman" w:eastAsia="仿宋_GB2312" w:cs="Times New Roman"/>
          <w:color w:val="auto"/>
          <w:kern w:val="0"/>
          <w:sz w:val="32"/>
          <w:szCs w:val="32"/>
        </w:rPr>
        <w:t>，主要原因是</w:t>
      </w:r>
      <w:r>
        <w:rPr>
          <w:rFonts w:hint="default" w:ascii="Times New Roman" w:hAnsi="Times New Roman" w:eastAsia="仿宋_GB2312" w:cs="Times New Roman"/>
          <w:color w:val="auto"/>
          <w:kern w:val="0"/>
          <w:sz w:val="32"/>
          <w:szCs w:val="32"/>
          <w:lang w:val="en-US" w:eastAsia="zh-CN"/>
        </w:rPr>
        <w:t>当年收支平衡，不需使用</w:t>
      </w:r>
      <w:r>
        <w:rPr>
          <w:rFonts w:hint="default" w:ascii="Times New Roman" w:hAnsi="Times New Roman" w:eastAsia="仿宋_GB2312" w:cs="Times New Roman"/>
          <w:kern w:val="0"/>
          <w:sz w:val="32"/>
          <w:szCs w:val="32"/>
        </w:rPr>
        <w:t>非财政拨款结余</w:t>
      </w:r>
      <w:r>
        <w:rPr>
          <w:rFonts w:hint="default" w:ascii="Times New Roman" w:hAnsi="Times New Roman" w:eastAsia="仿宋_GB2312" w:cs="Times New Roman"/>
          <w:color w:val="auto"/>
          <w:kern w:val="0"/>
          <w:sz w:val="32"/>
          <w:szCs w:val="32"/>
          <w:lang w:val="en-US" w:eastAsia="zh-CN"/>
        </w:rPr>
        <w:t>弥补预算收支差额</w:t>
      </w:r>
      <w:r>
        <w:rPr>
          <w:rFonts w:hint="default" w:ascii="Times New Roman" w:hAnsi="Times New Roman" w:eastAsia="仿宋_GB2312" w:cs="Times New Roman"/>
          <w:color w:val="auto"/>
          <w:kern w:val="0"/>
          <w:sz w:val="32"/>
          <w:szCs w:val="32"/>
        </w:rPr>
        <w:t>。</w:t>
      </w:r>
    </w:p>
    <w:p w14:paraId="0A1C8996">
      <w:pPr>
        <w:pageBreakBefore w:val="0"/>
        <w:kinsoku/>
        <w:wordWrap/>
        <w:overflowPunct/>
        <w:topLinePunct w:val="0"/>
        <w:autoSpaceDE w:val="0"/>
        <w:autoSpaceDN w:val="0"/>
        <w:bidi w:val="0"/>
        <w:adjustRightInd w:val="0"/>
        <w:snapToGrid/>
        <w:spacing w:beforeAutospacing="0" w:afterAutospacing="0" w:line="560" w:lineRule="exact"/>
        <w:ind w:firstLine="627" w:firstLineChars="196"/>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5.年初结转和结余152.29万元，</w:t>
      </w:r>
      <w:r>
        <w:rPr>
          <w:rFonts w:hint="default" w:ascii="Times New Roman" w:hAnsi="Times New Roman" w:eastAsia="仿宋_GB2312" w:cs="Times New Roman"/>
          <w:kern w:val="0"/>
          <w:sz w:val="32"/>
          <w:szCs w:val="32"/>
          <w:lang w:val="en-US" w:eastAsia="zh-CN"/>
        </w:rPr>
        <w:t>为以前年度支出预算因客观条件变化未执行完毕、结转到本年度按有关规定继续使用的资金</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color w:val="auto"/>
          <w:kern w:val="0"/>
          <w:sz w:val="32"/>
          <w:szCs w:val="32"/>
        </w:rPr>
        <w:t>较</w:t>
      </w:r>
      <w:r>
        <w:rPr>
          <w:rFonts w:hint="default" w:ascii="Times New Roman" w:hAnsi="Times New Roman" w:eastAsia="仿宋_GB2312" w:cs="Times New Roman"/>
          <w:color w:val="auto"/>
          <w:kern w:val="0"/>
          <w:sz w:val="32"/>
          <w:szCs w:val="32"/>
          <w:lang w:val="en-US" w:eastAsia="zh-CN"/>
        </w:rPr>
        <w:t>上</w:t>
      </w:r>
      <w:r>
        <w:rPr>
          <w:rFonts w:hint="default" w:ascii="Times New Roman" w:hAnsi="Times New Roman" w:eastAsia="仿宋_GB2312" w:cs="Times New Roman"/>
          <w:color w:val="auto"/>
          <w:kern w:val="0"/>
          <w:sz w:val="32"/>
          <w:szCs w:val="32"/>
        </w:rPr>
        <w:t>年度决算数减少</w:t>
      </w:r>
      <w:r>
        <w:rPr>
          <w:rFonts w:hint="default" w:ascii="Times New Roman" w:hAnsi="Times New Roman" w:eastAsia="仿宋_GB2312" w:cs="Times New Roman"/>
          <w:color w:val="auto"/>
          <w:kern w:val="0"/>
          <w:sz w:val="32"/>
          <w:szCs w:val="32"/>
          <w:lang w:val="en-US" w:eastAsia="zh-CN"/>
        </w:rPr>
        <w:t>27.41</w:t>
      </w:r>
      <w:r>
        <w:rPr>
          <w:rFonts w:hint="default" w:ascii="Times New Roman" w:hAnsi="Times New Roman" w:eastAsia="仿宋_GB2312" w:cs="Times New Roman"/>
          <w:color w:val="auto"/>
          <w:kern w:val="0"/>
          <w:sz w:val="32"/>
          <w:szCs w:val="32"/>
        </w:rPr>
        <w:t>万元，下降</w:t>
      </w:r>
      <w:r>
        <w:rPr>
          <w:rFonts w:hint="default" w:ascii="Times New Roman" w:hAnsi="Times New Roman" w:eastAsia="仿宋_GB2312" w:cs="Times New Roman"/>
          <w:color w:val="auto"/>
          <w:kern w:val="0"/>
          <w:sz w:val="32"/>
          <w:szCs w:val="32"/>
          <w:lang w:val="en-US" w:eastAsia="zh-CN"/>
        </w:rPr>
        <w:t>15.25</w:t>
      </w:r>
      <w:r>
        <w:rPr>
          <w:rFonts w:hint="default" w:ascii="Times New Roman" w:hAnsi="Times New Roman" w:eastAsia="仿宋_GB2312" w:cs="Times New Roman"/>
          <w:color w:val="auto"/>
          <w:kern w:val="0"/>
          <w:sz w:val="32"/>
          <w:szCs w:val="32"/>
        </w:rPr>
        <w:t>%，主要原因是</w:t>
      </w:r>
      <w:r>
        <w:rPr>
          <w:rFonts w:hint="default" w:ascii="Times New Roman" w:hAnsi="Times New Roman" w:eastAsia="仿宋_GB2312" w:cs="Times New Roman"/>
          <w:color w:val="auto"/>
          <w:kern w:val="2"/>
          <w:sz w:val="32"/>
          <w:szCs w:val="32"/>
          <w:highlight w:val="none"/>
          <w:lang w:val="en-US" w:eastAsia="zh-CN" w:bidi="ar-SA"/>
        </w:rPr>
        <w:t>单位可使用的累计结转结余资金减少</w:t>
      </w:r>
      <w:r>
        <w:rPr>
          <w:rFonts w:hint="default" w:ascii="Times New Roman" w:hAnsi="Times New Roman" w:eastAsia="仿宋_GB2312" w:cs="Times New Roman"/>
          <w:color w:val="auto"/>
          <w:kern w:val="0"/>
          <w:sz w:val="32"/>
          <w:szCs w:val="32"/>
        </w:rPr>
        <w:t>。</w:t>
      </w:r>
    </w:p>
    <w:p w14:paraId="0B64D2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w:t>
      </w:r>
      <w:r>
        <w:rPr>
          <w:rFonts w:hint="default" w:ascii="Times New Roman" w:hAnsi="Times New Roman" w:eastAsia="仿宋_GB2312" w:cs="Times New Roman"/>
          <w:color w:val="auto"/>
          <w:kern w:val="2"/>
          <w:sz w:val="32"/>
          <w:szCs w:val="32"/>
          <w:lang w:val="en-US" w:eastAsia="zh-CN" w:bidi="ar-SA"/>
        </w:rPr>
        <w:t>本单位2025年度总支出19058.08万元，其中本年度支出17886.05万元，较上年度总支出决算数17618.90万元增加1439.18万元，增长8.17%。支出具体情况如下：</w:t>
      </w:r>
    </w:p>
    <w:p w14:paraId="75728DF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1.按支出功能科目划分，分为“208社会保障和就业支出”、“210卫生健康支出”、“221住房保障支出”3类，其中：</w:t>
      </w:r>
    </w:p>
    <w:p w14:paraId="062C53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（1）208社会保障和就业支出572.42万元：主要用于退休干部工资、死亡抚恤金、机关事业单位职业年金缴费、机关事业单位基本养老保险缴费支出。较上年度决算数551.85万元增加20.57万元，增长3.73%。</w:t>
      </w:r>
    </w:p>
    <w:p w14:paraId="2E7C39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（2）210卫生健康支出16908.59万元：主要用于医院日常运行经费、设备购置、人员工资和福利、对个人和家庭的补助。较上年度决算数15935.78万元增加972.81万元，增长6.1%。</w:t>
      </w:r>
    </w:p>
    <w:p w14:paraId="77B6A0AF">
      <w:pPr>
        <w:keepNext w:val="0"/>
        <w:keepLines w:val="0"/>
        <w:pageBreakBefore w:val="0"/>
        <w:widowControl/>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（3）221住房保障支出405.04万元：主要用于医院在编人员住房公积金。</w:t>
      </w:r>
      <w:r>
        <w:rPr>
          <w:rFonts w:hint="default" w:ascii="Times New Roman" w:hAnsi="Times New Roman" w:eastAsia="仿宋_GB2312" w:cs="Times New Roman"/>
          <w:color w:val="auto"/>
          <w:kern w:val="2"/>
          <w:sz w:val="32"/>
          <w:szCs w:val="32"/>
          <w:lang w:val="en-US" w:eastAsia="zh-CN" w:bidi="ar-SA"/>
        </w:rPr>
        <w:t>较上年度决算数</w:t>
      </w:r>
      <w:r>
        <w:rPr>
          <w:rFonts w:hint="default" w:ascii="Times New Roman" w:hAnsi="Times New Roman" w:eastAsia="仿宋_GB2312" w:cs="Times New Roman"/>
          <w:kern w:val="2"/>
          <w:sz w:val="32"/>
          <w:szCs w:val="32"/>
          <w:lang w:val="en-US" w:eastAsia="zh-CN" w:bidi="ar-SA"/>
        </w:rPr>
        <w:t>339.63</w:t>
      </w:r>
      <w:r>
        <w:rPr>
          <w:rFonts w:hint="default" w:ascii="Times New Roman" w:hAnsi="Times New Roman" w:eastAsia="仿宋_GB2312" w:cs="Times New Roman"/>
          <w:color w:val="auto"/>
          <w:kern w:val="2"/>
          <w:sz w:val="32"/>
          <w:szCs w:val="32"/>
          <w:lang w:val="en-US" w:eastAsia="zh-CN" w:bidi="ar-SA"/>
        </w:rPr>
        <w:t>万元增加65.41万元，增长19.26%，</w:t>
      </w:r>
      <w:r>
        <w:rPr>
          <w:rFonts w:hint="default" w:ascii="Times New Roman" w:hAnsi="Times New Roman" w:eastAsia="仿宋_GB2312" w:cs="Times New Roman"/>
          <w:kern w:val="0"/>
          <w:sz w:val="32"/>
          <w:szCs w:val="32"/>
          <w:lang w:val="en-US" w:eastAsia="zh-CN"/>
        </w:rPr>
        <w:t>主要原因是上下年支付期间不一致所致。</w:t>
      </w:r>
    </w:p>
    <w:p w14:paraId="3D2EE5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2.按支出结构分类划分。本年支出决算分为基本支出、项目支出和结转下年支出。</w:t>
      </w:r>
    </w:p>
    <w:p w14:paraId="73C099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（1）基本支出决算。基本支出7062.58万元，占本年支出39.49%。其中：</w:t>
      </w:r>
    </w:p>
    <w:p w14:paraId="04385C5D">
      <w:pPr>
        <w:keepNext w:val="0"/>
        <w:keepLines w:val="0"/>
        <w:pageBreakBefore w:val="0"/>
        <w:widowControl/>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①工资福利支出6559.99万元，占基本支出的92.88%，同比上年6192.43万元增加367.56万元，增长5.94%，增长的主要原因是</w:t>
      </w:r>
      <w:r>
        <w:rPr>
          <w:rFonts w:hint="default" w:ascii="Times New Roman" w:hAnsi="Times New Roman" w:eastAsia="仿宋_GB2312" w:cs="Times New Roman"/>
          <w:kern w:val="0"/>
          <w:sz w:val="32"/>
          <w:szCs w:val="32"/>
          <w:lang w:val="en-US" w:eastAsia="zh-CN"/>
        </w:rPr>
        <w:t>当年补发2024年度7-12月工资。</w:t>
      </w:r>
    </w:p>
    <w:p w14:paraId="39A04A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②商品和服务支出247.98万元，占本年基本支出的3.51%，同比上年242.57万元增加5.41万元，增长2.23%</w:t>
      </w:r>
      <w:r>
        <w:rPr>
          <w:rFonts w:hint="default" w:ascii="Times New Roman" w:hAnsi="Times New Roman" w:eastAsia="仿宋_GB2312" w:cs="Times New Roman"/>
          <w:kern w:val="2"/>
          <w:sz w:val="32"/>
          <w:szCs w:val="32"/>
          <w:highlight w:val="none"/>
          <w:lang w:val="en-US" w:eastAsia="zh-CN" w:bidi="ar-SA"/>
        </w:rPr>
        <w:t>。</w:t>
      </w:r>
      <w:bookmarkStart w:id="0" w:name="_GoBack"/>
      <w:bookmarkEnd w:id="0"/>
    </w:p>
    <w:p w14:paraId="33CB39B8">
      <w:pPr>
        <w:keepNext w:val="0"/>
        <w:keepLines w:val="0"/>
        <w:pageBreakBefore w:val="0"/>
        <w:widowControl/>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③对个人和家庭补助支出254.61万元，占本年基本支出的3.61%，同比上年283.66万元减少29.05万元，下降10.24%，</w:t>
      </w:r>
      <w:r>
        <w:rPr>
          <w:rFonts w:hint="default" w:ascii="Times New Roman" w:hAnsi="Times New Roman" w:eastAsia="仿宋_GB2312" w:cs="Times New Roman"/>
          <w:kern w:val="0"/>
          <w:sz w:val="32"/>
          <w:szCs w:val="32"/>
          <w:lang w:val="en-US" w:eastAsia="zh-CN"/>
        </w:rPr>
        <w:t>下降的原因是较上年支出死亡抚恤金减少。</w:t>
      </w:r>
    </w:p>
    <w:p w14:paraId="58F6CD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（2）项目支出决算。项目支出10823.47万元，占本年支出总额的60.51%。其中：</w:t>
      </w:r>
    </w:p>
    <w:p w14:paraId="48F360DD">
      <w:pPr>
        <w:keepNext w:val="0"/>
        <w:keepLines w:val="0"/>
        <w:pageBreakBefore w:val="0"/>
        <w:widowControl/>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①工资福利支出3162.67万元，占本年项目支出的29.22%，同比上年2949.11万元增加213.56万元，增长7.24%，</w:t>
      </w:r>
      <w:r>
        <w:rPr>
          <w:rFonts w:hint="default" w:ascii="Times New Roman" w:hAnsi="Times New Roman" w:eastAsia="仿宋_GB2312" w:cs="Times New Roman"/>
          <w:color w:val="auto"/>
          <w:kern w:val="2"/>
          <w:sz w:val="32"/>
          <w:szCs w:val="32"/>
          <w:highlight w:val="none"/>
          <w:lang w:val="en-US" w:eastAsia="zh-CN" w:bidi="ar-SA"/>
        </w:rPr>
        <w:t>增长的主要原因是</w:t>
      </w:r>
      <w:r>
        <w:rPr>
          <w:rFonts w:hint="default" w:ascii="Times New Roman" w:hAnsi="Times New Roman" w:eastAsia="仿宋_GB2312" w:cs="Times New Roman"/>
          <w:kern w:val="0"/>
          <w:sz w:val="32"/>
          <w:szCs w:val="32"/>
          <w:highlight w:val="none"/>
          <w:lang w:val="en-US" w:eastAsia="zh-CN"/>
        </w:rPr>
        <w:t>当年补发2024年度7-12月工资</w:t>
      </w:r>
      <w:r>
        <w:rPr>
          <w:rFonts w:hint="default" w:ascii="Times New Roman" w:hAnsi="Times New Roman" w:eastAsia="仿宋_GB2312" w:cs="Times New Roman"/>
          <w:color w:val="auto"/>
          <w:kern w:val="2"/>
          <w:sz w:val="32"/>
          <w:szCs w:val="32"/>
          <w:highlight w:val="none"/>
          <w:lang w:val="en-US" w:eastAsia="zh-CN" w:bidi="ar-SA"/>
        </w:rPr>
        <w:t>。</w:t>
      </w:r>
    </w:p>
    <w:p w14:paraId="6FD37B3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②商品和服务支出6436.07万元，占本年项目支出的59.46%，同比上年6072.64万元增加363.43万元，增长5.98%，</w:t>
      </w:r>
      <w:r>
        <w:rPr>
          <w:rFonts w:hint="default" w:ascii="Times New Roman" w:hAnsi="Times New Roman" w:eastAsia="仿宋_GB2312" w:cs="Times New Roman"/>
          <w:color w:val="auto"/>
          <w:kern w:val="2"/>
          <w:sz w:val="32"/>
          <w:szCs w:val="32"/>
          <w:highlight w:val="none"/>
          <w:lang w:val="en-US" w:eastAsia="zh-CN" w:bidi="ar-SA"/>
        </w:rPr>
        <w:t>增长的主要原因一是本年获得一般公共预算拨款项目较上年增加，相应的支出增加；</w:t>
      </w:r>
      <w:r>
        <w:rPr>
          <w:rFonts w:hint="default" w:ascii="Times New Roman" w:hAnsi="Times New Roman" w:eastAsia="仿宋_GB2312" w:cs="Times New Roman"/>
          <w:kern w:val="0"/>
          <w:sz w:val="32"/>
          <w:szCs w:val="32"/>
          <w:lang w:val="en-US" w:eastAsia="zh-CN"/>
        </w:rPr>
        <w:t>二是当年借入银行贷款以偿付以前年度应付药品耗材款。</w:t>
      </w:r>
    </w:p>
    <w:p w14:paraId="7B41C5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③对个人和家庭补助支出0万元，占本年项目支出预算的0%，较上年同期无增减。</w:t>
      </w:r>
    </w:p>
    <w:p w14:paraId="3A7DAA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④债务利息支出5.13万元，占本年项目支出的0.05%，上年度支出为0万元</w:t>
      </w:r>
      <w:r>
        <w:rPr>
          <w:rFonts w:hint="default" w:ascii="Times New Roman" w:hAnsi="Times New Roman" w:eastAsia="仿宋_GB2312" w:cs="Times New Roman"/>
          <w:color w:val="auto"/>
          <w:kern w:val="2"/>
          <w:sz w:val="32"/>
          <w:szCs w:val="32"/>
          <w:highlight w:val="none"/>
          <w:lang w:val="en-US" w:eastAsia="zh-CN" w:bidi="ar-SA"/>
        </w:rPr>
        <w:t>，增长的主要原因是当年度新增借入银行贷款。</w:t>
      </w:r>
    </w:p>
    <w:p w14:paraId="614BF8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⑤资本性支出1219.59万元，占本年项目支出的11.27%，同比上年1226.85万元减少7.26万元，下降0.59%。</w:t>
      </w:r>
    </w:p>
    <w:p w14:paraId="596A5DD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（3）结余分配1022.97万元，</w:t>
      </w:r>
      <w:r>
        <w:rPr>
          <w:rFonts w:hint="default" w:ascii="Times New Roman" w:hAnsi="Times New Roman" w:eastAsia="仿宋_GB2312" w:cs="Times New Roman"/>
          <w:color w:val="auto"/>
          <w:kern w:val="0"/>
          <w:sz w:val="32"/>
          <w:szCs w:val="32"/>
        </w:rPr>
        <w:t>为事业单位按规定提取的专用结余和转入非财政拨款结余等。</w:t>
      </w:r>
      <w:r>
        <w:rPr>
          <w:rFonts w:hint="default" w:ascii="Times New Roman" w:hAnsi="Times New Roman" w:eastAsia="仿宋_GB2312" w:cs="Times New Roman"/>
          <w:color w:val="auto"/>
          <w:kern w:val="0"/>
          <w:sz w:val="32"/>
          <w:szCs w:val="32"/>
        </w:rPr>
        <w:t>较</w:t>
      </w:r>
      <w:r>
        <w:rPr>
          <w:rFonts w:hint="default" w:ascii="Times New Roman" w:hAnsi="Times New Roman" w:eastAsia="仿宋_GB2312" w:cs="Times New Roman"/>
          <w:color w:val="auto"/>
          <w:kern w:val="0"/>
          <w:sz w:val="32"/>
          <w:szCs w:val="32"/>
          <w:lang w:val="en-US" w:eastAsia="zh-CN"/>
        </w:rPr>
        <w:t>上</w:t>
      </w:r>
      <w:r>
        <w:rPr>
          <w:rFonts w:hint="default" w:ascii="Times New Roman" w:hAnsi="Times New Roman" w:eastAsia="仿宋_GB2312" w:cs="Times New Roman"/>
          <w:color w:val="auto"/>
          <w:kern w:val="0"/>
          <w:sz w:val="32"/>
          <w:szCs w:val="32"/>
        </w:rPr>
        <w:t>年度决算数</w:t>
      </w:r>
      <w:r>
        <w:rPr>
          <w:rFonts w:hint="default" w:ascii="Times New Roman" w:hAnsi="Times New Roman" w:eastAsia="仿宋_GB2312" w:cs="Times New Roman"/>
          <w:color w:val="auto"/>
          <w:kern w:val="0"/>
          <w:sz w:val="32"/>
          <w:szCs w:val="32"/>
          <w:lang w:val="en-US" w:eastAsia="zh-CN"/>
        </w:rPr>
        <w:t>增加</w:t>
      </w:r>
      <w:r>
        <w:rPr>
          <w:rFonts w:hint="default" w:ascii="Times New Roman" w:hAnsi="Times New Roman" w:eastAsia="仿宋_GB2312" w:cs="Times New Roman"/>
          <w:color w:val="auto"/>
          <w:kern w:val="2"/>
          <w:sz w:val="32"/>
          <w:szCs w:val="32"/>
          <w:lang w:val="en-US" w:eastAsia="zh-CN" w:bidi="ar-SA"/>
        </w:rPr>
        <w:t>523.61</w:t>
      </w:r>
      <w:r>
        <w:rPr>
          <w:rFonts w:hint="default" w:ascii="Times New Roman" w:hAnsi="Times New Roman" w:eastAsia="仿宋_GB2312" w:cs="Times New Roman"/>
          <w:color w:val="auto"/>
          <w:kern w:val="0"/>
          <w:sz w:val="32"/>
          <w:szCs w:val="32"/>
        </w:rPr>
        <w:t>万元，</w:t>
      </w:r>
      <w:r>
        <w:rPr>
          <w:rFonts w:hint="default" w:ascii="Times New Roman" w:hAnsi="Times New Roman" w:eastAsia="仿宋_GB2312" w:cs="Times New Roman"/>
          <w:color w:val="auto"/>
          <w:kern w:val="0"/>
          <w:sz w:val="32"/>
          <w:szCs w:val="32"/>
          <w:lang w:val="en-US" w:eastAsia="zh-CN"/>
        </w:rPr>
        <w:t>增长104.86</w:t>
      </w:r>
      <w:r>
        <w:rPr>
          <w:rFonts w:hint="default" w:ascii="Times New Roman" w:hAnsi="Times New Roman" w:eastAsia="仿宋_GB2312" w:cs="Times New Roman"/>
          <w:color w:val="auto"/>
          <w:kern w:val="0"/>
          <w:sz w:val="32"/>
          <w:szCs w:val="32"/>
        </w:rPr>
        <w:t>%，主要原因是</w:t>
      </w:r>
      <w:r>
        <w:rPr>
          <w:rFonts w:hint="default" w:ascii="Times New Roman" w:hAnsi="Times New Roman" w:eastAsia="仿宋_GB2312" w:cs="Times New Roman"/>
          <w:color w:val="auto"/>
          <w:kern w:val="0"/>
          <w:sz w:val="32"/>
          <w:szCs w:val="32"/>
          <w:lang w:val="en-US" w:eastAsia="zh-CN"/>
        </w:rPr>
        <w:t>当年收支平衡预算结余增加</w:t>
      </w:r>
      <w:r>
        <w:rPr>
          <w:rFonts w:hint="default" w:ascii="Times New Roman" w:hAnsi="Times New Roman" w:eastAsia="仿宋_GB2312" w:cs="Times New Roman"/>
          <w:color w:val="auto"/>
          <w:kern w:val="0"/>
          <w:sz w:val="32"/>
          <w:szCs w:val="32"/>
        </w:rPr>
        <w:t>。</w:t>
      </w:r>
    </w:p>
    <w:p w14:paraId="406B6EF1">
      <w:pPr>
        <w:autoSpaceDE w:val="0"/>
        <w:autoSpaceDN w:val="0"/>
        <w:adjustRightInd w:val="0"/>
        <w:spacing w:line="560" w:lineRule="exact"/>
        <w:ind w:firstLine="627" w:firstLineChars="196"/>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（4）年末结转和结余149.06万元，</w:t>
      </w:r>
      <w:r>
        <w:rPr>
          <w:rFonts w:hint="default" w:ascii="Times New Roman" w:hAnsi="Times New Roman" w:eastAsia="仿宋_GB2312" w:cs="Times New Roman"/>
          <w:kern w:val="0"/>
          <w:sz w:val="32"/>
          <w:szCs w:val="32"/>
          <w:lang w:val="en-US" w:eastAsia="zh-CN"/>
        </w:rPr>
        <w:t>为本年度或以前年度预算安排、因客观条件发生变化无法按原计划实施，需要延迟到以后年度按有关规定继续使用的资金</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0"/>
          <w:sz w:val="32"/>
          <w:szCs w:val="32"/>
        </w:rPr>
        <w:t>较</w:t>
      </w:r>
      <w:r>
        <w:rPr>
          <w:rFonts w:hint="default" w:ascii="Times New Roman" w:hAnsi="Times New Roman" w:eastAsia="仿宋_GB2312" w:cs="Times New Roman"/>
          <w:color w:val="auto"/>
          <w:kern w:val="0"/>
          <w:sz w:val="32"/>
          <w:szCs w:val="32"/>
          <w:lang w:val="en-US" w:eastAsia="zh-CN"/>
        </w:rPr>
        <w:t>上</w:t>
      </w:r>
      <w:r>
        <w:rPr>
          <w:rFonts w:hint="default" w:ascii="Times New Roman" w:hAnsi="Times New Roman" w:eastAsia="仿宋_GB2312" w:cs="Times New Roman"/>
          <w:color w:val="auto"/>
          <w:kern w:val="0"/>
          <w:sz w:val="32"/>
          <w:szCs w:val="32"/>
        </w:rPr>
        <w:t>年度决算数减少</w:t>
      </w:r>
      <w:r>
        <w:rPr>
          <w:rFonts w:hint="default" w:ascii="Times New Roman" w:hAnsi="Times New Roman" w:eastAsia="仿宋_GB2312" w:cs="Times New Roman"/>
          <w:color w:val="auto"/>
          <w:kern w:val="0"/>
          <w:sz w:val="32"/>
          <w:szCs w:val="32"/>
          <w:lang w:val="en-US" w:eastAsia="zh-CN"/>
        </w:rPr>
        <w:t>3.23</w:t>
      </w:r>
      <w:r>
        <w:rPr>
          <w:rFonts w:hint="default" w:ascii="Times New Roman" w:hAnsi="Times New Roman" w:eastAsia="仿宋_GB2312" w:cs="Times New Roman"/>
          <w:color w:val="auto"/>
          <w:kern w:val="0"/>
          <w:sz w:val="32"/>
          <w:szCs w:val="32"/>
        </w:rPr>
        <w:t>万元，下降</w:t>
      </w:r>
      <w:r>
        <w:rPr>
          <w:rFonts w:hint="default" w:ascii="Times New Roman" w:hAnsi="Times New Roman" w:eastAsia="仿宋_GB2312" w:cs="Times New Roman"/>
          <w:color w:val="auto"/>
          <w:kern w:val="0"/>
          <w:sz w:val="32"/>
          <w:szCs w:val="32"/>
          <w:lang w:val="en-US" w:eastAsia="zh-CN"/>
        </w:rPr>
        <w:t>2.12</w:t>
      </w:r>
      <w:r>
        <w:rPr>
          <w:rFonts w:hint="default" w:ascii="Times New Roman" w:hAnsi="Times New Roman" w:eastAsia="仿宋_GB2312" w:cs="Times New Roman"/>
          <w:color w:val="auto"/>
          <w:kern w:val="0"/>
          <w:sz w:val="32"/>
          <w:szCs w:val="32"/>
        </w:rPr>
        <w:t>%。</w:t>
      </w:r>
    </w:p>
    <w:p w14:paraId="482FCD4A">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color w:val="auto"/>
          <w:sz w:val="32"/>
        </w:rPr>
      </w:pPr>
      <w:r>
        <w:rPr>
          <w:rFonts w:hint="default" w:ascii="Times New Roman" w:hAnsi="Times New Roman" w:eastAsia="黑体" w:cs="Times New Roman"/>
          <w:b w:val="0"/>
          <w:bCs w:val="0"/>
          <w:color w:val="auto"/>
          <w:sz w:val="32"/>
        </w:rPr>
        <w:t>二、</w:t>
      </w:r>
      <w:r>
        <w:rPr>
          <w:rFonts w:hint="default" w:ascii="Times New Roman" w:hAnsi="Times New Roman" w:cs="Times New Roman"/>
          <w:b w:val="0"/>
          <w:bCs w:val="0"/>
          <w:color w:val="auto"/>
          <w:sz w:val="32"/>
          <w:lang w:eastAsia="zh-CN"/>
        </w:rPr>
        <w:t>2025年</w:t>
      </w:r>
      <w:r>
        <w:rPr>
          <w:rFonts w:hint="default" w:ascii="Times New Roman" w:hAnsi="Times New Roman" w:eastAsia="黑体" w:cs="Times New Roman"/>
          <w:b w:val="0"/>
          <w:bCs w:val="0"/>
          <w:color w:val="auto"/>
          <w:sz w:val="32"/>
          <w:lang w:eastAsia="zh-CN"/>
        </w:rPr>
        <w:t>度</w:t>
      </w:r>
      <w:r>
        <w:rPr>
          <w:rFonts w:hint="default" w:ascii="Times New Roman" w:hAnsi="Times New Roman" w:eastAsia="黑体" w:cs="Times New Roman"/>
          <w:b w:val="0"/>
          <w:bCs w:val="0"/>
          <w:color w:val="auto"/>
          <w:sz w:val="32"/>
        </w:rPr>
        <w:t>一般公共预算财政拨款支出决算情况</w:t>
      </w:r>
    </w:p>
    <w:p w14:paraId="700DF3F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单位2025年度一般公共预算财政拨款支出1850.01万元，较上年度决算数1628.43万元增加221.58万元，增长13.61%，增长的主要原因是本年获得一般公共预算拨款项目较上年增多。其中：基本支出187.45万元，项目支出1662.56万元。</w:t>
      </w:r>
    </w:p>
    <w:p w14:paraId="4B9B7A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本单位2025年度一般公共预算财政拨款支出年初预算</w:t>
      </w:r>
      <w:r>
        <w:rPr>
          <w:rFonts w:hint="default" w:ascii="Times New Roman" w:hAnsi="Times New Roman" w:eastAsia="仿宋_GB2312" w:cs="Times New Roman"/>
          <w:color w:val="auto"/>
          <w:kern w:val="2"/>
          <w:sz w:val="32"/>
          <w:szCs w:val="32"/>
          <w:lang w:val="en-US" w:eastAsia="zh-CN" w:bidi="ar-SA"/>
        </w:rPr>
        <w:t>为1604.14万元，支出决算为1850.01万元，完成年初预算的115.33%，主要原因是一般公共预算拨款年中追加预算。</w:t>
      </w:r>
    </w:p>
    <w:p w14:paraId="5943E9E6">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社会保障和就业支出</w:t>
      </w:r>
      <w:r>
        <w:rPr>
          <w:rFonts w:hint="default" w:ascii="Times New Roman" w:hAnsi="Times New Roman" w:eastAsia="仿宋_GB2312" w:cs="Times New Roman"/>
          <w:color w:val="auto"/>
          <w:kern w:val="0"/>
          <w:sz w:val="32"/>
          <w:szCs w:val="32"/>
          <w:lang w:val="en-US" w:eastAsia="zh-CN"/>
        </w:rPr>
        <w:t>（类）：</w:t>
      </w:r>
      <w:r>
        <w:rPr>
          <w:rFonts w:hint="default" w:ascii="Times New Roman" w:hAnsi="Times New Roman" w:eastAsia="仿宋_GB2312" w:cs="Times New Roman"/>
          <w:color w:val="auto"/>
          <w:kern w:val="2"/>
          <w:sz w:val="32"/>
          <w:szCs w:val="32"/>
          <w:highlight w:val="none"/>
          <w:lang w:val="en-US" w:eastAsia="zh-CN" w:bidi="ar-SA"/>
        </w:rPr>
        <w:t>年初预算为63.62万元，支出决算为77.45万元，完成年初预算的121.74%。差异原因为年中增人增资及死亡抚恤金的预算追加。</w:t>
      </w:r>
    </w:p>
    <w:p w14:paraId="58397DE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1.2080502事业单位离退休支出15.62万元，主要用于支出退休干部补助；</w:t>
      </w:r>
    </w:p>
    <w:p w14:paraId="6E37AEA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2.2080799其他就业补助支出50万元，主要用于医疗护理员培训和规范管理项目；</w:t>
      </w:r>
    </w:p>
    <w:p w14:paraId="4310B0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3.2080801死亡抚恤支出11.82万元，主要用于支出退休人员死亡抚恤金；</w:t>
      </w:r>
    </w:p>
    <w:p w14:paraId="00D525C1">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firstLine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卫生健康支出</w:t>
      </w:r>
      <w:r>
        <w:rPr>
          <w:rFonts w:hint="default" w:ascii="Times New Roman" w:hAnsi="Times New Roman" w:eastAsia="仿宋_GB2312" w:cs="Times New Roman"/>
          <w:color w:val="auto"/>
          <w:kern w:val="0"/>
          <w:sz w:val="32"/>
          <w:szCs w:val="32"/>
          <w:lang w:val="en-US" w:eastAsia="zh-CN"/>
        </w:rPr>
        <w:t>（类）</w:t>
      </w:r>
      <w:r>
        <w:rPr>
          <w:rFonts w:hint="default" w:ascii="Times New Roman" w:hAnsi="Times New Roman" w:eastAsia="仿宋_GB2312" w:cs="Times New Roman"/>
          <w:color w:val="auto"/>
          <w:kern w:val="2"/>
          <w:sz w:val="32"/>
          <w:szCs w:val="32"/>
          <w:highlight w:val="none"/>
          <w:lang w:val="en-US" w:eastAsia="zh-CN" w:bidi="ar-SA"/>
        </w:rPr>
        <w:t>年初预算为1482.99万元，支出决算为1693.66万元，完成年初预算的114.21%。差异原因为年中追加的项目经费。</w:t>
      </w:r>
    </w:p>
    <w:p w14:paraId="742D13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1.2100202中医（民族）医院支出50.22万元，主要是公立医院取消药品加成补偿经费，用于支出专用材料费；</w:t>
      </w:r>
    </w:p>
    <w:p w14:paraId="384A4A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2.2100499其他公共卫生支出2.49万元，主要用于广西医疗卫生适宜技术开发与推广应用课题项目；</w:t>
      </w:r>
    </w:p>
    <w:p w14:paraId="126006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3.2101102事业单位医疗支出81.10万元，主要用于支出在编人员职工基本医疗保险缴费；</w:t>
      </w:r>
    </w:p>
    <w:p w14:paraId="48086A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4.2101704中医（民族医）药专项支出1259.86万元，主要用于单位医疗服务能力提升、事业发展需求、对口帮扶县级中医医院、中医药人才队伍建设、中医药适宜技术开发与推广等；</w:t>
      </w:r>
    </w:p>
    <w:p w14:paraId="5523201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5.2101799其他中医药事务支出300万元，主要用于</w:t>
      </w:r>
      <w:r>
        <w:rPr>
          <w:rFonts w:hint="default" w:ascii="Times New Roman" w:hAnsi="Times New Roman" w:eastAsia="仿宋_GB2312" w:cs="Times New Roman"/>
          <w:snapToGrid w:val="0"/>
          <w:kern w:val="0"/>
          <w:sz w:val="32"/>
          <w:szCs w:val="32"/>
          <w:lang w:val="en-US" w:eastAsia="zh-CN"/>
        </w:rPr>
        <w:t>扩建过渡病房及门诊楼住院楼修缮工程。</w:t>
      </w:r>
    </w:p>
    <w:p w14:paraId="64B6F0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（三）住房保障支出</w:t>
      </w:r>
      <w:r>
        <w:rPr>
          <w:rFonts w:hint="default" w:ascii="Times New Roman" w:hAnsi="Times New Roman" w:eastAsia="仿宋_GB2312" w:cs="Times New Roman"/>
          <w:color w:val="auto"/>
          <w:kern w:val="0"/>
          <w:sz w:val="32"/>
          <w:szCs w:val="32"/>
          <w:lang w:val="en-US" w:eastAsia="zh-CN"/>
        </w:rPr>
        <w:t>（类）</w:t>
      </w:r>
      <w:r>
        <w:rPr>
          <w:rFonts w:hint="default" w:ascii="Times New Roman" w:hAnsi="Times New Roman" w:eastAsia="仿宋_GB2312" w:cs="Times New Roman"/>
          <w:color w:val="auto"/>
          <w:kern w:val="2"/>
          <w:sz w:val="32"/>
          <w:szCs w:val="32"/>
          <w:highlight w:val="none"/>
          <w:lang w:val="en-US" w:eastAsia="zh-CN" w:bidi="ar-SA"/>
        </w:rPr>
        <w:t>年初预算为57.53万元，支出决算为78.90万元，完成年初预算的137.15%。差异原因为年中增人增资的预算追加。</w:t>
      </w:r>
    </w:p>
    <w:p w14:paraId="0228AE49">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color w:val="auto"/>
          <w:sz w:val="32"/>
        </w:rPr>
      </w:pPr>
      <w:r>
        <w:rPr>
          <w:rFonts w:hint="default" w:ascii="Times New Roman" w:hAnsi="Times New Roman" w:eastAsia="黑体" w:cs="Times New Roman"/>
          <w:b w:val="0"/>
          <w:bCs w:val="0"/>
          <w:color w:val="auto"/>
          <w:sz w:val="32"/>
        </w:rPr>
        <w:t>三、</w:t>
      </w:r>
      <w:r>
        <w:rPr>
          <w:rFonts w:hint="default" w:ascii="Times New Roman" w:hAnsi="Times New Roman" w:cs="Times New Roman"/>
          <w:b w:val="0"/>
          <w:bCs w:val="0"/>
          <w:color w:val="auto"/>
          <w:sz w:val="32"/>
          <w:lang w:eastAsia="zh-CN"/>
        </w:rPr>
        <w:t>2025年</w:t>
      </w:r>
      <w:r>
        <w:rPr>
          <w:rFonts w:hint="default" w:ascii="Times New Roman" w:hAnsi="Times New Roman" w:eastAsia="黑体" w:cs="Times New Roman"/>
          <w:b w:val="0"/>
          <w:bCs w:val="0"/>
          <w:color w:val="auto"/>
          <w:sz w:val="32"/>
          <w:lang w:eastAsia="zh-CN"/>
        </w:rPr>
        <w:t>度</w:t>
      </w:r>
      <w:r>
        <w:rPr>
          <w:rFonts w:hint="default" w:ascii="Times New Roman" w:hAnsi="Times New Roman" w:eastAsia="黑体" w:cs="Times New Roman"/>
          <w:b w:val="0"/>
          <w:bCs w:val="0"/>
          <w:color w:val="auto"/>
          <w:sz w:val="32"/>
        </w:rPr>
        <w:t>一般公共预算财政拨款基本支出决算情况说明</w:t>
      </w:r>
    </w:p>
    <w:p w14:paraId="259CB37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2025年度一般公共预算财政拨款基本支出187.45万元，支出具体情况如下：</w:t>
      </w:r>
    </w:p>
    <w:p w14:paraId="1DFBBC2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（一）工资福利支出160万元，其中职工基本医疗保险缴费81.10万元，住房公积金78.90万元。完成年初预算116.65万元的137.16%。差异原因为年中增人增资的预算追加。</w:t>
      </w:r>
    </w:p>
    <w:p w14:paraId="1EB92A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（二）商品和服务支出0万元，未安排财政拨款。</w:t>
      </w:r>
    </w:p>
    <w:p w14:paraId="590EC72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（三）个人和家庭补助支出27.45万元，其中退休费15.62万元，抚恤金11.82万元，完成年初预算13.62万元的201.54%，差异原因为年中追加死亡抚恤金。</w:t>
      </w:r>
    </w:p>
    <w:p w14:paraId="2813EA33">
      <w:pPr>
        <w:pStyle w:val="4"/>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四、</w:t>
      </w:r>
      <w:r>
        <w:rPr>
          <w:rFonts w:hint="default" w:ascii="Times New Roman" w:hAnsi="Times New Roman" w:cs="Times New Roman"/>
          <w:b w:val="0"/>
          <w:bCs w:val="0"/>
          <w:sz w:val="32"/>
          <w:lang w:eastAsia="zh-CN"/>
        </w:rPr>
        <w:t>2025年</w:t>
      </w:r>
      <w:r>
        <w:rPr>
          <w:rFonts w:hint="default" w:ascii="Times New Roman" w:hAnsi="Times New Roman" w:eastAsia="黑体" w:cs="Times New Roman"/>
          <w:b w:val="0"/>
          <w:bCs w:val="0"/>
          <w:sz w:val="32"/>
          <w:lang w:eastAsia="zh-CN"/>
        </w:rPr>
        <w:t>度</w:t>
      </w:r>
      <w:r>
        <w:rPr>
          <w:rFonts w:hint="default" w:ascii="Times New Roman" w:hAnsi="Times New Roman" w:eastAsia="黑体" w:cs="Times New Roman"/>
          <w:b w:val="0"/>
          <w:bCs w:val="0"/>
          <w:sz w:val="32"/>
        </w:rPr>
        <w:t>政府性基金支出决算情况</w:t>
      </w:r>
    </w:p>
    <w:p w14:paraId="31250D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本单位2025年度未安排政府性基金支出预算，</w:t>
      </w:r>
      <w:r>
        <w:rPr>
          <w:rFonts w:hint="default" w:ascii="Times New Roman" w:hAnsi="Times New Roman" w:eastAsia="仿宋_GB2312" w:cs="Times New Roman"/>
          <w:kern w:val="0"/>
          <w:sz w:val="32"/>
          <w:szCs w:val="32"/>
        </w:rPr>
        <w:t>支出决算</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2"/>
          <w:sz w:val="32"/>
          <w:szCs w:val="32"/>
          <w:lang w:val="en-US" w:eastAsia="zh-CN" w:bidi="ar-SA"/>
        </w:rPr>
        <w:t>与上年度决算数无增减。</w:t>
      </w:r>
    </w:p>
    <w:p w14:paraId="06C4DF3B">
      <w:pPr>
        <w:pStyle w:val="4"/>
        <w:bidi w:val="0"/>
        <w:rPr>
          <w:rFonts w:hint="default" w:ascii="Times New Roman" w:hAnsi="Times New Roman" w:eastAsia="黑体" w:cs="Times New Roman"/>
        </w:rPr>
      </w:pPr>
      <w:r>
        <w:rPr>
          <w:rFonts w:hint="default" w:ascii="Times New Roman" w:hAnsi="Times New Roman" w:eastAsia="黑体" w:cs="Times New Roman"/>
        </w:rPr>
        <w:t>五、</w:t>
      </w:r>
      <w:r>
        <w:rPr>
          <w:rFonts w:hint="default" w:ascii="Times New Roman" w:hAnsi="Times New Roman" w:cs="Times New Roman"/>
          <w:lang w:eastAsia="zh-CN"/>
        </w:rPr>
        <w:t>2025年</w:t>
      </w:r>
      <w:r>
        <w:rPr>
          <w:rFonts w:hint="default" w:ascii="Times New Roman" w:hAnsi="Times New Roman" w:eastAsia="黑体" w:cs="Times New Roman"/>
        </w:rPr>
        <w:t>度国有资本经营预算支出决算情况</w:t>
      </w:r>
    </w:p>
    <w:p w14:paraId="52DC70D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kern w:val="2"/>
          <w:sz w:val="32"/>
          <w:szCs w:val="32"/>
          <w:lang w:val="en-US" w:eastAsia="zh-CN" w:bidi="ar-SA"/>
        </w:rPr>
        <w:t>本单位2025年度未安排国有资本经营支出预算，</w:t>
      </w:r>
      <w:r>
        <w:rPr>
          <w:rFonts w:hint="default" w:ascii="Times New Roman" w:hAnsi="Times New Roman" w:eastAsia="仿宋_GB2312" w:cs="Times New Roman"/>
          <w:kern w:val="0"/>
          <w:sz w:val="32"/>
          <w:szCs w:val="32"/>
        </w:rPr>
        <w:t>支出决算</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2"/>
          <w:sz w:val="32"/>
          <w:szCs w:val="32"/>
          <w:lang w:val="en-US" w:eastAsia="zh-CN" w:bidi="ar-SA"/>
        </w:rPr>
        <w:t>与上年度决算数无增减。</w:t>
      </w:r>
    </w:p>
    <w:p w14:paraId="115EEDAA">
      <w:pPr>
        <w:pStyle w:val="4"/>
        <w:bidi w:val="0"/>
        <w:rPr>
          <w:rFonts w:hint="default" w:ascii="Times New Roman" w:hAnsi="Times New Roman" w:cs="Times New Roman"/>
        </w:rPr>
      </w:pPr>
      <w:r>
        <w:rPr>
          <w:rFonts w:hint="default" w:ascii="Times New Roman" w:hAnsi="Times New Roman" w:cs="Times New Roman"/>
        </w:rPr>
        <w:t>六、财政拨款安排的“三公”经费支出决算情况说明</w:t>
      </w:r>
    </w:p>
    <w:p w14:paraId="6C96E2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w:t>
      </w:r>
      <w:r>
        <w:rPr>
          <w:rFonts w:hint="default" w:ascii="Times New Roman" w:hAnsi="Times New Roman" w:eastAsia="仿宋_GB2312" w:cs="Times New Roman"/>
          <w:kern w:val="0"/>
          <w:sz w:val="32"/>
          <w:szCs w:val="32"/>
        </w:rPr>
        <w:t>财政拨款安排</w:t>
      </w:r>
      <w:r>
        <w:rPr>
          <w:rFonts w:hint="default" w:ascii="Times New Roman" w:hAnsi="Times New Roman" w:eastAsia="仿宋_GB2312" w:cs="Times New Roman"/>
          <w:kern w:val="2"/>
          <w:sz w:val="32"/>
          <w:szCs w:val="32"/>
          <w:lang w:val="en-US" w:eastAsia="zh-CN" w:bidi="ar-SA"/>
        </w:rPr>
        <w:t>的“三公”经费支出预算0万元，实际支出0万元。</w:t>
      </w:r>
    </w:p>
    <w:p w14:paraId="1BCD3993">
      <w:pPr>
        <w:pStyle w:val="4"/>
        <w:bidi w:val="0"/>
        <w:rPr>
          <w:rFonts w:hint="default" w:ascii="Times New Roman" w:hAnsi="Times New Roman" w:cs="Times New Roman"/>
        </w:rPr>
      </w:pPr>
      <w:r>
        <w:rPr>
          <w:rFonts w:hint="default" w:ascii="Times New Roman" w:hAnsi="Times New Roman" w:cs="Times New Roman"/>
        </w:rPr>
        <w:t>七、其他重要事项情况说明</w:t>
      </w:r>
    </w:p>
    <w:p w14:paraId="67887E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（一）机关运行经费支出情况说明。</w:t>
      </w:r>
    </w:p>
    <w:p w14:paraId="0CEFFDE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本单位无机关运行经费支出。</w:t>
      </w:r>
    </w:p>
    <w:p w14:paraId="660AF7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（二）政府采购支出情况说明。</w:t>
      </w:r>
    </w:p>
    <w:p w14:paraId="08D66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单位2025年度政府采购支出总额211.47万元，其中：政府采购货物支出36.40万元、政府采购工程支出0万元、政府采购服务支出175.08万元。授予中小企业合同金额207.38万元，占政府采购支出总额的98.07%，其中：授予小微企业合同金额32.68万元，占政府采购支出总额的15.45%。</w:t>
      </w:r>
    </w:p>
    <w:p w14:paraId="384C5C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（三）国有资产占用情况说明。</w:t>
      </w:r>
    </w:p>
    <w:p w14:paraId="08A85CF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截至2025年12月31日，本单位共有车辆6辆，其中：特种专业技术用车4辆、其他用车2辆。单位价值100万元以上设备（不含车辆）18台。</w:t>
      </w:r>
    </w:p>
    <w:p w14:paraId="387ED47C">
      <w:pPr>
        <w:pStyle w:val="4"/>
        <w:bidi w:val="0"/>
        <w:rPr>
          <w:rFonts w:hint="default" w:ascii="Times New Roman" w:hAnsi="Times New Roman" w:cs="Times New Roman"/>
        </w:rPr>
      </w:pPr>
      <w:r>
        <w:rPr>
          <w:rFonts w:hint="default" w:ascii="Times New Roman" w:hAnsi="Times New Roman" w:cs="Times New Roman"/>
          <w:lang w:eastAsia="zh-CN"/>
        </w:rPr>
        <w:t>八、</w:t>
      </w:r>
      <w:r>
        <w:rPr>
          <w:rFonts w:hint="default" w:ascii="Times New Roman" w:hAnsi="Times New Roman" w:cs="Times New Roman"/>
        </w:rPr>
        <w:t>预算绩效管理工作开展情况。</w:t>
      </w:r>
    </w:p>
    <w:p w14:paraId="41A7854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整体支出绩效自评结果。</w:t>
      </w:r>
    </w:p>
    <w:p w14:paraId="2E0D4AC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2025年度本单位支出总预算数21251.90万元，执行数19058.08万元，总体预算执行率89.58%。整体支出绩效自评结果为一等。</w:t>
      </w:r>
    </w:p>
    <w:p w14:paraId="129D1B2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2.项目支出绩效自评结果。</w:t>
      </w:r>
    </w:p>
    <w:p w14:paraId="69B2C7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 w:eastAsia="zh-CN" w:bidi="ar-SA"/>
        </w:rPr>
        <w:t>（</w:t>
      </w: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 w:eastAsia="zh-CN" w:bidi="ar-SA"/>
        </w:rPr>
        <w:t>）</w:t>
      </w:r>
      <w:r>
        <w:rPr>
          <w:rFonts w:hint="default" w:ascii="Times New Roman" w:hAnsi="Times New Roman" w:eastAsia="仿宋_GB2312" w:cs="Times New Roman"/>
          <w:kern w:val="2"/>
          <w:sz w:val="32"/>
          <w:szCs w:val="32"/>
          <w:lang w:val="en-US" w:eastAsia="zh-CN" w:bidi="ar-SA"/>
        </w:rPr>
        <w:t>项目绩效自评总体情况：</w:t>
      </w:r>
    </w:p>
    <w:p w14:paraId="191F16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单位所有资金项目均开展了绩效自评，2025年度预算绩效自评项目共25个，项目预算资金总额13799.86万元，25个项目评价为一等，占项目资金总额比例100%。自评发现问题：部分项目预算执行率较低，主要原因是本年由于单位资金收入未达年初预期，年初预算安排的单位资金项目部分支出内容无法安排，年内申请单位资金调减未获通过。改进措施：项目实施过程中与年初预算安排发生变化时应及时调整预算与绩效指标，年内开展了预算执行情况分析与绩效指标完成情况跟进，如项目支出内容调整或发生绩效指标偏离，项目负责人应将预算项目调整说明及调整后的绩效指标交至财务科进行预算调整，尽早进行单位资金预算调整申请。</w:t>
      </w:r>
    </w:p>
    <w:p w14:paraId="654170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（2）重点项目绩效自评情况：</w:t>
      </w:r>
    </w:p>
    <w:p w14:paraId="3167C97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中医特色优势重点项目资金总额300万元，实际完成支出300万元，预算执行率100%。</w:t>
      </w:r>
    </w:p>
    <w:p w14:paraId="28D8C5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年初设定的绩效目标，广西骨伤医院的中医特色优势重点项目自评得分为100分，一等，项目全年预算数为300万元，执行数为300万元，完成预算的100%。项目绩效目标完成情况：一是项目已完成关键医疗设备的采购25台，包括气压弹道式体外冲击波治疗仪、电脑恒温电蜡疗仪、GE麻醉监护仪、医用升温毯、心电监护仪、全自动生化免疫流水线、骨科手术床、V型多通道脊柱手术器械、药液输注泵、化学发光免疫分析仪、电动多功能牵引床、光子治疗仪等，覆盖检验、麻醉、手术、康复等多个环节，有效支撑了“高精度、同质化”诊疗目标的实现；二是在人才培养方面，项目高度重视中西医结合高素质人才梯队建设，引进高层次博士人才1人，组织超过80人次参与各类培训、进修与学术会议，涵盖针刀技术、筋膜刀康复、特种针法等多个方向，通过选派骨干赴上海、广东等地高水平医疗机构进修，构建了一个系统性、多层次、跨区域的人才培养格局。此外，还支持参加特定领域的高级培训班，例如骨科康复、影像学、针灸等，旨在提升专业人员的技术水平和服务能力，推动桂派中医大师及其学术思想的传承与发展。三是在科研投入方面，支持了关于IncRNA调控骨髓间充质干细胞的研究委托技术服务费用，参与了《纯针刀快速治疗冻结肩被动运行功能障碍指南》团体标准制定工作，同时支持医院制剂“定痛健步汤”的研发，促进了临床经验的规范化与成果转化。四是在基层推广与学术交流方面，项目积极落实诊疗规范下沉，并通过多形式、多层级的推广行动拓展了项目成果的辐射范围，比如，成功举办“基层医院中西医结合防治骨质疏松症临床诊疗能力学习班”有助于提高基层医疗机构的服务能力和技术水平。五是信息化与运营管理能力建设方面，为了增强内部治理支撑体系，采购了DRG智慧运营软件，利用数字化工具提升资源配置效率，提供了精细化运营保障。综上所述，该项目在基础设施更新、人才培养、科研创新、基层推广以及信息化管理等方面提高了医院的整体服务水平，也为广大患者带来了更加优质、高效的医疗服务体验。</w:t>
      </w:r>
    </w:p>
    <w:p w14:paraId="044688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项目完成情况良好，自评未发现问题，下一步措施：一是拓展高层次人才引进渠道，建立柔性引进专家后备库，强化领军人才培育；二是推动科研产出临床转化，促进成果落地应用；三是完善培训选派机制，加强需求对接与效果评估，扩大学术成果辐射面。</w:t>
      </w:r>
    </w:p>
    <w:p w14:paraId="53346D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4B65C2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4E450B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32AF43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660F3A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4B1834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45008BA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15554D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7D4B0D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241989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535A32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699E5D9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75B22C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284D220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kern w:val="2"/>
          <w:sz w:val="32"/>
          <w:szCs w:val="32"/>
          <w:lang w:val="en-US" w:eastAsia="zh-CN" w:bidi="ar-SA"/>
        </w:rPr>
      </w:pPr>
    </w:p>
    <w:p w14:paraId="40A59DA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仿宋_GB2312" w:cs="Times New Roman"/>
          <w:kern w:val="2"/>
          <w:sz w:val="32"/>
          <w:szCs w:val="32"/>
          <w:lang w:val="en-US" w:eastAsia="zh-CN" w:bidi="ar-SA"/>
        </w:rPr>
      </w:pPr>
    </w:p>
    <w:p w14:paraId="388E0DAA">
      <w:pPr>
        <w:pageBreakBefore w:val="0"/>
        <w:kinsoku/>
        <w:wordWrap/>
        <w:overflowPunct/>
        <w:topLinePunct w:val="0"/>
        <w:autoSpaceDE w:val="0"/>
        <w:autoSpaceDN w:val="0"/>
        <w:bidi w:val="0"/>
        <w:adjustRightInd w:val="0"/>
        <w:snapToGrid/>
        <w:spacing w:beforeAutospacing="0" w:afterAutospacing="0" w:line="560" w:lineRule="exact"/>
        <w:jc w:val="center"/>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第四部分  名词解释</w:t>
      </w:r>
    </w:p>
    <w:p w14:paraId="25B0D716">
      <w:pPr>
        <w:pageBreakBefore w:val="0"/>
        <w:kinsoku/>
        <w:wordWrap/>
        <w:overflowPunct/>
        <w:topLinePunct w:val="0"/>
        <w:bidi w:val="0"/>
        <w:snapToGrid/>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一、财政拨款收入：指自治区财政部门当年拨付的资金。 </w:t>
      </w:r>
    </w:p>
    <w:p w14:paraId="5F4D862A">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二、事业收入：指事业单位开展专业业务活动及辅助活动所取得的收入。</w:t>
      </w:r>
    </w:p>
    <w:p w14:paraId="2C2CDD6C">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14:paraId="313594AE">
      <w:pPr>
        <w:pageBreakBefore w:val="0"/>
        <w:kinsoku/>
        <w:wordWrap/>
        <w:overflowPunct/>
        <w:topLinePunct w:val="0"/>
        <w:bidi w:val="0"/>
        <w:snapToGrid/>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14:paraId="750223A3">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五、使用非财政拨款结余</w:t>
      </w:r>
      <w:r>
        <w:rPr>
          <w:rFonts w:hint="default" w:ascii="Times New Roman" w:hAnsi="Times New Roman" w:eastAsia="仿宋_GB2312" w:cs="Times New Roman"/>
          <w:sz w:val="32"/>
          <w:szCs w:val="32"/>
          <w:lang w:eastAsia="zh-CN"/>
        </w:rPr>
        <w:t>（含专用结余）</w:t>
      </w:r>
      <w:r>
        <w:rPr>
          <w:rFonts w:hint="default" w:ascii="Times New Roman" w:hAnsi="Times New Roman" w:eastAsia="仿宋_GB2312" w:cs="Times New Roman"/>
          <w:sz w:val="32"/>
          <w:szCs w:val="32"/>
        </w:rPr>
        <w:t>：指事业单位在当年的“财政拨款收入”“事业收入”“经营收入”“其他收入”不足以安排当年支出的情况下，使用非财政拨款结余、专用结余弥补本年度收支缺口的资金。</w:t>
      </w:r>
    </w:p>
    <w:p w14:paraId="351DE9AA">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六、年初结转和结余：指以前年度尚未完成、结转到本年 按有关规定继续使用的资金。</w:t>
      </w:r>
    </w:p>
    <w:p w14:paraId="0DBE061F">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七、结余分配：指事业单位按规定提取的职工福利基金、事业基金和缴纳的所得税，以及建设单位按规定应交回的基本建设竣工项目结余资金。</w:t>
      </w:r>
    </w:p>
    <w:p w14:paraId="6884C963">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八、年末结转和结余：指本年度或以前年度预算安排、因客观条件发生变化无法按原计划实施，需要延迟到以后年度按有关规定继续使用的资金。 </w:t>
      </w:r>
    </w:p>
    <w:p w14:paraId="330F26B2">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九、基本支出：指为保障机构正常运转、完成日常工作任务而发生的人员支出和公用支出。 </w:t>
      </w:r>
    </w:p>
    <w:p w14:paraId="57803038">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十、项目支出：指在基本支出之外为完成特定行政任务和事业发展目标所发生的支出。</w:t>
      </w:r>
    </w:p>
    <w:p w14:paraId="76D7C1CA">
      <w:pPr>
        <w:pageBreakBefore w:val="0"/>
        <w:kinsoku/>
        <w:wordWrap/>
        <w:overflowPunct/>
        <w:topLinePunct w:val="0"/>
        <w:bidi w:val="0"/>
        <w:snapToGrid/>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十一、经营支出：指事业单位在专业业务活动及其辅助活动之外开展非独立核算经营活动发生的支出。</w:t>
      </w:r>
    </w:p>
    <w:p w14:paraId="0419B62F">
      <w:pPr>
        <w:pageBreakBefore w:val="0"/>
        <w:kinsoku/>
        <w:wordWrap/>
        <w:overflowPunct/>
        <w:topLinePunct w:val="0"/>
        <w:bidi w:val="0"/>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F3E5792">
      <w:pPr>
        <w:pageBreakBefore w:val="0"/>
        <w:kinsoku/>
        <w:wordWrap/>
        <w:overflowPunct/>
        <w:topLinePunct w:val="0"/>
        <w:bidi w:val="0"/>
        <w:snapToGrid/>
        <w:spacing w:beforeAutospacing="0" w:afterAutospacing="0" w:line="560" w:lineRule="exact"/>
        <w:ind w:firstLine="420" w:firstLineChars="200"/>
        <w:textAlignment w:val="auto"/>
        <w:rPr>
          <w:rFonts w:hint="default" w:ascii="Times New Roman" w:hAnsi="Times New Roman" w:cs="Times New Roma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691FB-A52D-4B07-BB1B-D675AB011F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4D05230-8358-4B09-80C3-061ADC940F17}"/>
  </w:font>
  <w:font w:name="ArialUnicodeMS">
    <w:altName w:val="方正小标宋简体"/>
    <w:panose1 w:val="00000000000000000000"/>
    <w:charset w:val="86"/>
    <w:family w:val="auto"/>
    <w:pitch w:val="default"/>
    <w:sig w:usb0="00000000" w:usb1="00000000" w:usb2="00000010" w:usb3="00000000" w:csb0="00040000" w:csb1="00000000"/>
    <w:embedRegular r:id="rId3" w:fontKey="{C5AA0DFB-77AE-4BA8-9971-1143E7E95333}"/>
  </w:font>
  <w:font w:name="方正小标宋简体">
    <w:panose1 w:val="02010600010101010101"/>
    <w:charset w:val="86"/>
    <w:family w:val="auto"/>
    <w:pitch w:val="default"/>
    <w:sig w:usb0="00000001" w:usb1="080E0000" w:usb2="00000000" w:usb3="00000000" w:csb0="00040000" w:csb1="00000000"/>
    <w:embedRegular r:id="rId4" w:fontKey="{D2A70541-31F1-4334-9283-47A6A50A5633}"/>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5" w:fontKey="{53AD6D2E-B343-4BAB-B733-5B60F0F42D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01AE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EDD91">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8EDD91">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19A9C"/>
    <w:multiLevelType w:val="singleLevel"/>
    <w:tmpl w:val="1EC19A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MzkxYWQ5ODQwZGNlN2U2ZjA4YWViYjBiYzVkOTQifQ=="/>
  </w:docVars>
  <w:rsids>
    <w:rsidRoot w:val="0C306BDD"/>
    <w:rsid w:val="008F6EB2"/>
    <w:rsid w:val="00D42B17"/>
    <w:rsid w:val="01965497"/>
    <w:rsid w:val="0363634D"/>
    <w:rsid w:val="038C76D9"/>
    <w:rsid w:val="0413761B"/>
    <w:rsid w:val="04D17C54"/>
    <w:rsid w:val="05DD246D"/>
    <w:rsid w:val="076E412D"/>
    <w:rsid w:val="07AA2823"/>
    <w:rsid w:val="08F57ACE"/>
    <w:rsid w:val="0C306BDD"/>
    <w:rsid w:val="0EB666E5"/>
    <w:rsid w:val="125910CE"/>
    <w:rsid w:val="131E31BF"/>
    <w:rsid w:val="14412A34"/>
    <w:rsid w:val="14D964F6"/>
    <w:rsid w:val="151614F8"/>
    <w:rsid w:val="15925044"/>
    <w:rsid w:val="17D218DE"/>
    <w:rsid w:val="19D7730E"/>
    <w:rsid w:val="1AC04035"/>
    <w:rsid w:val="1AC468FB"/>
    <w:rsid w:val="1D7019C1"/>
    <w:rsid w:val="1DF73FA2"/>
    <w:rsid w:val="1F536EA5"/>
    <w:rsid w:val="218D2B42"/>
    <w:rsid w:val="21EB7868"/>
    <w:rsid w:val="229E3BBB"/>
    <w:rsid w:val="23106838"/>
    <w:rsid w:val="23792145"/>
    <w:rsid w:val="25981AB5"/>
    <w:rsid w:val="2674156E"/>
    <w:rsid w:val="26B5718D"/>
    <w:rsid w:val="28926C90"/>
    <w:rsid w:val="29885316"/>
    <w:rsid w:val="2AD57308"/>
    <w:rsid w:val="2C491D5B"/>
    <w:rsid w:val="2DCF32D9"/>
    <w:rsid w:val="2DF301D1"/>
    <w:rsid w:val="31107BDC"/>
    <w:rsid w:val="320C49C6"/>
    <w:rsid w:val="33266952"/>
    <w:rsid w:val="34223427"/>
    <w:rsid w:val="353E4E8E"/>
    <w:rsid w:val="35CF1523"/>
    <w:rsid w:val="35DF3353"/>
    <w:rsid w:val="360016DD"/>
    <w:rsid w:val="363D547E"/>
    <w:rsid w:val="38404C23"/>
    <w:rsid w:val="386F2B4A"/>
    <w:rsid w:val="38AB1E84"/>
    <w:rsid w:val="390F0874"/>
    <w:rsid w:val="3AFF4D84"/>
    <w:rsid w:val="3B1564CD"/>
    <w:rsid w:val="3D8250CD"/>
    <w:rsid w:val="3E933CB6"/>
    <w:rsid w:val="40777885"/>
    <w:rsid w:val="409A44DC"/>
    <w:rsid w:val="40BB7F20"/>
    <w:rsid w:val="41093A88"/>
    <w:rsid w:val="42D511FA"/>
    <w:rsid w:val="43F80CF6"/>
    <w:rsid w:val="44C935E1"/>
    <w:rsid w:val="45796DB6"/>
    <w:rsid w:val="45CD0EAF"/>
    <w:rsid w:val="46D905E0"/>
    <w:rsid w:val="4723522B"/>
    <w:rsid w:val="47DB3D58"/>
    <w:rsid w:val="4AB10DA0"/>
    <w:rsid w:val="4B6E6C91"/>
    <w:rsid w:val="4C521055"/>
    <w:rsid w:val="4C9C6E1F"/>
    <w:rsid w:val="4FAC1B0D"/>
    <w:rsid w:val="4FF5001B"/>
    <w:rsid w:val="512322CB"/>
    <w:rsid w:val="51510BE7"/>
    <w:rsid w:val="52410C5B"/>
    <w:rsid w:val="52C165A5"/>
    <w:rsid w:val="56AE2780"/>
    <w:rsid w:val="57092A3B"/>
    <w:rsid w:val="57B679F5"/>
    <w:rsid w:val="5A3A21A5"/>
    <w:rsid w:val="5AD21774"/>
    <w:rsid w:val="5B86074B"/>
    <w:rsid w:val="5B9927E7"/>
    <w:rsid w:val="5C200945"/>
    <w:rsid w:val="5DA8487E"/>
    <w:rsid w:val="5E0B036F"/>
    <w:rsid w:val="5F67039A"/>
    <w:rsid w:val="5F8360AB"/>
    <w:rsid w:val="60566219"/>
    <w:rsid w:val="611A0DF2"/>
    <w:rsid w:val="616F0E15"/>
    <w:rsid w:val="61BF394A"/>
    <w:rsid w:val="62540156"/>
    <w:rsid w:val="644A7E43"/>
    <w:rsid w:val="661E49D4"/>
    <w:rsid w:val="67DF7753"/>
    <w:rsid w:val="68CC52CB"/>
    <w:rsid w:val="691A52A7"/>
    <w:rsid w:val="6A5812E3"/>
    <w:rsid w:val="6B321631"/>
    <w:rsid w:val="6D2B3E12"/>
    <w:rsid w:val="6ECF6A6C"/>
    <w:rsid w:val="6EFB03A1"/>
    <w:rsid w:val="6FE3639E"/>
    <w:rsid w:val="723F6B0D"/>
    <w:rsid w:val="74482308"/>
    <w:rsid w:val="75956A44"/>
    <w:rsid w:val="75D43A11"/>
    <w:rsid w:val="76404C02"/>
    <w:rsid w:val="7A1F7224"/>
    <w:rsid w:val="7C3074C7"/>
    <w:rsid w:val="7C5C6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9"/>
    <w:pPr>
      <w:keepNext/>
      <w:keepLines/>
      <w:autoSpaceDE w:val="0"/>
      <w:autoSpaceDN w:val="0"/>
      <w:spacing w:line="560" w:lineRule="exact"/>
      <w:ind w:firstLine="880" w:firstLineChars="200"/>
      <w:outlineLvl w:val="1"/>
    </w:pPr>
    <w:rPr>
      <w:rFonts w:ascii="Cambria" w:hAnsi="Cambria" w:eastAsia="黑体" w:cs="Times New Roman"/>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表格文字"/>
    <w:basedOn w:val="1"/>
    <w:unhideWhenUsed/>
    <w:qFormat/>
    <w:uiPriority w:val="0"/>
    <w:pPr>
      <w:spacing w:before="25" w:beforeLines="0" w:after="25" w:afterLines="0"/>
    </w:pPr>
    <w:rPr>
      <w:rFonts w:hint="eastAsia" w:ascii="Times New Roman" w:eastAsia="宋体"/>
      <w:spacing w:val="10"/>
      <w:sz w:val="24"/>
      <w:szCs w:val="24"/>
    </w:rPr>
  </w:style>
  <w:style w:type="paragraph" w:styleId="5">
    <w:name w:val="Normal Indent"/>
    <w:basedOn w:val="1"/>
    <w:next w:val="1"/>
    <w:qFormat/>
    <w:uiPriority w:val="0"/>
    <w:pPr>
      <w:ind w:firstLine="420" w:firstLineChars="200"/>
    </w:pPr>
    <w:rPr>
      <w:rFonts w:cs="Calibri"/>
    </w:rPr>
  </w:style>
  <w:style w:type="paragraph" w:styleId="6">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b/>
      <w:sz w:val="32"/>
      <w:szCs w:val="20"/>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707b916b-e94a-4646-9dea-b8fb1fe1aa52</errorID>
      <errorWord>(</errorWord>
      <group>L1_Format</group>
      <groupName>格式问题</groupName>
      <ability>L2_HalfPunc_CN</ability>
      <abilityName>全半角问题</abilityName>
      <candidateList>
        <item>（</item>
      </candidateList>
      <explain>文本全半角错误。</explain>
      <paraID>2E8D4A3F</paraID>
      <start>132</start>
      <end>133</end>
      <status>unmodified</status>
      <modifiedWord/>
      <trackRevisions>false</trackRevisions>
    </reviewItem>
    <reviewItem>
      <errorID>6b3331eb-63f6-41d2-bc7d-021c2d1573c0</errorID>
      <errorWord>)</errorWord>
      <group>L1_Format</group>
      <groupName>格式问题</groupName>
      <ability>L2_HalfPunc_CN</ability>
      <abilityName>全半角问题</abilityName>
      <candidateList>
        <item>）</item>
      </candidateList>
      <explain>文本全半角错误。</explain>
      <paraID>2E8D4A3F</paraID>
      <start>175</start>
      <end>176</end>
      <status>unmodified</status>
      <modifiedWord/>
      <trackRevisions>false</trackRevisions>
    </reviewItem>
    <reviewItem>
      <errorID>db3f32d3-eb65-49b2-aeb6-bc26852a6407</errorID>
      <errorWord>,</errorWord>
      <group>L1_Format</group>
      <groupName>格式问题</groupName>
      <ability>L2_HalfPunc_CN</ability>
      <abilityName>全半角问题</abilityName>
      <candidateList>
        <item>，</item>
      </candidateList>
      <explain>文本全半角错误。</explain>
      <paraID>344E3F10</paraID>
      <start>42</start>
      <end>43</end>
      <status>unmodified</status>
      <modifiedWord/>
      <trackRevisions>false</trackRevisions>
    </reviewItem>
    <reviewItem>
      <errorID>e4ebc53f-c168-4744-bf21-64fae27b61fd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76233B44</paraID>
      <start>2</start>
      <end>10</end>
      <status>unmodified</status>
      <modifiedWord/>
      <trackRevisions>false</trackRevisions>
    </reviewItem>
    <reviewItem>
      <errorID>82a0ca26-9b40-4b2c-9abd-da4f8ff19807</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76233B44</paraID>
      <start>86</start>
      <end>94</end>
      <status>unmodified</status>
      <modifiedWord/>
      <trackRevisions>false</trackRevisions>
    </reviewItem>
    <reviewItem>
      <errorID>7223d8fd-328b-463b-9a98-5926b0a1a178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75728DFA</paraID>
      <start>27</start>
      <end>30</end>
      <status>unmodified</status>
      <modifiedWord/>
      <trackRevisions>false</trackRevisions>
    </reviewItem>
    <reviewItem>
      <errorID>99d381bb-7ccc-4613-9079-d1706bcb1370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75728DFA</paraID>
      <start>39</start>
      <end>42</end>
      <status>unmodified</status>
      <modifiedWord/>
      <trackRevisions>false</trackRevisions>
    </reviewItem>
    <reviewItem>
      <errorID>517b08f2-0c4d-485c-8009-75bc4d9cf986</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6FD37B38</paraID>
      <start>78</start>
      <end>86</end>
      <status>unmodified</status>
      <modifiedWord/>
      <trackRevisions>false</trackRevisions>
    </reviewItem>
    <reviewItem>
      <errorID>85acd8a2-4866-4f6f-973a-9f77275bfd6a</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700DF3F1</paraID>
      <start>79</start>
      <end>87</end>
      <status>unmodified</status>
      <modifiedWord/>
      <trackRevisions>false</trackRevisions>
    </reviewItem>
    <reviewItem>
      <errorID>38d098ad-f355-4131-a7ac-531b9127164b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4B9B7AF3</paraID>
      <start>71</start>
      <end>79</end>
      <status>unmodified</status>
      <modifiedWord/>
      <trackRevisions>false</trackRevisions>
    </reviewItem>
    <reviewItem>
      <errorID>3825a429-9bfc-4dd7-9e89-67d78fcde6fc</errorID>
      <errorWord>达</errorWord>
      <group>L1_Word</group>
      <groupName>字词问题</groupName>
      <ability>L2_Typo</ability>
      <abilityName>字词错误</abilityName>
      <candidateList>
        <item>达到</item>
      </candidateList>
      <explain/>
      <paraID>191F1686</paraID>
      <start>116</start>
      <end>117</end>
      <status>unmodified</status>
      <modifiedWord/>
      <trackRevisions>false</trackRevisions>
    </reviewItem>
    <reviewItem>
      <errorID>019507ad-5721-40e1-8438-101c7979376d</errorID>
      <errorWord>,</errorWord>
      <group>L1_Format</group>
      <groupName>格式问题</groupName>
      <ability>L2_HalfPunc_CN</ability>
      <abilityName>全半角问题</abilityName>
      <candidateList>
        <item>，</item>
      </candidateList>
      <explain>文本全半角错误。</explain>
      <paraID>191F1686</paraID>
      <start>145</start>
      <end>146</end>
      <status>modified</status>
      <modifiedWord>，</modifiedWord>
      <trackRevisions>false</trackRevisions>
    </reviewItem>
    <reviewItem>
      <errorID>1da73b53-816b-45f4-8b59-bc835bf3bba0</errorID>
      <errorWord>:</errorWord>
      <group>L1_Format</group>
      <groupName>格式问题</groupName>
      <ability>L2_HalfPunc_CN</ability>
      <abilityName>全半角问题</abilityName>
      <candidateList>
        <item>：</item>
      </candidateList>
      <explain>文本全半角错误。</explain>
      <paraID>28D8C54B</paraID>
      <start>86</start>
      <end>87</end>
      <status>modified</status>
      <modifiedWord>：</modifiedWord>
      <trackRevisions>false</trackRevisions>
    </reviewItem>
    <reviewItem>
      <errorID>2cc4ba57-b05f-4211-9c56-7846b9946ed5</errorID>
      <errorWord>通过多形式</errorWord>
      <group>L1_Word</group>
      <groupName>字词问题</groupName>
      <ability>L2_Typo</ability>
      <abilityName>字词错误</abilityName>
      <candidateList>
        <item>通过多种形式</item>
      </candidateList>
      <explain/>
      <paraID>28D8C54B</paraID>
      <start>607</start>
      <end>612</end>
      <status>unmodified</status>
      <modifiedWord/>
      <trackRevisions>false</trackRevisions>
    </reviewItem>
    <reviewItem>
      <errorID>29ce336f-386e-4245-9b42-61a13db2bc85</errorID>
      <errorWord>年</errorWord>
      <group>L1_Word</group>
      <groupName>字词问题</groupName>
      <ability>L2_Typo</ability>
      <abilityName>字词错误</abilityName>
      <candidateList>
        <item>年度</item>
      </candidateList>
      <explain/>
      <paraID>351DE9AA</paraID>
      <start>24</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d29c12-476d-4171-a4ee-c277751e129d}">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6057</Words>
  <Characters>6936</Characters>
  <Lines>0</Lines>
  <Paragraphs>0</Paragraphs>
  <TotalTime>33</TotalTime>
  <ScaleCrop>false</ScaleCrop>
  <LinksUpToDate>false</LinksUpToDate>
  <CharactersWithSpaces>6946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2023-08-23T01:24:00Z</dcterms:created>
  <dc:creator>BBQ◑▂◐</dc:creator>
  <cp:lastModifiedBy>13627883479</cp:lastModifiedBy>
  <cp:lastPrinted>2026-09-08T00:48:00Z</cp:lastPrinted>
  <dcterms:modified xsi:type="dcterms:W3CDTF">2026-09-08T07:43:51Z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7953ABD2AC91467F869B71D2C5F889E0_13</vt:lpwstr>
  </property>
  <property fmtid="{D5CDD505-2E9C-101B-9397-08002B2CF9AE}" pid="4" name="KSOTemplateDocerSaveRecord">
    <vt:lpwstr>eyJoZGlkIjoiMmNmOGFjNGI5OTQzNmYzYjVkNzhjMDBhMDRmY2I4MzkiLCJ1c2VySWQiOiIyNzQ1NzMzOTkifQ==</vt:lpwstr>
  </property>
</Properties>
</file>