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0C0B7">
      <w:pPr>
        <w:pStyle w:val="18"/>
        <w:pageBreakBefore w:val="0"/>
        <w:widowControl/>
        <w:kinsoku/>
        <w:wordWrap/>
        <w:overflowPunct/>
        <w:topLinePunct w:val="0"/>
        <w:autoSpaceDE/>
        <w:autoSpaceDN/>
        <w:bidi w:val="0"/>
        <w:adjustRightInd w:val="0"/>
        <w:snapToGrid/>
        <w:spacing w:before="0" w:after="0" w:line="560" w:lineRule="exact"/>
        <w:ind w:firstLine="0" w:firstLineChars="0"/>
        <w:jc w:val="both"/>
        <w:textAlignment w:val="auto"/>
        <w:rPr>
          <w:rFonts w:hint="eastAsia" w:ascii="Times New Roman" w:hAnsi="Times New Roman" w:eastAsia="黑体" w:cs="黑体"/>
          <w:color w:val="000000" w:themeColor="text1"/>
          <w:sz w:val="32"/>
          <w:szCs w:val="32"/>
          <w:shd w:val="clear" w:color="auto" w:fill="auto"/>
          <w:lang w:val="en-US" w:eastAsia="zh-CN"/>
          <w14:textFill>
            <w14:solidFill>
              <w14:schemeClr w14:val="tx1"/>
            </w14:solidFill>
          </w14:textFill>
        </w:rPr>
      </w:pPr>
      <w:bookmarkStart w:id="0" w:name="_GoBack"/>
      <w:r>
        <w:rPr>
          <w:rFonts w:hint="eastAsia" w:ascii="Times New Roman" w:hAnsi="Times New Roman" w:eastAsia="黑体" w:cs="黑体"/>
          <w:color w:val="000000" w:themeColor="text1"/>
          <w:sz w:val="32"/>
          <w:szCs w:val="32"/>
          <w:shd w:val="clear" w:color="auto" w:fill="auto"/>
          <w:lang w:val="en-US" w:eastAsia="zh-CN"/>
          <w14:textFill>
            <w14:solidFill>
              <w14:schemeClr w14:val="tx1"/>
            </w14:solidFill>
          </w14:textFill>
        </w:rPr>
        <w:t>附件1</w:t>
      </w:r>
    </w:p>
    <w:p w14:paraId="60506E5C">
      <w:pPr>
        <w:pStyle w:val="18"/>
        <w:pageBreakBefore w:val="0"/>
        <w:widowControl/>
        <w:kinsoku/>
        <w:wordWrap/>
        <w:overflowPunct/>
        <w:topLinePunct w:val="0"/>
        <w:autoSpaceDE/>
        <w:autoSpaceDN/>
        <w:bidi w:val="0"/>
        <w:adjustRightInd w:val="0"/>
        <w:snapToGrid/>
        <w:spacing w:before="0" w:after="0" w:line="560" w:lineRule="exact"/>
        <w:ind w:firstLine="0" w:firstLineChars="0"/>
        <w:textAlignment w:val="auto"/>
        <w:rPr>
          <w:rFonts w:hint="eastAsia" w:ascii="Times New Roman" w:hAnsi="Times New Roman" w:eastAsia="方正小标宋简体" w:cs="方正小标宋简体"/>
          <w:color w:val="000000" w:themeColor="text1"/>
          <w:sz w:val="44"/>
          <w:szCs w:val="44"/>
          <w:shd w:val="clear" w:color="auto" w:fill="auto"/>
          <w14:textFill>
            <w14:solidFill>
              <w14:schemeClr w14:val="tx1"/>
            </w14:solidFill>
          </w14:textFill>
        </w:rPr>
      </w:pPr>
      <w:r>
        <w:rPr>
          <w:rFonts w:hint="eastAsia" w:ascii="Times New Roman" w:hAnsi="Times New Roman" w:eastAsia="方正小标宋简体" w:cs="方正小标宋简体"/>
          <w:color w:val="000000" w:themeColor="text1"/>
          <w:sz w:val="44"/>
          <w:szCs w:val="44"/>
          <w:shd w:val="clear" w:color="auto" w:fill="auto"/>
          <w14:textFill>
            <w14:solidFill>
              <w14:schemeClr w14:val="tx1"/>
            </w14:solidFill>
          </w14:textFill>
        </w:rPr>
        <w:t>广西骨伤医院医疗护理员服务项目</w:t>
      </w:r>
    </w:p>
    <w:p w14:paraId="0154B011">
      <w:pPr>
        <w:pStyle w:val="18"/>
        <w:pageBreakBefore w:val="0"/>
        <w:widowControl/>
        <w:kinsoku/>
        <w:wordWrap/>
        <w:overflowPunct/>
        <w:topLinePunct w:val="0"/>
        <w:autoSpaceDE/>
        <w:autoSpaceDN/>
        <w:bidi w:val="0"/>
        <w:adjustRightInd w:val="0"/>
        <w:snapToGrid/>
        <w:spacing w:before="0" w:after="0" w:line="560" w:lineRule="exact"/>
        <w:ind w:firstLine="0" w:firstLineChars="0"/>
        <w:textAlignment w:val="auto"/>
        <w:rPr>
          <w:rFonts w:hint="eastAsia" w:ascii="Times New Roman" w:hAnsi="Times New Roman" w:eastAsia="方正小标宋简体" w:cs="方正小标宋简体"/>
          <w:color w:val="000000" w:themeColor="text1"/>
          <w:sz w:val="44"/>
          <w:szCs w:val="44"/>
          <w:shd w:val="clear" w:color="auto" w:fill="auto"/>
          <w14:textFill>
            <w14:solidFill>
              <w14:schemeClr w14:val="tx1"/>
            </w14:solidFill>
          </w14:textFill>
        </w:rPr>
      </w:pPr>
      <w:r>
        <w:rPr>
          <w:rFonts w:hint="eastAsia" w:ascii="Times New Roman" w:hAnsi="Times New Roman" w:eastAsia="方正小标宋简体" w:cs="方正小标宋简体"/>
          <w:color w:val="000000" w:themeColor="text1"/>
          <w:sz w:val="44"/>
          <w:szCs w:val="44"/>
          <w:shd w:val="clear" w:color="auto" w:fill="auto"/>
          <w14:textFill>
            <w14:solidFill>
              <w14:schemeClr w14:val="tx1"/>
            </w14:solidFill>
          </w14:textFill>
        </w:rPr>
        <w:t>采购需求</w:t>
      </w:r>
    </w:p>
    <w:p w14:paraId="45D98299">
      <w:pPr>
        <w:pStyle w:val="18"/>
        <w:pageBreakBefore w:val="0"/>
        <w:widowControl/>
        <w:kinsoku/>
        <w:wordWrap/>
        <w:overflowPunct/>
        <w:topLinePunct w:val="0"/>
        <w:autoSpaceDE/>
        <w:autoSpaceDN/>
        <w:bidi w:val="0"/>
        <w:adjustRightInd w:val="0"/>
        <w:snapToGrid/>
        <w:spacing w:before="0" w:after="0" w:line="560" w:lineRule="exact"/>
        <w:ind w:firstLine="0" w:firstLineChars="0"/>
        <w:textAlignment w:val="auto"/>
        <w:rPr>
          <w:rFonts w:hint="eastAsia" w:ascii="Times New Roman" w:hAnsi="Times New Roman" w:eastAsia="方正小标宋简体" w:cs="方正小标宋简体"/>
          <w:color w:val="000000" w:themeColor="text1"/>
          <w:sz w:val="32"/>
          <w:szCs w:val="32"/>
          <w:shd w:val="clear" w:color="auto" w:fill="auto"/>
          <w14:textFill>
            <w14:solidFill>
              <w14:schemeClr w14:val="tx1"/>
            </w14:solidFill>
          </w14:textFill>
        </w:rPr>
      </w:pPr>
    </w:p>
    <w:p w14:paraId="1F711698">
      <w:pPr>
        <w:pStyle w:val="3"/>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ascii="Times New Roman" w:hAnsi="Times New Roman"/>
          <w:b w:val="0"/>
          <w:color w:val="000000" w:themeColor="text1"/>
          <w:sz w:val="32"/>
          <w:szCs w:val="32"/>
          <w:shd w:val="clear" w:color="auto" w:fill="auto"/>
          <w14:textFill>
            <w14:solidFill>
              <w14:schemeClr w14:val="tx1"/>
            </w14:solidFill>
          </w14:textFill>
        </w:rPr>
      </w:pPr>
      <w:r>
        <w:rPr>
          <w:rFonts w:hint="eastAsia" w:ascii="Times New Roman" w:hAnsi="Times New Roman" w:eastAsia="黑体" w:cs="Times New Roman"/>
          <w:b w:val="0"/>
          <w:color w:val="000000" w:themeColor="text1"/>
          <w:kern w:val="44"/>
          <w:sz w:val="32"/>
          <w:szCs w:val="32"/>
          <w:shd w:val="clear" w:fill="auto"/>
          <w:lang w:bidi="ar-SA"/>
          <w14:textFill>
            <w14:solidFill>
              <w14:schemeClr w14:val="tx1"/>
            </w14:solidFill>
          </w14:textFill>
        </w:rPr>
        <w:t>第一章</w:t>
      </w:r>
      <w:r>
        <w:rPr>
          <w:rFonts w:ascii="Times New Roman" w:hAnsi="Times New Roman"/>
          <w:color w:val="000000" w:themeColor="text1"/>
          <w:sz w:val="32"/>
          <w:szCs w:val="32"/>
          <w:shd w:val="clear" w:color="auto" w:fill="auto"/>
          <w14:textFill>
            <w14:solidFill>
              <w14:schemeClr w14:val="tx1"/>
            </w14:solidFill>
          </w14:textFill>
        </w:rPr>
        <w:t>项目概况</w:t>
      </w:r>
    </w:p>
    <w:p w14:paraId="47DAB556">
      <w:pPr>
        <w:pStyle w:val="4"/>
        <w:pageBreakBefore w:val="0"/>
        <w:widowControl/>
        <w:numPr>
          <w:ilvl w:val="0"/>
          <w:numId w:val="1"/>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黑体" w:cs="黑体"/>
          <w:b w:val="0"/>
          <w:color w:val="000000" w:themeColor="text1"/>
          <w:sz w:val="32"/>
          <w:szCs w:val="32"/>
          <w:shd w:val="clear" w:color="auto" w:fill="auto"/>
          <w14:textFill>
            <w14:solidFill>
              <w14:schemeClr w14:val="tx1"/>
            </w14:solidFill>
          </w14:textFill>
        </w:rPr>
      </w:pPr>
      <w:r>
        <w:rPr>
          <w:rFonts w:ascii="Times New Roman" w:hAnsi="Times New Roman"/>
          <w:color w:val="000000" w:themeColor="text1"/>
          <w:sz w:val="32"/>
          <w:szCs w:val="32"/>
          <w:shd w:val="clear" w:color="auto" w:fill="auto"/>
          <w14:textFill>
            <w14:solidFill>
              <w14:schemeClr w14:val="tx1"/>
            </w14:solidFill>
          </w14:textFill>
        </w:rPr>
        <w:t>项目基本信息</w:t>
      </w:r>
    </w:p>
    <w:p w14:paraId="79AC48C9">
      <w:pPr>
        <w:pStyle w:val="12"/>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项目名称：广西骨伤医院医疗护理员服务项目</w:t>
      </w:r>
    </w:p>
    <w:p w14:paraId="0752398E">
      <w:pPr>
        <w:pStyle w:val="12"/>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服务地点：广西骨伤医院（南宁市新民路32号）</w:t>
      </w:r>
    </w:p>
    <w:p w14:paraId="18245D30">
      <w:pPr>
        <w:pStyle w:val="12"/>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服务期限：叁年，自合同签订之日起算。委托期限届满后，重新采购。</w:t>
      </w:r>
    </w:p>
    <w:p w14:paraId="11A34848">
      <w:pPr>
        <w:pStyle w:val="12"/>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采购方式：公开招标/竞争性磋商（视</w:t>
      </w: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服务能力和质量</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而定）</w:t>
      </w:r>
    </w:p>
    <w:p w14:paraId="79D9E972">
      <w:pPr>
        <w:pStyle w:val="4"/>
        <w:pageBreakBefore w:val="0"/>
        <w:widowControl/>
        <w:numPr>
          <w:ilvl w:val="0"/>
          <w:numId w:val="1"/>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黑体" w:cs="黑体"/>
          <w:b w:val="0"/>
          <w:color w:val="000000" w:themeColor="text1"/>
          <w:sz w:val="32"/>
          <w:szCs w:val="32"/>
          <w:shd w:val="clear" w:color="auto" w:fill="auto"/>
          <w14:textFill>
            <w14:solidFill>
              <w14:schemeClr w14:val="tx1"/>
            </w14:solidFill>
          </w14:textFill>
        </w:rPr>
      </w:pPr>
      <w:r>
        <w:rPr>
          <w:rFonts w:ascii="Times New Roman" w:hAnsi="Times New Roman"/>
          <w:color w:val="000000" w:themeColor="text1"/>
          <w:sz w:val="32"/>
          <w:szCs w:val="32"/>
          <w:shd w:val="clear" w:color="auto" w:fill="auto"/>
          <w14:textFill>
            <w14:solidFill>
              <w14:schemeClr w14:val="tx1"/>
            </w14:solidFill>
          </w14:textFill>
        </w:rPr>
        <w:t>项目背景</w:t>
      </w:r>
      <w:r>
        <w:rPr>
          <w:rFonts w:hint="eastAsia" w:ascii="Times New Roman" w:hAnsi="Times New Roman"/>
          <w:color w:val="000000" w:themeColor="text1"/>
          <w:sz w:val="32"/>
          <w:szCs w:val="32"/>
          <w:shd w:val="clear" w:color="auto" w:fill="auto"/>
          <w:lang w:eastAsia="zh-CN"/>
          <w14:textFill>
            <w14:solidFill>
              <w14:schemeClr w14:val="tx1"/>
            </w14:solidFill>
          </w14:textFill>
        </w:rPr>
        <w:t>、</w:t>
      </w:r>
      <w:r>
        <w:rPr>
          <w:rFonts w:ascii="Times New Roman" w:hAnsi="Times New Roman"/>
          <w:color w:val="000000" w:themeColor="text1"/>
          <w:sz w:val="32"/>
          <w:szCs w:val="32"/>
          <w:shd w:val="clear" w:color="auto" w:fill="auto"/>
          <w14:textFill>
            <w14:solidFill>
              <w14:schemeClr w14:val="tx1"/>
            </w14:solidFill>
          </w14:textFill>
        </w:rPr>
        <w:t>依据</w:t>
      </w:r>
    </w:p>
    <w:p w14:paraId="7DC1F3A8">
      <w:pPr>
        <w:pStyle w:val="12"/>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根据《广西壮族自治区人力资源和社会保障厅等5部门联合印发的〈加强医疗护理员培训和规范管理试点方案〉》</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以及</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广西医疗护理员培训和规范管理改革有关精神，为进一步规范医院医疗护理员辅助护理服务工作，提升住院患者生活照护服务质量，减轻患者及家属陪护负担，现面向社会公开采购医疗护理员服务</w:t>
      </w: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项目</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w:t>
      </w:r>
    </w:p>
    <w:p w14:paraId="72D92C08">
      <w:pPr>
        <w:pStyle w:val="4"/>
        <w:pageBreakBefore w:val="0"/>
        <w:widowControl/>
        <w:numPr>
          <w:ilvl w:val="0"/>
          <w:numId w:val="1"/>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黑体" w:cs="黑体"/>
          <w:b w:val="0"/>
          <w:color w:val="000000" w:themeColor="text1"/>
          <w:sz w:val="32"/>
          <w:szCs w:val="32"/>
          <w:shd w:val="clear" w:color="auto" w:fill="auto"/>
          <w14:textFill>
            <w14:solidFill>
              <w14:schemeClr w14:val="tx1"/>
            </w14:solidFill>
          </w14:textFill>
        </w:rPr>
      </w:pPr>
      <w:r>
        <w:rPr>
          <w:rFonts w:ascii="Times New Roman" w:hAnsi="Times New Roman"/>
          <w:color w:val="000000" w:themeColor="text1"/>
          <w:sz w:val="32"/>
          <w:szCs w:val="32"/>
          <w:shd w:val="clear" w:color="auto" w:fill="auto"/>
          <w14:textFill>
            <w14:solidFill>
              <w14:schemeClr w14:val="tx1"/>
            </w14:solidFill>
          </w14:textFill>
        </w:rPr>
        <w:t>内容</w:t>
      </w:r>
      <w:r>
        <w:rPr>
          <w:rFonts w:hint="eastAsia" w:ascii="Times New Roman" w:hAnsi="Times New Roman"/>
          <w:color w:val="000000" w:themeColor="text1"/>
          <w:sz w:val="32"/>
          <w:szCs w:val="32"/>
          <w:shd w:val="clear" w:color="auto" w:fill="auto"/>
          <w:lang w:val="en-US" w:eastAsia="zh-CN"/>
          <w14:textFill>
            <w14:solidFill>
              <w14:schemeClr w14:val="tx1"/>
            </w14:solidFill>
          </w14:textFill>
        </w:rPr>
        <w:t>要求</w:t>
      </w:r>
    </w:p>
    <w:p w14:paraId="2DE2158E">
      <w:pPr>
        <w:pStyle w:val="12"/>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为广西骨伤医院住院患者提供非医疗技术性生活辅助护理服务，包括基础照护服务（三级、二级、一级辅助护理服务）及免陪照护服务。</w:t>
      </w: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供应商在医院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指导下，按照医学陪护专业知识的标准和要求，采取分级分类管理，逐步规范陪护职业化管理，提升专业服务保障。</w:t>
      </w:r>
    </w:p>
    <w:p w14:paraId="4B3F1D19">
      <w:pPr>
        <w:pStyle w:val="3"/>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ascii="Times New Roman" w:hAnsi="Times New Roman"/>
          <w:b w:val="0"/>
          <w:color w:val="000000" w:themeColor="text1"/>
          <w:sz w:val="32"/>
          <w:szCs w:val="32"/>
          <w:shd w:val="clear" w:color="auto" w:fill="auto"/>
          <w14:textFill>
            <w14:solidFill>
              <w14:schemeClr w14:val="tx1"/>
            </w14:solidFill>
          </w14:textFill>
        </w:rPr>
      </w:pPr>
      <w:r>
        <w:rPr>
          <w:rFonts w:hint="eastAsia" w:ascii="Times New Roman" w:hAnsi="Times New Roman" w:eastAsia="黑体" w:cs="Times New Roman"/>
          <w:b w:val="0"/>
          <w:color w:val="000000" w:themeColor="text1"/>
          <w:kern w:val="44"/>
          <w:sz w:val="32"/>
          <w:szCs w:val="32"/>
          <w:shd w:val="clear" w:fill="auto"/>
          <w:lang w:bidi="ar-SA"/>
          <w14:textFill>
            <w14:solidFill>
              <w14:schemeClr w14:val="tx1"/>
            </w14:solidFill>
          </w14:textFill>
        </w:rPr>
        <w:t>第二章</w:t>
      </w:r>
      <w:r>
        <w:rPr>
          <w:rFonts w:hint="eastAsia" w:ascii="Times New Roman" w:hAnsi="Times New Roman" w:cs="Times New Roman"/>
          <w:b w:val="0"/>
          <w:color w:val="000000" w:themeColor="text1"/>
          <w:kern w:val="44"/>
          <w:sz w:val="32"/>
          <w:szCs w:val="32"/>
          <w:shd w:val="clear" w:fill="auto"/>
          <w:lang w:val="en-US" w:eastAsia="zh-CN" w:bidi="ar-SA"/>
          <w14:textFill>
            <w14:solidFill>
              <w14:schemeClr w14:val="tx1"/>
            </w14:solidFill>
          </w14:textFill>
        </w:rPr>
        <w:t>具体</w:t>
      </w:r>
      <w:r>
        <w:rPr>
          <w:rFonts w:ascii="Times New Roman" w:hAnsi="Times New Roman"/>
          <w:color w:val="000000" w:themeColor="text1"/>
          <w:sz w:val="32"/>
          <w:szCs w:val="32"/>
          <w:shd w:val="clear" w:color="auto" w:fill="auto"/>
          <w14:textFill>
            <w14:solidFill>
              <w14:schemeClr w14:val="tx1"/>
            </w14:solidFill>
          </w14:textFill>
        </w:rPr>
        <w:t>服务内容与要求</w:t>
      </w:r>
    </w:p>
    <w:p w14:paraId="5FD6511F">
      <w:pPr>
        <w:pStyle w:val="4"/>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color w:val="000000" w:themeColor="text1"/>
          <w:sz w:val="32"/>
          <w:szCs w:val="32"/>
          <w:shd w:val="clear" w:color="auto" w:fill="auto"/>
          <w:lang w:val="en-US" w:eastAsia="zh-CN"/>
          <w14:textFill>
            <w14:solidFill>
              <w14:schemeClr w14:val="tx1"/>
            </w14:solidFill>
          </w14:textFill>
        </w:rPr>
        <w:t>一、</w:t>
      </w:r>
      <w:r>
        <w:rPr>
          <w:rFonts w:ascii="Times New Roman" w:hAnsi="Times New Roman"/>
          <w:color w:val="000000" w:themeColor="text1"/>
          <w:sz w:val="32"/>
          <w:szCs w:val="32"/>
          <w:shd w:val="clear" w:color="auto" w:fill="auto"/>
          <w14:textFill>
            <w14:solidFill>
              <w14:schemeClr w14:val="tx1"/>
            </w14:solidFill>
          </w14:textFill>
        </w:rPr>
        <w:t>基础照护服务</w:t>
      </w:r>
    </w:p>
    <w:p w14:paraId="2FFE928A">
      <w:pPr>
        <w:pStyle w:val="12"/>
        <w:keepNext w:val="0"/>
        <w:keepLines w:val="0"/>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所有照护行为均需在医务人员指导下或经医务人员同意后进行。</w:t>
      </w:r>
    </w:p>
    <w:p w14:paraId="145379EE">
      <w:pPr>
        <w:pStyle w:val="12"/>
        <w:keepNext w:val="0"/>
        <w:keepLines w:val="0"/>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宋体" w:cs="Times New Roman"/>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人员配置标准</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各病房基础照护服务医疗护理员与实际患者数的配备比原则上控制在1:15以上（不包括跑外运送人员）。</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应根据各病房的病人数和工作量合理调配医疗护理员人数，保障医疗护理员</w:t>
      </w:r>
      <w:r>
        <w:rPr>
          <w:rFonts w:hint="eastAsia" w:eastAsia="仿宋_GB2312" w:cs="仿宋_GB2312"/>
          <w:color w:val="000000" w:themeColor="text1"/>
          <w:sz w:val="32"/>
          <w:szCs w:val="32"/>
          <w:shd w:val="clear" w:color="auto" w:fill="auto"/>
          <w:lang w:val="en-US" w:eastAsia="zh-CN"/>
          <w14:textFill>
            <w14:solidFill>
              <w14:schemeClr w14:val="tx1"/>
            </w14:solidFill>
          </w14:textFill>
        </w:rPr>
        <w:t>数量且</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服务到位。</w:t>
      </w:r>
    </w:p>
    <w:p w14:paraId="01042A6A">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楷体_GB2312" w:cs="楷体_GB2312"/>
          <w:b w:val="0"/>
          <w:bCs w:val="0"/>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eastAsia="楷体_GB2312" w:cs="楷体_GB2312"/>
          <w:b w:val="0"/>
          <w:bCs w:val="0"/>
          <w:i w:val="0"/>
          <w:iCs w:val="0"/>
          <w:caps w:val="0"/>
          <w:color w:val="000000" w:themeColor="text1"/>
          <w:spacing w:val="0"/>
          <w:sz w:val="32"/>
          <w:szCs w:val="32"/>
          <w:shd w:val="clear" w:fill="FFFFFF"/>
          <w:lang w:val="en-US" w:eastAsia="zh-CN"/>
          <w14:textFill>
            <w14:solidFill>
              <w14:schemeClr w14:val="tx1"/>
            </w14:solidFill>
          </w14:textFill>
        </w:rPr>
        <w:t>一</w:t>
      </w:r>
      <w:r>
        <w:rPr>
          <w:rFonts w:hint="eastAsia" w:ascii="Times New Roman" w:hAnsi="Times New Roman" w:eastAsia="楷体_GB2312" w:cs="楷体_GB2312"/>
          <w:b w:val="0"/>
          <w:bCs w:val="0"/>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eastAsia="楷体_GB2312" w:cs="楷体_GB2312"/>
          <w:b w:val="0"/>
          <w:bCs w:val="0"/>
          <w:i w:val="0"/>
          <w:iCs w:val="0"/>
          <w:caps w:val="0"/>
          <w:color w:val="000000" w:themeColor="text1"/>
          <w:spacing w:val="0"/>
          <w:sz w:val="32"/>
          <w:szCs w:val="32"/>
          <w:shd w:val="clear" w:fill="FFFFFF"/>
          <w14:textFill>
            <w14:solidFill>
              <w14:schemeClr w14:val="tx1"/>
            </w14:solidFill>
          </w14:textFill>
        </w:rPr>
        <w:t>三级辅助护理服务</w:t>
      </w:r>
    </w:p>
    <w:p w14:paraId="779CC4EE">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服务时长：24小时</w:t>
      </w:r>
    </w:p>
    <w:p w14:paraId="2B2D2B32">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收费标准：不超过</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15</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元/天</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或按市场价调控）</w:t>
      </w:r>
    </w:p>
    <w:p w14:paraId="7AE3145C">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3.</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服务对象：适用于病情稳定或处于康复期</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生活能自理的患者</w:t>
      </w:r>
    </w:p>
    <w:p w14:paraId="584B4945">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638" w:leftChars="304" w:right="0" w:firstLine="0" w:firstLineChars="0"/>
        <w:jc w:val="left"/>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4.</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服务内容：</w:t>
      </w:r>
    </w:p>
    <w:p w14:paraId="2DC3FC7A">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协助整理床单位，更换床上用品，整理病房环境，按时通风；</w:t>
      </w:r>
    </w:p>
    <w:p w14:paraId="199F7429">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）协助晨晚间护理，包括梳头、清洁面部、口腔、会阴部、剃须、修剪指/趾甲，保持仪表整洁；</w:t>
      </w:r>
    </w:p>
    <w:p w14:paraId="198580C2">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3</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）协助打饭、热饭、送饭到床旁，协助患者服药、饮食、饮水及餐后整理；</w:t>
      </w:r>
    </w:p>
    <w:p w14:paraId="4923A371">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4</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）协助便后清洁，必要时协助留取大小便标本，观察会阴、肛周情况；</w:t>
      </w:r>
    </w:p>
    <w:p w14:paraId="534349FA">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5</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）协助做好睡眠照护，布置睡眠环境，观察入睡情况；</w:t>
      </w:r>
    </w:p>
    <w:p w14:paraId="621AF1E3">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6</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）协助护士进行输液巡视；</w:t>
      </w:r>
    </w:p>
    <w:p w14:paraId="1E798AB8">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7</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）需要时协助或陪同患者外出检查；</w:t>
      </w:r>
    </w:p>
    <w:p w14:paraId="5CC0DEB6">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left="0" w:leftChars="0" w:right="0" w:firstLine="640" w:firstLineChars="200"/>
        <w:jc w:val="left"/>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8</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）其他根据有关法律法规、规章、政策、医疗机构制度等规定，医疗护理员在三级生活照护情况下应履行的服务内容。</w:t>
      </w:r>
    </w:p>
    <w:p w14:paraId="3AB8741D">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Autospacing="0" w:afterAutospacing="0" w:line="560" w:lineRule="exact"/>
        <w:ind w:left="0" w:leftChars="0" w:firstLine="640" w:firstLineChars="200"/>
        <w:textAlignment w:val="baseline"/>
        <w:rPr>
          <w:rFonts w:hint="eastAsia" w:ascii="Times New Roman" w:hAnsi="Times New Roman" w:eastAsia="楷体_GB2312" w:cs="楷体_GB2312"/>
          <w:b w:val="0"/>
          <w:bCs w:val="0"/>
          <w:color w:val="000000" w:themeColor="text1"/>
          <w:sz w:val="32"/>
          <w:szCs w:val="32"/>
          <w:shd w:val="clear" w:color="auto" w:fill="auto"/>
          <w14:textFill>
            <w14:solidFill>
              <w14:schemeClr w14:val="tx1"/>
            </w14:solidFill>
          </w14:textFill>
        </w:rPr>
      </w:pPr>
      <w:r>
        <w:rPr>
          <w:rFonts w:hint="eastAsia" w:ascii="Times New Roman" w:hAnsi="Times New Roman" w:eastAsia="楷体_GB2312" w:cs="楷体_GB2312"/>
          <w:b w:val="0"/>
          <w:bCs w:val="0"/>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楷体_GB2312" w:cs="楷体_GB2312"/>
          <w:b w:val="0"/>
          <w:bCs w:val="0"/>
          <w:color w:val="000000" w:themeColor="text1"/>
          <w:sz w:val="32"/>
          <w:szCs w:val="32"/>
          <w:shd w:val="clear" w:color="auto" w:fill="auto"/>
          <w:lang w:val="en-US" w:eastAsia="zh-CN"/>
          <w14:textFill>
            <w14:solidFill>
              <w14:schemeClr w14:val="tx1"/>
            </w14:solidFill>
          </w14:textFill>
        </w:rPr>
        <w:t>二</w:t>
      </w:r>
      <w:r>
        <w:rPr>
          <w:rFonts w:hint="eastAsia" w:ascii="Times New Roman" w:hAnsi="Times New Roman" w:eastAsia="楷体_GB2312" w:cs="楷体_GB2312"/>
          <w:b w:val="0"/>
          <w:bCs w:val="0"/>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楷体_GB2312" w:cs="楷体_GB2312"/>
          <w:b w:val="0"/>
          <w:bCs w:val="0"/>
          <w:color w:val="000000" w:themeColor="text1"/>
          <w:sz w:val="32"/>
          <w:szCs w:val="32"/>
          <w:shd w:val="clear" w:color="auto" w:fill="auto"/>
          <w:lang w:val="en-US" w:eastAsia="zh-CN"/>
          <w14:textFill>
            <w14:solidFill>
              <w14:schemeClr w14:val="tx1"/>
            </w14:solidFill>
          </w14:textFill>
        </w:rPr>
        <w:t>二级辅助护理服务</w:t>
      </w:r>
    </w:p>
    <w:p w14:paraId="34B5A8A5">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服务时长：24小时</w:t>
      </w:r>
    </w:p>
    <w:p w14:paraId="009FF7E5">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收费标准：不超过</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40</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元/天</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或按市场价调控）</w:t>
      </w:r>
    </w:p>
    <w:p w14:paraId="362969F0">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3.</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服务对象：适用于病情稳定</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存在生活自理能力部分不足的患者</w:t>
      </w:r>
    </w:p>
    <w:p w14:paraId="045C60C2">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1278" w:leftChars="304" w:right="0" w:hanging="640" w:hanging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4.</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服务内容</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p>
    <w:p w14:paraId="6A7B7873">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在三级生活照护的基础上，提供与患者自理能力不足的照护需求相对应的辅助护理服务内容；</w:t>
      </w:r>
    </w:p>
    <w:p w14:paraId="26F6122A">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协助患者洗漱、服药、清洗餐具、上下床移动、清洁尿壶、便盆；</w:t>
      </w:r>
    </w:p>
    <w:p w14:paraId="1B573F49">
      <w:pPr>
        <w:pStyle w:val="17"/>
        <w:keepNext w:val="0"/>
        <w:keepLines w:val="0"/>
        <w:pageBreakBefore w:val="0"/>
        <w:widowControl w:val="0"/>
        <w:suppressLineNumbers w:val="0"/>
        <w:kinsoku w:val="0"/>
        <w:wordWrap/>
        <w:overflowPunct w:val="0"/>
        <w:topLinePunct w:val="0"/>
        <w:autoSpaceDE w:val="0"/>
        <w:autoSpaceDN w:val="0"/>
        <w:bidi w:val="0"/>
        <w:adjustRightInd w:val="0"/>
        <w:snapToGrid w:val="0"/>
        <w:spacing w:beforeAutospacing="0" w:afterAutospacing="0" w:line="560" w:lineRule="exact"/>
        <w:ind w:right="0" w:firstLine="640" w:firstLineChars="200"/>
        <w:textAlignment w:val="baseline"/>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5.</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其他根据有关</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法律法规</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、规章、政策、医疗机构制度等规定，医疗护理员在二级生活照护情况下应履行的服务内容。</w:t>
      </w:r>
    </w:p>
    <w:p w14:paraId="3879C737">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Autospacing="0" w:afterAutospacing="0" w:line="560" w:lineRule="exact"/>
        <w:ind w:left="0" w:leftChars="0" w:firstLine="640" w:firstLineChars="200"/>
        <w:textAlignment w:val="baseline"/>
        <w:rPr>
          <w:rFonts w:hint="eastAsia" w:ascii="Times New Roman" w:hAnsi="Times New Roman" w:eastAsia="楷体_GB2312" w:cs="楷体_GB2312"/>
          <w:b w:val="0"/>
          <w:bCs w:val="0"/>
          <w:color w:val="000000" w:themeColor="text1"/>
          <w:sz w:val="32"/>
          <w:szCs w:val="32"/>
          <w:shd w:val="clear" w:color="auto" w:fill="auto"/>
          <w:lang w:val="en-US" w:eastAsia="zh-CN"/>
          <w14:textFill>
            <w14:solidFill>
              <w14:schemeClr w14:val="tx1"/>
            </w14:solidFill>
          </w14:textFill>
        </w:rPr>
      </w:pPr>
      <w:r>
        <w:rPr>
          <w:rFonts w:hint="eastAsia" w:ascii="Times New Roman" w:hAnsi="Times New Roman" w:eastAsia="楷体_GB2312" w:cs="楷体_GB2312"/>
          <w:b w:val="0"/>
          <w:bCs w:val="0"/>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楷体_GB2312" w:cs="楷体_GB2312"/>
          <w:b w:val="0"/>
          <w:bCs w:val="0"/>
          <w:color w:val="000000" w:themeColor="text1"/>
          <w:sz w:val="32"/>
          <w:szCs w:val="32"/>
          <w:shd w:val="clear" w:color="auto" w:fill="auto"/>
          <w:lang w:val="en-US" w:eastAsia="zh-CN"/>
          <w14:textFill>
            <w14:solidFill>
              <w14:schemeClr w14:val="tx1"/>
            </w14:solidFill>
          </w14:textFill>
        </w:rPr>
        <w:t>三</w:t>
      </w:r>
      <w:r>
        <w:rPr>
          <w:rFonts w:hint="eastAsia" w:ascii="Times New Roman" w:hAnsi="Times New Roman" w:eastAsia="楷体_GB2312" w:cs="楷体_GB2312"/>
          <w:b w:val="0"/>
          <w:bCs w:val="0"/>
          <w:color w:val="000000" w:themeColor="text1"/>
          <w:sz w:val="32"/>
          <w:szCs w:val="32"/>
          <w:shd w:val="clear" w:color="auto" w:fill="auto"/>
          <w:lang w:eastAsia="zh-CN"/>
          <w14:textFill>
            <w14:solidFill>
              <w14:schemeClr w14:val="tx1"/>
            </w14:solidFill>
          </w14:textFill>
        </w:rPr>
        <w:t>）一级</w:t>
      </w:r>
      <w:r>
        <w:rPr>
          <w:rFonts w:hint="eastAsia" w:ascii="Times New Roman" w:hAnsi="Times New Roman" w:eastAsia="楷体_GB2312" w:cs="楷体_GB2312"/>
          <w:b w:val="0"/>
          <w:bCs w:val="0"/>
          <w:color w:val="000000" w:themeColor="text1"/>
          <w:sz w:val="32"/>
          <w:szCs w:val="32"/>
          <w:shd w:val="clear" w:color="auto" w:fill="auto"/>
          <w:lang w:val="en-US" w:eastAsia="zh-CN"/>
          <w14:textFill>
            <w14:solidFill>
              <w14:schemeClr w14:val="tx1"/>
            </w14:solidFill>
          </w14:textFill>
        </w:rPr>
        <w:t>辅助护理服务</w:t>
      </w:r>
    </w:p>
    <w:p w14:paraId="1AF5B98B">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服务时长：24小时</w:t>
      </w:r>
    </w:p>
    <w:p w14:paraId="26F9EA3A">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收费标准：不超过60元/天</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或按市场价调控）</w:t>
      </w:r>
    </w:p>
    <w:p w14:paraId="6893644B">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3.</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服务对象：适用于病情较重</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生活不能自理的患者</w:t>
      </w:r>
    </w:p>
    <w:p w14:paraId="5B31D75C">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4.</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服务内容：</w:t>
      </w:r>
    </w:p>
    <w:p w14:paraId="08398581">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在二级生活照护的基础上，提供与患者自理能力不足的照护需求相对应的辅助护理服务内容；</w:t>
      </w:r>
    </w:p>
    <w:p w14:paraId="15572A2D">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协助患者坐浴、擦浴、洗脚、泡脚、穿脱衣服；</w:t>
      </w:r>
    </w:p>
    <w:p w14:paraId="3868E52E">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3</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按时按需喂水、喂食，需要时协助评估进食、进水量，并做好记录；</w:t>
      </w:r>
    </w:p>
    <w:p w14:paraId="4B028E92">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4</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协助选择合适的如厕方式，完成如厕、大小便护理、更换尿垫、纸尿裤，会阴清洁；</w:t>
      </w:r>
    </w:p>
    <w:p w14:paraId="1DA6CE39">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5</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协助定时叩背、翻身、有效咳嗽，保持肢体功能位、变换体位、肢体按摩、进行康复功能锻炼；</w:t>
      </w:r>
    </w:p>
    <w:p w14:paraId="5D4C8C6C">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6</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协助留取标本、做好诊疗前相关准备；</w:t>
      </w:r>
    </w:p>
    <w:p w14:paraId="13227596">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7</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协助服药，并观察用药反应；</w:t>
      </w:r>
    </w:p>
    <w:p w14:paraId="324CC705">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8</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观察患者身体状况，发现异常及时报告医务人员；</w:t>
      </w:r>
    </w:p>
    <w:p w14:paraId="61EED6E9">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9</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陪伴患者，做好患者心理安抚，与患者及其家属有效沟通与交流；</w:t>
      </w:r>
    </w:p>
    <w:p w14:paraId="797645EC">
      <w:pPr>
        <w:pStyle w:val="17"/>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Autospacing="0" w:line="560" w:lineRule="exact"/>
        <w:ind w:left="0" w:leftChars="0" w:right="0" w:firstLine="640" w:firstLineChars="200"/>
        <w:textAlignment w:val="baseline"/>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lang w:val="en-US" w:eastAsia="zh-CN"/>
          <w14:textFill>
            <w14:solidFill>
              <w14:schemeClr w14:val="tx1"/>
            </w14:solidFill>
          </w14:textFill>
        </w:rPr>
        <w:t>10</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其他根据有关</w:t>
      </w:r>
      <w:r>
        <w:rPr>
          <w:rFonts w:hint="eastAsia" w:ascii="Times New Roman" w:hAnsi="Times New Roman" w:eastAsia="仿宋_GB2312" w:cs="仿宋_GB2312"/>
          <w:i w:val="0"/>
          <w:iCs w:val="0"/>
          <w:caps w:val="0"/>
          <w:color w:val="000000" w:themeColor="text1"/>
          <w:spacing w:val="0"/>
          <w:sz w:val="32"/>
          <w:szCs w:val="32"/>
          <w:shd w:val="clear" w:color="auto" w:fill="auto"/>
          <w:lang w:eastAsia="zh-CN"/>
          <w14:textFill>
            <w14:solidFill>
              <w14:schemeClr w14:val="tx1"/>
            </w14:solidFill>
          </w14:textFill>
        </w:rPr>
        <w:t>法律法规</w:t>
      </w:r>
      <w:r>
        <w:rPr>
          <w:rFonts w:hint="eastAsia" w:ascii="Times New Roman" w:hAnsi="Times New Roman" w:eastAsia="仿宋_GB2312" w:cs="仿宋_GB2312"/>
          <w:i w:val="0"/>
          <w:iCs w:val="0"/>
          <w:caps w:val="0"/>
          <w:color w:val="000000" w:themeColor="text1"/>
          <w:spacing w:val="0"/>
          <w:sz w:val="32"/>
          <w:szCs w:val="32"/>
          <w:shd w:val="clear" w:color="auto" w:fill="auto"/>
          <w14:textFill>
            <w14:solidFill>
              <w14:schemeClr w14:val="tx1"/>
            </w14:solidFill>
          </w14:textFill>
        </w:rPr>
        <w:t>、规章、政策、医疗机构制度等规定，医疗护理员在一级生活照护情况下应履行的服务内容。</w:t>
      </w:r>
    </w:p>
    <w:p w14:paraId="58D24305">
      <w:pPr>
        <w:pStyle w:val="4"/>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楷体_GB2312" w:cs="楷体_GB2312"/>
          <w:b w:val="0"/>
          <w:color w:val="000000" w:themeColor="text1"/>
          <w:sz w:val="32"/>
          <w:szCs w:val="32"/>
          <w:shd w:val="clear" w:color="auto" w:fill="auto"/>
          <w14:textFill>
            <w14:solidFill>
              <w14:schemeClr w14:val="tx1"/>
            </w14:solidFill>
          </w14:textFill>
        </w:rPr>
      </w:pPr>
      <w:r>
        <w:rPr>
          <w:rFonts w:hint="eastAsia" w:ascii="Times New Roman" w:hAnsi="Times New Roman" w:eastAsia="楷体_GB2312" w:cs="楷体_GB2312"/>
          <w:b w:val="0"/>
          <w:color w:val="000000" w:themeColor="text1"/>
          <w:kern w:val="2"/>
          <w:sz w:val="32"/>
          <w:szCs w:val="32"/>
          <w:shd w:val="clear" w:fill="auto"/>
          <w:lang w:eastAsia="zh-CN" w:bidi="ar-SA"/>
          <w14:textFill>
            <w14:solidFill>
              <w14:schemeClr w14:val="tx1"/>
            </w14:solidFill>
          </w14:textFill>
        </w:rPr>
        <w:t>（四）基础照护</w:t>
      </w:r>
      <w:r>
        <w:rPr>
          <w:rFonts w:hint="eastAsia" w:ascii="Times New Roman" w:hAnsi="Times New Roman" w:eastAsia="楷体_GB2312" w:cs="楷体_GB2312"/>
          <w:color w:val="000000" w:themeColor="text1"/>
          <w:sz w:val="32"/>
          <w:szCs w:val="32"/>
          <w:shd w:val="clear" w:color="auto" w:fill="auto"/>
          <w14:textFill>
            <w14:solidFill>
              <w14:schemeClr w14:val="tx1"/>
            </w14:solidFill>
          </w14:textFill>
        </w:rPr>
        <w:t>各班上班时间与工作职责范围</w:t>
      </w:r>
    </w:p>
    <w:p w14:paraId="68921910">
      <w:pPr>
        <w:pStyle w:val="5"/>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外送：7:30—22:00</w:t>
      </w:r>
    </w:p>
    <w:p w14:paraId="53B8DF02">
      <w:pPr>
        <w:pStyle w:val="12"/>
        <w:keepNext w:val="0"/>
        <w:keepLines w:val="0"/>
        <w:pageBreakBefore w:val="0"/>
        <w:widowControl w:val="0"/>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工作职责范围：外送住院病人B超、心电图、核酸检测、X光、CT、MRI等检查，为病人送各种检验检查标本、会诊单及申请单、预约单，送病历去结账、复印，领检验检查结果等。</w:t>
      </w:r>
    </w:p>
    <w:p w14:paraId="730EFD57">
      <w:pPr>
        <w:pStyle w:val="5"/>
        <w:keepNext w:val="0"/>
        <w:keepLines w:val="0"/>
        <w:pageBreakBefore w:val="0"/>
        <w:widowControl w:val="0"/>
        <w:numPr>
          <w:ilvl w:val="0"/>
          <w:numId w:val="2"/>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两头班：7:30—12:00（上午），15:00—18:00（下午）</w:t>
      </w:r>
    </w:p>
    <w:p w14:paraId="2493E79D">
      <w:pPr>
        <w:pStyle w:val="12"/>
        <w:keepNext w:val="0"/>
        <w:keepLines w:val="0"/>
        <w:pageBreakBefore w:val="0"/>
        <w:widowControl w:val="0"/>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工作职责范围：晨</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、晚</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间护理，拆病人出院床单位，铺备用床、术后备用床，协助长、晚班做好一、二、三级病人生活护理工作范围的服务。巡视病房</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，减少</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呼叫铃的呼叫，协助护士给病人翻身。</w:t>
      </w:r>
    </w:p>
    <w:p w14:paraId="6E6C89ED">
      <w:pPr>
        <w:pStyle w:val="5"/>
        <w:keepNext w:val="0"/>
        <w:keepLines w:val="0"/>
        <w:pageBreakBefore w:val="0"/>
        <w:widowControl w:val="0"/>
        <w:numPr>
          <w:ilvl w:val="0"/>
          <w:numId w:val="2"/>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长班：7:30—15:00</w:t>
      </w:r>
    </w:p>
    <w:p w14:paraId="16142762">
      <w:pPr>
        <w:pStyle w:val="12"/>
        <w:keepNext w:val="0"/>
        <w:keepLines w:val="0"/>
        <w:pageBreakBefore w:val="0"/>
        <w:widowControl w:val="0"/>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工作职责范围：和两头班一起做晨间护理，收好陪人床被，保持病区病人床单的整齐清洁，协助一级病人吃早餐、吃药，做好一、二、三级病人生活护理工作范围的服务。拆病人出院床，铺备用床、术后备用床，巡视病房减少呼叫铃的呼叫，协助</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护士</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给病人翻身。中午值班，协助一级病人吃午饭</w:t>
      </w:r>
      <w:r>
        <w:rPr>
          <w:rFonts w:hint="eastAsia"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吃药。必要时送急查病人检查。协助完成午间科室办公区域清洁整理及治疗室、治疗车、治疗仪的清洁消毒工作。</w:t>
      </w:r>
    </w:p>
    <w:p w14:paraId="3E88AB24">
      <w:pPr>
        <w:pStyle w:val="5"/>
        <w:keepNext w:val="0"/>
        <w:keepLines w:val="0"/>
        <w:pageBreakBefore w:val="0"/>
        <w:widowControl w:val="0"/>
        <w:numPr>
          <w:ilvl w:val="0"/>
          <w:numId w:val="2"/>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晚班：15:00—22:00</w:t>
      </w:r>
    </w:p>
    <w:p w14:paraId="4954DABD">
      <w:pPr>
        <w:pStyle w:val="12"/>
        <w:keepNext w:val="0"/>
        <w:keepLines w:val="0"/>
        <w:pageBreakBefore w:val="0"/>
        <w:widowControl w:val="0"/>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工作职责范围：协助一级病人吃晚饭、吃药，给一级病人床上擦浴、洗头，做好一、二、三级病人生活护理工作范围的服务。拆病人出院床，铺备用床、术后备用床，巡视病房减少呼叫铃的呼叫，协助护士给病人翻身。保持病区病人床单元的</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整洁</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，发陪人床被。协助完成晚间科室办公区域清洁整理及治疗室、治疗车、治疗仪的清洁消毒工作。必要时送急查病人检查。</w:t>
      </w:r>
    </w:p>
    <w:p w14:paraId="23B28901">
      <w:pPr>
        <w:pStyle w:val="12"/>
        <w:pageBreakBefore w:val="0"/>
        <w:widowControl/>
        <w:numPr>
          <w:ilvl w:val="0"/>
          <w:numId w:val="2"/>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kern w:val="2"/>
          <w:sz w:val="32"/>
          <w:szCs w:val="32"/>
          <w:shd w:val="clear" w:color="auto" w:fill="auto"/>
          <w:lang w:bidi="ar-SA"/>
          <w14:textFill>
            <w14:solidFill>
              <w14:schemeClr w14:val="tx1"/>
            </w14:solidFill>
          </w14:textFill>
        </w:rPr>
      </w:pPr>
      <w:r>
        <w:rPr>
          <w:rFonts w:hint="eastAsia" w:ascii="Times New Roman" w:hAnsi="Times New Roman" w:eastAsia="仿宋_GB2312" w:cs="仿宋_GB2312"/>
          <w:color w:val="000000" w:themeColor="text1"/>
          <w:kern w:val="2"/>
          <w:sz w:val="32"/>
          <w:szCs w:val="32"/>
          <w:shd w:val="clear" w:color="auto" w:fill="auto"/>
          <w:lang w:bidi="ar-SA"/>
          <w14:textFill>
            <w14:solidFill>
              <w14:schemeClr w14:val="tx1"/>
            </w14:solidFill>
          </w14:textFill>
        </w:rPr>
        <w:t>大夜班：22:00—7:30</w:t>
      </w:r>
    </w:p>
    <w:p w14:paraId="2B59EA61">
      <w:pPr>
        <w:pStyle w:val="12"/>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工作职责范围：做好一、二、三级病人生活护理工作范围的服务，协助护士帮病人翻身，早上7:00给一、二级病人做晨间护理。必要时送急查病人检查。</w:t>
      </w:r>
    </w:p>
    <w:p w14:paraId="3DD010E0">
      <w:pPr>
        <w:pStyle w:val="4"/>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黑体" w:hAnsi="黑体" w:eastAsia="黑体" w:cs="黑体"/>
          <w:b w:val="0"/>
          <w:color w:val="000000" w:themeColor="text1"/>
          <w:sz w:val="32"/>
          <w:szCs w:val="32"/>
          <w:shd w:val="clear" w:color="auto" w:fill="auto"/>
          <w14:textFill>
            <w14:solidFill>
              <w14:schemeClr w14:val="tx1"/>
            </w14:solidFill>
          </w14:textFill>
        </w:rPr>
      </w:pPr>
      <w:r>
        <w:rPr>
          <w:rFonts w:hint="eastAsia" w:ascii="黑体" w:hAnsi="黑体" w:eastAsia="黑体" w:cs="黑体"/>
          <w:b w:val="0"/>
          <w:color w:val="000000" w:themeColor="text1"/>
          <w:kern w:val="2"/>
          <w:sz w:val="32"/>
          <w:szCs w:val="32"/>
          <w:shd w:val="clear" w:fill="auto"/>
          <w:lang w:eastAsia="zh-CN" w:bidi="ar-SA"/>
          <w14:textFill>
            <w14:solidFill>
              <w14:schemeClr w14:val="tx1"/>
            </w14:solidFill>
          </w14:textFill>
        </w:rPr>
        <w:t>二</w:t>
      </w:r>
      <w:r>
        <w:rPr>
          <w:rFonts w:hint="eastAsia" w:ascii="黑体" w:hAnsi="黑体" w:eastAsia="黑体" w:cs="黑体"/>
          <w:b w:val="0"/>
          <w:color w:val="000000" w:themeColor="text1"/>
          <w:kern w:val="2"/>
          <w:sz w:val="32"/>
          <w:szCs w:val="32"/>
          <w:shd w:val="clear" w:fill="auto"/>
          <w:lang w:bidi="ar-SA"/>
          <w14:textFill>
            <w14:solidFill>
              <w14:schemeClr w14:val="tx1"/>
            </w14:solidFill>
          </w14:textFill>
        </w:rPr>
        <w:t>、</w:t>
      </w:r>
      <w:r>
        <w:rPr>
          <w:rFonts w:hint="eastAsia" w:ascii="黑体" w:hAnsi="黑体" w:eastAsia="黑体" w:cs="黑体"/>
          <w:color w:val="000000" w:themeColor="text1"/>
          <w:sz w:val="32"/>
          <w:szCs w:val="32"/>
          <w:shd w:val="clear" w:color="auto" w:fill="auto"/>
          <w14:textFill>
            <w14:solidFill>
              <w14:schemeClr w14:val="tx1"/>
            </w14:solidFill>
          </w14:textFill>
        </w:rPr>
        <w:t>免陪照护服务</w:t>
      </w:r>
    </w:p>
    <w:p w14:paraId="159F187B">
      <w:pPr>
        <w:pStyle w:val="12"/>
        <w:pageBreakBefore w:val="0"/>
        <w:widowControl/>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在没有家属和</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医疗护理员</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参与的情况下，完全由护理员承担患者全部生活护理，所有照护行为均需在医务人员指导下或经医务人员同意后进行。</w:t>
      </w:r>
    </w:p>
    <w:p w14:paraId="52B6E620">
      <w:pPr>
        <w:pStyle w:val="17"/>
        <w:keepNext w:val="0"/>
        <w:keepLines w:val="0"/>
        <w:pageBreakBefore w:val="0"/>
        <w:widowControl/>
        <w:numPr>
          <w:ilvl w:val="0"/>
          <w:numId w:val="0"/>
        </w:numPr>
        <w:suppressLineNumbers w:val="0"/>
        <w:wordWrap/>
        <w:overflowPunct/>
        <w:topLinePunct w:val="0"/>
        <w:bidi w:val="0"/>
        <w:adjustRightInd w:val="0"/>
        <w:spacing w:beforeAutospacing="0" w:afterAutospacing="0" w:line="560" w:lineRule="exact"/>
        <w:ind w:left="0" w:leftChars="0" w:right="0" w:rightChars="0" w:firstLine="640" w:firstLineChars="200"/>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snapToGrid w:val="0"/>
          <w:color w:val="000000" w:themeColor="text1"/>
          <w:spacing w:val="0"/>
          <w:kern w:val="0"/>
          <w:sz w:val="32"/>
          <w:szCs w:val="32"/>
          <w:shd w:val="clear" w:fill="FFFFFF"/>
          <w:lang w:val="en-US" w:eastAsia="en-US" w:bidi="ar-SA"/>
          <w14:textFill>
            <w14:solidFill>
              <w14:schemeClr w14:val="tx1"/>
            </w14:solidFill>
          </w14:textFill>
        </w:rPr>
        <w:t>1.</w:t>
      </w:r>
      <w:r>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t>服务时长：</w:t>
      </w:r>
      <w:r>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t>24小时</w:t>
      </w:r>
    </w:p>
    <w:p w14:paraId="6CBBD8D6">
      <w:pPr>
        <w:pStyle w:val="17"/>
        <w:keepNext w:val="0"/>
        <w:keepLines w:val="0"/>
        <w:pageBreakBefore w:val="0"/>
        <w:widowControl/>
        <w:numPr>
          <w:ilvl w:val="0"/>
          <w:numId w:val="0"/>
        </w:numPr>
        <w:suppressLineNumbers w:val="0"/>
        <w:wordWrap/>
        <w:overflowPunct/>
        <w:topLinePunct w:val="0"/>
        <w:bidi w:val="0"/>
        <w:adjustRightInd w:val="0"/>
        <w:spacing w:beforeAutospacing="0" w:afterAutospacing="0" w:line="560" w:lineRule="exact"/>
        <w:ind w:left="0" w:leftChars="0" w:right="0" w:rightChars="0" w:firstLine="640" w:firstLineChars="200"/>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snapToGrid w:val="0"/>
          <w:color w:val="000000" w:themeColor="text1"/>
          <w:spacing w:val="0"/>
          <w:kern w:val="0"/>
          <w:sz w:val="32"/>
          <w:szCs w:val="32"/>
          <w:shd w:val="clear" w:fill="FFFFFF"/>
          <w:lang w:val="en-US" w:eastAsia="en-US" w:bidi="ar-SA"/>
          <w14:textFill>
            <w14:solidFill>
              <w14:schemeClr w14:val="tx1"/>
            </w14:solidFill>
          </w14:textFill>
        </w:rPr>
        <w:t>2.</w:t>
      </w:r>
      <w:r>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t>收费标准：</w:t>
      </w:r>
    </w:p>
    <w:p w14:paraId="3A241730">
      <w:pPr>
        <w:pStyle w:val="17"/>
        <w:keepNext w:val="0"/>
        <w:keepLines w:val="0"/>
        <w:pageBreakBefore w:val="0"/>
        <w:widowControl/>
        <w:numPr>
          <w:ilvl w:val="0"/>
          <w:numId w:val="0"/>
        </w:numPr>
        <w:suppressLineNumbers w:val="0"/>
        <w:wordWrap/>
        <w:overflowPunct/>
        <w:topLinePunct w:val="0"/>
        <w:bidi w:val="0"/>
        <w:adjustRightInd w:val="0"/>
        <w:spacing w:beforeAutospacing="0" w:afterAutospacing="0" w:line="560" w:lineRule="exact"/>
        <w:ind w:left="0" w:leftChars="0" w:right="0" w:rightChars="0" w:firstLine="640" w:firstLineChars="200"/>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t>“一对三”不超过1</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40</w:t>
      </w:r>
      <w:r>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t>元/天；</w:t>
      </w:r>
    </w:p>
    <w:p w14:paraId="78B2AE57">
      <w:pPr>
        <w:pStyle w:val="17"/>
        <w:keepNext w:val="0"/>
        <w:keepLines w:val="0"/>
        <w:pageBreakBefore w:val="0"/>
        <w:widowControl/>
        <w:numPr>
          <w:ilvl w:val="0"/>
          <w:numId w:val="0"/>
        </w:numPr>
        <w:suppressLineNumbers w:val="0"/>
        <w:wordWrap/>
        <w:overflowPunct/>
        <w:topLinePunct w:val="0"/>
        <w:bidi w:val="0"/>
        <w:adjustRightInd w:val="0"/>
        <w:spacing w:beforeAutospacing="0" w:afterAutospacing="0" w:line="560" w:lineRule="exact"/>
        <w:ind w:left="0" w:leftChars="0" w:right="0" w:rightChars="0" w:firstLine="640" w:firstLineChars="200"/>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t>“一对二”不超过</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180</w:t>
      </w:r>
      <w:r>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t>元/天；</w:t>
      </w:r>
    </w:p>
    <w:p w14:paraId="41B5CA08">
      <w:pPr>
        <w:pStyle w:val="17"/>
        <w:keepNext w:val="0"/>
        <w:keepLines w:val="0"/>
        <w:pageBreakBefore w:val="0"/>
        <w:widowControl/>
        <w:numPr>
          <w:ilvl w:val="0"/>
          <w:numId w:val="0"/>
        </w:numPr>
        <w:suppressLineNumbers w:val="0"/>
        <w:wordWrap/>
        <w:overflowPunct/>
        <w:topLinePunct w:val="0"/>
        <w:bidi w:val="0"/>
        <w:adjustRightInd w:val="0"/>
        <w:spacing w:beforeAutospacing="0" w:afterAutospacing="0" w:line="560" w:lineRule="exact"/>
        <w:ind w:left="0" w:leftChars="0" w:right="0" w:rightChars="0" w:firstLine="640" w:firstLineChars="200"/>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pPr>
      <w:r>
        <w:rPr>
          <w:rFonts w:hint="eastAsia" w:ascii="Times New Roman" w:hAnsi="Times New Roman" w:eastAsia="仿宋_GB2312" w:cs="仿宋_GB2312"/>
          <w:i w:val="0"/>
          <w:iCs w:val="0"/>
          <w:caps w:val="0"/>
          <w:color w:val="000000" w:themeColor="text1"/>
          <w:spacing w:val="0"/>
          <w:sz w:val="32"/>
          <w:szCs w:val="32"/>
          <w:shd w:val="clear" w:fill="FFFFFF"/>
          <w:lang w:eastAsia="zh-CN"/>
          <w14:textFill>
            <w14:solidFill>
              <w14:schemeClr w14:val="tx1"/>
            </w14:solidFill>
          </w14:textFill>
        </w:rPr>
        <w:t>“</w:t>
      </w:r>
      <w:r>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t>一对一”不超过2</w:t>
      </w:r>
      <w:r>
        <w:rPr>
          <w:rFonts w:hint="eastAsia" w:ascii="Times New Roman" w:hAnsi="Times New Roman" w:eastAsia="仿宋_GB2312" w:cs="仿宋_GB2312"/>
          <w:i w:val="0"/>
          <w:iCs w:val="0"/>
          <w:caps w:val="0"/>
          <w:color w:val="000000" w:themeColor="text1"/>
          <w:spacing w:val="0"/>
          <w:sz w:val="32"/>
          <w:szCs w:val="32"/>
          <w:shd w:val="clear" w:fill="FFFFFF"/>
          <w:lang w:val="en-US" w:eastAsia="zh-CN"/>
          <w14:textFill>
            <w14:solidFill>
              <w14:schemeClr w14:val="tx1"/>
            </w14:solidFill>
          </w14:textFill>
        </w:rPr>
        <w:t>50</w:t>
      </w:r>
      <w:r>
        <w:rPr>
          <w:rFonts w:hint="eastAsia" w:ascii="Times New Roman" w:hAnsi="Times New Roman" w:eastAsia="仿宋_GB2312" w:cs="仿宋_GB2312"/>
          <w:i w:val="0"/>
          <w:iCs w:val="0"/>
          <w:caps w:val="0"/>
          <w:color w:val="000000" w:themeColor="text1"/>
          <w:spacing w:val="0"/>
          <w:sz w:val="32"/>
          <w:szCs w:val="32"/>
          <w:shd w:val="clear" w:fill="FFFFFF"/>
          <w14:textFill>
            <w14:solidFill>
              <w14:schemeClr w14:val="tx1"/>
            </w14:solidFill>
          </w14:textFill>
        </w:rPr>
        <w:t>元/天。</w:t>
      </w:r>
    </w:p>
    <w:p w14:paraId="49FF7C91">
      <w:pPr>
        <w:pStyle w:val="17"/>
        <w:keepNext w:val="0"/>
        <w:keepLines w:val="0"/>
        <w:pageBreakBefore w:val="0"/>
        <w:widowControl/>
        <w:numPr>
          <w:ilvl w:val="0"/>
          <w:numId w:val="0"/>
        </w:numPr>
        <w:suppressLineNumbers w:val="0"/>
        <w:wordWrap/>
        <w:overflowPunct/>
        <w:topLinePunct w:val="0"/>
        <w:bidi w:val="0"/>
        <w:adjustRightInd w:val="0"/>
        <w:spacing w:beforeAutospacing="0" w:afterAutospacing="0" w:line="560" w:lineRule="exact"/>
        <w:ind w:left="0" w:leftChars="0" w:right="0" w:rightChars="0" w:firstLine="640" w:firstLineChars="200"/>
        <w:rPr>
          <w:rFonts w:hint="eastAsia" w:ascii="仿宋_GB2312" w:hAnsi="仿宋_GB2312" w:eastAsia="仿宋_GB2312" w:cs="仿宋_GB2312"/>
          <w:b/>
          <w:bCs/>
          <w:i w:val="0"/>
          <w:iCs w:val="0"/>
          <w:caps w:val="0"/>
          <w:snapToGrid w:val="0"/>
          <w:color w:val="000000" w:themeColor="text1"/>
          <w:spacing w:val="0"/>
          <w:kern w:val="0"/>
          <w:sz w:val="32"/>
          <w:szCs w:val="32"/>
          <w:shd w:val="clear" w:fill="FFFFFF"/>
          <w:lang w:val="en-US" w:eastAsia="zh-CN" w:bidi="ar-SA"/>
          <w14:textFill>
            <w14:solidFill>
              <w14:schemeClr w14:val="tx1"/>
            </w14:solidFill>
          </w14:textFill>
        </w:rPr>
      </w:pPr>
      <w:r>
        <w:rPr>
          <w:rFonts w:hint="eastAsia" w:ascii="仿宋_GB2312" w:hAnsi="仿宋_GB2312" w:eastAsia="仿宋_GB2312" w:cs="仿宋_GB2312"/>
          <w:b/>
          <w:bCs/>
          <w:i w:val="0"/>
          <w:iCs w:val="0"/>
          <w:caps w:val="0"/>
          <w:snapToGrid w:val="0"/>
          <w:color w:val="000000" w:themeColor="text1"/>
          <w:spacing w:val="0"/>
          <w:kern w:val="0"/>
          <w:sz w:val="32"/>
          <w:szCs w:val="32"/>
          <w:shd w:val="clear" w:fill="FFFFFF"/>
          <w:lang w:val="en-US" w:eastAsia="zh-CN" w:bidi="ar-SA"/>
          <w14:textFill>
            <w14:solidFill>
              <w14:schemeClr w14:val="tx1"/>
            </w14:solidFill>
          </w14:textFill>
        </w:rPr>
        <w:t>（1）清洁照护服务内容</w:t>
      </w:r>
    </w:p>
    <w:p w14:paraId="10AD3BCA">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①</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整理病房环境，定时通风；</w:t>
      </w:r>
    </w:p>
    <w:p w14:paraId="6EDB1D29">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②</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协助整理床单位，按需更换床上用品；</w:t>
      </w:r>
    </w:p>
    <w:p w14:paraId="0AD0CAD4">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协助晨晚间护理，包括梳头，清洁面部、口腔、会阴部和手足部；</w:t>
      </w:r>
    </w:p>
    <w:p w14:paraId="18258E52">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④</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协助洗头、沐浴或擦浴；</w:t>
      </w:r>
    </w:p>
    <w:p w14:paraId="3AE6AA9E">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⑤</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协助更换衣物；</w:t>
      </w:r>
    </w:p>
    <w:p w14:paraId="2EE330FC">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⑥</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协助清洁活动义齿，修剪指（趾）甲；</w:t>
      </w:r>
    </w:p>
    <w:p w14:paraId="7B1632E3">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⑦</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注意事项：观察患者反应，出现异常情况及时报告医务人员。动作轻柔，保护患者隐私与安全，注意保暖。</w:t>
      </w:r>
    </w:p>
    <w:p w14:paraId="57DB8DBD">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lang w:val="en-US" w:eastAsia="zh-CN"/>
          <w14:textFill>
            <w14:solidFill>
              <w14:schemeClr w14:val="tx1"/>
            </w14:solidFill>
          </w14:textFill>
        </w:rPr>
      </w:pPr>
      <w:r>
        <w:rPr>
          <w:rFonts w:hint="eastAsia" w:ascii="Times New Roman" w:hAnsi="Times New Roman" w:eastAsia="仿宋_GB2312" w:cs="仿宋_GB2312"/>
          <w:b/>
          <w:bCs/>
          <w:i w:val="0"/>
          <w:iCs w:val="0"/>
          <w:caps w:val="0"/>
          <w:snapToGrid w:val="0"/>
          <w:color w:val="000000" w:themeColor="text1"/>
          <w:spacing w:val="0"/>
          <w:kern w:val="0"/>
          <w:sz w:val="32"/>
          <w:szCs w:val="32"/>
          <w:shd w:val="clear" w:fill="FFFFFF"/>
          <w:lang w:val="en-US" w:eastAsia="zh-CN" w:bidi="ar-SA"/>
          <w14:textFill>
            <w14:solidFill>
              <w14:schemeClr w14:val="tx1"/>
            </w14:solidFill>
          </w14:textFill>
        </w:rPr>
        <w:t>（2）饮食照护服务内容</w:t>
      </w:r>
    </w:p>
    <w:p w14:paraId="54F2929A">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①</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协助餐前洗手、准备就餐环境；</w:t>
      </w:r>
    </w:p>
    <w:p w14:paraId="57582D04">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②</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协助准备进食所需用品；</w:t>
      </w:r>
    </w:p>
    <w:p w14:paraId="2948BC4E">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协助摆放适当进食（水）体位；</w:t>
      </w:r>
    </w:p>
    <w:p w14:paraId="63C54FA5">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④</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协助进食（水）；</w:t>
      </w:r>
    </w:p>
    <w:p w14:paraId="41BA3BB9">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⑤</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协助餐后清洁及整理；</w:t>
      </w:r>
    </w:p>
    <w:p w14:paraId="14DF0AD6">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⑥</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注意事项：协助患者进食（水）前，与医务人员确认患者饮食有无禁忌。注意食物（水）的温度、进食（水）的速度和量。患者出现吞咽困难、呛咳、恶心、呕吐等情况，及时报告医务人员。</w:t>
      </w:r>
    </w:p>
    <w:p w14:paraId="56F95681">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bCs/>
          <w:i w:val="0"/>
          <w:iCs w:val="0"/>
          <w:caps w:val="0"/>
          <w:snapToGrid w:val="0"/>
          <w:color w:val="000000" w:themeColor="text1"/>
          <w:spacing w:val="0"/>
          <w:kern w:val="0"/>
          <w:sz w:val="32"/>
          <w:szCs w:val="32"/>
          <w:shd w:val="clear" w:fill="FFFFFF"/>
          <w:lang w:val="en-US" w:eastAsia="zh-CN" w:bidi="ar-SA"/>
          <w14:textFill>
            <w14:solidFill>
              <w14:schemeClr w14:val="tx1"/>
            </w14:solidFill>
          </w14:textFill>
        </w:rPr>
      </w:pPr>
      <w:r>
        <w:rPr>
          <w:rFonts w:hint="eastAsia" w:ascii="Times New Roman" w:hAnsi="Times New Roman" w:eastAsia="仿宋_GB2312" w:cs="仿宋_GB2312"/>
          <w:b/>
          <w:bCs/>
          <w:i w:val="0"/>
          <w:iCs w:val="0"/>
          <w:caps w:val="0"/>
          <w:snapToGrid w:val="0"/>
          <w:color w:val="000000" w:themeColor="text1"/>
          <w:spacing w:val="0"/>
          <w:kern w:val="0"/>
          <w:sz w:val="32"/>
          <w:szCs w:val="32"/>
          <w:shd w:val="clear" w:fill="FFFFFF"/>
          <w:lang w:val="en-US" w:eastAsia="zh-CN" w:bidi="ar-SA"/>
          <w14:textFill>
            <w14:solidFill>
              <w14:schemeClr w14:val="tx1"/>
            </w14:solidFill>
          </w14:textFill>
        </w:rPr>
        <w:t>（3）睡眠照护服务内容</w:t>
      </w:r>
    </w:p>
    <w:p w14:paraId="00999A81">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①</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协助做好睡前准备，拉好床档；</w:t>
      </w:r>
    </w:p>
    <w:p w14:paraId="6028F4B0">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②</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协助调整适当的睡眠体位；</w:t>
      </w:r>
    </w:p>
    <w:p w14:paraId="756BE4E3">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协助盖好被服，观察患者入睡情况；</w:t>
      </w:r>
    </w:p>
    <w:p w14:paraId="28FBD930">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④</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注意事项：注意观察患者的骨折部位、伤口、皮肤破溃处是否受压，以及患者的各种管路是否打折、受压等</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注意观察患者睡眠过程中是否出现呼吸不畅、失眠等情况，如有</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，及时</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报告医务人员。</w:t>
      </w:r>
    </w:p>
    <w:p w14:paraId="64FA52AF">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bCs/>
          <w:i w:val="0"/>
          <w:iCs w:val="0"/>
          <w:caps w:val="0"/>
          <w:snapToGrid w:val="0"/>
          <w:color w:val="000000" w:themeColor="text1"/>
          <w:spacing w:val="0"/>
          <w:kern w:val="0"/>
          <w:sz w:val="32"/>
          <w:szCs w:val="32"/>
          <w:shd w:val="clear" w:fill="FFFFFF"/>
          <w:lang w:val="en-US" w:eastAsia="zh-CN" w:bidi="ar-SA"/>
          <w14:textFill>
            <w14:solidFill>
              <w14:schemeClr w14:val="tx1"/>
            </w14:solidFill>
          </w14:textFill>
        </w:rPr>
      </w:pPr>
      <w:r>
        <w:rPr>
          <w:rFonts w:hint="eastAsia" w:ascii="Times New Roman" w:hAnsi="Times New Roman" w:eastAsia="仿宋_GB2312" w:cs="仿宋_GB2312"/>
          <w:b/>
          <w:bCs/>
          <w:i w:val="0"/>
          <w:iCs w:val="0"/>
          <w:caps w:val="0"/>
          <w:snapToGrid w:val="0"/>
          <w:color w:val="000000" w:themeColor="text1"/>
          <w:spacing w:val="0"/>
          <w:kern w:val="0"/>
          <w:sz w:val="32"/>
          <w:szCs w:val="32"/>
          <w:shd w:val="clear" w:fill="FFFFFF"/>
          <w:lang w:val="en-US" w:eastAsia="zh-CN" w:bidi="ar-SA"/>
          <w14:textFill>
            <w14:solidFill>
              <w14:schemeClr w14:val="tx1"/>
            </w14:solidFill>
          </w14:textFill>
        </w:rPr>
        <w:t>（4）排泄照护服务内容</w:t>
      </w:r>
    </w:p>
    <w:p w14:paraId="273C0636">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①</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协助选择适当的如厕方式，并完成如厕；</w:t>
      </w:r>
    </w:p>
    <w:p w14:paraId="29483CCF">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②</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协助床上使用便盆或尿壶；</w:t>
      </w:r>
    </w:p>
    <w:p w14:paraId="7BCE547F">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协助便后清洁，按需更换医用保护垫等用品；</w:t>
      </w:r>
    </w:p>
    <w:p w14:paraId="1D7A82E5">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④</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必要时协助留取大小便标本；</w:t>
      </w:r>
    </w:p>
    <w:p w14:paraId="5924ECCB">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⑤</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协助观察会阴、肛周等皮肤是否出现发红、破溃等情况</w:t>
      </w:r>
      <w:r>
        <w:rPr>
          <w:rFonts w:hint="eastAsia" w:eastAsia="仿宋_GB2312" w:cs="仿宋_GB2312"/>
          <w:color w:val="000000" w:themeColor="text1"/>
          <w:sz w:val="32"/>
          <w:szCs w:val="32"/>
          <w:shd w:val="clear" w:color="auto" w:fill="auto"/>
          <w:lang w:eastAsia="zh-CN"/>
          <w14:textFill>
            <w14:solidFill>
              <w14:schemeClr w14:val="tx1"/>
            </w14:solidFill>
          </w14:textFill>
        </w:rPr>
        <w:t>；</w:t>
      </w:r>
    </w:p>
    <w:p w14:paraId="6F89094A">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⑥</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注意事项：注意患者排泄习惯，帮助其适应住院期间的排泄方式。如厕过程中保护患者隐私，关注其平衡能力及稳定性，注意安全。如厕过程中患者如有不适或出现跌倒、管路滑脱等情况，及时报告医务人员。</w:t>
      </w:r>
    </w:p>
    <w:p w14:paraId="7DEA200E">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lang w:eastAsia="zh-CN"/>
          <w14:textFill>
            <w14:solidFill>
              <w14:schemeClr w14:val="tx1"/>
            </w14:solidFill>
          </w14:textFill>
        </w:rPr>
      </w:pPr>
      <w:r>
        <w:rPr>
          <w:rFonts w:hint="eastAsia" w:ascii="Times New Roman" w:hAnsi="Times New Roman" w:eastAsia="仿宋_GB2312" w:cs="仿宋_GB2312"/>
          <w:b/>
          <w:bCs/>
          <w:i w:val="0"/>
          <w:iCs w:val="0"/>
          <w:caps w:val="0"/>
          <w:snapToGrid w:val="0"/>
          <w:color w:val="000000" w:themeColor="text1"/>
          <w:spacing w:val="0"/>
          <w:kern w:val="0"/>
          <w:sz w:val="32"/>
          <w:szCs w:val="32"/>
          <w:shd w:val="clear" w:fill="FFFFFF"/>
          <w:lang w:val="en-US" w:eastAsia="zh-CN" w:bidi="ar-SA"/>
          <w14:textFill>
            <w14:solidFill>
              <w14:schemeClr w14:val="tx1"/>
            </w14:solidFill>
          </w14:textFill>
        </w:rPr>
        <w:t>（5）移动照护服务内容</w:t>
      </w:r>
    </w:p>
    <w:p w14:paraId="2085CA13">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①</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协助采取合适体位并定时变换；</w:t>
      </w:r>
    </w:p>
    <w:p w14:paraId="1844528D">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②</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协助床上移动；</w:t>
      </w:r>
    </w:p>
    <w:p w14:paraId="68BDE5E7">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协助肢体主动或被动活动；</w:t>
      </w:r>
    </w:p>
    <w:p w14:paraId="16CD465D">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④</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协助使用平车、轮椅等工具移动患者；</w:t>
      </w:r>
    </w:p>
    <w:p w14:paraId="53E8294C">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⑤</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协助上下床活动；</w:t>
      </w:r>
    </w:p>
    <w:p w14:paraId="67C824D2">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highlight w:val="none"/>
          <w:lang w:val="en-US" w:eastAsia="zh-CN"/>
          <w14:textFill>
            <w14:solidFill>
              <w14:schemeClr w14:val="tx1"/>
            </w14:solidFill>
          </w14:textFill>
        </w:rPr>
        <w:t>⑥</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注意事项：注意节力、安全原则。注意在患者移动时保护各种管路，发现管路打折、牵拉、脱出等情况，及时报告医务人员。变换体位时，保护局部皮肤，发现伤口或受压部位出现异常情况，及时报告医务人员。在患者移动过程中，注意避免发生跌倒或坠床等。</w:t>
      </w:r>
    </w:p>
    <w:p w14:paraId="74A10CED">
      <w:pPr>
        <w:pStyle w:val="4"/>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cs="黑体"/>
          <w:b w:val="0"/>
          <w:color w:val="000000" w:themeColor="text1"/>
          <w:kern w:val="2"/>
          <w:sz w:val="32"/>
          <w:szCs w:val="32"/>
          <w:shd w:val="clear" w:fill="auto"/>
          <w:lang w:eastAsia="zh-CN" w:bidi="ar-SA"/>
          <w14:textFill>
            <w14:solidFill>
              <w14:schemeClr w14:val="tx1"/>
            </w14:solidFill>
          </w14:textFill>
        </w:rPr>
      </w:pPr>
      <w:r>
        <w:rPr>
          <w:rFonts w:hint="eastAsia" w:ascii="Times New Roman" w:hAnsi="Times New Roman" w:cs="黑体"/>
          <w:b w:val="0"/>
          <w:color w:val="000000" w:themeColor="text1"/>
          <w:kern w:val="2"/>
          <w:sz w:val="32"/>
          <w:szCs w:val="32"/>
          <w:shd w:val="clear" w:fill="auto"/>
          <w:lang w:val="en-US" w:eastAsia="zh-CN" w:bidi="ar-SA"/>
          <w14:textFill>
            <w14:solidFill>
              <w14:schemeClr w14:val="tx1"/>
            </w14:solidFill>
          </w14:textFill>
        </w:rPr>
        <w:t>三、</w:t>
      </w:r>
      <w:r>
        <w:rPr>
          <w:rFonts w:hint="eastAsia" w:ascii="Times New Roman" w:hAnsi="Times New Roman" w:cs="黑体"/>
          <w:b w:val="0"/>
          <w:color w:val="000000" w:themeColor="text1"/>
          <w:kern w:val="2"/>
          <w:sz w:val="32"/>
          <w:szCs w:val="32"/>
          <w:shd w:val="clear" w:fill="auto"/>
          <w:lang w:eastAsia="zh-CN" w:bidi="ar-SA"/>
          <w14:textFill>
            <w14:solidFill>
              <w14:schemeClr w14:val="tx1"/>
            </w14:solidFill>
          </w14:textFill>
        </w:rPr>
        <w:t>工作要求</w:t>
      </w:r>
    </w:p>
    <w:p w14:paraId="362F1B14">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楷体_GB2312" w:cs="楷体_GB2312"/>
          <w:b w:val="0"/>
          <w:bCs w:val="0"/>
          <w:color w:val="000000" w:themeColor="text1"/>
          <w:sz w:val="32"/>
          <w:szCs w:val="32"/>
          <w:shd w:val="clear" w:color="auto" w:fill="auto"/>
          <w14:textFill>
            <w14:solidFill>
              <w14:schemeClr w14:val="tx1"/>
            </w14:solidFill>
          </w14:textFill>
        </w:rPr>
      </w:pPr>
      <w:r>
        <w:rPr>
          <w:rFonts w:hint="eastAsia" w:ascii="Times New Roman" w:hAnsi="Times New Roman" w:eastAsia="楷体_GB2312" w:cs="楷体_GB2312"/>
          <w:b w:val="0"/>
          <w:bCs w:val="0"/>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楷体_GB2312" w:cs="楷体_GB2312"/>
          <w:b w:val="0"/>
          <w:bCs w:val="0"/>
          <w:color w:val="000000" w:themeColor="text1"/>
          <w:sz w:val="32"/>
          <w:szCs w:val="32"/>
          <w:shd w:val="clear" w:color="auto" w:fill="auto"/>
          <w:lang w:val="en-US" w:eastAsia="zh-CN"/>
          <w14:textFill>
            <w14:solidFill>
              <w14:schemeClr w14:val="tx1"/>
            </w14:solidFill>
          </w14:textFill>
        </w:rPr>
        <w:t>一）</w:t>
      </w:r>
      <w:r>
        <w:rPr>
          <w:rFonts w:hint="eastAsia" w:ascii="Times New Roman" w:hAnsi="Times New Roman" w:eastAsia="楷体_GB2312" w:cs="楷体_GB2312"/>
          <w:b w:val="0"/>
          <w:bCs w:val="0"/>
          <w:color w:val="000000" w:themeColor="text1"/>
          <w:sz w:val="32"/>
          <w:szCs w:val="32"/>
          <w:shd w:val="clear" w:color="auto" w:fill="auto"/>
          <w14:textFill>
            <w14:solidFill>
              <w14:schemeClr w14:val="tx1"/>
            </w14:solidFill>
          </w14:textFill>
        </w:rPr>
        <w:t>医疗护理员上岗条件及素质要求。</w:t>
      </w:r>
    </w:p>
    <w:p w14:paraId="0CD8A7C0">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年龄满18周岁至60周岁，初中以上文化程度，近三个月健康体检合格（按照</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新员工入职体检标准）。</w:t>
      </w:r>
    </w:p>
    <w:p w14:paraId="49477A13">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医疗护理员录用前必须经过政审合格，上岗前须经过自治区人力资源社会保障厅公布的培训机构组织的职业技能培训，并具备自治区人力资源社会保障厅颁发的病患陪护专项职业能力证书。</w:t>
      </w:r>
    </w:p>
    <w:p w14:paraId="6EEDC5F2">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3.</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品行良好，有责任心，具备良好沟通能力，尊重关心爱护服务对象</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，具</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有较好的团队协作精神，无刑事犯罪记录及其他不适合从事医疗护理员工作的情况。</w:t>
      </w:r>
    </w:p>
    <w:p w14:paraId="721CAD4F">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4.</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医疗护理员应按照要求进行个人信息登记，并提交居民身份证或者其他有效身份证件复印件</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p>
    <w:p w14:paraId="5D447E82">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5.</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医疗护理员不能隐瞒精神病病史及传染性疾病病史，患有传染性疾病、化脓性/渗出性皮肤病或其他可能影响患者健康的疾病，应当立即离岗治疗，治愈后方可重新上岗。</w:t>
      </w:r>
    </w:p>
    <w:p w14:paraId="3A7CEF31">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6.</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医疗护理员需接受</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医院组织的</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基础护理、安全保护、突发事件处理、安全生产及消防</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医院感染预防等知识的相关培训。</w:t>
      </w:r>
    </w:p>
    <w:p w14:paraId="3E2B4FBC">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7.服从医院各项规章制度管理，服从病区管理及领班的工作安排，不能推脱。</w:t>
      </w:r>
    </w:p>
    <w:p w14:paraId="1D4DA1B9">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8.在科室人员指导下协助完成办公区域清洁整理及治疗室、治疗车、治疗仪的清洁消毒工作。</w:t>
      </w:r>
    </w:p>
    <w:p w14:paraId="317B6F54">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9.了解所护理病人的基本情况，</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核对</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好床号、姓名、护理的内容。</w:t>
      </w:r>
    </w:p>
    <w:p w14:paraId="0734ADCB">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10.根据病情上好床栏，防止病人坠床。</w:t>
      </w:r>
    </w:p>
    <w:p w14:paraId="2937EE2E">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11.只可担任病人的生活护理，禁止替代护士从事的治疗护理工作。</w:t>
      </w:r>
    </w:p>
    <w:p w14:paraId="30B80006">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12.在病室中，必须做到五轻（走路轻、说话轻、操作轻、拿放物品轻、关门窗轻），不可带亲友在病室闲谈和留宿。</w:t>
      </w:r>
    </w:p>
    <w:p w14:paraId="51398308">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13.工作时，要保持病室环境安全，注意病人的行踪，以免意外事件发生。</w:t>
      </w:r>
    </w:p>
    <w:p w14:paraId="0CE850D7">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14.值班人员必须在交班前完成本班工作，整理好用物，遇有特殊情况，必须详细</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交代</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。与接班者共同完成好交接工作，方能下班。</w:t>
      </w:r>
    </w:p>
    <w:p w14:paraId="604382F1">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15.接班时发现问题，应由交班者负责，接班后发现问题，则由接班者负责。接班者未到岗位或未接好班，交班者不得离开岗位。</w:t>
      </w:r>
    </w:p>
    <w:p w14:paraId="157FE5CA">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16.工作中不得有消极怠工及</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拖延</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行为，应力争以最快的时间完成每一项工作。</w:t>
      </w:r>
    </w:p>
    <w:p w14:paraId="5A22D8B6">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17.工作中必须团结协作，密切配合，根据需要随时协助其他同事的工作。</w:t>
      </w:r>
    </w:p>
    <w:p w14:paraId="47940648">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18.自己的生活用品整齐放置，不占用病人床位空间；服从医院消防管理，服从科室消防安全管理。</w:t>
      </w:r>
    </w:p>
    <w:p w14:paraId="66BAA71A">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楷体_GB2312" w:cs="楷体_GB2312"/>
          <w:b w:val="0"/>
          <w:bCs w:val="0"/>
          <w:color w:val="000000" w:themeColor="text1"/>
          <w:sz w:val="32"/>
          <w:szCs w:val="32"/>
          <w:shd w:val="clear" w:color="auto" w:fill="auto"/>
          <w14:textFill>
            <w14:solidFill>
              <w14:schemeClr w14:val="tx1"/>
            </w14:solidFill>
          </w14:textFill>
        </w:rPr>
      </w:pPr>
      <w:r>
        <w:rPr>
          <w:rFonts w:hint="eastAsia" w:ascii="Times New Roman" w:hAnsi="Times New Roman" w:eastAsia="楷体_GB2312" w:cs="楷体_GB2312"/>
          <w:b w:val="0"/>
          <w:bCs w:val="0"/>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楷体_GB2312" w:cs="楷体_GB2312"/>
          <w:b w:val="0"/>
          <w:bCs w:val="0"/>
          <w:color w:val="000000" w:themeColor="text1"/>
          <w:sz w:val="32"/>
          <w:szCs w:val="32"/>
          <w:shd w:val="clear" w:color="auto" w:fill="auto"/>
          <w:lang w:val="en-US" w:eastAsia="zh-CN"/>
          <w14:textFill>
            <w14:solidFill>
              <w14:schemeClr w14:val="tx1"/>
            </w14:solidFill>
          </w14:textFill>
        </w:rPr>
        <w:t>二）</w:t>
      </w:r>
      <w:r>
        <w:rPr>
          <w:rFonts w:hint="eastAsia" w:ascii="Times New Roman" w:hAnsi="Times New Roman" w:eastAsia="楷体_GB2312" w:cs="楷体_GB2312"/>
          <w:b w:val="0"/>
          <w:bCs w:val="0"/>
          <w:color w:val="000000" w:themeColor="text1"/>
          <w:sz w:val="32"/>
          <w:szCs w:val="32"/>
          <w:shd w:val="clear" w:color="auto" w:fill="auto"/>
          <w14:textFill>
            <w14:solidFill>
              <w14:schemeClr w14:val="tx1"/>
            </w14:solidFill>
          </w14:textFill>
        </w:rPr>
        <w:t>医疗护理员不得有以下行为。</w:t>
      </w:r>
    </w:p>
    <w:p w14:paraId="11CAD5D8">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连接或者拔除输液管路、调节输液速度、更换、拔除引流管等。</w:t>
      </w:r>
    </w:p>
    <w:p w14:paraId="4D8B99B9">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操作急救诊疗设施设备。</w:t>
      </w:r>
    </w:p>
    <w:p w14:paraId="1B58E039">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3.</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调节氧气开关，更换或者加减湿化瓶用水。</w:t>
      </w:r>
    </w:p>
    <w:p w14:paraId="56A6CC17">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4.</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未经医务人员指导和同意，协助进行鼻饲灌注食物或者药物。</w:t>
      </w:r>
    </w:p>
    <w:p w14:paraId="5F58371D">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5.</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未经医务人员指导和同意，协助进行热敷、冷敷</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、治疗仪调试或拆除</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w:t>
      </w:r>
    </w:p>
    <w:p w14:paraId="0EB00EBE">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6.</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未经医务人员指导和同意，为危重、术后或者病情不稳定患者更换床单、改变体位或者下床活动等。</w:t>
      </w:r>
    </w:p>
    <w:p w14:paraId="2CE10CCC">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7.</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开展</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其他</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医疗卫生专业技术活动，质疑和（或）干扰医疗机构各项诊疗活动行为。</w:t>
      </w:r>
    </w:p>
    <w:p w14:paraId="0C256FEC">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8.</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擅自翻阅病历或者其他医疗文书，侵犯患者隐私、身心健康的言语和行为。</w:t>
      </w:r>
    </w:p>
    <w:p w14:paraId="4E84B57F">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9.</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为患者解释病情、治疗方案，推荐药品（商品）。</w:t>
      </w:r>
    </w:p>
    <w:p w14:paraId="706BB718">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10.</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在医疗机构从事黄、赌、毒、酗酒等违法违规行为，进行与工作无关的行为，如玩手机、扎堆聊天。</w:t>
      </w:r>
    </w:p>
    <w:p w14:paraId="7C9E3777">
      <w:pPr>
        <w:pStyle w:val="4"/>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宋体" w:cs="Times New Roman"/>
          <w:color w:val="000000" w:themeColor="text1"/>
          <w:sz w:val="32"/>
          <w:szCs w:val="32"/>
          <w:shd w:val="clear" w:color="auto" w:fill="auto"/>
          <w14:textFill>
            <w14:solidFill>
              <w14:schemeClr w14:val="tx1"/>
            </w14:solidFill>
          </w14:textFill>
        </w:rPr>
      </w:pPr>
      <w:r>
        <w:rPr>
          <w:rFonts w:hint="eastAsia" w:ascii="Times New Roman" w:hAnsi="Times New Roman" w:cs="黑体"/>
          <w:b w:val="0"/>
          <w:color w:val="000000" w:themeColor="text1"/>
          <w:kern w:val="2"/>
          <w:sz w:val="32"/>
          <w:szCs w:val="32"/>
          <w:shd w:val="clear" w:fill="auto"/>
          <w:lang w:val="en-US" w:eastAsia="zh-CN" w:bidi="ar-SA"/>
          <w14:textFill>
            <w14:solidFill>
              <w14:schemeClr w14:val="tx1"/>
            </w14:solidFill>
          </w14:textFill>
        </w:rPr>
        <w:t>四、医疗护理员辅助护理服务质量管理与考核</w:t>
      </w:r>
    </w:p>
    <w:p w14:paraId="2B59844B">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楷体_GB2312" w:cs="楷体_GB2312"/>
          <w:color w:val="000000" w:themeColor="text1"/>
          <w:sz w:val="32"/>
          <w:szCs w:val="32"/>
          <w:shd w:val="clear" w:color="auto" w:fill="auto"/>
          <w14:textFill>
            <w14:solidFill>
              <w14:schemeClr w14:val="tx1"/>
            </w14:solidFill>
          </w14:textFill>
        </w:rPr>
      </w:pPr>
      <w:r>
        <w:rPr>
          <w:rFonts w:hint="eastAsia" w:ascii="Times New Roman" w:hAnsi="Times New Roman" w:eastAsia="楷体_GB2312" w:cs="楷体_GB2312"/>
          <w:color w:val="000000" w:themeColor="text1"/>
          <w:sz w:val="32"/>
          <w:szCs w:val="32"/>
          <w:shd w:val="clear" w:color="auto" w:fill="auto"/>
          <w:lang w:eastAsia="zh-CN"/>
          <w14:textFill>
            <w14:solidFill>
              <w14:schemeClr w14:val="tx1"/>
            </w14:solidFill>
          </w14:textFill>
        </w:rPr>
        <w:t>（一）</w:t>
      </w:r>
      <w:r>
        <w:rPr>
          <w:rFonts w:hint="eastAsia" w:ascii="Times New Roman" w:hAnsi="Times New Roman" w:eastAsia="楷体_GB2312" w:cs="楷体_GB2312"/>
          <w:color w:val="000000" w:themeColor="text1"/>
          <w:sz w:val="32"/>
          <w:szCs w:val="32"/>
          <w:shd w:val="clear" w:color="auto" w:fill="auto"/>
          <w14:textFill>
            <w14:solidFill>
              <w14:schemeClr w14:val="tx1"/>
            </w14:solidFill>
          </w14:textFill>
        </w:rPr>
        <w:t>考核原则。</w:t>
      </w:r>
    </w:p>
    <w:p w14:paraId="2AFFB71F">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对存在的问题进行记录并作为当年的考核依据，合同期内</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需更新考核标准，以</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更新后的标准为准。</w:t>
      </w:r>
    </w:p>
    <w:p w14:paraId="71DFE383">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楷体_GB2312" w:cs="楷体_GB2312"/>
          <w:color w:val="000000" w:themeColor="text1"/>
          <w:sz w:val="32"/>
          <w:szCs w:val="32"/>
          <w:shd w:val="clear" w:color="auto" w:fill="auto"/>
          <w14:textFill>
            <w14:solidFill>
              <w14:schemeClr w14:val="tx1"/>
            </w14:solidFill>
          </w14:textFill>
        </w:rPr>
      </w:pPr>
      <w:r>
        <w:rPr>
          <w:rFonts w:hint="eastAsia" w:ascii="Times New Roman" w:hAnsi="Times New Roman" w:eastAsia="楷体_GB2312" w:cs="楷体_GB2312"/>
          <w:color w:val="000000" w:themeColor="text1"/>
          <w:sz w:val="32"/>
          <w:szCs w:val="32"/>
          <w:shd w:val="clear" w:color="auto" w:fill="auto"/>
          <w:lang w:eastAsia="zh-CN"/>
          <w14:textFill>
            <w14:solidFill>
              <w14:schemeClr w14:val="tx1"/>
            </w14:solidFill>
          </w14:textFill>
        </w:rPr>
        <w:t>（二）</w:t>
      </w:r>
      <w:r>
        <w:rPr>
          <w:rFonts w:hint="eastAsia" w:ascii="Times New Roman" w:hAnsi="Times New Roman" w:eastAsia="楷体_GB2312" w:cs="楷体_GB2312"/>
          <w:color w:val="000000" w:themeColor="text1"/>
          <w:sz w:val="32"/>
          <w:szCs w:val="32"/>
          <w:shd w:val="clear" w:color="auto" w:fill="auto"/>
          <w14:textFill>
            <w14:solidFill>
              <w14:schemeClr w14:val="tx1"/>
            </w14:solidFill>
          </w14:textFill>
        </w:rPr>
        <w:t>考核标准。</w:t>
      </w:r>
    </w:p>
    <w:p w14:paraId="06ECCE03">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考核标准包括：医疗护理员服务考核评价、医疗护理员满意度评价</w:t>
      </w:r>
    </w:p>
    <w:p w14:paraId="1BF95A8E">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eastAsia="仿宋_GB2312" w:cs="仿宋_GB2312"/>
          <w:color w:val="000000" w:themeColor="text1"/>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根据医疗护理员服务考核评价标准，定期及不定期考核医疗护理员服务质量。考核结果分优（≥95分）、良（90—95分，不含90），不合格（90分以下）。</w:t>
      </w:r>
    </w:p>
    <w:p w14:paraId="25FA052B">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eastAsia="仿宋_GB2312" w:cs="仿宋_GB2312"/>
          <w:color w:val="000000" w:themeColor="text1"/>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满意度评价包括患者（患者家属）满意度及医院职工满意度，满意率</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均须</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达到90%及以上，满意率90%以下为不合格。</w:t>
      </w:r>
    </w:p>
    <w:p w14:paraId="54ED89B2">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3.质量反馈及持续改进。</w:t>
      </w:r>
    </w:p>
    <w:p w14:paraId="3CD8499C">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管理人员应每周自查并及时向医疗护理员反馈检查存在的问题，分析原因及提出改进措施并跟进整改落实的情况。</w:t>
      </w:r>
    </w:p>
    <w:p w14:paraId="1555651F">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（2）</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每月向</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以书面形式呈报每月检查存在的问题、满意度调查结果、需院方相关部门协调解决的问题等，共同讨论整改措施，制定下个月检查及管理的重点，如遇特殊情况，</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应随时汇报。</w:t>
      </w:r>
    </w:p>
    <w:p w14:paraId="4F37F5C5">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4.处罚（处罚金额每季度结算一次）。</w:t>
      </w:r>
    </w:p>
    <w:p w14:paraId="234804C3">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当月出现考核不合格，处罚200元/次；满意率低于90%，则每低1分处罚100元，可叠加处罚。</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可责令</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限期进行整改。如</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在限期内</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未</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完成整改，仍存在服务质量问题，</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有权终止合同。</w:t>
      </w:r>
    </w:p>
    <w:p w14:paraId="551902AB">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（2）凡因服务态度或</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其他</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原因导致不良事件或有效投诉者，予以处罚100元/件；不良事件发生后</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没有及时报告或有意隐瞒不报</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主管部门，</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主管部门</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从其他渠道知道</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时，同时叠加处罚100元/次。凡在事件中产生的民事赔偿和应负的法律负责由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承担。</w:t>
      </w:r>
    </w:p>
    <w:p w14:paraId="77841B52">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（3）如果</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派驻的医疗护理员导致患者发生意外或损伤、死亡（包括但不限于坠床、摔倒、滑倒、呛食、噎食、烫（烧）伤、压力性损伤、冻伤、自杀、出走、坠楼、病情变化以及其他意外或损伤等），</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承担全部损害赔偿责任，并负责妥善解决争议。</w:t>
      </w:r>
    </w:p>
    <w:p w14:paraId="47E5F5BE">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（4）如</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发现服务区域内存在以</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名义从事辅助护理服务工作的“黑陪护”“私陪”等零散从业人员，</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有权按照1000元/人/天进行处罚。</w:t>
      </w:r>
    </w:p>
    <w:p w14:paraId="42D1F2C5">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（5）</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及医疗护理员，应对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和患者的信息进行保密。任何情况下，</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及医疗护理员不得私自将</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或患者信息提供给任何单位与个人。</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在任何时候泄露</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或者患者信息，由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承担全部经济责任及法律责任，并向</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支付500000元违约金。</w:t>
      </w:r>
    </w:p>
    <w:p w14:paraId="1ED8F6C8">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（6）</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在履行本合同中存在违法、违约、违规或违背社会伦理道德等行为，被媒体以及其他传播途径曝光或被社会关注，直接或间接</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地</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影响另一方的声誉、名誉和社会评价下降或者有此可能时，</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有权提前解除本合同，并要求违约方承担违约金人民币500000元，同时要求</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通过相同或类似媒体及传播途径在相同或与影响相当范围内向社会公众澄清事实并恢复另一方的声誉、名誉和社会评价，有关费用由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自行承担，因此发生的一切责任和损失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包括但不限于双方损失及第三方损失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均由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承担。</w:t>
      </w:r>
    </w:p>
    <w:p w14:paraId="3C773315">
      <w:pPr>
        <w:pStyle w:val="4"/>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黑体" w:cs="黑体"/>
          <w:color w:val="000000" w:themeColor="text1"/>
          <w:sz w:val="32"/>
          <w:szCs w:val="32"/>
          <w:shd w:val="clear" w:color="auto" w:fill="auto"/>
          <w14:textFill>
            <w14:solidFill>
              <w14:schemeClr w14:val="tx1"/>
            </w14:solidFill>
          </w14:textFill>
        </w:rPr>
      </w:pPr>
      <w:r>
        <w:rPr>
          <w:rFonts w:hint="eastAsia" w:ascii="Times New Roman" w:hAnsi="Times New Roman" w:cs="黑体"/>
          <w:color w:val="000000" w:themeColor="text1"/>
          <w:kern w:val="2"/>
          <w:sz w:val="32"/>
          <w:szCs w:val="32"/>
          <w:shd w:val="clear" w:fill="auto"/>
          <w:lang w:val="en-US" w:eastAsia="zh-CN" w:bidi="ar-SA"/>
          <w14:textFill>
            <w14:solidFill>
              <w14:schemeClr w14:val="tx1"/>
            </w14:solidFill>
          </w14:textFill>
        </w:rPr>
        <w:t>五</w:t>
      </w:r>
      <w:r>
        <w:rPr>
          <w:rFonts w:hint="eastAsia" w:ascii="Times New Roman" w:hAnsi="Times New Roman" w:eastAsia="黑体" w:cs="黑体"/>
          <w:color w:val="000000" w:themeColor="text1"/>
          <w:kern w:val="2"/>
          <w:sz w:val="32"/>
          <w:szCs w:val="32"/>
          <w:shd w:val="clear" w:fill="auto"/>
          <w:lang w:bidi="ar-SA"/>
          <w14:textFill>
            <w14:solidFill>
              <w14:schemeClr w14:val="tx1"/>
            </w14:solidFill>
          </w14:textFill>
        </w:rPr>
        <w:t>、</w:t>
      </w:r>
      <w:r>
        <w:rPr>
          <w:rFonts w:hint="eastAsia" w:cs="黑体"/>
          <w:color w:val="000000" w:themeColor="text1"/>
          <w:kern w:val="2"/>
          <w:sz w:val="32"/>
          <w:szCs w:val="32"/>
          <w:shd w:val="clear" w:fill="auto"/>
          <w:lang w:val="en-US" w:eastAsia="zh-CN" w:bidi="ar-SA"/>
          <w14:textFill>
            <w14:solidFill>
              <w14:schemeClr w14:val="tx1"/>
            </w14:solidFill>
          </w14:textFill>
        </w:rPr>
        <w:t>供应商</w:t>
      </w:r>
      <w:r>
        <w:rPr>
          <w:rFonts w:hint="eastAsia" w:ascii="Times New Roman" w:hAnsi="Times New Roman" w:eastAsia="黑体" w:cs="黑体"/>
          <w:color w:val="000000" w:themeColor="text1"/>
          <w:sz w:val="32"/>
          <w:szCs w:val="32"/>
          <w:shd w:val="clear" w:color="auto" w:fill="auto"/>
          <w14:textFill>
            <w14:solidFill>
              <w14:schemeClr w14:val="tx1"/>
            </w14:solidFill>
          </w14:textFill>
        </w:rPr>
        <w:t>要求</w:t>
      </w:r>
    </w:p>
    <w:p w14:paraId="603F1B31">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kern w:val="2"/>
          <w:sz w:val="32"/>
          <w:szCs w:val="32"/>
          <w:shd w:val="clear" w:fill="auto"/>
          <w:lang w:bidi="ar-SA"/>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需满足且接受双系统监管考核要求，即护理员管理平台可接入政府监管系统，实时同步</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医疗护理员</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资质及考核记录，并向</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定期提供相关监管数据及分析。</w:t>
      </w:r>
    </w:p>
    <w:p w14:paraId="1764FE06">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kern w:val="2"/>
          <w:sz w:val="32"/>
          <w:szCs w:val="32"/>
          <w:shd w:val="clear" w:fill="auto"/>
          <w:lang w:bidi="ar-SA"/>
          <w14:textFill>
            <w14:solidFill>
              <w14:schemeClr w14:val="tx1"/>
            </w14:solidFill>
          </w14:textFill>
        </w:rPr>
        <w:t>2.</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应定期接受地方部门、医疗机构要求的规范化培训，建立护理员档案包，包含但不限于：医疗护理员资格证、应急救护（CPR/AED）证书、个人服务时长及好评率档案。</w:t>
      </w:r>
    </w:p>
    <w:p w14:paraId="4B0CEB93">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kern w:val="2"/>
          <w:sz w:val="32"/>
          <w:szCs w:val="32"/>
          <w:shd w:val="clear" w:fill="auto"/>
          <w:lang w:bidi="ar-SA"/>
          <w14:textFill>
            <w14:solidFill>
              <w14:schemeClr w14:val="tx1"/>
            </w14:solidFill>
          </w14:textFill>
        </w:rPr>
        <w:t>3.</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供应商按照《中华人民共和国</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社会保险法》等国家和自治区的相关法律法规及时为员工办理社会保险参保手续。</w:t>
      </w:r>
    </w:p>
    <w:p w14:paraId="6C2E4148">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kern w:val="2"/>
          <w:sz w:val="32"/>
          <w:szCs w:val="32"/>
          <w:shd w:val="clear" w:fill="auto"/>
          <w:lang w:bidi="ar-SA"/>
          <w14:textFill>
            <w14:solidFill>
              <w14:schemeClr w14:val="tx1"/>
            </w14:solidFill>
          </w14:textFill>
        </w:rPr>
        <w:t>4.</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招聘和使用员工应遵守《中华人民共和国劳动法》等法律法规的规定。因</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未遵守相关规定引发纠纷</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而导</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致</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连带责任的赔偿由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承担。</w:t>
      </w:r>
    </w:p>
    <w:p w14:paraId="130F0F40">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kern w:val="2"/>
          <w:sz w:val="32"/>
          <w:szCs w:val="32"/>
          <w:shd w:val="clear" w:fill="auto"/>
          <w:lang w:bidi="ar-SA"/>
          <w14:textFill>
            <w14:solidFill>
              <w14:schemeClr w14:val="tx1"/>
            </w14:solidFill>
          </w14:textFill>
        </w:rPr>
        <w:t>5.</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为员工提供完成工作任务所必须的防护和劳动工具，防止职业危害发生。</w:t>
      </w:r>
    </w:p>
    <w:p w14:paraId="02C018F8">
      <w:pPr>
        <w:pStyle w:val="12"/>
        <w:keepNext w:val="0"/>
        <w:keepLines w:val="0"/>
        <w:pageBreakBefore w:val="0"/>
        <w:widowControl w:val="0"/>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kern w:val="2"/>
          <w:sz w:val="32"/>
          <w:szCs w:val="32"/>
          <w:shd w:val="clear" w:fill="auto"/>
          <w:lang w:bidi="ar-SA"/>
          <w14:textFill>
            <w14:solidFill>
              <w14:schemeClr w14:val="tx1"/>
            </w14:solidFill>
          </w14:textFill>
        </w:rPr>
        <w:t>6.</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根据国家各类传染病管理要求做好员工的防控和培训教育，服从医院感染控制管理，如由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人员因不认真落实感染控制管理要求，造成感染事件的由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全部负责。</w:t>
      </w:r>
    </w:p>
    <w:p w14:paraId="7D06AE55">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7.</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聘请有护理工作经历的人员进行管理，并保证每天有管理人员到各科室督促、检查工作，发现问题及时解决，不能解决的及时向</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监管部门反映和汇报。</w:t>
      </w:r>
    </w:p>
    <w:p w14:paraId="6BFAEC14">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8.</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按合同工作内容提供服务，遵守医院规定，保证</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物品、设施设备安全完整。因</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员工过错造成损坏者，由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按损失价值给予赔偿。</w:t>
      </w:r>
    </w:p>
    <w:p w14:paraId="4D52C106">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9.</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风险控制措施</w:t>
      </w:r>
    </w:p>
    <w:p w14:paraId="16FBE586">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服务稳定性：</w:t>
      </w:r>
      <w:r>
        <w:rPr>
          <w:rFonts w:hint="eastAsia" w:eastAsia="仿宋_GB2312" w:cs="仿宋_GB2312"/>
          <w:color w:val="000000" w:themeColor="text1"/>
          <w:sz w:val="32"/>
          <w:szCs w:val="32"/>
          <w:shd w:val="clear" w:color="auto" w:fill="auto"/>
          <w:lang w:val="en-US"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需储备10%机动护理员，应对人员流动或突发需求，保障医院的医疗秩序不受影响。</w:t>
      </w:r>
    </w:p>
    <w:p w14:paraId="11DB2947">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2</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安全管理：</w:t>
      </w:r>
      <w:r>
        <w:rPr>
          <w:rFonts w:hint="eastAsia" w:eastAsia="仿宋_GB2312" w:cs="仿宋_GB2312"/>
          <w:color w:val="000000" w:themeColor="text1"/>
          <w:sz w:val="32"/>
          <w:szCs w:val="32"/>
          <w:shd w:val="clear" w:color="auto" w:fill="auto"/>
          <w:lang w:val="en-US"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为护理员购买工伤保险、第三方责任险，我院不承担用工风险。明确禁止护理员从事医疗操作（如输液、拔管等），违规行为由机构承担全部责任。</w:t>
      </w:r>
    </w:p>
    <w:p w14:paraId="255B28F1">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3</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应急响应：建立24小时值班制度，护理员发现患者异常需5分钟内报告护士；</w:t>
      </w:r>
      <w:r>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t>发生纠纷时，</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机构现场管理人员15分钟内到达纠纷现场，配合我院处理投诉。</w:t>
      </w:r>
    </w:p>
    <w:p w14:paraId="1D340034">
      <w:pPr>
        <w:pStyle w:val="4"/>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黑体" w:cs="仿宋_GB2312"/>
          <w:color w:val="000000" w:themeColor="text1"/>
          <w:sz w:val="32"/>
          <w:szCs w:val="32"/>
          <w:shd w:val="clear" w:color="auto" w:fill="auto"/>
          <w:lang w:eastAsia="zh-CN"/>
          <w14:textFill>
            <w14:solidFill>
              <w14:schemeClr w14:val="tx1"/>
            </w14:solidFill>
          </w14:textFill>
        </w:rPr>
      </w:pPr>
      <w:r>
        <w:rPr>
          <w:rFonts w:hint="eastAsia" w:ascii="Times New Roman" w:hAnsi="Times New Roman" w:cs="黑体"/>
          <w:color w:val="000000" w:themeColor="text1"/>
          <w:kern w:val="2"/>
          <w:sz w:val="32"/>
          <w:szCs w:val="32"/>
          <w:shd w:val="clear" w:fill="auto"/>
          <w:lang w:val="en-US" w:eastAsia="zh-CN" w:bidi="ar-SA"/>
          <w14:textFill>
            <w14:solidFill>
              <w14:schemeClr w14:val="tx1"/>
            </w14:solidFill>
          </w14:textFill>
        </w:rPr>
        <w:t>六</w:t>
      </w:r>
      <w:r>
        <w:rPr>
          <w:rFonts w:hint="eastAsia" w:ascii="Times New Roman" w:hAnsi="Times New Roman" w:eastAsia="黑体" w:cs="黑体"/>
          <w:color w:val="000000" w:themeColor="text1"/>
          <w:kern w:val="2"/>
          <w:sz w:val="32"/>
          <w:szCs w:val="32"/>
          <w:shd w:val="clear" w:fill="auto"/>
          <w:lang w:bidi="ar-SA"/>
          <w14:textFill>
            <w14:solidFill>
              <w14:schemeClr w14:val="tx1"/>
            </w14:solidFill>
          </w14:textFill>
        </w:rPr>
        <w:t>、</w:t>
      </w:r>
      <w:r>
        <w:rPr>
          <w:rFonts w:hint="eastAsia" w:ascii="Times New Roman" w:hAnsi="Times New Roman"/>
          <w:color w:val="000000" w:themeColor="text1"/>
          <w:sz w:val="32"/>
          <w:szCs w:val="32"/>
          <w:shd w:val="clear" w:color="auto" w:fill="auto"/>
          <w:lang w:eastAsia="zh-CN"/>
          <w14:textFill>
            <w14:solidFill>
              <w14:schemeClr w14:val="tx1"/>
            </w14:solidFill>
          </w14:textFill>
        </w:rPr>
        <w:t>医院</w:t>
      </w:r>
      <w:r>
        <w:rPr>
          <w:rFonts w:ascii="Times New Roman" w:hAnsi="Times New Roman"/>
          <w:color w:val="000000" w:themeColor="text1"/>
          <w:sz w:val="32"/>
          <w:szCs w:val="32"/>
          <w:shd w:val="clear" w:color="auto" w:fill="auto"/>
          <w14:textFill>
            <w14:solidFill>
              <w14:schemeClr w14:val="tx1"/>
            </w14:solidFill>
          </w14:textFill>
        </w:rPr>
        <w:t>权利</w:t>
      </w:r>
    </w:p>
    <w:p w14:paraId="66395A0E">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kern w:val="2"/>
          <w:sz w:val="32"/>
          <w:szCs w:val="32"/>
          <w:shd w:val="clear" w:fill="auto"/>
          <w:lang w:bidi="ar-SA"/>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有权监督</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工作的开展、培训和管理情况，对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提交的年度工作计划和总结、人员安排等管理内容进行监督及提出合理化建议，督促</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提高服务水准和优质服务。</w:t>
      </w:r>
    </w:p>
    <w:p w14:paraId="248300DA">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2.</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服务质量进行监督检查考核。</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定期、不定期对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服务工作进行检查，如发现</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服务标准要求未达到合同约定的标准要求，违规操作和对工作流程不熟悉、不规范和不执行时，</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有权按合同约定进行处罚，如</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考核评价三次低于80分</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有权单方面解除合同</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无条件执行，所产生的后果和经济损失由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承担。</w:t>
      </w:r>
    </w:p>
    <w:p w14:paraId="39849891">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3.</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的服务质量进行考核或满意度调查问卷，对考核或问卷结果进行奖励或处罚，</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eastAsia="仿宋_GB2312" w:cs="仿宋_GB2312"/>
          <w:color w:val="000000" w:themeColor="text1"/>
          <w:sz w:val="32"/>
          <w:szCs w:val="32"/>
          <w:shd w:val="clear" w:color="auto" w:fill="auto"/>
          <w:lang w:eastAsia="zh-CN"/>
          <w14:textFill>
            <w14:solidFill>
              <w14:schemeClr w14:val="tx1"/>
            </w14:solidFill>
          </w14:textFill>
        </w:rPr>
        <w:t>制定</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调查满意度的内容及调查的科室、职工和病人的数量不得进行干涉。</w:t>
      </w:r>
    </w:p>
    <w:p w14:paraId="6EFE86A2">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4.</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指定专人负责督查</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日常工作内容及工作任务执行情况，对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服务时间内不按要求规定规范进行服务时，</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提出整改意见并责令限期整改，如不整改彻底</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有权进行</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处</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罚。</w:t>
      </w:r>
    </w:p>
    <w:p w14:paraId="2AE73B12">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5.</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有权要求</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制定制度、计划、科室工作流程和培训内容等管理，合理安排员工工作和休息时间，有权监督</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的工作安排、人员调整、绩效考核评分、日常工作质量和服务质量情况等，有权要求</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无条件严格遵守执行。</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人员有领导权、监管权、决定权、分配权、工资发放知情权。</w:t>
      </w:r>
    </w:p>
    <w:p w14:paraId="2FD7E3E8">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6.</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在服务质量方面出现不安全生产、不规范操作、偷窃、赌博、吸毒、打架斗殴、严重失职、营私舞弊、违反法律法规和规章制度、无组织无纪律迟到早退、出现服务质量事故、被投诉、造成不良事件等情况（包含但不限于以上情况），</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有权视情节轻重对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进行相应处罚。</w:t>
      </w:r>
    </w:p>
    <w:p w14:paraId="0349B62A">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7.</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在</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院区内未经</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同意擅自承揽任何业务的行为，</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有权追究并处罚。如有违法违规行为，</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有权进行报警。</w:t>
      </w:r>
    </w:p>
    <w:p w14:paraId="7F4EC65F">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8.</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因所招服务人员的技能或素质等原因，导致不能按照</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要求按时按质按量完成工作任务的，</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有权委托给第三方公司进行处理，其产生的费用按相同级别岗位的投标报价等额扣除。</w:t>
      </w:r>
    </w:p>
    <w:p w14:paraId="69B7F1EA">
      <w:pPr>
        <w:pStyle w:val="12"/>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color w:val="000000" w:themeColor="text1"/>
          <w:kern w:val="2"/>
          <w:sz w:val="32"/>
          <w:szCs w:val="32"/>
          <w:shd w:val="clear" w:fill="auto"/>
          <w:lang w:bidi="ar-SA"/>
          <w14:textFill>
            <w14:solidFill>
              <w14:schemeClr w14:val="tx1"/>
            </w14:solidFill>
          </w14:textFill>
        </w:rPr>
        <w:t>9.</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因</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原因，在合同结束时未配合</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与新中标方按时完成移交工作，由此产生的一切后果由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承担，期间产生的损失费用</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有权按相同级别岗位的投标报价等额从服务费中扣除。</w:t>
      </w:r>
    </w:p>
    <w:p w14:paraId="2C93CB0C">
      <w:pPr>
        <w:pStyle w:val="3"/>
        <w:keepNext w:val="0"/>
        <w:keepLines w:val="0"/>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黑体" w:cs="仿宋_GB2312"/>
          <w:color w:val="000000" w:themeColor="text1"/>
          <w:sz w:val="32"/>
          <w:szCs w:val="32"/>
          <w:shd w:val="clear" w:color="auto" w:fill="auto"/>
          <w:lang w:val="en-US" w:eastAsia="zh-CN"/>
          <w14:textFill>
            <w14:solidFill>
              <w14:schemeClr w14:val="tx1"/>
            </w14:solidFill>
          </w14:textFill>
        </w:rPr>
      </w:pPr>
      <w:r>
        <w:rPr>
          <w:rFonts w:hint="eastAsia" w:ascii="Times New Roman" w:hAnsi="Times New Roman" w:eastAsia="黑体" w:cs="Times New Roman"/>
          <w:b w:val="0"/>
          <w:color w:val="000000" w:themeColor="text1"/>
          <w:kern w:val="44"/>
          <w:sz w:val="32"/>
          <w:szCs w:val="32"/>
          <w:shd w:val="clear" w:fill="auto"/>
          <w:lang w:bidi="ar-SA"/>
          <w14:textFill>
            <w14:solidFill>
              <w14:schemeClr w14:val="tx1"/>
            </w14:solidFill>
          </w14:textFill>
        </w:rPr>
        <w:t>第</w:t>
      </w:r>
      <w:r>
        <w:rPr>
          <w:rFonts w:hint="eastAsia" w:cs="Times New Roman"/>
          <w:b w:val="0"/>
          <w:color w:val="000000" w:themeColor="text1"/>
          <w:kern w:val="44"/>
          <w:sz w:val="32"/>
          <w:szCs w:val="32"/>
          <w:shd w:val="clear" w:fill="auto"/>
          <w:lang w:val="en-US" w:eastAsia="zh-CN" w:bidi="ar-SA"/>
          <w14:textFill>
            <w14:solidFill>
              <w14:schemeClr w14:val="tx1"/>
            </w14:solidFill>
          </w14:textFill>
        </w:rPr>
        <w:t>三</w:t>
      </w:r>
      <w:r>
        <w:rPr>
          <w:rFonts w:hint="eastAsia" w:ascii="Times New Roman" w:hAnsi="Times New Roman" w:eastAsia="黑体" w:cs="Times New Roman"/>
          <w:b w:val="0"/>
          <w:color w:val="000000" w:themeColor="text1"/>
          <w:kern w:val="44"/>
          <w:sz w:val="32"/>
          <w:szCs w:val="32"/>
          <w:shd w:val="clear" w:fill="auto"/>
          <w:lang w:bidi="ar-SA"/>
          <w14:textFill>
            <w14:solidFill>
              <w14:schemeClr w14:val="tx1"/>
            </w14:solidFill>
          </w14:textFill>
        </w:rPr>
        <w:t>章</w:t>
      </w:r>
      <w:r>
        <w:rPr>
          <w:rFonts w:ascii="Times New Roman" w:hAnsi="Times New Roman"/>
          <w:color w:val="000000" w:themeColor="text1"/>
          <w:sz w:val="32"/>
          <w:szCs w:val="32"/>
          <w:shd w:val="clear" w:color="auto" w:fill="auto"/>
          <w14:textFill>
            <w14:solidFill>
              <w14:schemeClr w14:val="tx1"/>
            </w14:solidFill>
          </w14:textFill>
        </w:rPr>
        <w:t>报价与费用结算</w:t>
      </w:r>
      <w:r>
        <w:rPr>
          <w:rFonts w:hint="eastAsia" w:ascii="Times New Roman" w:hAnsi="Times New Roman"/>
          <w:color w:val="000000" w:themeColor="text1"/>
          <w:sz w:val="32"/>
          <w:szCs w:val="32"/>
          <w:shd w:val="clear" w:color="auto" w:fill="auto"/>
          <w:lang w:val="en-US" w:eastAsia="zh-CN"/>
          <w14:textFill>
            <w14:solidFill>
              <w14:schemeClr w14:val="tx1"/>
            </w14:solidFill>
          </w14:textFill>
        </w:rPr>
        <w:t>方式</w:t>
      </w:r>
    </w:p>
    <w:p w14:paraId="5DC6D475">
      <w:pPr>
        <w:keepNext w:val="0"/>
        <w:keepLines w:val="0"/>
        <w:pageBreakBefore w:val="0"/>
        <w:widowControl/>
        <w:wordWrap/>
        <w:overflowPunct/>
        <w:topLinePunct w:val="0"/>
        <w:bidi w:val="0"/>
        <w:adjustRightInd w:val="0"/>
        <w:spacing w:line="560" w:lineRule="exact"/>
        <w:jc w:val="center"/>
        <w:rPr>
          <w:rFonts w:hint="eastAsia" w:ascii="Times New Roman" w:hAnsi="Times New Roman" w:eastAsia="楷体_GB2312" w:cs="楷体_GB2312"/>
          <w:b/>
          <w:bCs/>
          <w:color w:val="000000" w:themeColor="text1"/>
          <w:sz w:val="32"/>
          <w:szCs w:val="32"/>
          <w:lang w:eastAsia="zh-CN"/>
          <w14:textFill>
            <w14:solidFill>
              <w14:schemeClr w14:val="tx1"/>
            </w14:solidFill>
          </w14:textFill>
        </w:rPr>
      </w:pPr>
      <w:r>
        <w:rPr>
          <w:rFonts w:hint="eastAsia" w:ascii="Times New Roman" w:hAnsi="Times New Roman" w:eastAsia="楷体_GB2312" w:cs="楷体_GB2312"/>
          <w:b/>
          <w:bCs/>
          <w:color w:val="000000" w:themeColor="text1"/>
          <w:sz w:val="28"/>
          <w:szCs w:val="28"/>
          <w14:textFill>
            <w14:solidFill>
              <w14:schemeClr w14:val="tx1"/>
            </w14:solidFill>
          </w14:textFill>
        </w:rPr>
        <w:t>收费标准上控价</w:t>
      </w:r>
    </w:p>
    <w:tbl>
      <w:tblPr>
        <w:tblStyle w:val="19"/>
        <w:tblW w:w="88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79"/>
        <w:gridCol w:w="3056"/>
        <w:gridCol w:w="3408"/>
      </w:tblGrid>
      <w:tr w14:paraId="73B9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tblHeader/>
          <w:jc w:val="center"/>
        </w:trPr>
        <w:tc>
          <w:tcPr>
            <w:tcW w:w="2379"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67AE9F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b/>
                <w:color w:val="000000" w:themeColor="text1"/>
                <w:sz w:val="22"/>
                <w:szCs w:val="22"/>
                <w14:textFill>
                  <w14:solidFill>
                    <w14:schemeClr w14:val="tx1"/>
                  </w14:solidFill>
                </w14:textFill>
              </w:rPr>
            </w:pPr>
            <w:r>
              <w:rPr>
                <w:rFonts w:ascii="Times New Roman" w:hAnsi="Times New Roman"/>
                <w:b/>
                <w:color w:val="000000" w:themeColor="text1"/>
                <w:sz w:val="22"/>
                <w:szCs w:val="22"/>
                <w14:textFill>
                  <w14:solidFill>
                    <w14:schemeClr w14:val="tx1"/>
                  </w14:solidFill>
                </w14:textFill>
              </w:rPr>
              <w:t>项目名称</w:t>
            </w:r>
          </w:p>
        </w:tc>
        <w:tc>
          <w:tcPr>
            <w:tcW w:w="305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9B2871C">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b/>
                <w:color w:val="000000" w:themeColor="text1"/>
                <w:sz w:val="22"/>
                <w:szCs w:val="22"/>
                <w14:textFill>
                  <w14:solidFill>
                    <w14:schemeClr w14:val="tx1"/>
                  </w14:solidFill>
                </w14:textFill>
              </w:rPr>
            </w:pPr>
            <w:r>
              <w:rPr>
                <w:rFonts w:ascii="Times New Roman" w:hAnsi="Times New Roman"/>
                <w:b/>
                <w:color w:val="000000" w:themeColor="text1"/>
                <w:sz w:val="22"/>
                <w:szCs w:val="22"/>
                <w14:textFill>
                  <w14:solidFill>
                    <w14:schemeClr w14:val="tx1"/>
                  </w14:solidFill>
                </w14:textFill>
              </w:rPr>
              <w:t>分项名称</w:t>
            </w:r>
          </w:p>
        </w:tc>
        <w:tc>
          <w:tcPr>
            <w:tcW w:w="340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8EC182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b/>
                <w:color w:val="000000" w:themeColor="text1"/>
                <w:sz w:val="22"/>
                <w:szCs w:val="22"/>
                <w14:textFill>
                  <w14:solidFill>
                    <w14:schemeClr w14:val="tx1"/>
                  </w14:solidFill>
                </w14:textFill>
              </w:rPr>
            </w:pPr>
            <w:r>
              <w:rPr>
                <w:rFonts w:ascii="Times New Roman" w:hAnsi="Times New Roman"/>
                <w:b/>
                <w:color w:val="000000" w:themeColor="text1"/>
                <w:sz w:val="22"/>
                <w:szCs w:val="22"/>
                <w14:textFill>
                  <w14:solidFill>
                    <w14:schemeClr w14:val="tx1"/>
                  </w14:solidFill>
                </w14:textFill>
              </w:rPr>
              <w:t>收费标准（上控价）</w:t>
            </w:r>
          </w:p>
        </w:tc>
      </w:tr>
      <w:tr w14:paraId="025F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79"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07894F0">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基础照护服务</w:t>
            </w:r>
          </w:p>
        </w:tc>
        <w:tc>
          <w:tcPr>
            <w:tcW w:w="305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B67AB0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三级辅助护理服务</w:t>
            </w:r>
          </w:p>
        </w:tc>
        <w:tc>
          <w:tcPr>
            <w:tcW w:w="340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D3B88FF">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hint="eastAsia" w:ascii="Times New Roman" w:hAnsi="Times New Roman" w:eastAsia="宋体"/>
                <w:color w:val="000000" w:themeColor="text1"/>
                <w:sz w:val="22"/>
                <w:szCs w:val="22"/>
                <w:lang w:val="en-US" w:eastAsia="zh-CN"/>
                <w14:textFill>
                  <w14:solidFill>
                    <w14:schemeClr w14:val="tx1"/>
                  </w14:solidFill>
                </w14:textFill>
              </w:rPr>
              <w:t>不超过15</w:t>
            </w:r>
            <w:r>
              <w:rPr>
                <w:rFonts w:ascii="Times New Roman" w:hAnsi="Times New Roman"/>
                <w:color w:val="000000" w:themeColor="text1"/>
                <w:sz w:val="22"/>
                <w:szCs w:val="22"/>
                <w14:textFill>
                  <w14:solidFill>
                    <w14:schemeClr w14:val="tx1"/>
                  </w14:solidFill>
                </w14:textFill>
              </w:rPr>
              <w:t>元/天</w:t>
            </w:r>
          </w:p>
        </w:tc>
      </w:tr>
      <w:tr w14:paraId="31BA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79"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5C2CEB1">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p>
        </w:tc>
        <w:tc>
          <w:tcPr>
            <w:tcW w:w="305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3A474B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二级辅助护理服务</w:t>
            </w:r>
          </w:p>
        </w:tc>
        <w:tc>
          <w:tcPr>
            <w:tcW w:w="340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F506216">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hint="eastAsia" w:ascii="Times New Roman" w:hAnsi="Times New Roman" w:eastAsia="宋体"/>
                <w:color w:val="000000" w:themeColor="text1"/>
                <w:sz w:val="22"/>
                <w:szCs w:val="22"/>
                <w:lang w:val="en-US" w:eastAsia="zh-CN"/>
                <w14:textFill>
                  <w14:solidFill>
                    <w14:schemeClr w14:val="tx1"/>
                  </w14:solidFill>
                </w14:textFill>
              </w:rPr>
              <w:t>不超过</w:t>
            </w:r>
            <w:r>
              <w:rPr>
                <w:rFonts w:ascii="Times New Roman" w:hAnsi="Times New Roman"/>
                <w:color w:val="000000" w:themeColor="text1"/>
                <w:sz w:val="22"/>
                <w:szCs w:val="22"/>
                <w14:textFill>
                  <w14:solidFill>
                    <w14:schemeClr w14:val="tx1"/>
                  </w14:solidFill>
                </w14:textFill>
              </w:rPr>
              <w:t>40元/天</w:t>
            </w:r>
          </w:p>
        </w:tc>
      </w:tr>
      <w:tr w14:paraId="34B13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79"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1F18D93">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p>
        </w:tc>
        <w:tc>
          <w:tcPr>
            <w:tcW w:w="305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2D67D0B">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一级辅助护理服务</w:t>
            </w:r>
          </w:p>
        </w:tc>
        <w:tc>
          <w:tcPr>
            <w:tcW w:w="340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B2153E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hint="eastAsia" w:ascii="Times New Roman" w:hAnsi="Times New Roman" w:eastAsia="宋体"/>
                <w:color w:val="000000" w:themeColor="text1"/>
                <w:sz w:val="22"/>
                <w:szCs w:val="22"/>
                <w:lang w:val="en-US" w:eastAsia="zh-CN"/>
                <w14:textFill>
                  <w14:solidFill>
                    <w14:schemeClr w14:val="tx1"/>
                  </w14:solidFill>
                </w14:textFill>
              </w:rPr>
              <w:t>不超过</w:t>
            </w:r>
            <w:r>
              <w:rPr>
                <w:rFonts w:ascii="Times New Roman" w:hAnsi="Times New Roman"/>
                <w:color w:val="000000" w:themeColor="text1"/>
                <w:sz w:val="22"/>
                <w:szCs w:val="22"/>
                <w14:textFill>
                  <w14:solidFill>
                    <w14:schemeClr w14:val="tx1"/>
                  </w14:solidFill>
                </w14:textFill>
              </w:rPr>
              <w:t>60元/天</w:t>
            </w:r>
          </w:p>
        </w:tc>
      </w:tr>
      <w:tr w14:paraId="7B092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79" w:type="dxa"/>
            <w:vMerge w:val="restart"/>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7ED6ECA">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免陪照护服务</w:t>
            </w:r>
          </w:p>
        </w:tc>
        <w:tc>
          <w:tcPr>
            <w:tcW w:w="305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ED118D7">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“一对三”</w:t>
            </w:r>
          </w:p>
        </w:tc>
        <w:tc>
          <w:tcPr>
            <w:tcW w:w="340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799C3C2">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不超过140元/天</w:t>
            </w:r>
          </w:p>
        </w:tc>
      </w:tr>
      <w:tr w14:paraId="2F526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79"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001A351">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p>
        </w:tc>
        <w:tc>
          <w:tcPr>
            <w:tcW w:w="305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0A3DBE8">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“一对二”</w:t>
            </w:r>
          </w:p>
        </w:tc>
        <w:tc>
          <w:tcPr>
            <w:tcW w:w="340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A937AD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不超过</w:t>
            </w:r>
            <w:r>
              <w:rPr>
                <w:rFonts w:hint="eastAsia" w:ascii="Times New Roman" w:hAnsi="Times New Roman" w:eastAsia="宋体"/>
                <w:color w:val="000000" w:themeColor="text1"/>
                <w:sz w:val="22"/>
                <w:szCs w:val="22"/>
                <w:lang w:val="en-US" w:eastAsia="zh-CN"/>
                <w14:textFill>
                  <w14:solidFill>
                    <w14:schemeClr w14:val="tx1"/>
                  </w14:solidFill>
                </w14:textFill>
              </w:rPr>
              <w:t>180</w:t>
            </w:r>
            <w:r>
              <w:rPr>
                <w:rFonts w:ascii="Times New Roman" w:hAnsi="Times New Roman"/>
                <w:color w:val="000000" w:themeColor="text1"/>
                <w:sz w:val="22"/>
                <w:szCs w:val="22"/>
                <w14:textFill>
                  <w14:solidFill>
                    <w14:schemeClr w14:val="tx1"/>
                  </w14:solidFill>
                </w14:textFill>
              </w:rPr>
              <w:t>元/天</w:t>
            </w:r>
          </w:p>
        </w:tc>
      </w:tr>
      <w:tr w14:paraId="62CFE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2379" w:type="dxa"/>
            <w:vMerge w:val="continue"/>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DEA30D7">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p>
        </w:tc>
        <w:tc>
          <w:tcPr>
            <w:tcW w:w="3056"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47DB9C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“一对一”</w:t>
            </w:r>
          </w:p>
        </w:tc>
        <w:tc>
          <w:tcPr>
            <w:tcW w:w="3408"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8729364">
            <w:pPr>
              <w:keepNext w:val="0"/>
              <w:keepLines w:val="0"/>
              <w:pageBreakBefore w:val="0"/>
              <w:widowControl/>
              <w:kinsoku w:val="0"/>
              <w:wordWrap/>
              <w:overflowPunct/>
              <w:topLinePunct w:val="0"/>
              <w:autoSpaceDE w:val="0"/>
              <w:autoSpaceDN w:val="0"/>
              <w:bidi w:val="0"/>
              <w:adjustRightInd w:val="0"/>
              <w:snapToGrid w:val="0"/>
              <w:spacing w:line="360" w:lineRule="exact"/>
              <w:ind w:left="0" w:leftChars="0" w:right="0" w:rightChars="0" w:firstLine="0" w:firstLineChars="0"/>
              <w:jc w:val="center"/>
              <w:textAlignment w:val="baseline"/>
              <w:rPr>
                <w:rFonts w:ascii="Times New Roman" w:hAnsi="Times New Roman"/>
                <w:color w:val="000000" w:themeColor="text1"/>
                <w:sz w:val="22"/>
                <w:szCs w:val="22"/>
                <w14:textFill>
                  <w14:solidFill>
                    <w14:schemeClr w14:val="tx1"/>
                  </w14:solidFill>
                </w14:textFill>
              </w:rPr>
            </w:pPr>
            <w:r>
              <w:rPr>
                <w:rFonts w:ascii="Times New Roman" w:hAnsi="Times New Roman"/>
                <w:color w:val="000000" w:themeColor="text1"/>
                <w:sz w:val="22"/>
                <w:szCs w:val="22"/>
                <w14:textFill>
                  <w14:solidFill>
                    <w14:schemeClr w14:val="tx1"/>
                  </w14:solidFill>
                </w14:textFill>
              </w:rPr>
              <w:t>不超过2</w:t>
            </w:r>
            <w:r>
              <w:rPr>
                <w:rFonts w:hint="eastAsia" w:ascii="Times New Roman" w:hAnsi="Times New Roman" w:eastAsia="宋体"/>
                <w:color w:val="000000" w:themeColor="text1"/>
                <w:sz w:val="22"/>
                <w:szCs w:val="22"/>
                <w:lang w:val="en-US" w:eastAsia="zh-CN"/>
                <w14:textFill>
                  <w14:solidFill>
                    <w14:schemeClr w14:val="tx1"/>
                  </w14:solidFill>
                </w14:textFill>
              </w:rPr>
              <w:t>50</w:t>
            </w:r>
            <w:r>
              <w:rPr>
                <w:rFonts w:ascii="Times New Roman" w:hAnsi="Times New Roman"/>
                <w:color w:val="000000" w:themeColor="text1"/>
                <w:sz w:val="22"/>
                <w:szCs w:val="22"/>
                <w14:textFill>
                  <w14:solidFill>
                    <w14:schemeClr w14:val="tx1"/>
                  </w14:solidFill>
                </w14:textFill>
              </w:rPr>
              <w:t>元/天</w:t>
            </w:r>
          </w:p>
        </w:tc>
      </w:tr>
    </w:tbl>
    <w:p w14:paraId="09893C6A">
      <w:pPr>
        <w:pStyle w:val="4"/>
        <w:keepNext w:val="0"/>
        <w:keepLines w:val="0"/>
        <w:pageBreakBefore w:val="0"/>
        <w:widowControl/>
        <w:numPr>
          <w:ilvl w:val="0"/>
          <w:numId w:val="0"/>
        </w:numPr>
        <w:kinsoku/>
        <w:wordWrap/>
        <w:overflowPunct/>
        <w:topLinePunct w:val="0"/>
        <w:autoSpaceDE/>
        <w:autoSpaceDN/>
        <w:bidi w:val="0"/>
        <w:adjustRightInd w:val="0"/>
        <w:snapToGrid/>
        <w:spacing w:before="0" w:line="560" w:lineRule="exact"/>
        <w:ind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黑体" w:cs="黑体"/>
          <w:b w:val="0"/>
          <w:color w:val="000000" w:themeColor="text1"/>
          <w:kern w:val="2"/>
          <w:sz w:val="32"/>
          <w:szCs w:val="32"/>
          <w:shd w:val="clear" w:fill="auto"/>
          <w:lang w:bidi="ar-SA"/>
          <w14:textFill>
            <w14:solidFill>
              <w14:schemeClr w14:val="tx1"/>
            </w14:solidFill>
          </w14:textFill>
        </w:rPr>
        <w:t>一、</w:t>
      </w:r>
      <w:r>
        <w:rPr>
          <w:rFonts w:ascii="Times New Roman" w:hAnsi="Times New Roman"/>
          <w:color w:val="000000" w:themeColor="text1"/>
          <w:sz w:val="32"/>
          <w:szCs w:val="32"/>
          <w:shd w:val="clear" w:color="auto" w:fill="auto"/>
          <w14:textFill>
            <w14:solidFill>
              <w14:schemeClr w14:val="tx1"/>
            </w14:solidFill>
          </w14:textFill>
        </w:rPr>
        <w:t>报价方式</w:t>
      </w:r>
    </w:p>
    <w:p w14:paraId="10FDF377">
      <w:pPr>
        <w:pStyle w:val="12"/>
        <w:keepNext w:val="0"/>
        <w:keepLines w:val="0"/>
        <w:pageBreakBefore w:val="0"/>
        <w:widowControl/>
        <w:kinsoku/>
        <w:wordWrap/>
        <w:overflowPunct/>
        <w:topLinePunct w:val="0"/>
        <w:autoSpaceDE/>
        <w:autoSpaceDN/>
        <w:bidi w:val="0"/>
        <w:adjustRightInd w:val="0"/>
        <w:snapToGrid/>
        <w:spacing w:before="0" w:after="0" w:afterLines="0" w:line="560" w:lineRule="exact"/>
        <w:ind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在收费标准的基础上以整体下浮率的方式进行报价，下浮系数应≥0。同时，各项报价需按明细报价，各分项报价不能超单项上控价，否则视为报价无效。</w:t>
      </w:r>
    </w:p>
    <w:p w14:paraId="40DC4E69">
      <w:pPr>
        <w:pStyle w:val="4"/>
        <w:keepNext w:val="0"/>
        <w:keepLines w:val="0"/>
        <w:pageBreakBefore w:val="0"/>
        <w:widowControl/>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黑体" w:cs="黑体"/>
          <w:b w:val="0"/>
          <w:color w:val="000000" w:themeColor="text1"/>
          <w:kern w:val="2"/>
          <w:sz w:val="32"/>
          <w:szCs w:val="32"/>
          <w:shd w:val="clear" w:fill="auto"/>
          <w:lang w:bidi="ar-SA"/>
          <w14:textFill>
            <w14:solidFill>
              <w14:schemeClr w14:val="tx1"/>
            </w14:solidFill>
          </w14:textFill>
        </w:rPr>
        <w:t>二、</w:t>
      </w:r>
      <w:r>
        <w:rPr>
          <w:rFonts w:ascii="Times New Roman" w:hAnsi="Times New Roman"/>
          <w:color w:val="000000" w:themeColor="text1"/>
          <w:sz w:val="32"/>
          <w:szCs w:val="32"/>
          <w:shd w:val="clear" w:color="auto" w:fill="auto"/>
          <w14:textFill>
            <w14:solidFill>
              <w14:schemeClr w14:val="tx1"/>
            </w14:solidFill>
          </w14:textFill>
        </w:rPr>
        <w:t>收费管理</w:t>
      </w:r>
    </w:p>
    <w:p w14:paraId="0E87E4B6">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snapToGrid w:val="0"/>
          <w:color w:val="000000" w:themeColor="text1"/>
          <w:kern w:val="2"/>
          <w:sz w:val="32"/>
          <w:szCs w:val="32"/>
          <w:shd w:val="clear" w:fill="auto"/>
          <w:lang w:val="en-US" w:eastAsia="en-US" w:bidi="ar-SA"/>
          <w14:textFill>
            <w14:solidFill>
              <w14:schemeClr w14:val="tx1"/>
            </w14:solidFill>
          </w14:textFill>
        </w:rPr>
        <w:t>1.</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与患者或家属签订一式三份服务同意书，交一份给</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相应科室留存。</w:t>
      </w:r>
    </w:p>
    <w:p w14:paraId="1019D170">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snapToGrid w:val="0"/>
          <w:color w:val="000000" w:themeColor="text1"/>
          <w:kern w:val="2"/>
          <w:sz w:val="32"/>
          <w:szCs w:val="32"/>
          <w:shd w:val="clear" w:fill="auto"/>
          <w:lang w:val="en-US" w:eastAsia="en-US" w:bidi="ar-SA"/>
          <w14:textFill>
            <w14:solidFill>
              <w14:schemeClr w14:val="tx1"/>
            </w14:solidFill>
          </w14:textFill>
        </w:rPr>
        <w:t>2.</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收取费用必须征得患者或家属的同意，签署服务同意书，禁止强制收费。</w:t>
      </w:r>
    </w:p>
    <w:p w14:paraId="6B432F0F">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snapToGrid w:val="0"/>
          <w:color w:val="000000" w:themeColor="text1"/>
          <w:kern w:val="2"/>
          <w:sz w:val="32"/>
          <w:szCs w:val="32"/>
          <w:shd w:val="clear" w:fill="auto"/>
          <w:lang w:val="en-US" w:eastAsia="en-US" w:bidi="ar-SA"/>
          <w14:textFill>
            <w14:solidFill>
              <w14:schemeClr w14:val="tx1"/>
            </w14:solidFill>
          </w14:textFill>
        </w:rPr>
        <w:t>3.</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承担服务行为所需缴纳的税费并提供纳税票据给患者。</w:t>
      </w:r>
    </w:p>
    <w:p w14:paraId="0E07976C">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b w:val="0"/>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b w:val="0"/>
          <w:snapToGrid w:val="0"/>
          <w:color w:val="000000" w:themeColor="text1"/>
          <w:kern w:val="2"/>
          <w:sz w:val="32"/>
          <w:szCs w:val="32"/>
          <w:shd w:val="clear" w:fill="auto"/>
          <w:lang w:val="en-US" w:eastAsia="en-US" w:bidi="ar-SA"/>
          <w14:textFill>
            <w14:solidFill>
              <w14:schemeClr w14:val="tx1"/>
            </w14:solidFill>
          </w14:textFill>
        </w:rPr>
        <w:t>4.</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调整相关收费标准时需征得</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同意后方可执行。</w:t>
      </w:r>
    </w:p>
    <w:p w14:paraId="59288118">
      <w:pPr>
        <w:pStyle w:val="12"/>
        <w:keepNext w:val="0"/>
        <w:keepLines w:val="0"/>
        <w:pageBreakBefore w:val="0"/>
        <w:widowControl/>
        <w:numPr>
          <w:ilvl w:val="0"/>
          <w:numId w:val="0"/>
        </w:numPr>
        <w:kinsoku/>
        <w:wordWrap/>
        <w:overflowPunct/>
        <w:topLinePunct w:val="0"/>
        <w:autoSpaceDE/>
        <w:autoSpaceDN/>
        <w:bidi w:val="0"/>
        <w:adjustRightInd w:val="0"/>
        <w:snapToGrid/>
        <w:spacing w:before="0" w:after="0" w:afterLines="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仿宋_GB2312" w:cs="仿宋_GB2312"/>
          <w:snapToGrid w:val="0"/>
          <w:color w:val="000000" w:themeColor="text1"/>
          <w:kern w:val="2"/>
          <w:sz w:val="32"/>
          <w:szCs w:val="32"/>
          <w:shd w:val="clear" w:fill="auto"/>
          <w:lang w:val="en-US" w:eastAsia="en-US" w:bidi="ar-SA"/>
          <w14:textFill>
            <w14:solidFill>
              <w14:schemeClr w14:val="tx1"/>
            </w14:solidFill>
          </w14:textFill>
        </w:rPr>
        <w:t>5.</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因收费或陪护等问题引起患者起诉或法院追加</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参加诉讼的民事责任纠纷，产生包括但不限于诉讼费、律师费等费用，由</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自行承担赔偿责任。</w:t>
      </w:r>
    </w:p>
    <w:p w14:paraId="4C4A70EA">
      <w:pPr>
        <w:pStyle w:val="4"/>
        <w:keepNext w:val="0"/>
        <w:keepLines w:val="0"/>
        <w:pageBreakBefore w:val="0"/>
        <w:widowControl w:val="0"/>
        <w:numPr>
          <w:ilvl w:val="0"/>
          <w:numId w:val="0"/>
        </w:numPr>
        <w:kinsoku/>
        <w:wordWrap/>
        <w:overflowPunct/>
        <w:topLinePunct w:val="0"/>
        <w:autoSpaceDE/>
        <w:autoSpaceDN/>
        <w:bidi w:val="0"/>
        <w:adjustRightInd w:val="0"/>
        <w:snapToGrid/>
        <w:spacing w:before="0" w:line="560" w:lineRule="exact"/>
        <w:ind w:left="0" w:leftChars="0" w:firstLine="640" w:firstLineChars="200"/>
        <w:textAlignment w:val="auto"/>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pPr>
      <w:r>
        <w:rPr>
          <w:rFonts w:hint="eastAsia" w:ascii="Times New Roman" w:hAnsi="Times New Roman" w:eastAsia="黑体" w:cs="黑体"/>
          <w:b w:val="0"/>
          <w:color w:val="000000" w:themeColor="text1"/>
          <w:kern w:val="2"/>
          <w:sz w:val="32"/>
          <w:szCs w:val="32"/>
          <w:shd w:val="clear" w:fill="auto"/>
          <w:lang w:bidi="ar-SA"/>
          <w14:textFill>
            <w14:solidFill>
              <w14:schemeClr w14:val="tx1"/>
            </w14:solidFill>
          </w14:textFill>
        </w:rPr>
        <w:t>三、</w:t>
      </w:r>
      <w:r>
        <w:rPr>
          <w:rFonts w:ascii="Times New Roman" w:hAnsi="Times New Roman"/>
          <w:color w:val="000000" w:themeColor="text1"/>
          <w:sz w:val="32"/>
          <w:szCs w:val="32"/>
          <w:shd w:val="clear" w:color="auto" w:fill="auto"/>
          <w14:textFill>
            <w14:solidFill>
              <w14:schemeClr w14:val="tx1"/>
            </w14:solidFill>
          </w14:textFill>
        </w:rPr>
        <w:t>支付方式</w:t>
      </w:r>
    </w:p>
    <w:p w14:paraId="5BA279F4">
      <w:pPr>
        <w:pStyle w:val="12"/>
        <w:keepNext w:val="0"/>
        <w:keepLines w:val="0"/>
        <w:pageBreakBefore w:val="0"/>
        <w:widowControl w:val="0"/>
        <w:kinsoku/>
        <w:wordWrap/>
        <w:overflowPunct/>
        <w:topLinePunct w:val="0"/>
        <w:autoSpaceDE/>
        <w:autoSpaceDN/>
        <w:bidi w:val="0"/>
        <w:adjustRightInd w:val="0"/>
        <w:snapToGrid/>
        <w:spacing w:before="0" w:after="0" w:afterLines="0" w:line="560" w:lineRule="exact"/>
        <w:ind w:firstLine="640" w:firstLineChars="200"/>
        <w:textAlignment w:val="auto"/>
        <w:rPr>
          <w:rFonts w:hint="eastAsia" w:ascii="Times New Roman" w:hAnsi="Times New Roman" w:eastAsia="仿宋_GB2312" w:cs="仿宋_GB2312"/>
          <w:color w:val="000000" w:themeColor="text1"/>
          <w:sz w:val="32"/>
          <w:szCs w:val="32"/>
          <w:shd w:val="clear" w:color="auto" w:fill="auto"/>
          <w:lang w:val="en-US" w:eastAsia="zh-CN"/>
          <w14:textFill>
            <w14:solidFill>
              <w14:schemeClr w14:val="tx1"/>
            </w14:solidFill>
          </w14:textFill>
        </w:rPr>
      </w:pP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要求对公转账。</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因需派人参与公司对医疗护理员及陪护人员的管理</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，以</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及陪护人员的水电管理费，</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供应商</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应支付</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每月</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3000元的水</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电管理费，每季度转款一次给</w:t>
      </w:r>
      <w:r>
        <w:rPr>
          <w:rFonts w:hint="eastAsia" w:ascii="Times New Roman" w:hAnsi="Times New Roman" w:eastAsia="仿宋_GB2312" w:cs="仿宋_GB2312"/>
          <w:color w:val="000000" w:themeColor="text1"/>
          <w:sz w:val="32"/>
          <w:szCs w:val="32"/>
          <w:shd w:val="clear" w:color="auto" w:fill="auto"/>
          <w:lang w:eastAsia="zh-CN"/>
          <w14:textFill>
            <w14:solidFill>
              <w14:schemeClr w14:val="tx1"/>
            </w14:solidFill>
          </w14:textFill>
        </w:rPr>
        <w:t>医院</w:t>
      </w:r>
      <w:r>
        <w:rPr>
          <w:rFonts w:hint="eastAsia" w:ascii="Times New Roman" w:hAnsi="Times New Roman" w:eastAsia="仿宋_GB2312" w:cs="仿宋_GB2312"/>
          <w:color w:val="000000" w:themeColor="text1"/>
          <w:sz w:val="32"/>
          <w:szCs w:val="32"/>
          <w:shd w:val="clear" w:color="auto" w:fill="auto"/>
          <w14:textFill>
            <w14:solidFill>
              <w14:schemeClr w14:val="tx1"/>
            </w14:solidFill>
          </w14:textFill>
        </w:rPr>
        <w:t>，于每季度的第一个月15日前将费用转账至医院指定账户。</w:t>
      </w:r>
    </w:p>
    <w:bookmarkEnd w:id="0"/>
    <w:sectPr>
      <w:footerReference r:id="rId5" w:type="default"/>
      <w:footerReference r:id="rId6" w:type="even"/>
      <w:pgSz w:w="11906" w:h="16838"/>
      <w:pgMar w:top="2098" w:right="1474" w:bottom="1984" w:left="1587" w:header="851" w:footer="1417" w:gutter="0"/>
      <w:pgNumType w:fmt="decimal"/>
      <w:cols w:space="0" w:num="1"/>
      <w:rtlGutter w:val="0"/>
      <w:docGrid w:type="linesAndChars" w:linePitch="579" w:charSpace="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2439C">
    <w:pPr>
      <w:pStyle w:val="14"/>
      <w:rPr>
        <w:rFonts w:ascii="Times New Roman" w:hAnsi="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4F3AA6">
                          <w:pPr>
                            <w:pStyle w:val="14"/>
                            <w:rPr>
                              <w:rFonts w:ascii="Times New Roman" w:hAnsi="Times New Roman" w:eastAsia="宋体"/>
                              <w:sz w:val="28"/>
                            </w:rPr>
                          </w:pPr>
                          <w:r>
                            <w:rPr>
                              <w:rFonts w:ascii="Times New Roman" w:hAnsi="Times New Roman" w:eastAsia="宋体"/>
                              <w:sz w:val="28"/>
                            </w:rPr>
                            <w:t>—</w:t>
                          </w:r>
                          <w:r>
                            <w:rPr>
                              <w:rFonts w:ascii="Times New Roman" w:hAnsi="Times New Roman" w:eastAsia="宋体"/>
                              <w:sz w:val="28"/>
                            </w:rPr>
                            <w:fldChar w:fldCharType="begin"/>
                          </w:r>
                          <w:r>
                            <w:rPr>
                              <w:rFonts w:ascii="宋体" w:hAnsi="宋体" w:eastAsia="宋体"/>
                              <w:sz w:val="28"/>
                            </w:rPr>
                            <w:instrText xml:space="preserve"> PAGE  \* MERGEFORMAT </w:instrText>
                          </w:r>
                          <w:r>
                            <w:rPr>
                              <w:rFonts w:ascii="Times New Roman" w:hAnsi="Times New Roman" w:eastAsia="宋体"/>
                              <w:sz w:val="28"/>
                            </w:rPr>
                            <w:fldChar w:fldCharType="separate"/>
                          </w:r>
                          <w:r>
                            <w:rPr>
                              <w:rFonts w:ascii="宋体" w:hAnsi="宋体" w:eastAsia="宋体"/>
                              <w:sz w:val="28"/>
                            </w:rPr>
                            <w:t>1</w:t>
                          </w:r>
                          <w:r>
                            <w:rPr>
                              <w:rFonts w:ascii="Times New Roman" w:hAnsi="Times New Roman" w:eastAsia="宋体"/>
                              <w:sz w:val="28"/>
                            </w:rPr>
                            <w:fldChar w:fldCharType="end"/>
                          </w:r>
                          <w:r>
                            <w:rPr>
                              <w:rFonts w:ascii="Times New Roman" w:hAnsi="Times New Roman"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274F3AA6">
                    <w:pPr>
                      <w:pStyle w:val="14"/>
                      <w:rPr>
                        <w:rFonts w:ascii="Times New Roman" w:hAnsi="Times New Roman" w:eastAsia="宋体"/>
                        <w:sz w:val="28"/>
                      </w:rPr>
                    </w:pPr>
                    <w:r>
                      <w:rPr>
                        <w:rFonts w:ascii="Times New Roman" w:hAnsi="Times New Roman" w:eastAsia="宋体"/>
                        <w:sz w:val="28"/>
                      </w:rPr>
                      <w:t>—</w:t>
                    </w:r>
                    <w:r>
                      <w:rPr>
                        <w:rFonts w:ascii="Times New Roman" w:hAnsi="Times New Roman" w:eastAsia="宋体"/>
                        <w:sz w:val="28"/>
                      </w:rPr>
                      <w:fldChar w:fldCharType="begin"/>
                    </w:r>
                    <w:r>
                      <w:rPr>
                        <w:rFonts w:ascii="宋体" w:hAnsi="宋体" w:eastAsia="宋体"/>
                        <w:sz w:val="28"/>
                      </w:rPr>
                      <w:instrText xml:space="preserve"> PAGE  \* MERGEFORMAT </w:instrText>
                    </w:r>
                    <w:r>
                      <w:rPr>
                        <w:rFonts w:ascii="Times New Roman" w:hAnsi="Times New Roman" w:eastAsia="宋体"/>
                        <w:sz w:val="28"/>
                      </w:rPr>
                      <w:fldChar w:fldCharType="separate"/>
                    </w:r>
                    <w:r>
                      <w:rPr>
                        <w:rFonts w:ascii="宋体" w:hAnsi="宋体" w:eastAsia="宋体"/>
                        <w:sz w:val="28"/>
                      </w:rPr>
                      <w:t>1</w:t>
                    </w:r>
                    <w:r>
                      <w:rPr>
                        <w:rFonts w:ascii="Times New Roman" w:hAnsi="Times New Roman" w:eastAsia="宋体"/>
                        <w:sz w:val="28"/>
                      </w:rPr>
                      <w:fldChar w:fldCharType="end"/>
                    </w:r>
                    <w:r>
                      <w:rPr>
                        <w:rFonts w:ascii="Times New Roman" w:hAnsi="Times New Roman"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2E0A0">
    <w:pPr>
      <w:pStyle w:val="14"/>
      <w:rPr>
        <w:rFonts w:ascii="Times New Roman" w:hAnsi="Times New Roman"/>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5AF73A">
                          <w:pPr>
                            <w:pStyle w:val="14"/>
                            <w:rPr>
                              <w:rFonts w:ascii="Times New Roman" w:hAnsi="Times New Roman" w:eastAsia="宋体"/>
                              <w:sz w:val="28"/>
                            </w:rPr>
                          </w:pPr>
                          <w:r>
                            <w:rPr>
                              <w:rFonts w:ascii="Times New Roman" w:hAnsi="Times New Roman" w:eastAsia="宋体"/>
                              <w:sz w:val="28"/>
                            </w:rPr>
                            <w:t>—</w:t>
                          </w:r>
                          <w:r>
                            <w:rPr>
                              <w:rFonts w:ascii="Times New Roman" w:hAnsi="Times New Roman" w:eastAsia="宋体"/>
                              <w:sz w:val="28"/>
                            </w:rPr>
                            <w:fldChar w:fldCharType="begin"/>
                          </w:r>
                          <w:r>
                            <w:rPr>
                              <w:rFonts w:ascii="宋体" w:hAnsi="宋体" w:eastAsia="宋体"/>
                              <w:sz w:val="28"/>
                            </w:rPr>
                            <w:instrText xml:space="preserve"> PAGE  \* MERGEFORMAT </w:instrText>
                          </w:r>
                          <w:r>
                            <w:rPr>
                              <w:rFonts w:ascii="Times New Roman" w:hAnsi="Times New Roman" w:eastAsia="宋体"/>
                              <w:sz w:val="28"/>
                            </w:rPr>
                            <w:fldChar w:fldCharType="separate"/>
                          </w:r>
                          <w:r>
                            <w:rPr>
                              <w:rFonts w:ascii="宋体" w:hAnsi="宋体" w:eastAsia="宋体"/>
                              <w:sz w:val="28"/>
                            </w:rPr>
                            <w:t>2</w:t>
                          </w:r>
                          <w:r>
                            <w:rPr>
                              <w:rFonts w:ascii="Times New Roman" w:hAnsi="Times New Roman" w:eastAsia="宋体"/>
                              <w:sz w:val="28"/>
                            </w:rPr>
                            <w:fldChar w:fldCharType="end"/>
                          </w:r>
                          <w:r>
                            <w:rPr>
                              <w:rFonts w:ascii="Times New Roman" w:hAnsi="Times New Roman"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025AF73A">
                    <w:pPr>
                      <w:pStyle w:val="14"/>
                      <w:rPr>
                        <w:rFonts w:ascii="Times New Roman" w:hAnsi="Times New Roman" w:eastAsia="宋体"/>
                        <w:sz w:val="28"/>
                      </w:rPr>
                    </w:pPr>
                    <w:r>
                      <w:rPr>
                        <w:rFonts w:ascii="Times New Roman" w:hAnsi="Times New Roman" w:eastAsia="宋体"/>
                        <w:sz w:val="28"/>
                      </w:rPr>
                      <w:t>—</w:t>
                    </w:r>
                    <w:r>
                      <w:rPr>
                        <w:rFonts w:ascii="Times New Roman" w:hAnsi="Times New Roman" w:eastAsia="宋体"/>
                        <w:sz w:val="28"/>
                      </w:rPr>
                      <w:fldChar w:fldCharType="begin"/>
                    </w:r>
                    <w:r>
                      <w:rPr>
                        <w:rFonts w:ascii="宋体" w:hAnsi="宋体" w:eastAsia="宋体"/>
                        <w:sz w:val="28"/>
                      </w:rPr>
                      <w:instrText xml:space="preserve"> PAGE  \* MERGEFORMAT </w:instrText>
                    </w:r>
                    <w:r>
                      <w:rPr>
                        <w:rFonts w:ascii="Times New Roman" w:hAnsi="Times New Roman" w:eastAsia="宋体"/>
                        <w:sz w:val="28"/>
                      </w:rPr>
                      <w:fldChar w:fldCharType="separate"/>
                    </w:r>
                    <w:r>
                      <w:rPr>
                        <w:rFonts w:ascii="宋体" w:hAnsi="宋体" w:eastAsia="宋体"/>
                        <w:sz w:val="28"/>
                      </w:rPr>
                      <w:t>2</w:t>
                    </w:r>
                    <w:r>
                      <w:rPr>
                        <w:rFonts w:ascii="Times New Roman" w:hAnsi="Times New Roman" w:eastAsia="宋体"/>
                        <w:sz w:val="28"/>
                      </w:rPr>
                      <w:fldChar w:fldCharType="end"/>
                    </w:r>
                    <w:r>
                      <w:rPr>
                        <w:rFonts w:ascii="Times New Roman" w:hAnsi="Times New Roman"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DC591A"/>
    <w:multiLevelType w:val="singleLevel"/>
    <w:tmpl w:val="A8DC591A"/>
    <w:lvl w:ilvl="0" w:tentative="0">
      <w:start w:val="1"/>
      <w:numFmt w:val="chineseCounting"/>
      <w:suff w:val="nothing"/>
      <w:lvlText w:val="%1、"/>
      <w:lvlJc w:val="left"/>
      <w:pPr>
        <w:ind w:left="0" w:firstLine="0"/>
      </w:pPr>
      <w:rPr>
        <w:rFonts w:hint="eastAsia"/>
      </w:rPr>
    </w:lvl>
  </w:abstractNum>
  <w:abstractNum w:abstractNumId="1">
    <w:nsid w:val="731F7DB4"/>
    <w:multiLevelType w:val="singleLevel"/>
    <w:tmpl w:val="731F7DB4"/>
    <w:lvl w:ilvl="0" w:tentative="0">
      <w:start w:val="2"/>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1MWNiY2ZiMjk1ZjJkY2RjODEwZWViZmVkOWM4OTYifQ=="/>
  </w:docVars>
  <w:rsids>
    <w:rsidRoot w:val="0EFA59AF"/>
    <w:rsid w:val="0374238F"/>
    <w:rsid w:val="043A15E5"/>
    <w:rsid w:val="04D94B9F"/>
    <w:rsid w:val="0D2C3CDA"/>
    <w:rsid w:val="0EFA59AF"/>
    <w:rsid w:val="0F81030D"/>
    <w:rsid w:val="110E3E23"/>
    <w:rsid w:val="14F26BE8"/>
    <w:rsid w:val="16DC407B"/>
    <w:rsid w:val="16F5513D"/>
    <w:rsid w:val="187F5606"/>
    <w:rsid w:val="1A46462D"/>
    <w:rsid w:val="1B944F25"/>
    <w:rsid w:val="1D0F3F70"/>
    <w:rsid w:val="20567FAA"/>
    <w:rsid w:val="26BC366F"/>
    <w:rsid w:val="26BE72FA"/>
    <w:rsid w:val="28144DD0"/>
    <w:rsid w:val="281F4FE5"/>
    <w:rsid w:val="2B644C3D"/>
    <w:rsid w:val="3103697D"/>
    <w:rsid w:val="3207249C"/>
    <w:rsid w:val="33317A46"/>
    <w:rsid w:val="3813559B"/>
    <w:rsid w:val="3A9B7C04"/>
    <w:rsid w:val="407D4B5A"/>
    <w:rsid w:val="41D35EF7"/>
    <w:rsid w:val="45640CC6"/>
    <w:rsid w:val="49F872B9"/>
    <w:rsid w:val="4A2D63C1"/>
    <w:rsid w:val="4B02784D"/>
    <w:rsid w:val="4C143394"/>
    <w:rsid w:val="4EAB2B39"/>
    <w:rsid w:val="4EFB083B"/>
    <w:rsid w:val="4F4F0B87"/>
    <w:rsid w:val="4FF27E90"/>
    <w:rsid w:val="54976659"/>
    <w:rsid w:val="56F72230"/>
    <w:rsid w:val="58EC359D"/>
    <w:rsid w:val="592B4413"/>
    <w:rsid w:val="598853C1"/>
    <w:rsid w:val="5D47427F"/>
    <w:rsid w:val="5DAC1F02"/>
    <w:rsid w:val="5DB93D9B"/>
    <w:rsid w:val="5FDE3F8D"/>
    <w:rsid w:val="62481B92"/>
    <w:rsid w:val="655D5954"/>
    <w:rsid w:val="67550FD9"/>
    <w:rsid w:val="68A13DAA"/>
    <w:rsid w:val="69710F03"/>
    <w:rsid w:val="6BD149A6"/>
    <w:rsid w:val="72B8295F"/>
    <w:rsid w:val="76317F9B"/>
    <w:rsid w:val="7B1D7C08"/>
    <w:rsid w:val="7FD53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next w:val="1"/>
    <w:qFormat/>
    <w:uiPriority w:val="0"/>
    <w:pPr>
      <w:widowControl w:val="0"/>
      <w:adjustRightInd w:val="0"/>
      <w:spacing w:before="320" w:line="300" w:lineRule="auto"/>
      <w:jc w:val="both"/>
      <w:outlineLvl w:val="0"/>
    </w:pPr>
    <w:rPr>
      <w:rFonts w:ascii="Times New Roman" w:hAnsi="Times New Roman" w:eastAsia="黑体" w:cs="Times New Roman"/>
      <w:color w:val="000000"/>
      <w:kern w:val="44"/>
      <w:sz w:val="32"/>
      <w:szCs w:val="44"/>
      <w:lang w:bidi="ar-SA"/>
    </w:rPr>
  </w:style>
  <w:style w:type="paragraph" w:styleId="4">
    <w:name w:val="heading 2"/>
    <w:next w:val="1"/>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bidi="ar-SA"/>
    </w:rPr>
  </w:style>
  <w:style w:type="paragraph" w:styleId="5">
    <w:name w:val="heading 3"/>
    <w:next w:val="1"/>
    <w:unhideWhenUsed/>
    <w:qFormat/>
    <w:uiPriority w:val="0"/>
    <w:pPr>
      <w:keepNext/>
      <w:keepLines/>
      <w:widowControl w:val="0"/>
      <w:adjustRightInd w:val="0"/>
      <w:spacing w:before="240" w:line="300" w:lineRule="auto"/>
      <w:jc w:val="both"/>
      <w:outlineLvl w:val="2"/>
    </w:pPr>
    <w:rPr>
      <w:rFonts w:ascii="Times New Roman" w:hAnsi="Times New Roman" w:eastAsia="黑体" w:cs="Times New Roman"/>
      <w:kern w:val="2"/>
      <w:sz w:val="30"/>
      <w:szCs w:val="24"/>
      <w:lang w:bidi="ar-SA"/>
    </w:rPr>
  </w:style>
  <w:style w:type="paragraph" w:styleId="6">
    <w:name w:val="heading 4"/>
    <w:next w:val="1"/>
    <w:link w:val="26"/>
    <w:semiHidden/>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bidi="ar-SA"/>
    </w:rPr>
  </w:style>
  <w:style w:type="paragraph" w:styleId="7">
    <w:name w:val="heading 5"/>
    <w:next w:val="1"/>
    <w:semiHidden/>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bidi="ar-SA"/>
    </w:rPr>
  </w:style>
  <w:style w:type="paragraph" w:styleId="8">
    <w:name w:val="heading 6"/>
    <w:next w:val="1"/>
    <w:semiHidden/>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bidi="ar-SA"/>
    </w:rPr>
  </w:style>
  <w:style w:type="paragraph" w:styleId="9">
    <w:name w:val="heading 7"/>
    <w:next w:val="1"/>
    <w:semiHidden/>
    <w:unhideWhenUsed/>
    <w:qFormat/>
    <w:uiPriority w:val="0"/>
    <w:pPr>
      <w:keepNext/>
      <w:keepLines/>
      <w:widowControl w:val="0"/>
      <w:adjustRightInd w:val="0"/>
      <w:spacing w:before="120" w:line="300" w:lineRule="auto"/>
      <w:jc w:val="both"/>
      <w:outlineLvl w:val="6"/>
    </w:pPr>
    <w:rPr>
      <w:rFonts w:ascii="Times New Roman" w:hAnsi="Times New Roman" w:eastAsia="黑体" w:cs="Times New Roman"/>
      <w:bCs/>
      <w:kern w:val="2"/>
      <w:sz w:val="24"/>
      <w:szCs w:val="24"/>
      <w:lang w:bidi="ar-SA"/>
    </w:rPr>
  </w:style>
  <w:style w:type="paragraph" w:styleId="10">
    <w:name w:val="heading 8"/>
    <w:next w:val="1"/>
    <w:semiHidden/>
    <w:unhideWhenUsed/>
    <w:qFormat/>
    <w:uiPriority w:val="0"/>
    <w:pPr>
      <w:keepNext/>
      <w:keepLines/>
      <w:widowControl w:val="0"/>
      <w:adjustRightInd w:val="0"/>
      <w:spacing w:before="120" w:line="300" w:lineRule="auto"/>
      <w:jc w:val="both"/>
      <w:outlineLvl w:val="7"/>
    </w:pPr>
    <w:rPr>
      <w:rFonts w:ascii="Times New Roman" w:hAnsi="Times New Roman" w:eastAsia="黑体" w:cs="Times New Roman"/>
      <w:kern w:val="2"/>
      <w:sz w:val="24"/>
      <w:szCs w:val="24"/>
      <w:lang w:bidi="ar-SA"/>
    </w:rPr>
  </w:style>
  <w:style w:type="paragraph" w:styleId="11">
    <w:name w:val="heading 9"/>
    <w:next w:val="1"/>
    <w:semiHidden/>
    <w:unhideWhenUsed/>
    <w:qFormat/>
    <w:uiPriority w:val="0"/>
    <w:pPr>
      <w:keepNext/>
      <w:keepLines/>
      <w:widowControl w:val="0"/>
      <w:adjustRightInd w:val="0"/>
      <w:spacing w:before="120" w:line="300" w:lineRule="auto"/>
      <w:jc w:val="both"/>
      <w:outlineLvl w:val="8"/>
    </w:pPr>
    <w:rPr>
      <w:rFonts w:ascii="Times New Roman" w:hAnsi="Times New Roman" w:eastAsia="黑体" w:cs="Times New Roman"/>
      <w:kern w:val="2"/>
      <w:sz w:val="21"/>
      <w:szCs w:val="21"/>
      <w:lang w:bidi="ar-SA"/>
    </w:rPr>
  </w:style>
  <w:style w:type="character" w:default="1" w:styleId="20">
    <w:name w:val="Default Paragraph Font"/>
    <w:semiHidden/>
    <w:unhideWhenUsed/>
    <w:qFormat/>
    <w:uiPriority w:val="1"/>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2">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13">
    <w:name w:val="List 2"/>
    <w:basedOn w:val="1"/>
    <w:qFormat/>
    <w:uiPriority w:val="0"/>
    <w:pPr>
      <w:ind w:left="100" w:leftChars="200" w:hanging="200" w:hangingChars="200"/>
    </w:pPr>
    <w:rPr>
      <w:sz w:val="28"/>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Subtitle"/>
    <w:qFormat/>
    <w:uiPriority w:val="0"/>
    <w:pPr>
      <w:widowControl w:val="0"/>
      <w:adjustRightInd w:val="0"/>
      <w:spacing w:before="100" w:after="100" w:line="240" w:lineRule="auto"/>
      <w:jc w:val="center"/>
      <w:outlineLvl w:val="9"/>
    </w:pPr>
    <w:rPr>
      <w:rFonts w:ascii="Times New Roman" w:hAnsi="Times New Roman" w:eastAsia="黑体" w:cs="Times New Roman"/>
      <w:kern w:val="28"/>
      <w:sz w:val="32"/>
      <w:szCs w:val="24"/>
      <w:lang w:bidi="ar-SA"/>
    </w:rPr>
  </w:style>
  <w:style w:type="paragraph" w:styleId="17">
    <w:name w:val="Normal (Web)"/>
    <w:basedOn w:val="1"/>
    <w:qFormat/>
    <w:uiPriority w:val="0"/>
    <w:rPr>
      <w:sz w:val="24"/>
    </w:rPr>
  </w:style>
  <w:style w:type="paragraph" w:styleId="18">
    <w:name w:val="Title"/>
    <w:qFormat/>
    <w:uiPriority w:val="0"/>
    <w:pPr>
      <w:widowControl w:val="0"/>
      <w:adjustRightInd w:val="0"/>
      <w:spacing w:before="100" w:beforeAutospacing="0" w:after="100" w:afterAutospacing="0" w:line="240" w:lineRule="auto"/>
      <w:jc w:val="center"/>
      <w:outlineLvl w:val="9"/>
    </w:pPr>
    <w:rPr>
      <w:rFonts w:ascii="Times New Roman" w:hAnsi="Times New Roman" w:eastAsia="黑体" w:cs="Times New Roman"/>
      <w:kern w:val="2"/>
      <w:sz w:val="36"/>
      <w:szCs w:val="24"/>
      <w:lang w:bidi="ar-SA"/>
    </w:rPr>
  </w:style>
  <w:style w:type="paragraph" w:customStyle="1" w:styleId="21">
    <w:name w:val="正文1"/>
    <w:basedOn w:val="1"/>
    <w:qFormat/>
    <w:uiPriority w:val="0"/>
    <w:rPr>
      <w:rFonts w:hint="eastAsia" w:ascii="楷体_GB2312" w:hAnsi="楷体_GB2312" w:eastAsia="宋体" w:cs="楷体_GB2312"/>
      <w:snapToGrid w:val="0"/>
      <w:color w:val="000000" w:themeColor="text1"/>
      <w:kern w:val="0"/>
      <w:szCs w:val="21"/>
      <w14:textFill>
        <w14:solidFill>
          <w14:schemeClr w14:val="tx1"/>
        </w14:solidFill>
      </w14:textFill>
    </w:rPr>
  </w:style>
  <w:style w:type="paragraph" w:customStyle="1" w:styleId="22">
    <w:name w:val="主送对象"/>
    <w:next w:val="1"/>
    <w:qFormat/>
    <w:uiPriority w:val="0"/>
    <w:pPr>
      <w:spacing w:line="560" w:lineRule="exact"/>
    </w:pPr>
    <w:rPr>
      <w:rFonts w:ascii="Times New Roman" w:hAnsi="Times New Roman" w:eastAsia="仿宋_GB2312" w:cs="仿宋_GB2312"/>
      <w:sz w:val="32"/>
      <w:szCs w:val="32"/>
    </w:rPr>
  </w:style>
  <w:style w:type="paragraph" w:customStyle="1" w:styleId="23">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bidi="ar-SA"/>
    </w:rPr>
  </w:style>
  <w:style w:type="paragraph" w:customStyle="1" w:styleId="24">
    <w:name w:val="章标题"/>
    <w:next w:val="1"/>
    <w:qFormat/>
    <w:uiPriority w:val="0"/>
    <w:pPr>
      <w:widowControl w:val="0"/>
      <w:spacing w:line="560" w:lineRule="exact"/>
      <w:jc w:val="center"/>
      <w:outlineLvl w:val="0"/>
    </w:pPr>
    <w:rPr>
      <w:rFonts w:ascii="黑体" w:hAnsi="黑体" w:eastAsia="黑体" w:cs="黑体"/>
      <w:bCs/>
      <w:spacing w:val="-6"/>
      <w:kern w:val="44"/>
      <w:sz w:val="32"/>
      <w:szCs w:val="32"/>
      <w:lang w:bidi="ar-SA"/>
    </w:rPr>
  </w:style>
  <w:style w:type="paragraph" w:customStyle="1" w:styleId="25">
    <w:name w:val="表格标题"/>
    <w:next w:val="1"/>
    <w:qFormat/>
    <w:uiPriority w:val="0"/>
    <w:pPr>
      <w:overflowPunct w:val="0"/>
      <w:topLinePunct/>
      <w:spacing w:line="560" w:lineRule="exact"/>
      <w:jc w:val="center"/>
      <w:outlineLvl w:val="9"/>
    </w:pPr>
    <w:rPr>
      <w:rFonts w:ascii="Times New Roman" w:hAnsi="Times New Roman" w:eastAsia="仿宋_GB2312" w:cs="仿宋_GB2312"/>
      <w:spacing w:val="-6"/>
      <w:kern w:val="0"/>
      <w:sz w:val="32"/>
      <w:szCs w:val="32"/>
    </w:rPr>
  </w:style>
  <w:style w:type="character" w:customStyle="1" w:styleId="26">
    <w:name w:val="标题 4 Char"/>
    <w:basedOn w:val="20"/>
    <w:link w:val="6"/>
    <w:qFormat/>
    <w:uiPriority w:val="0"/>
    <w:rPr>
      <w:rFonts w:ascii="Times New Roman" w:hAnsi="Times New Roman" w:eastAsia="黑体" w:cs="Times New Roman"/>
      <w:bCs/>
      <w:kern w:val="2"/>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2f817ad8-af38-4d8b-9b34-1e4b4aa87ddd</errorID>
      <errorWord>5.</errorWord>
      <group>L1_AI</group>
      <groupName>深度校对</groupName>
      <ability>L2_AI_Punc</ability>
      <abilityName>标点纠错</abilityName>
      <candidateList>
        <item>（5）</item>
      </candidateList>
      <explain/>
      <paraID>1B573F49</paraID>
      <start>0</start>
      <end>2</end>
      <status>ignored</status>
      <modifiedWord/>
      <trackRevisions>false</trackRevisions>
    </reviewItem>
    <reviewItem>
      <errorID>5238dca1-794a-46e5-8dd8-5ddc2bc4bfad</errorID>
      <errorWord>工作范围的服务</errorWord>
      <group>L1_AI</group>
      <groupName>深度校对</groupName>
      <ability>L2_AI_Grammar</ability>
      <abilityName>语法纠错</abilityName>
      <candidateList>
        <item>工作</item>
      </candidateList>
      <explain/>
      <paraID>2493E79D</paraID>
      <start>54</start>
      <end>61</end>
      <status>ignored</status>
      <modifiedWord/>
      <trackRevisions>false</trackRevisions>
    </reviewItem>
    <reviewItem>
      <errorID>76e24aeb-467b-42ea-b788-a24afbda9419</errorID>
      <errorWord>呼叫</errorWord>
      <group>L1_AI</group>
      <groupName>深度校对</groupName>
      <ability>L2_AI_Word</ability>
      <abilityName>字词纠错</abilityName>
      <candidateList>
        <item>使用</item>
      </candidateList>
      <explain/>
      <paraID>2493E79D</paraID>
      <start>73</start>
      <end>75</end>
      <status>ignored</status>
      <modifiedWord/>
      <trackRevisions>false</trackRevisions>
    </reviewItem>
    <reviewItem>
      <errorID>46711902-1334-4e2e-ad4c-748746569170</errorID>
      <errorWord>减少</errorWord>
      <group>L1_AI</group>
      <groupName>深度校对</groupName>
      <ability>L2_AI_Punc</ability>
      <abilityName>标点纠错</abilityName>
      <candidateList>
        <item>，减少</item>
      </candidateList>
      <explain/>
      <paraID>16142762</paraID>
      <start>97</start>
      <end>99</end>
      <status>ignored</status>
      <modifiedWord/>
      <trackRevisions>false</trackRevisions>
    </reviewItem>
    <reviewItem>
      <errorID>0e97019d-a0f4-4a31-a282-36d5d05308b8</errorID>
      <errorWord>呼叫</errorWord>
      <group>L1_AI</group>
      <groupName>深度校对</groupName>
      <ability>L2_AI_Word</ability>
      <abilityName>字词纠错</abilityName>
      <candidateList>
        <item>使用</item>
      </candidateList>
      <explain/>
      <paraID>16142762</paraID>
      <start>103</start>
      <end>105</end>
      <status>ignored</status>
      <modifiedWord/>
      <trackRevisions>false</trackRevisions>
    </reviewItem>
    <reviewItem>
      <errorID>399d3d00-b77a-46ac-a997-f6f03715b79d</errorID>
      <errorWord>，</errorWord>
      <group>L1_AI</group>
      <groupName>深度校对</groupName>
      <ability>L2_AI_Punc</ability>
      <abilityName>标点纠错</abilityName>
      <candidateList>
        <item>、</item>
      </candidateList>
      <explain/>
      <paraID>16142762</paraID>
      <start>130</start>
      <end>131</end>
      <status>modified</status>
      <modifiedWord>、</modifiedWord>
      <trackRevisions>false</trackRevisions>
    </reviewItem>
    <reviewItem>
      <errorID>be6550f7-626c-4e72-acba-73eef7e37a70</errorID>
      <errorWord>进食</errorWord>
      <group>L1_AI</group>
      <groupName>深度校对</groupName>
      <ability>L2_AI_Word</ability>
      <abilityName>字词纠错</abilityName>
      <candidateList>
        <item>的进食</item>
      </candidateList>
      <explain/>
      <paraID>2948BC4E</paraID>
      <start>7</start>
      <end>9</end>
      <status>ignored</status>
      <modifiedWord/>
      <trackRevisions>false</trackRevisions>
    </reviewItem>
    <reviewItem>
      <errorID>bb29f8e6-04fc-4b40-83c1-6e60d5f01e34</errorID>
      <errorWord>。</errorWord>
      <group>L1_AI</group>
      <groupName>深度校对</groupName>
      <ability>L2_AI_Grammar</ability>
      <abilityName>语法纠错</abilityName>
      <candidateList>
        <item>情况。</item>
      </candidateList>
      <explain/>
      <paraID>67C824D2</paraID>
      <start>115</start>
      <end>116</end>
      <status>ignored</status>
      <modifiedWord/>
      <trackRevisions>false</trackRevisions>
    </reviewItem>
    <reviewItem>
      <errorID>e5385791-3c87-4f67-99ed-985c2ed6fdc8</errorID>
      <errorWord>政审合格</errorWord>
      <group>L1_AI</group>
      <groupName>深度校对</groupName>
      <ability>L2_AI_Grammar</ability>
      <abilityName>语法纠错</abilityName>
      <candidateList>
        <item>政审</item>
      </candidateList>
      <explain/>
      <paraID>49477A13</paraID>
      <start>14</start>
      <end>18</end>
      <status>ignored</status>
      <modifiedWord/>
      <trackRevisions>false</trackRevisions>
    </reviewItem>
    <reviewItem>
      <errorID>d71f6ae6-f623-4e5b-be55-97d9f2e726be</errorID>
      <errorWord>（</errorWord>
      <group>L1_Punc</group>
      <groupName>标点问题</groupName>
      <ability>L2_Punc</ability>
      <abilityName>标点符号检查</abilityName>
      <candidateList/>
      <explain>同一形式括号套用。</explain>
      <paraID>77841B52</paraID>
      <start>53</start>
      <end>54</end>
      <status>ignored</status>
      <modifiedWord/>
      <trackRevisions>false</trackRevisions>
    </reviewItem>
    <reviewItem>
      <errorID>12084731-2964-42c9-b633-bc0d7f4afcb2</errorID>
      <errorWord>）</errorWord>
      <group>L1_Punc</group>
      <groupName>标点问题</groupName>
      <ability>L2_Punc</ability>
      <abilityName>标点符号检查</abilityName>
      <candidateList/>
      <explain>同一形式括号套用。</explain>
      <paraID>77841B52</paraID>
      <start>55</start>
      <end>56</end>
      <status>ignored</status>
      <modifiedWord/>
      <trackRevisions>false</trackRevisions>
    </reviewItem>
    <reviewItem>
      <errorID>a2b78643-06e8-4b2b-847f-c294fbefb42e</errorID>
      <errorWord>由</errorWord>
      <group>L1_Word</group>
      <groupName>字词问题</groupName>
      <ability>L2_Typo</ability>
      <abilityName>字词错误</abilityName>
      <candidateList>
        <item>有</item>
      </candidateList>
      <explain>存在发音相同字词的误用。</explain>
      <paraID> 2C018F8</paraID>
      <start>43</start>
      <end>44</end>
      <status>ignored</status>
      <modifiedWord/>
      <trackRevisions>false</trackRevisions>
    </reviewItem>
    <reviewItem>
      <errorID>b5319960-9c13-4646-afa7-2b80b1925f08</errorID>
      <errorWord>制订</errorWord>
      <group>L1_Word</group>
      <groupName>字词问题</groupName>
      <ability>L2_Typo</ability>
      <abilityName>字词错误</abilityName>
      <candidateList>
        <item>制定</item>
      </candidateList>
      <explain>存在发音相同字词的误用。</explain>
      <paraID>39849891</paraID>
      <start>50</start>
      <end>52</end>
      <status>modified</status>
      <modifiedWord>制定</modifiedWord>
      <trackRevisions>false</trackRevisions>
    </reviewItem>
    <reviewItem>
      <errorID>112b07de-93b6-48ae-8b9d-c6d6258e2a29</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69B7F1EA</paraID>
      <start>50</start>
      <end>52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4eab69-d21b-4739-987c-ffee29f92060}">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7561</Words>
  <Characters>7770</Characters>
  <Lines>0</Lines>
  <Paragraphs>0</Paragraphs>
  <TotalTime>0</TotalTime>
  <ScaleCrop>false</ScaleCrop>
  <LinksUpToDate>false</LinksUpToDate>
  <CharactersWithSpaces>7770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2026-07-06T08:06:00Z</dcterms:created>
  <dc:creator>王素娟</dc:creator>
  <cp:lastModifiedBy>王素娟</cp:lastModifiedBy>
  <dcterms:modified xsi:type="dcterms:W3CDTF">2026-07-13T03:25:06Z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1A15510A9F044E2EA64CDDD93B86E8DE_11</vt:lpwstr>
  </property>
  <property fmtid="{D5CDD505-2E9C-101B-9397-08002B2CF9AE}" pid="4" name="KSOTemplateDocerSaveRecord">
    <vt:lpwstr>eyJoZGlkIjoiYTMwZmFmOGVhOThhZGQ4MjFiYWJjYjE4OGVjODVjYjAiLCJ1c2VySWQiOiI2OTY2MDcyODcifQ==</vt:lpwstr>
  </property>
</Properties>
</file>