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C2D9E">
      <w:pPr>
        <w:spacing w:line="720" w:lineRule="exact"/>
        <w:jc w:val="center"/>
        <w:rPr>
          <w:rFonts w:hint="eastAsia" w:ascii="宋体" w:hAnsi="宋体" w:cs="宋体"/>
          <w:color w:val="000000" w:themeColor="text1"/>
          <w:sz w:val="48"/>
          <w:szCs w:val="48"/>
          <w:highlight w:val="none"/>
          <w14:textFill>
            <w14:solidFill>
              <w14:schemeClr w14:val="tx1"/>
            </w14:solidFill>
          </w14:textFill>
        </w:rPr>
      </w:pPr>
      <w:r>
        <w:rPr>
          <w:rFonts w:hint="eastAsia" w:ascii="华文新魏" w:hAnsi="Courier New" w:eastAsia="华文新魏"/>
          <w:b/>
          <w:bCs/>
          <w:color w:val="000000" w:themeColor="text1"/>
          <w:kern w:val="0"/>
          <w:sz w:val="68"/>
          <w:szCs w:val="68"/>
          <w:highlight w:val="none"/>
          <w14:textFill>
            <w14:solidFill>
              <w14:schemeClr w14:val="tx1"/>
            </w14:solidFill>
          </w14:textFill>
        </w:rPr>
        <w:cr/>
      </w:r>
    </w:p>
    <w:p w14:paraId="28A8ED7B">
      <w:pPr>
        <w:jc w:val="center"/>
        <w:rPr>
          <w:rFonts w:hint="eastAsia" w:ascii="Arial Unicode MS" w:hAnsi="Arial Unicode MS" w:eastAsia="Arial Unicode MS" w:cs="Arial Unicode MS"/>
          <w:sz w:val="44"/>
          <w:szCs w:val="44"/>
        </w:rPr>
      </w:pPr>
      <w:r>
        <w:rPr>
          <w:rFonts w:hint="eastAsia" w:ascii="宋体" w:hAnsi="宋体" w:cs="宋体"/>
          <w:color w:val="000000" w:themeColor="text1"/>
          <w:sz w:val="72"/>
          <w:highlight w:val="none"/>
          <w14:textFill>
            <w14:solidFill>
              <w14:schemeClr w14:val="tx1"/>
            </w14:solidFill>
          </w14:textFill>
        </w:rPr>
        <w:cr/>
      </w:r>
    </w:p>
    <w:p w14:paraId="21DC8F76">
      <w:pPr>
        <w:jc w:val="center"/>
        <w:rPr>
          <w:rFonts w:hint="eastAsia" w:ascii="Arial Unicode MS" w:hAnsi="Arial Unicode MS" w:eastAsia="Arial Unicode MS" w:cs="Arial Unicode MS"/>
          <w:sz w:val="44"/>
          <w:szCs w:val="44"/>
        </w:rPr>
      </w:pPr>
      <w:r>
        <w:rPr>
          <w:rFonts w:hint="eastAsia" w:ascii="黑体" w:hAnsi="黑体" w:eastAsia="黑体" w:cs="黑体"/>
          <w:sz w:val="44"/>
          <w:szCs w:val="44"/>
        </w:rPr>
        <w:t>竞争性磋商文件</w:t>
      </w:r>
    </w:p>
    <w:p w14:paraId="40CAB893">
      <w:pPr>
        <w:pStyle w:val="20"/>
        <w:ind w:firstLine="3990" w:firstLineChars="1900"/>
        <w:rPr>
          <w:rFonts w:hint="eastAsia" w:hAnsi="宋体" w:cs="宋体"/>
          <w:color w:val="000000" w:themeColor="text1"/>
          <w:highlight w:val="none"/>
          <w14:textFill>
            <w14:solidFill>
              <w14:schemeClr w14:val="tx1"/>
            </w14:solidFill>
          </w14:textFill>
        </w:rPr>
      </w:pPr>
    </w:p>
    <w:p w14:paraId="704A3DD7">
      <w:pPr>
        <w:rPr>
          <w:rFonts w:hint="eastAsia" w:ascii="宋体" w:hAnsi="宋体" w:cs="宋体"/>
          <w:b/>
          <w:bCs/>
          <w:color w:val="000000" w:themeColor="text1"/>
          <w:spacing w:val="40"/>
          <w:sz w:val="32"/>
          <w:highlight w:val="none"/>
          <w14:textFill>
            <w14:solidFill>
              <w14:schemeClr w14:val="tx1"/>
            </w14:solidFill>
          </w14:textFill>
        </w:rPr>
      </w:pPr>
    </w:p>
    <w:p w14:paraId="25B6D51D">
      <w:pPr>
        <w:pStyle w:val="4"/>
        <w:rPr>
          <w:rFonts w:hint="eastAsia" w:ascii="宋体" w:hAnsi="宋体" w:cs="宋体"/>
          <w:b/>
          <w:bCs/>
          <w:color w:val="000000" w:themeColor="text1"/>
          <w:spacing w:val="40"/>
          <w:sz w:val="32"/>
          <w:highlight w:val="none"/>
          <w14:textFill>
            <w14:solidFill>
              <w14:schemeClr w14:val="tx1"/>
            </w14:solidFill>
          </w14:textFill>
        </w:rPr>
      </w:pPr>
    </w:p>
    <w:p w14:paraId="23D76D8F">
      <w:pPr>
        <w:rPr>
          <w:rFonts w:hint="eastAsia"/>
          <w:color w:val="000000" w:themeColor="text1"/>
          <w14:textFill>
            <w14:solidFill>
              <w14:schemeClr w14:val="tx1"/>
            </w14:solidFill>
          </w14:textFill>
        </w:rPr>
      </w:pPr>
    </w:p>
    <w:p w14:paraId="3A57F1B6">
      <w:pPr>
        <w:keepNext w:val="0"/>
        <w:keepLines w:val="0"/>
        <w:pageBreakBefore w:val="0"/>
        <w:widowControl w:val="0"/>
        <w:kinsoku/>
        <w:wordWrap/>
        <w:overflowPunct/>
        <w:topLinePunct w:val="0"/>
        <w:autoSpaceDE/>
        <w:autoSpaceDN/>
        <w:bidi w:val="0"/>
        <w:adjustRightInd/>
        <w:snapToGrid/>
        <w:ind w:firstLine="1285" w:firstLineChars="400"/>
        <w:textAlignment w:val="auto"/>
        <w:rPr>
          <w:rFonts w:hint="eastAsia" w:ascii="宋体" w:hAnsi="宋体" w:eastAsia="宋体" w:cs="宋体"/>
          <w:sz w:val="32"/>
          <w:szCs w:val="32"/>
          <w:lang w:val="en-US" w:eastAsia="zh-CN"/>
        </w:rPr>
      </w:pPr>
      <w:r>
        <w:rPr>
          <w:rFonts w:hint="eastAsia" w:ascii="宋体" w:hAnsi="宋体" w:eastAsia="宋体" w:cs="宋体"/>
          <w:b/>
          <w:bCs/>
          <w:sz w:val="32"/>
          <w:szCs w:val="32"/>
        </w:rPr>
        <w:t>项目名称</w:t>
      </w:r>
      <w:r>
        <w:rPr>
          <w:rFonts w:hint="eastAsia" w:ascii="宋体" w:hAnsi="宋体" w:eastAsia="宋体" w:cs="宋体"/>
          <w:sz w:val="32"/>
          <w:szCs w:val="32"/>
        </w:rPr>
        <w:t>：</w:t>
      </w:r>
      <w:r>
        <w:rPr>
          <w:rFonts w:hint="eastAsia" w:ascii="宋体" w:hAnsi="宋体" w:eastAsia="宋体" w:cs="宋体"/>
          <w:sz w:val="32"/>
          <w:szCs w:val="32"/>
          <w:lang w:val="en-US" w:eastAsia="zh-CN"/>
        </w:rPr>
        <w:t>广西骨伤医院</w:t>
      </w:r>
      <w:r>
        <w:rPr>
          <w:rFonts w:hint="eastAsia" w:ascii="宋体" w:hAnsi="宋体" w:eastAsia="宋体" w:cs="宋体"/>
          <w:sz w:val="32"/>
          <w:szCs w:val="32"/>
        </w:rPr>
        <w:t>2026</w:t>
      </w:r>
      <w:r>
        <w:rPr>
          <w:rFonts w:hint="eastAsia" w:ascii="宋体" w:hAnsi="宋体" w:eastAsia="宋体" w:cs="宋体"/>
          <w:sz w:val="32"/>
          <w:szCs w:val="32"/>
          <w:lang w:val="en-US" w:eastAsia="zh-CN"/>
        </w:rPr>
        <w:t>年度医疗责任保险项目</w:t>
      </w:r>
    </w:p>
    <w:p w14:paraId="60EA0E00">
      <w:pPr>
        <w:keepNext w:val="0"/>
        <w:keepLines w:val="0"/>
        <w:pageBreakBefore w:val="0"/>
        <w:widowControl w:val="0"/>
        <w:kinsoku/>
        <w:wordWrap/>
        <w:overflowPunct/>
        <w:topLinePunct w:val="0"/>
        <w:autoSpaceDE/>
        <w:autoSpaceDN/>
        <w:bidi w:val="0"/>
        <w:adjustRightInd/>
        <w:snapToGrid/>
        <w:ind w:firstLine="1285" w:firstLineChars="400"/>
        <w:textAlignment w:val="auto"/>
        <w:rPr>
          <w:rFonts w:hint="eastAsia" w:ascii="宋体" w:hAnsi="宋体" w:eastAsia="宋体" w:cs="宋体"/>
          <w:sz w:val="32"/>
          <w:szCs w:val="32"/>
          <w:lang w:eastAsia="zh-CN"/>
        </w:rPr>
      </w:pPr>
      <w:r>
        <w:rPr>
          <w:rFonts w:hint="eastAsia" w:ascii="宋体" w:hAnsi="宋体" w:eastAsia="宋体" w:cs="宋体"/>
          <w:b/>
          <w:bCs/>
          <w:sz w:val="32"/>
          <w:szCs w:val="32"/>
        </w:rPr>
        <w:t>项目编号</w:t>
      </w:r>
      <w:r>
        <w:rPr>
          <w:rFonts w:hint="eastAsia" w:ascii="宋体" w:hAnsi="宋体" w:eastAsia="宋体" w:cs="宋体"/>
          <w:sz w:val="32"/>
          <w:szCs w:val="32"/>
        </w:rPr>
        <w:t>：</w:t>
      </w:r>
      <w:r>
        <w:rPr>
          <w:rFonts w:hint="eastAsia" w:ascii="宋体" w:hAnsi="宋体" w:eastAsia="宋体" w:cs="宋体"/>
          <w:sz w:val="32"/>
          <w:szCs w:val="32"/>
          <w:lang w:eastAsia="zh-CN"/>
        </w:rPr>
        <w:t>GXGSYY-CGB-YWB-2026-02</w:t>
      </w:r>
    </w:p>
    <w:p w14:paraId="3DE7F24E">
      <w:pPr>
        <w:pStyle w:val="4"/>
        <w:rPr>
          <w:rFonts w:hint="eastAsia" w:ascii="宋体" w:hAnsi="宋体" w:cs="宋体"/>
          <w:b/>
          <w:bCs/>
          <w:color w:val="000000" w:themeColor="text1"/>
          <w:spacing w:val="6"/>
          <w:sz w:val="32"/>
          <w:highlight w:val="none"/>
          <w14:textFill>
            <w14:solidFill>
              <w14:schemeClr w14:val="tx1"/>
            </w14:solidFill>
          </w14:textFill>
        </w:rPr>
      </w:pPr>
    </w:p>
    <w:p w14:paraId="3EA06F7B">
      <w:pPr>
        <w:rPr>
          <w:rFonts w:hint="eastAsia" w:ascii="宋体" w:hAnsi="宋体" w:cs="宋体"/>
          <w:b/>
          <w:bCs/>
          <w:color w:val="000000" w:themeColor="text1"/>
          <w:spacing w:val="6"/>
          <w:sz w:val="32"/>
          <w:highlight w:val="none"/>
          <w14:textFill>
            <w14:solidFill>
              <w14:schemeClr w14:val="tx1"/>
            </w14:solidFill>
          </w14:textFill>
        </w:rPr>
      </w:pPr>
    </w:p>
    <w:p w14:paraId="2370F4FC">
      <w:pPr>
        <w:pStyle w:val="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1049655</wp:posOffset>
                </wp:positionH>
                <wp:positionV relativeFrom="paragraph">
                  <wp:posOffset>8106410</wp:posOffset>
                </wp:positionV>
                <wp:extent cx="5894070" cy="635"/>
                <wp:effectExtent l="0" t="23495" r="11430" b="33020"/>
                <wp:wrapNone/>
                <wp:docPr id="5" name="直接连接符 10"/>
                <wp:cNvGraphicFramePr/>
                <a:graphic xmlns:a="http://schemas.openxmlformats.org/drawingml/2006/main">
                  <a:graphicData uri="http://schemas.microsoft.com/office/word/2010/wordprocessingShape">
                    <wps:wsp>
                      <wps:cNvCnPr/>
                      <wps:spPr>
                        <a:xfrm>
                          <a:off x="0" y="0"/>
                          <a:ext cx="5894070" cy="635"/>
                        </a:xfrm>
                        <a:prstGeom prst="line">
                          <a:avLst/>
                        </a:prstGeom>
                        <a:ln w="47625" cap="flat" cmpd="thinThick">
                          <a:solidFill>
                            <a:srgbClr val="000000"/>
                          </a:solidFill>
                          <a:prstDash val="solid"/>
                          <a:headEnd type="none" w="med" len="med"/>
                          <a:tailEnd type="none" w="med" len="med"/>
                        </a:ln>
                      </wps:spPr>
                      <wps:bodyPr upright="1"/>
                    </wps:wsp>
                  </a:graphicData>
                </a:graphic>
              </wp:anchor>
            </w:drawing>
          </mc:Choice>
          <mc:Fallback>
            <w:pict>
              <v:line id="直接连接符 10" o:spid="_x0000_s1026" o:spt="20" style="position:absolute;left:0pt;margin-left:82.65pt;margin-top:638.3pt;height:0.05pt;width:464.1pt;z-index:251662336;mso-width-relative:page;mso-height-relative:page;" filled="f" stroked="t" coordsize="21600,21600" o:gfxdata="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vjDJ2wAAAA4BAAAPAAAAAAAAAAEAIAAAACIAAABkcnMvZG93&#10;bnJldi54bWxQSwECFAAUAAAACACHTuJAQJD1Gf0BAADuAwAADgAAAAAAAAABACAAAAAqAQAAZHJz&#10;L2Uyb0RvYy54bWxQSwUGAAAAAAYABgBZAQAAmQUAAAAA&#10;">
                <v:fill on="f" focussize="0,0"/>
                <v:stroke weight="3.75pt" color="#000000" linestyle="thinThick" joinstyle="round"/>
                <v:imagedata o:title=""/>
                <o:lock v:ext="edit" aspectratio="f"/>
              </v:line>
            </w:pict>
          </mc:Fallback>
        </mc:AlternateConten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4" name="直接连接符 9"/>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9" o:spid="_x0000_s1026" o:spt="20" style="position:absolute;left:0pt;margin-left:70.65pt;margin-top:626.3pt;height:0.05pt;width:464.1pt;z-index:251661312;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Xz2D2AAAAA4BAAAPAAAAAAAAAAEAIAAAACIAAABkcnMvZG93bnJldi54&#10;bWxQSwECFAAUAAAACACHTuJAyQm0KPoBAADnAwAADgAAAAAAAAABACAAAAAnAQAAZHJzL2Uyb0Rv&#10;Yy54bWxQSwUGAAAAAAYABgBZAQAAkwUAAAAA&#10;">
                <v:fill on="f" focussize="0,0"/>
                <v:stroke weight="2pt" color="#4F81BD" joinstyle="round"/>
                <v:imagedata o:title=""/>
                <o:lock v:ext="edit" aspectratio="f"/>
              </v:line>
            </w:pict>
          </mc:Fallback>
        </mc:AlternateContent>
      </w:r>
    </w:p>
    <w:p w14:paraId="59C08685">
      <w:pPr>
        <w:pStyle w:val="4"/>
        <w:rPr>
          <w:rFonts w:hint="eastAsia" w:ascii="宋体" w:hAnsi="宋体" w:eastAsia="宋体" w:cs="宋体"/>
          <w:color w:val="000000" w:themeColor="text1"/>
          <w:highlight w:val="none"/>
          <w14:textFill>
            <w14:solidFill>
              <w14:schemeClr w14:val="tx1"/>
            </w14:solidFill>
          </w14:textFill>
        </w:rPr>
      </w:pPr>
    </w:p>
    <w:p w14:paraId="5575C0FF">
      <w:pPr>
        <w:pStyle w:val="4"/>
        <w:rPr>
          <w:rFonts w:hint="eastAsia" w:ascii="宋体" w:hAnsi="宋体" w:eastAsia="宋体" w:cs="宋体"/>
          <w:color w:val="000000" w:themeColor="text1"/>
          <w:highlight w:val="none"/>
          <w14:textFill>
            <w14:solidFill>
              <w14:schemeClr w14:val="tx1"/>
            </w14:solidFill>
          </w14:textFill>
        </w:rPr>
      </w:pPr>
    </w:p>
    <w:p w14:paraId="0B9E7D33">
      <w:pPr>
        <w:pStyle w:val="4"/>
        <w:rPr>
          <w:rFonts w:hint="eastAsia" w:ascii="宋体" w:hAnsi="宋体" w:eastAsia="宋体" w:cs="宋体"/>
          <w:color w:val="000000" w:themeColor="text1"/>
          <w:highlight w:val="none"/>
          <w14:textFill>
            <w14:solidFill>
              <w14:schemeClr w14:val="tx1"/>
            </w14:solidFill>
          </w14:textFill>
        </w:rPr>
      </w:pPr>
    </w:p>
    <w:p w14:paraId="1EA8B008">
      <w:pPr>
        <w:pStyle w:val="4"/>
        <w:rPr>
          <w:rFonts w:hint="eastAsia"/>
          <w:color w:val="000000" w:themeColor="text1"/>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3" name="直接连接符 7"/>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7" o:spid="_x0000_s1026" o:spt="20" style="position:absolute;left:0pt;margin-left:70.65pt;margin-top:626.3pt;height:0.05pt;width:464.1pt;z-index:251660288;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l89g9gAAAAOAQAADwAAAAAAAAABACAAAAAiAAAAZHJzL2Rvd25yZXYu&#10;eG1sUEsBAhQAFAAAAAgAh07iQEgrMrf7AQAA5wMAAA4AAAAAAAAAAQAgAAAAJwEAAGRycy9lMm9E&#10;b2MueG1sUEsFBgAAAAAGAAYAWQEAAJQFAAAAAA==&#10;">
                <v:fill on="f" focussize="0,0"/>
                <v:stroke weight="2pt" color="#4F81BD" joinstyle="round"/>
                <v:imagedata o:title=""/>
                <o:lock v:ext="edit" aspectratio="f"/>
              </v:line>
            </w:pict>
          </mc:Fallback>
        </mc:AlternateContent>
      </w:r>
    </w:p>
    <w:p w14:paraId="742AA61C">
      <w:pPr>
        <w:rPr>
          <w:rFonts w:hint="eastAsia" w:ascii="宋体" w:hAnsi="宋体" w:cs="宋体"/>
          <w:color w:val="000000" w:themeColor="text1"/>
          <w:highlight w:val="none"/>
          <w14:textFill>
            <w14:solidFill>
              <w14:schemeClr w14:val="tx1"/>
            </w14:solidFill>
          </w14:textFill>
        </w:rPr>
      </w:pPr>
    </w:p>
    <w:p w14:paraId="5C41EE69">
      <w:pPr>
        <w:jc w:val="center"/>
        <w:rPr>
          <w:rFonts w:hint="eastAsia" w:ascii="宋体" w:hAnsi="宋体" w:cs="宋体"/>
          <w:b/>
          <w:bCs/>
          <w:color w:val="000000" w:themeColor="text1"/>
          <w:kern w:val="0"/>
          <w:sz w:val="30"/>
          <w:szCs w:val="30"/>
          <w:highlight w:val="none"/>
          <w14:textFill>
            <w14:solidFill>
              <w14:schemeClr w14:val="tx1"/>
            </w14:solidFill>
          </w14:textFill>
        </w:rPr>
      </w:pPr>
      <w:r>
        <w:rPr>
          <w:rFonts w:hint="eastAsia" w:ascii="宋体" w:hAnsi="宋体" w:cs="宋体"/>
          <w:b/>
          <w:bCs/>
          <w:color w:val="000000" w:themeColor="text1"/>
          <w:kern w:val="0"/>
          <w:sz w:val="30"/>
          <w:szCs w:val="30"/>
          <w:highlight w:val="none"/>
          <w14:textFill>
            <w14:solidFill>
              <w14:schemeClr w14:val="tx1"/>
            </w14:solidFill>
          </w14:textFill>
        </w:rPr>
        <w:cr/>
      </w:r>
      <w:r>
        <w:rPr>
          <w:rFonts w:hint="eastAsia" w:ascii="宋体" w:hAnsi="宋体" w:cs="宋体"/>
          <w:b/>
          <w:bCs/>
          <w:color w:val="000000" w:themeColor="text1"/>
          <w:kern w:val="0"/>
          <w:sz w:val="30"/>
          <w:szCs w:val="30"/>
          <w:highlight w:val="none"/>
          <w14:textFill>
            <w14:solidFill>
              <w14:schemeClr w14:val="tx1"/>
            </w14:solidFill>
          </w14:textFill>
        </w:rPr>
        <w:t>202</w:t>
      </w:r>
      <w:r>
        <w:rPr>
          <w:rFonts w:hint="eastAsia" w:ascii="宋体" w:hAnsi="宋体" w:cs="宋体"/>
          <w:b/>
          <w:bCs/>
          <w:color w:val="000000" w:themeColor="text1"/>
          <w:kern w:val="0"/>
          <w:sz w:val="30"/>
          <w:szCs w:val="30"/>
          <w:highlight w:val="none"/>
          <w:lang w:val="en-US" w:eastAsia="zh-CN"/>
          <w14:textFill>
            <w14:solidFill>
              <w14:schemeClr w14:val="tx1"/>
            </w14:solidFill>
          </w14:textFill>
        </w:rPr>
        <w:t>6</w:t>
      </w:r>
      <w:r>
        <w:rPr>
          <w:rFonts w:hint="eastAsia" w:ascii="宋体" w:hAnsi="宋体" w:cs="宋体"/>
          <w:b/>
          <w:bCs/>
          <w:color w:val="000000" w:themeColor="text1"/>
          <w:kern w:val="0"/>
          <w:sz w:val="30"/>
          <w:szCs w:val="30"/>
          <w:highlight w:val="none"/>
          <w14:textFill>
            <w14:solidFill>
              <w14:schemeClr w14:val="tx1"/>
            </w14:solidFill>
          </w14:textFill>
        </w:rPr>
        <w:t>年</w:t>
      </w:r>
      <w:r>
        <w:rPr>
          <w:rFonts w:hint="eastAsia" w:ascii="宋体" w:hAnsi="宋体" w:cs="宋体"/>
          <w:b/>
          <w:bCs/>
          <w:color w:val="000000" w:themeColor="text1"/>
          <w:kern w:val="0"/>
          <w:sz w:val="30"/>
          <w:szCs w:val="30"/>
          <w:highlight w:val="none"/>
          <w:lang w:val="en-US" w:eastAsia="zh-CN"/>
          <w14:textFill>
            <w14:solidFill>
              <w14:schemeClr w14:val="tx1"/>
            </w14:solidFill>
          </w14:textFill>
        </w:rPr>
        <w:t>04</w:t>
      </w:r>
      <w:r>
        <w:rPr>
          <w:rFonts w:hint="eastAsia" w:ascii="宋体" w:hAnsi="宋体" w:cs="宋体"/>
          <w:b/>
          <w:bCs/>
          <w:color w:val="000000" w:themeColor="text1"/>
          <w:kern w:val="0"/>
          <w:sz w:val="30"/>
          <w:szCs w:val="30"/>
          <w:highlight w:val="none"/>
          <w14:textFill>
            <w14:solidFill>
              <w14:schemeClr w14:val="tx1"/>
            </w14:solidFill>
          </w14:textFill>
        </w:rPr>
        <w:t>月</w:t>
      </w:r>
    </w:p>
    <w:p w14:paraId="100C863E">
      <w:pPr>
        <w:pStyle w:val="75"/>
        <w:spacing w:line="360" w:lineRule="exact"/>
        <w:jc w:val="center"/>
        <w:rPr>
          <w:rFonts w:ascii="Arial" w:hAnsi="Arial" w:eastAsia="宋体" w:cs="Arial"/>
          <w:color w:val="000000" w:themeColor="text1"/>
          <w:highlight w:val="none"/>
          <w:lang w:val="zh-CN"/>
          <w14:textFill>
            <w14:solidFill>
              <w14:schemeClr w14:val="tx1"/>
            </w14:solidFill>
          </w14:textFill>
        </w:rPr>
        <w:sectPr>
          <w:headerReference r:id="rId3" w:type="default"/>
          <w:pgSz w:w="11906" w:h="16838"/>
          <w:pgMar w:top="1440" w:right="1080" w:bottom="1440" w:left="1080" w:header="851" w:footer="992" w:gutter="0"/>
          <w:pgNumType w:fmt="decimal"/>
          <w:cols w:space="720" w:num="1"/>
          <w:docGrid w:type="lines" w:linePitch="312" w:charSpace="0"/>
        </w:sectPr>
      </w:pPr>
    </w:p>
    <w:p w14:paraId="041FDC5F">
      <w:pPr>
        <w:jc w:val="center"/>
        <w:rPr>
          <w:rFonts w:ascii="Arial" w:hAnsi="Arial" w:cs="Arial"/>
          <w:b/>
          <w:bCs/>
          <w:color w:val="000000" w:themeColor="text1"/>
          <w:sz w:val="40"/>
          <w:szCs w:val="48"/>
          <w:highlight w:val="none"/>
          <w14:textFill>
            <w14:solidFill>
              <w14:schemeClr w14:val="tx1"/>
            </w14:solidFill>
          </w14:textFill>
        </w:rPr>
      </w:pPr>
      <w:r>
        <w:rPr>
          <w:rFonts w:ascii="Arial" w:hAnsi="Arial" w:cs="Arial"/>
          <w:b/>
          <w:bCs/>
          <w:color w:val="000000" w:themeColor="text1"/>
          <w:sz w:val="40"/>
          <w:szCs w:val="48"/>
          <w:highlight w:val="none"/>
          <w14:textFill>
            <w14:solidFill>
              <w14:schemeClr w14:val="tx1"/>
            </w14:solidFill>
          </w14:textFill>
        </w:rPr>
        <w:t>目</w:t>
      </w:r>
      <w:r>
        <w:rPr>
          <w:rFonts w:hint="eastAsia" w:ascii="Arial" w:hAnsi="Arial" w:cs="Arial"/>
          <w:b/>
          <w:bCs/>
          <w:color w:val="000000" w:themeColor="text1"/>
          <w:sz w:val="40"/>
          <w:szCs w:val="48"/>
          <w:highlight w:val="none"/>
          <w:lang w:val="en-US" w:eastAsia="zh-CN"/>
          <w14:textFill>
            <w14:solidFill>
              <w14:schemeClr w14:val="tx1"/>
            </w14:solidFill>
          </w14:textFill>
        </w:rPr>
        <w:t xml:space="preserve"> </w:t>
      </w:r>
      <w:r>
        <w:rPr>
          <w:rFonts w:ascii="Arial" w:hAnsi="Arial" w:cs="Arial"/>
          <w:b/>
          <w:bCs/>
          <w:color w:val="000000" w:themeColor="text1"/>
          <w:sz w:val="40"/>
          <w:szCs w:val="48"/>
          <w:highlight w:val="none"/>
          <w14:textFill>
            <w14:solidFill>
              <w14:schemeClr w14:val="tx1"/>
            </w14:solidFill>
          </w14:textFill>
        </w:rPr>
        <w:t xml:space="preserve"> 录</w:t>
      </w:r>
    </w:p>
    <w:p w14:paraId="09738439">
      <w:pPr>
        <w:spacing w:line="360" w:lineRule="auto"/>
        <w:rPr>
          <w:rFonts w:ascii="Arial" w:hAnsi="Arial" w:cs="Arial"/>
          <w:color w:val="000000" w:themeColor="text1"/>
          <w:sz w:val="28"/>
          <w:szCs w:val="28"/>
          <w:highlight w:val="none"/>
          <w14:textFill>
            <w14:solidFill>
              <w14:schemeClr w14:val="tx1"/>
            </w14:solidFill>
          </w14:textFill>
        </w:rPr>
      </w:pPr>
    </w:p>
    <w:p w14:paraId="0513B4D3">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TOC \o "1-3" \h \u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_Toc4150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竞争性磋商公告</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_Toc4150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92E1BAF">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_Toc19220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kern w:val="44"/>
          <w:sz w:val="28"/>
          <w:szCs w:val="28"/>
          <w:highlight w:val="none"/>
          <w14:textFill>
            <w14:solidFill>
              <w14:schemeClr w14:val="tx1"/>
            </w14:solidFill>
          </w14:textFill>
        </w:rPr>
        <w:t>第二章  供应商须知</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_Toc19220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4</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9642816">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_Toc88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采购需求</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_Toc88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91D5B7D">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_Toc7344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第四章  评审办法</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_Toc7344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25</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8B663F2">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_Toc25587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 xml:space="preserve">第五章  </w:t>
      </w:r>
      <w:r>
        <w:rPr>
          <w:rFonts w:hint="eastAsia" w:ascii="宋体" w:hAnsi="宋体" w:cs="宋体"/>
          <w:bCs/>
          <w:color w:val="000000" w:themeColor="text1"/>
          <w:sz w:val="28"/>
          <w:szCs w:val="28"/>
          <w:highlight w:val="none"/>
          <w:lang w:val="en-US" w:eastAsia="zh-CN"/>
          <w14:textFill>
            <w14:solidFill>
              <w14:schemeClr w14:val="tx1"/>
            </w14:solidFill>
          </w14:textFill>
        </w:rPr>
        <w:t>拟</w:t>
      </w:r>
      <w:r>
        <w:rPr>
          <w:rFonts w:hint="eastAsia" w:ascii="宋体" w:hAnsi="宋体" w:cs="宋体"/>
          <w:bCs/>
          <w:color w:val="000000" w:themeColor="text1"/>
          <w:sz w:val="28"/>
          <w:szCs w:val="28"/>
          <w:highlight w:val="none"/>
          <w14:textFill>
            <w14:solidFill>
              <w14:schemeClr w14:val="tx1"/>
            </w14:solidFill>
          </w14:textFill>
        </w:rPr>
        <w:t>合同条款及格式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_Toc25587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304163BB">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_Toc23685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响应文件（格式）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_Toc23685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6DD2C36">
      <w:pPr>
        <w:spacing w:line="600" w:lineRule="auto"/>
        <w:outlineLvl w:val="0"/>
        <w:rPr>
          <w:rFonts w:ascii="Arial" w:hAnsi="Arial" w:cs="Arial"/>
          <w:color w:val="000000" w:themeColor="text1"/>
          <w:sz w:val="72"/>
          <w:szCs w:val="7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end"/>
      </w:r>
    </w:p>
    <w:p w14:paraId="40FF1FDC">
      <w:pPr>
        <w:rPr>
          <w:color w:val="000000" w:themeColor="text1"/>
          <w:highlight w:val="none"/>
          <w14:textFill>
            <w14:solidFill>
              <w14:schemeClr w14:val="tx1"/>
            </w14:solidFill>
          </w14:textFill>
        </w:rPr>
      </w:pPr>
    </w:p>
    <w:p w14:paraId="42F55F9C">
      <w:pPr>
        <w:rPr>
          <w:color w:val="000000" w:themeColor="text1"/>
          <w:highlight w:val="none"/>
          <w14:textFill>
            <w14:solidFill>
              <w14:schemeClr w14:val="tx1"/>
            </w14:solidFill>
          </w14:textFill>
        </w:rPr>
      </w:pPr>
    </w:p>
    <w:p w14:paraId="39389FCB">
      <w:pPr>
        <w:rPr>
          <w:color w:val="000000" w:themeColor="text1"/>
          <w:highlight w:val="none"/>
          <w14:textFill>
            <w14:solidFill>
              <w14:schemeClr w14:val="tx1"/>
            </w14:solidFill>
          </w14:textFill>
        </w:rPr>
      </w:pPr>
    </w:p>
    <w:p w14:paraId="751F02DD">
      <w:pPr>
        <w:rPr>
          <w:color w:val="000000" w:themeColor="text1"/>
          <w:highlight w:val="none"/>
          <w14:textFill>
            <w14:solidFill>
              <w14:schemeClr w14:val="tx1"/>
            </w14:solidFill>
          </w14:textFill>
        </w:rPr>
      </w:pPr>
    </w:p>
    <w:p w14:paraId="2D41A366">
      <w:pPr>
        <w:rPr>
          <w:color w:val="000000" w:themeColor="text1"/>
          <w:highlight w:val="none"/>
          <w14:textFill>
            <w14:solidFill>
              <w14:schemeClr w14:val="tx1"/>
            </w14:solidFill>
          </w14:textFill>
        </w:rPr>
      </w:pPr>
    </w:p>
    <w:p w14:paraId="0C6C81DC">
      <w:pPr>
        <w:tabs>
          <w:tab w:val="left" w:pos="5443"/>
        </w:tabs>
        <w:jc w:val="left"/>
        <w:rPr>
          <w:color w:val="000000" w:themeColor="text1"/>
          <w:highlight w:val="none"/>
          <w14:textFill>
            <w14:solidFill>
              <w14:schemeClr w14:val="tx1"/>
            </w14:solidFill>
          </w14:textFill>
        </w:rPr>
        <w:sectPr>
          <w:pgSz w:w="11906" w:h="16838"/>
          <w:pgMar w:top="1440" w:right="1080" w:bottom="1440" w:left="1080" w:header="851" w:footer="992" w:gutter="0"/>
          <w:pgNumType w:fmt="decimal" w:start="1"/>
          <w:cols w:space="720" w:num="1"/>
          <w:docGrid w:type="lines" w:linePitch="312" w:charSpace="0"/>
        </w:sectPr>
      </w:pPr>
      <w:r>
        <w:rPr>
          <w:rFonts w:hint="eastAsia"/>
          <w:color w:val="000000" w:themeColor="text1"/>
          <w:highlight w:val="none"/>
          <w14:textFill>
            <w14:solidFill>
              <w14:schemeClr w14:val="tx1"/>
            </w14:solidFill>
          </w14:textFill>
        </w:rPr>
        <w:tab/>
      </w:r>
    </w:p>
    <w:p w14:paraId="2669BBC2">
      <w:pPr>
        <w:pStyle w:val="2"/>
        <w:rPr>
          <w:rFonts w:hint="eastAsia"/>
          <w:color w:val="000000" w:themeColor="text1"/>
          <w:highlight w:val="none"/>
          <w14:textFill>
            <w14:solidFill>
              <w14:schemeClr w14:val="tx1"/>
            </w14:solidFill>
          </w14:textFill>
        </w:rPr>
        <w:sectPr>
          <w:headerReference r:id="rId4" w:type="default"/>
          <w:footerReference r:id="rId5" w:type="default"/>
          <w:type w:val="continuous"/>
          <w:pgSz w:w="11906" w:h="16838"/>
          <w:pgMar w:top="1440" w:right="1080" w:bottom="1440" w:left="1080" w:header="851" w:footer="992" w:gutter="0"/>
          <w:pgNumType w:fmt="decimal"/>
          <w:cols w:space="720" w:num="1"/>
          <w:docGrid w:type="lines" w:linePitch="312" w:charSpace="0"/>
        </w:sectPr>
      </w:pPr>
      <w:bookmarkStart w:id="0" w:name="_Toc4150"/>
      <w:bookmarkStart w:id="1" w:name="_Toc28359001"/>
      <w:bookmarkStart w:id="2" w:name="_Toc35393789"/>
    </w:p>
    <w:p w14:paraId="6E33E330">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竞争性磋商</w:t>
      </w:r>
      <w:r>
        <w:rPr>
          <w:color w:val="000000" w:themeColor="text1"/>
          <w:highlight w:val="none"/>
          <w14:textFill>
            <w14:solidFill>
              <w14:schemeClr w14:val="tx1"/>
            </w14:solidFill>
          </w14:textFill>
        </w:rPr>
        <w:t>公告</w:t>
      </w:r>
      <w:bookmarkEnd w:id="0"/>
      <w:bookmarkEnd w:id="1"/>
      <w:bookmarkEnd w:id="2"/>
    </w:p>
    <w:p w14:paraId="76580D49">
      <w:pPr>
        <w:wordWrap/>
        <w:snapToGrid/>
        <w:spacing w:line="440" w:lineRule="exact"/>
        <w:ind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bookmarkStart w:id="3" w:name="_Toc28359079"/>
      <w:bookmarkStart w:id="4" w:name="_Toc35393790"/>
      <w:bookmarkStart w:id="5" w:name="_Toc28359002"/>
      <w:bookmarkStart w:id="6" w:name="_Toc35393621"/>
      <w:bookmarkStart w:id="7" w:name="_Hlk24379207"/>
    </w:p>
    <w:bookmarkEnd w:id="3"/>
    <w:bookmarkEnd w:id="4"/>
    <w:bookmarkEnd w:id="5"/>
    <w:bookmarkEnd w:id="6"/>
    <w:bookmarkEnd w:id="7"/>
    <w:p w14:paraId="2E1B9F84">
      <w:pPr>
        <w:wordWrap/>
        <w:snapToGrid/>
        <w:spacing w:line="440" w:lineRule="exact"/>
        <w:ind w:firstLine="482" w:firstLineChars="200"/>
        <w:textAlignment w:val="auto"/>
        <w:rPr>
          <w:rFonts w:hint="eastAsia" w:ascii="黑体" w:hAnsi="黑体" w:eastAsia="黑体" w:cs="黑体"/>
          <w:b/>
          <w:bCs/>
          <w:i w:val="0"/>
          <w:iCs w:val="0"/>
          <w:color w:val="000000" w:themeColor="text1"/>
          <w:sz w:val="24"/>
          <w:szCs w:val="24"/>
          <w:highlight w:val="none"/>
          <w14:textFill>
            <w14:solidFill>
              <w14:schemeClr w14:val="tx1"/>
            </w14:solidFill>
          </w14:textFill>
        </w:rPr>
      </w:pPr>
      <w:bookmarkStart w:id="8" w:name="_Toc28359010"/>
      <w:bookmarkStart w:id="9" w:name="_Toc28359087"/>
      <w:bookmarkStart w:id="10" w:name="_Toc10387"/>
      <w:bookmarkStart w:id="11" w:name="_Toc12553"/>
      <w:r>
        <w:rPr>
          <w:rFonts w:hint="eastAsia" w:ascii="黑体" w:hAnsi="黑体" w:eastAsia="黑体" w:cs="黑体"/>
          <w:b/>
          <w:bCs/>
          <w:i w:val="0"/>
          <w:iCs w:val="0"/>
          <w:color w:val="000000" w:themeColor="text1"/>
          <w:sz w:val="24"/>
          <w:szCs w:val="24"/>
          <w:highlight w:val="none"/>
          <w14:textFill>
            <w14:solidFill>
              <w14:schemeClr w14:val="tx1"/>
            </w14:solidFill>
          </w14:textFill>
        </w:rPr>
        <w:t>一、项目基本情况</w:t>
      </w:r>
    </w:p>
    <w:p w14:paraId="5309F563">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项目编号</w:t>
      </w:r>
      <w:r>
        <w:rPr>
          <w:rFonts w:hint="eastAsia" w:ascii="宋体" w:hAnsi="宋体" w:eastAsia="宋体" w:cs="宋体"/>
          <w:i w:val="0"/>
          <w:iCs w:val="0"/>
          <w:color w:val="000000" w:themeColor="text1"/>
          <w:kern w:val="2"/>
          <w:sz w:val="24"/>
          <w:szCs w:val="24"/>
          <w:highlight w:val="none"/>
          <w14:textFill>
            <w14:solidFill>
              <w14:schemeClr w14:val="tx1"/>
            </w14:solidFill>
          </w14:textFill>
        </w:rPr>
        <w:t>：</w:t>
      </w:r>
      <w:r>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t>GXGSYY-CGB-YWB-2026-02</w:t>
      </w:r>
    </w:p>
    <w:p w14:paraId="61580F6C">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项目名称</w:t>
      </w:r>
      <w:r>
        <w:rPr>
          <w:rFonts w:hint="eastAsia" w:ascii="宋体" w:hAnsi="宋体" w:eastAsia="宋体" w:cs="宋体"/>
          <w:i w:val="0"/>
          <w:iCs w:val="0"/>
          <w:color w:val="000000" w:themeColor="text1"/>
          <w:kern w:val="2"/>
          <w:sz w:val="24"/>
          <w:szCs w:val="24"/>
          <w:highlight w:val="none"/>
          <w14:textFill>
            <w14:solidFill>
              <w14:schemeClr w14:val="tx1"/>
            </w14:solidFill>
          </w14:textFill>
        </w:rPr>
        <w:t>：</w:t>
      </w:r>
      <w:r>
        <w:rPr>
          <w:rFonts w:hint="eastAsia" w:ascii="宋体" w:hAnsi="宋体" w:eastAsia="宋体" w:cs="宋体"/>
          <w:i w:val="0"/>
          <w:iCs w:val="0"/>
          <w:color w:val="000000" w:themeColor="text1"/>
          <w:kern w:val="2"/>
          <w:sz w:val="24"/>
          <w:szCs w:val="24"/>
          <w:highlight w:val="none"/>
          <w:lang w:val="en-US" w:eastAsia="zh-CN" w:bidi="ar-SA"/>
          <w14:textFill>
            <w14:solidFill>
              <w14:schemeClr w14:val="tx1"/>
            </w14:solidFill>
          </w14:textFill>
        </w:rPr>
        <w:t>广西骨伤医院2026年度医疗责任保险</w:t>
      </w:r>
    </w:p>
    <w:p w14:paraId="68D9CE14">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采购方式：</w:t>
      </w:r>
      <w:r>
        <w:rPr>
          <w:rFonts w:hint="eastAsia" w:ascii="宋体" w:hAnsi="宋体" w:eastAsia="宋体" w:cs="宋体"/>
          <w:i w:val="0"/>
          <w:iCs w:val="0"/>
          <w:color w:val="000000" w:themeColor="text1"/>
          <w:kern w:val="2"/>
          <w:sz w:val="24"/>
          <w:szCs w:val="24"/>
          <w:highlight w:val="none"/>
          <w:lang w:val="en-US" w:eastAsia="zh-CN" w:bidi="ar-SA"/>
          <w14:textFill>
            <w14:solidFill>
              <w14:schemeClr w14:val="tx1"/>
            </w14:solidFill>
          </w14:textFill>
        </w:rPr>
        <w:t>竞争性磋商</w:t>
      </w:r>
    </w:p>
    <w:p w14:paraId="33F6409D">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预算</w:t>
      </w:r>
      <w:r>
        <w:rPr>
          <w:rFonts w:hint="eastAsia" w:ascii="宋体" w:hAnsi="宋体" w:eastAsia="宋体" w:cs="宋体"/>
          <w:b/>
          <w:bCs/>
          <w:i w:val="0"/>
          <w:iCs w:val="0"/>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24"/>
          <w:szCs w:val="24"/>
          <w:highlight w:val="none"/>
          <w:lang w:val="en-US" w:eastAsia="zh-CN"/>
          <w14:textFill>
            <w14:solidFill>
              <w14:schemeClr w14:val="tx1"/>
            </w14:solidFill>
          </w14:textFill>
        </w:rPr>
        <w:t>控制</w:t>
      </w:r>
      <w:r>
        <w:rPr>
          <w:rFonts w:hint="eastAsia" w:ascii="宋体" w:hAnsi="宋体" w:eastAsia="宋体" w:cs="宋体"/>
          <w:b/>
          <w:bCs/>
          <w:i w:val="0"/>
          <w:iCs w:val="0"/>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金额（元）</w:t>
      </w:r>
      <w:r>
        <w:rPr>
          <w:rFonts w:hint="eastAsia" w:ascii="宋体" w:hAnsi="宋体" w:eastAsia="宋体" w:cs="宋体"/>
          <w:i w:val="0"/>
          <w:iCs w:val="0"/>
          <w:color w:val="000000" w:themeColor="text1"/>
          <w:kern w:val="2"/>
          <w:sz w:val="24"/>
          <w:szCs w:val="24"/>
          <w:highlight w:val="none"/>
          <w14:textFill>
            <w14:solidFill>
              <w14:schemeClr w14:val="tx1"/>
            </w14:solidFill>
          </w14:textFill>
        </w:rPr>
        <w:t>：</w:t>
      </w:r>
      <w:r>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t>¥25</w:t>
      </w:r>
      <w:r>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t>0,000.00（</w:t>
      </w:r>
      <w:r>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t>贰拾伍万元整</w:t>
      </w:r>
      <w:r>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t>）</w:t>
      </w:r>
    </w:p>
    <w:p w14:paraId="683AA042">
      <w:pPr>
        <w:pStyle w:val="57"/>
        <w:wordWrap/>
        <w:snapToGrid/>
        <w:spacing w:line="440" w:lineRule="exact"/>
        <w:ind w:firstLine="420"/>
        <w:jc w:val="both"/>
        <w:textAlignment w:val="auto"/>
        <w:rPr>
          <w:rFonts w:hint="default" w:ascii="宋体" w:hAnsi="宋体" w:eastAsia="宋体" w:cs="宋体"/>
          <w:i w:val="0"/>
          <w:i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采购需求：</w:t>
      </w:r>
      <w:r>
        <w:rPr>
          <w:rFonts w:hint="eastAsia" w:ascii="宋体" w:hAnsi="宋体" w:eastAsia="宋体" w:cs="宋体"/>
          <w:i w:val="0"/>
          <w:iCs w:val="0"/>
          <w:color w:val="000000" w:themeColor="text1"/>
          <w:kern w:val="2"/>
          <w:sz w:val="24"/>
          <w:szCs w:val="24"/>
          <w:highlight w:val="none"/>
          <w:lang w:val="en-US" w:eastAsia="zh-CN" w:bidi="ar-SA"/>
          <w14:textFill>
            <w14:solidFill>
              <w14:schemeClr w14:val="tx1"/>
            </w14:solidFill>
          </w14:textFill>
        </w:rPr>
        <w:t>采购广西骨伤医院2026年度医疗责任保险1项，具体服务需求见磋商文件“第三章 需求参数”。</w:t>
      </w:r>
    </w:p>
    <w:p w14:paraId="2548563C">
      <w:pPr>
        <w:pStyle w:val="57"/>
        <w:wordWrap/>
        <w:snapToGrid/>
        <w:spacing w:line="440" w:lineRule="exact"/>
        <w:ind w:firstLine="482" w:firstLineChars="200"/>
        <w:jc w:val="both"/>
        <w:textAlignment w:val="auto"/>
        <w:rPr>
          <w:rFonts w:hint="default" w:ascii="宋体" w:hAnsi="宋体" w:eastAsia="宋体" w:cs="宋体"/>
          <w:i w:val="0"/>
          <w:iCs w:val="0"/>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最高限价</w:t>
      </w:r>
      <w:r>
        <w:rPr>
          <w:rFonts w:hint="eastAsia" w:ascii="宋体" w:hAnsi="宋体" w:eastAsia="宋体" w:cs="宋体"/>
          <w:b/>
          <w:bCs/>
          <w:i w:val="0"/>
          <w:iCs w:val="0"/>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24"/>
          <w:szCs w:val="24"/>
          <w:highlight w:val="none"/>
          <w:lang w:val="en-US" w:eastAsia="zh-CN"/>
          <w14:textFill>
            <w14:solidFill>
              <w14:schemeClr w14:val="tx1"/>
            </w14:solidFill>
          </w14:textFill>
        </w:rPr>
        <w:t>元</w:t>
      </w:r>
      <w:r>
        <w:rPr>
          <w:rFonts w:hint="eastAsia" w:ascii="宋体" w:hAnsi="宋体" w:eastAsia="宋体" w:cs="宋体"/>
          <w:b/>
          <w:bCs/>
          <w:i w:val="0"/>
          <w:iCs w:val="0"/>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w:t>
      </w:r>
      <w:r>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t>25</w:t>
      </w:r>
      <w:r>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t>0</w:t>
      </w:r>
      <w:r>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t>,</w:t>
      </w:r>
      <w:r>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t>000.00（</w:t>
      </w:r>
      <w:r>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t>贰拾伍万元整</w:t>
      </w:r>
      <w:r>
        <w:rPr>
          <w:rFonts w:hint="eastAsia" w:ascii="宋体" w:hAnsi="宋体" w:eastAsia="宋体" w:cs="宋体"/>
          <w:i w:val="0"/>
          <w:iCs w:val="0"/>
          <w:color w:val="000000" w:themeColor="text1"/>
          <w:kern w:val="2"/>
          <w:sz w:val="24"/>
          <w:szCs w:val="24"/>
          <w:highlight w:val="none"/>
          <w:lang w:eastAsia="zh-CN"/>
          <w14:textFill>
            <w14:solidFill>
              <w14:schemeClr w14:val="tx1"/>
            </w14:solidFill>
          </w14:textFill>
        </w:rPr>
        <w:t>）</w:t>
      </w:r>
    </w:p>
    <w:p w14:paraId="434E6AC8">
      <w:pPr>
        <w:pStyle w:val="57"/>
        <w:wordWrap/>
        <w:snapToGrid/>
        <w:spacing w:line="440" w:lineRule="exact"/>
        <w:ind w:firstLine="482" w:firstLineChars="200"/>
        <w:jc w:val="both"/>
        <w:textAlignment w:val="auto"/>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2"/>
          <w:sz w:val="24"/>
          <w:szCs w:val="24"/>
          <w:highlight w:val="none"/>
          <w14:textFill>
            <w14:solidFill>
              <w14:schemeClr w14:val="tx1"/>
            </w14:solidFill>
          </w14:textFill>
        </w:rPr>
        <w:t>合同履约期限：</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保险期限1年（以保单实际生效日期为准），向前追溯期3年</w:t>
      </w:r>
      <w:r>
        <w:rPr>
          <w:rFonts w:hint="eastAsia" w:ascii="宋体" w:hAnsi="宋体" w:eastAsia="宋体" w:cs="宋体"/>
          <w:i w:val="0"/>
          <w:iCs w:val="0"/>
          <w:color w:val="000000" w:themeColor="text1"/>
          <w:kern w:val="2"/>
          <w:sz w:val="24"/>
          <w:szCs w:val="24"/>
          <w:highlight w:val="none"/>
          <w14:textFill>
            <w14:solidFill>
              <w14:schemeClr w14:val="tx1"/>
            </w14:solidFill>
          </w14:textFill>
        </w:rPr>
        <w:t>。</w:t>
      </w:r>
    </w:p>
    <w:p w14:paraId="1C0F1D95">
      <w:pPr>
        <w:pStyle w:val="57"/>
        <w:wordWrap/>
        <w:snapToGrid/>
        <w:spacing w:line="440" w:lineRule="exact"/>
        <w:ind w:firstLine="480" w:firstLineChars="200"/>
        <w:jc w:val="both"/>
        <w:textAlignment w:val="auto"/>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14:textFill>
            <w14:solidFill>
              <w14:schemeClr w14:val="tx1"/>
            </w14:solidFill>
          </w14:textFill>
        </w:rPr>
        <w:t>本标项（否）接受联合体投标</w:t>
      </w:r>
    </w:p>
    <w:p w14:paraId="05A31B4D">
      <w:pPr>
        <w:wordWrap/>
        <w:snapToGrid/>
        <w:spacing w:line="440" w:lineRule="exact"/>
        <w:ind w:firstLine="482" w:firstLineChars="200"/>
        <w:textAlignment w:val="auto"/>
        <w:rPr>
          <w:rFonts w:hint="eastAsia" w:ascii="黑体" w:hAnsi="黑体" w:eastAsia="黑体" w:cs="黑体"/>
          <w:b/>
          <w:bCs/>
          <w:i w:val="0"/>
          <w:iCs w:val="0"/>
          <w:color w:val="000000" w:themeColor="text1"/>
          <w:sz w:val="24"/>
          <w:szCs w:val="24"/>
          <w:highlight w:val="none"/>
          <w14:textFill>
            <w14:solidFill>
              <w14:schemeClr w14:val="tx1"/>
            </w14:solidFill>
          </w14:textFill>
        </w:rPr>
      </w:pPr>
      <w:bookmarkStart w:id="12" w:name="_Toc35393791"/>
      <w:bookmarkStart w:id="13" w:name="_Toc28359080"/>
      <w:bookmarkStart w:id="14" w:name="_Toc35393622"/>
      <w:bookmarkStart w:id="15" w:name="_Toc28359003"/>
      <w:r>
        <w:rPr>
          <w:rFonts w:hint="eastAsia" w:ascii="黑体" w:hAnsi="黑体" w:eastAsia="黑体" w:cs="黑体"/>
          <w:b/>
          <w:bCs/>
          <w:i w:val="0"/>
          <w:iCs w:val="0"/>
          <w:color w:val="000000" w:themeColor="text1"/>
          <w:sz w:val="24"/>
          <w:szCs w:val="24"/>
          <w:highlight w:val="none"/>
          <w14:textFill>
            <w14:solidFill>
              <w14:schemeClr w14:val="tx1"/>
            </w14:solidFill>
          </w14:textFill>
        </w:rPr>
        <w:t>二、申请人的资格要求：</w:t>
      </w:r>
      <w:bookmarkEnd w:id="12"/>
      <w:bookmarkEnd w:id="13"/>
      <w:bookmarkEnd w:id="14"/>
      <w:bookmarkEnd w:id="15"/>
    </w:p>
    <w:p w14:paraId="232CFA72">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1.满足《中华人民共和国政府采购法》第二十二条规定；</w:t>
      </w:r>
    </w:p>
    <w:p w14:paraId="1FFCA0DE">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2</w:t>
      </w:r>
      <w:bookmarkStart w:id="16" w:name="_Toc28359081"/>
      <w:bookmarkStart w:id="17" w:name="_Toc28359004"/>
      <w:r>
        <w:rPr>
          <w:rFonts w:hint="eastAsia" w:ascii="宋体" w:hAnsi="宋体" w:eastAsia="宋体" w:cs="宋体"/>
          <w:i w:val="0"/>
          <w:iCs w:val="0"/>
          <w:color w:val="000000" w:themeColor="text1"/>
          <w:sz w:val="24"/>
          <w:szCs w:val="24"/>
          <w:highlight w:val="none"/>
          <w14:textFill>
            <w14:solidFill>
              <w14:schemeClr w14:val="tx1"/>
            </w14:solidFill>
          </w14:textFill>
        </w:rPr>
        <w:t>.</w:t>
      </w:r>
      <w:r>
        <w:rPr>
          <w:rFonts w:hint="eastAsia" w:ascii="宋体" w:hAnsi="宋体" w:eastAsia="宋体" w:cs="宋体"/>
          <w:i w:val="0"/>
          <w:iCs w:val="0"/>
          <w:color w:val="000000" w:themeColor="text1"/>
          <w:kern w:val="2"/>
          <w:sz w:val="24"/>
          <w:szCs w:val="24"/>
          <w:highlight w:val="none"/>
          <w:lang w:val="en-US" w:eastAsia="zh-CN" w:bidi="ar-SA"/>
          <w14:textFill>
            <w14:solidFill>
              <w14:schemeClr w14:val="tx1"/>
            </w14:solidFill>
          </w14:textFill>
        </w:rPr>
        <w:t>在参加采购活动期间未被列入“信用中国”网站(www.creditchina.gov.cn)、中国政府采购网(www.ccgp.gov.cn)渠道信用记录失信被执行人、重大税收违法案件当事人名单、政府采购严重违法失信行为记录名单的供应商。</w:t>
      </w:r>
    </w:p>
    <w:p w14:paraId="302CE7C6">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3.本项目的特定资格要求：</w:t>
      </w:r>
      <w:r>
        <w:rPr>
          <w:rFonts w:hint="eastAsia" w:ascii="宋体" w:hAnsi="宋体" w:cs="宋体"/>
          <w:i w:val="0"/>
          <w:iCs w:val="0"/>
          <w:color w:val="000000" w:themeColor="text1"/>
          <w:sz w:val="24"/>
          <w:szCs w:val="24"/>
          <w:highlight w:val="none"/>
          <w:lang w:val="en-US" w:eastAsia="zh-CN"/>
          <w14:textFill>
            <w14:solidFill>
              <w14:schemeClr w14:val="tx1"/>
            </w14:solidFill>
          </w14:textFill>
        </w:rPr>
        <w:t>无</w:t>
      </w:r>
      <w:r>
        <w:rPr>
          <w:rFonts w:hint="eastAsia" w:ascii="宋体" w:hAnsi="宋体" w:cs="宋体"/>
          <w:i w:val="0"/>
          <w:iCs w:val="0"/>
          <w:color w:val="000000" w:themeColor="text1"/>
          <w:sz w:val="24"/>
          <w:szCs w:val="24"/>
          <w:highlight w:val="none"/>
          <w:lang w:eastAsia="zh-CN"/>
          <w14:textFill>
            <w14:solidFill>
              <w14:schemeClr w14:val="tx1"/>
            </w14:solidFill>
          </w14:textFill>
        </w:rPr>
        <w:t>。</w:t>
      </w:r>
    </w:p>
    <w:p w14:paraId="43A7BD35">
      <w:pPr>
        <w:wordWrap/>
        <w:snapToGrid/>
        <w:spacing w:line="440" w:lineRule="exact"/>
        <w:ind w:firstLine="482" w:firstLineChars="200"/>
        <w:textAlignment w:val="auto"/>
        <w:rPr>
          <w:rFonts w:hint="eastAsia" w:ascii="黑体" w:hAnsi="黑体" w:eastAsia="黑体" w:cs="黑体"/>
          <w:b/>
          <w:bCs/>
          <w:i w:val="0"/>
          <w:iCs w:val="0"/>
          <w:color w:val="000000" w:themeColor="text1"/>
          <w:sz w:val="24"/>
          <w:szCs w:val="24"/>
          <w:highlight w:val="none"/>
          <w14:textFill>
            <w14:solidFill>
              <w14:schemeClr w14:val="tx1"/>
            </w14:solidFill>
          </w14:textFill>
        </w:rPr>
      </w:pPr>
      <w:bookmarkStart w:id="18" w:name="_Toc35393623"/>
      <w:bookmarkStart w:id="19" w:name="_Toc35393792"/>
      <w:r>
        <w:rPr>
          <w:rFonts w:hint="eastAsia" w:ascii="黑体" w:hAnsi="黑体" w:eastAsia="黑体" w:cs="黑体"/>
          <w:b/>
          <w:bCs/>
          <w:i w:val="0"/>
          <w:iCs w:val="0"/>
          <w:color w:val="000000" w:themeColor="text1"/>
          <w:sz w:val="24"/>
          <w:szCs w:val="24"/>
          <w:highlight w:val="none"/>
          <w14:textFill>
            <w14:solidFill>
              <w14:schemeClr w14:val="tx1"/>
            </w14:solidFill>
          </w14:textFill>
        </w:rPr>
        <w:t>三、</w:t>
      </w:r>
      <w:bookmarkEnd w:id="16"/>
      <w:bookmarkEnd w:id="17"/>
      <w:bookmarkEnd w:id="18"/>
      <w:bookmarkEnd w:id="19"/>
      <w:r>
        <w:rPr>
          <w:rFonts w:hint="eastAsia" w:ascii="黑体" w:hAnsi="黑体" w:eastAsia="黑体" w:cs="黑体"/>
          <w:b/>
          <w:bCs/>
          <w:i w:val="0"/>
          <w:iCs w:val="0"/>
          <w:color w:val="000000" w:themeColor="text1"/>
          <w:sz w:val="24"/>
          <w:szCs w:val="24"/>
          <w:highlight w:val="none"/>
          <w14:textFill>
            <w14:solidFill>
              <w14:schemeClr w14:val="tx1"/>
            </w14:solidFill>
          </w14:textFill>
        </w:rPr>
        <w:t>获取采购文件</w:t>
      </w:r>
    </w:p>
    <w:p w14:paraId="2B2737EB">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bookmarkStart w:id="20" w:name="_Toc28359082"/>
      <w:bookmarkStart w:id="21" w:name="_Toc35393624"/>
      <w:bookmarkStart w:id="22" w:name="_Toc35393793"/>
      <w:bookmarkStart w:id="23" w:name="_Toc28359005"/>
      <w:r>
        <w:rPr>
          <w:rFonts w:hint="eastAsia" w:ascii="宋体" w:hAnsi="宋体" w:eastAsia="宋体" w:cs="宋体"/>
          <w:i w:val="0"/>
          <w:iCs w:val="0"/>
          <w:color w:val="000000" w:themeColor="text1"/>
          <w:sz w:val="24"/>
          <w:szCs w:val="24"/>
          <w:highlight w:val="none"/>
          <w14:textFill>
            <w14:solidFill>
              <w14:schemeClr w14:val="tx1"/>
            </w14:solidFill>
          </w14:textFill>
        </w:rPr>
        <w:t>时间</w:t>
      </w:r>
      <w:r>
        <w:rPr>
          <w:rFonts w:hint="eastAsia" w:ascii="宋体" w:hAnsi="宋体" w:cs="宋体"/>
          <w:i w:val="0"/>
          <w:iCs w:val="0"/>
          <w:color w:val="000000" w:themeColor="text1"/>
          <w:sz w:val="24"/>
          <w:szCs w:val="24"/>
          <w:highlight w:val="none"/>
          <w:lang w:eastAsia="zh-CN"/>
          <w14:textFill>
            <w14:solidFill>
              <w14:schemeClr w14:val="tx1"/>
            </w14:solidFill>
          </w14:textFill>
        </w:rPr>
        <w:t>：</w:t>
      </w:r>
      <w:r>
        <w:rPr>
          <w:rFonts w:hint="eastAsia" w:ascii="宋体" w:hAnsi="宋体" w:eastAsia="宋体" w:cs="宋体"/>
          <w:i w:val="0"/>
          <w:iCs w:val="0"/>
          <w:color w:val="000000" w:themeColor="text1"/>
          <w:sz w:val="24"/>
          <w:szCs w:val="24"/>
          <w:highlight w:val="none"/>
          <w14:textFill>
            <w14:solidFill>
              <w14:schemeClr w14:val="tx1"/>
            </w14:solidFill>
          </w14:textFill>
        </w:rPr>
        <w:t>自发布公告之时至磋商截止时间止。</w:t>
      </w:r>
    </w:p>
    <w:p w14:paraId="49E747F6">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方式</w:t>
      </w:r>
      <w:r>
        <w:rPr>
          <w:rFonts w:hint="eastAsia" w:ascii="宋体" w:hAnsi="宋体" w:cs="宋体"/>
          <w:i w:val="0"/>
          <w:iCs w:val="0"/>
          <w:color w:val="000000" w:themeColor="text1"/>
          <w:sz w:val="24"/>
          <w:szCs w:val="24"/>
          <w:highlight w:val="none"/>
          <w:lang w:eastAsia="zh-CN"/>
          <w14:textFill>
            <w14:solidFill>
              <w14:schemeClr w14:val="tx1"/>
            </w14:solidFill>
          </w14:textFill>
        </w:rPr>
        <w:t>：</w:t>
      </w:r>
      <w:r>
        <w:rPr>
          <w:rFonts w:hint="eastAsia" w:ascii="宋体" w:hAnsi="宋体" w:cs="宋体"/>
          <w:i w:val="0"/>
          <w:iCs w:val="0"/>
          <w:color w:val="000000" w:themeColor="text1"/>
          <w:sz w:val="24"/>
          <w:szCs w:val="24"/>
          <w:highlight w:val="none"/>
          <w:lang w:val="en-US" w:eastAsia="zh-CN"/>
          <w14:textFill>
            <w14:solidFill>
              <w14:schemeClr w14:val="tx1"/>
            </w14:solidFill>
          </w14:textFill>
        </w:rPr>
        <w:t>广西骨伤医院官网-招标采购-公告附件</w:t>
      </w:r>
      <w:r>
        <w:rPr>
          <w:rFonts w:hint="eastAsia" w:ascii="宋体" w:hAnsi="宋体" w:eastAsia="宋体" w:cs="宋体"/>
          <w:i w:val="0"/>
          <w:iCs w:val="0"/>
          <w:color w:val="000000" w:themeColor="text1"/>
          <w:sz w:val="24"/>
          <w:szCs w:val="24"/>
          <w:highlight w:val="none"/>
          <w14:textFill>
            <w14:solidFill>
              <w14:schemeClr w14:val="tx1"/>
            </w14:solidFill>
          </w14:textFill>
        </w:rPr>
        <w:t>获取采购文件。</w:t>
      </w:r>
    </w:p>
    <w:p w14:paraId="360C27E2">
      <w:pPr>
        <w:wordWrap/>
        <w:snapToGrid/>
        <w:spacing w:line="440" w:lineRule="exact"/>
        <w:ind w:firstLine="482" w:firstLineChars="200"/>
        <w:textAlignment w:val="auto"/>
        <w:rPr>
          <w:rFonts w:hint="eastAsia" w:ascii="宋体" w:hAnsi="宋体" w:eastAsia="宋体" w:cs="宋体"/>
          <w:b/>
          <w:bCs/>
          <w:i w:val="0"/>
          <w:iCs w:val="0"/>
          <w:color w:val="000000" w:themeColor="text1"/>
          <w:sz w:val="24"/>
          <w:szCs w:val="24"/>
          <w:highlight w:val="none"/>
          <w14:textFill>
            <w14:solidFill>
              <w14:schemeClr w14:val="tx1"/>
            </w14:solidFill>
          </w14:textFill>
        </w:rPr>
      </w:pPr>
      <w:r>
        <w:rPr>
          <w:rFonts w:hint="eastAsia" w:ascii="黑体" w:hAnsi="黑体" w:eastAsia="黑体" w:cs="黑体"/>
          <w:b/>
          <w:bCs/>
          <w:i w:val="0"/>
          <w:iCs w:val="0"/>
          <w:color w:val="000000" w:themeColor="text1"/>
          <w:sz w:val="24"/>
          <w:szCs w:val="24"/>
          <w:highlight w:val="none"/>
          <w14:textFill>
            <w14:solidFill>
              <w14:schemeClr w14:val="tx1"/>
            </w14:solidFill>
          </w14:textFill>
        </w:rPr>
        <w:t>四、</w:t>
      </w:r>
      <w:bookmarkEnd w:id="20"/>
      <w:bookmarkEnd w:id="21"/>
      <w:bookmarkEnd w:id="22"/>
      <w:bookmarkEnd w:id="23"/>
      <w:r>
        <w:rPr>
          <w:rFonts w:hint="eastAsia" w:ascii="黑体" w:hAnsi="黑体" w:eastAsia="黑体" w:cs="黑体"/>
          <w:b/>
          <w:bCs/>
          <w:i w:val="0"/>
          <w:iCs w:val="0"/>
          <w:color w:val="000000" w:themeColor="text1"/>
          <w:sz w:val="24"/>
          <w:szCs w:val="24"/>
          <w:highlight w:val="none"/>
          <w14:textFill>
            <w14:solidFill>
              <w14:schemeClr w14:val="tx1"/>
            </w14:solidFill>
          </w14:textFill>
        </w:rPr>
        <w:t>响应文件递交</w:t>
      </w:r>
    </w:p>
    <w:p w14:paraId="7C28CD7A">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t>截止时间：202</w:t>
      </w:r>
      <w:r>
        <w:rPr>
          <w:rFonts w:hint="eastAsia"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t>6</w:t>
      </w:r>
      <w:r>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t>年</w:t>
      </w:r>
      <w:r>
        <w:rPr>
          <w:rFonts w:hint="eastAsia"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t>4</w:t>
      </w:r>
      <w:r>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t>月</w:t>
      </w:r>
      <w:r>
        <w:rPr>
          <w:rFonts w:hint="eastAsia"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t>14</w:t>
      </w:r>
      <w:r>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t>日</w:t>
      </w:r>
      <w:r>
        <w:rPr>
          <w:rFonts w:hint="eastAsia"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t>17:30</w:t>
      </w:r>
      <w:r>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t>（北京时间）</w:t>
      </w:r>
    </w:p>
    <w:p w14:paraId="01D37614">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t>地点：</w:t>
      </w:r>
      <w:r>
        <w:rPr>
          <w:rFonts w:hint="eastAsia" w:ascii="宋体" w:hAnsi="宋体" w:cs="宋体"/>
          <w:bCs/>
          <w:i w:val="0"/>
          <w:iCs w:val="0"/>
          <w:color w:val="000000"/>
          <w:kern w:val="0"/>
          <w:sz w:val="24"/>
          <w:szCs w:val="24"/>
          <w:lang w:val="en-US" w:eastAsia="zh-CN"/>
        </w:rPr>
        <w:t>南宁市青秀区东葛路1号锦华副楼401采购办</w:t>
      </w:r>
    </w:p>
    <w:p w14:paraId="3FD2EA4C">
      <w:pPr>
        <w:wordWrap/>
        <w:snapToGrid/>
        <w:spacing w:line="440" w:lineRule="exact"/>
        <w:ind w:firstLine="482" w:firstLineChars="200"/>
        <w:textAlignment w:val="auto"/>
        <w:rPr>
          <w:rFonts w:hint="eastAsia" w:ascii="黑体" w:hAnsi="黑体" w:eastAsia="黑体" w:cs="黑体"/>
          <w:b/>
          <w:bCs/>
          <w:i w:val="0"/>
          <w:iCs w:val="0"/>
          <w:color w:val="000000" w:themeColor="text1"/>
          <w:sz w:val="24"/>
          <w:szCs w:val="24"/>
          <w:highlight w:val="none"/>
          <w14:textFill>
            <w14:solidFill>
              <w14:schemeClr w14:val="tx1"/>
            </w14:solidFill>
          </w14:textFill>
        </w:rPr>
      </w:pPr>
      <w:bookmarkStart w:id="24" w:name="_Toc28359007"/>
      <w:bookmarkStart w:id="25" w:name="_Toc28359084"/>
      <w:bookmarkStart w:id="26" w:name="_Toc35393794"/>
      <w:bookmarkStart w:id="27" w:name="_Toc35393625"/>
      <w:r>
        <w:rPr>
          <w:rFonts w:hint="eastAsia" w:ascii="黑体" w:hAnsi="黑体" w:eastAsia="黑体" w:cs="黑体"/>
          <w:b/>
          <w:bCs/>
          <w:i w:val="0"/>
          <w:iCs w:val="0"/>
          <w:color w:val="000000" w:themeColor="text1"/>
          <w:sz w:val="24"/>
          <w:szCs w:val="24"/>
          <w:highlight w:val="none"/>
          <w14:textFill>
            <w14:solidFill>
              <w14:schemeClr w14:val="tx1"/>
            </w14:solidFill>
          </w14:textFill>
        </w:rPr>
        <w:t>五、</w:t>
      </w:r>
      <w:r>
        <w:rPr>
          <w:rFonts w:hint="eastAsia" w:ascii="黑体" w:hAnsi="黑体" w:eastAsia="黑体" w:cs="黑体"/>
          <w:b/>
          <w:bCs/>
          <w:i w:val="0"/>
          <w:iCs w:val="0"/>
          <w:color w:val="000000" w:themeColor="text1"/>
          <w:sz w:val="24"/>
          <w:szCs w:val="24"/>
          <w:highlight w:val="none"/>
          <w:lang w:val="en-US" w:eastAsia="zh-CN"/>
          <w14:textFill>
            <w14:solidFill>
              <w14:schemeClr w14:val="tx1"/>
            </w14:solidFill>
          </w14:textFill>
        </w:rPr>
        <w:t>评标时间、地点</w:t>
      </w:r>
    </w:p>
    <w:p w14:paraId="4C0CF1E3">
      <w:pPr>
        <w:wordWrap/>
        <w:snapToGrid/>
        <w:spacing w:line="440" w:lineRule="exact"/>
        <w:ind w:firstLine="480" w:firstLineChars="200"/>
        <w:textAlignment w:val="auto"/>
        <w:rPr>
          <w:rFonts w:hint="default" w:ascii="宋体" w:hAnsi="宋体" w:eastAsia="宋体" w:cs="宋体"/>
          <w:i w:val="0"/>
          <w:iCs w:val="0"/>
          <w:color w:val="000000" w:themeColor="text1"/>
          <w:sz w:val="24"/>
          <w:szCs w:val="24"/>
          <w:highlight w:val="none"/>
          <w:lang w:val="en-US"/>
          <w14:textFill>
            <w14:solidFill>
              <w14:schemeClr w14:val="tx1"/>
            </w14:solidFill>
          </w14:textFill>
        </w:rPr>
      </w:pPr>
      <w:r>
        <w:rPr>
          <w:rFonts w:hint="eastAsia" w:ascii="宋体" w:hAnsi="宋体"/>
          <w:i w:val="0"/>
          <w:iCs w:val="0"/>
          <w:color w:val="000000"/>
          <w:sz w:val="24"/>
          <w:szCs w:val="24"/>
          <w:lang w:val="en-US" w:eastAsia="zh-CN"/>
        </w:rPr>
        <w:t>采购人根据院内会议安排另行通知，请投标人保持电话畅通。</w:t>
      </w:r>
    </w:p>
    <w:p w14:paraId="3DAAAF83">
      <w:pPr>
        <w:wordWrap/>
        <w:snapToGrid/>
        <w:spacing w:line="440" w:lineRule="exact"/>
        <w:ind w:firstLine="482" w:firstLineChars="200"/>
        <w:textAlignment w:val="auto"/>
        <w:rPr>
          <w:rFonts w:hint="eastAsia" w:ascii="宋体" w:hAnsi="宋体" w:eastAsia="宋体" w:cs="宋体"/>
          <w:b/>
          <w:bCs/>
          <w:i w:val="0"/>
          <w:iCs w:val="0"/>
          <w:color w:val="000000" w:themeColor="text1"/>
          <w:sz w:val="24"/>
          <w:szCs w:val="24"/>
          <w:highlight w:val="none"/>
          <w14:textFill>
            <w14:solidFill>
              <w14:schemeClr w14:val="tx1"/>
            </w14:solidFill>
          </w14:textFill>
        </w:rPr>
      </w:pPr>
      <w:r>
        <w:rPr>
          <w:rFonts w:hint="eastAsia" w:ascii="黑体" w:hAnsi="黑体" w:eastAsia="黑体" w:cs="黑体"/>
          <w:b/>
          <w:bCs/>
          <w:i w:val="0"/>
          <w:iCs w:val="0"/>
          <w:color w:val="000000" w:themeColor="text1"/>
          <w:sz w:val="24"/>
          <w:szCs w:val="24"/>
          <w:highlight w:val="none"/>
          <w14:textFill>
            <w14:solidFill>
              <w14:schemeClr w14:val="tx1"/>
            </w14:solidFill>
          </w14:textFill>
        </w:rPr>
        <w:t>六、公告期限</w:t>
      </w:r>
      <w:bookmarkEnd w:id="24"/>
      <w:bookmarkEnd w:id="25"/>
      <w:bookmarkEnd w:id="26"/>
      <w:bookmarkEnd w:id="27"/>
    </w:p>
    <w:p w14:paraId="5DAF548C">
      <w:pPr>
        <w:wordWrap/>
        <w:snapToGrid/>
        <w:spacing w:line="440" w:lineRule="exact"/>
        <w:ind w:firstLine="480" w:firstLineChars="200"/>
        <w:textAlignment w:val="auto"/>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14:textFill>
            <w14:solidFill>
              <w14:schemeClr w14:val="tx1"/>
            </w14:solidFill>
          </w14:textFill>
        </w:rPr>
        <w:t>自本公告发布之日起</w:t>
      </w:r>
      <w:r>
        <w:rPr>
          <w:rFonts w:hint="eastAsia" w:ascii="宋体" w:hAnsi="宋体" w:cs="宋体"/>
          <w:i w:val="0"/>
          <w:iCs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i w:val="0"/>
          <w:iCs w:val="0"/>
          <w:color w:val="000000" w:themeColor="text1"/>
          <w:kern w:val="0"/>
          <w:sz w:val="24"/>
          <w:szCs w:val="24"/>
          <w:highlight w:val="none"/>
          <w14:textFill>
            <w14:solidFill>
              <w14:schemeClr w14:val="tx1"/>
            </w14:solidFill>
          </w14:textFill>
        </w:rPr>
        <w:t>个工作日。</w:t>
      </w:r>
    </w:p>
    <w:p w14:paraId="3F20DECA">
      <w:pPr>
        <w:wordWrap/>
        <w:snapToGrid/>
        <w:spacing w:line="440" w:lineRule="exact"/>
        <w:ind w:firstLine="482" w:firstLineChars="200"/>
        <w:textAlignment w:val="auto"/>
        <w:rPr>
          <w:rFonts w:hint="eastAsia" w:ascii="黑体" w:hAnsi="黑体" w:eastAsia="黑体" w:cs="黑体"/>
          <w:b/>
          <w:bCs/>
          <w:i w:val="0"/>
          <w:iCs w:val="0"/>
          <w:color w:val="000000" w:themeColor="text1"/>
          <w:sz w:val="24"/>
          <w:szCs w:val="24"/>
          <w:highlight w:val="none"/>
          <w14:textFill>
            <w14:solidFill>
              <w14:schemeClr w14:val="tx1"/>
            </w14:solidFill>
          </w14:textFill>
        </w:rPr>
      </w:pPr>
      <w:bookmarkStart w:id="28" w:name="_Toc35393626"/>
      <w:bookmarkStart w:id="29" w:name="_Toc35393795"/>
      <w:r>
        <w:rPr>
          <w:rFonts w:hint="eastAsia" w:ascii="黑体" w:hAnsi="黑体" w:eastAsia="黑体" w:cs="黑体"/>
          <w:b/>
          <w:bCs/>
          <w:i w:val="0"/>
          <w:iCs w:val="0"/>
          <w:color w:val="000000" w:themeColor="text1"/>
          <w:sz w:val="24"/>
          <w:szCs w:val="24"/>
          <w:highlight w:val="none"/>
          <w14:textFill>
            <w14:solidFill>
              <w14:schemeClr w14:val="tx1"/>
            </w14:solidFill>
          </w14:textFill>
        </w:rPr>
        <w:t>七、其他补充事宜</w:t>
      </w:r>
      <w:bookmarkEnd w:id="28"/>
      <w:bookmarkEnd w:id="29"/>
    </w:p>
    <w:p w14:paraId="4C94FDAF">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cs="宋体"/>
          <w:i w:val="0"/>
          <w:i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i w:val="0"/>
          <w:iCs w:val="0"/>
          <w:color w:val="000000" w:themeColor="text1"/>
          <w:sz w:val="24"/>
          <w:szCs w:val="24"/>
          <w:highlight w:val="none"/>
          <w14:textFill>
            <w14:solidFill>
              <w14:schemeClr w14:val="tx1"/>
            </w14:solidFill>
          </w14:textFill>
        </w:rPr>
        <w:t>.本项目需要落实的政府采购政策：</w:t>
      </w:r>
    </w:p>
    <w:p w14:paraId="2688BE1F">
      <w:pPr>
        <w:wordWrap/>
        <w:snapToGrid/>
        <w:spacing w:line="440" w:lineRule="exact"/>
        <w:ind w:firstLine="420"/>
        <w:textAlignment w:val="auto"/>
        <w:rPr>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（1）本项目</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非</w:t>
      </w:r>
      <w:r>
        <w:rPr>
          <w:rFonts w:hint="eastAsia" w:ascii="宋体" w:hAnsi="宋体" w:eastAsia="宋体" w:cs="宋体"/>
          <w:i w:val="0"/>
          <w:iCs w:val="0"/>
          <w:color w:val="000000" w:themeColor="text1"/>
          <w:sz w:val="24"/>
          <w:szCs w:val="24"/>
          <w:highlight w:val="none"/>
          <w14:textFill>
            <w14:solidFill>
              <w14:schemeClr w14:val="tx1"/>
            </w14:solidFill>
          </w14:textFill>
        </w:rPr>
        <w:t>专门面向中小企业采购的项目</w:t>
      </w:r>
      <w:r>
        <w:rPr>
          <w:rFonts w:hint="eastAsia" w:ascii="宋体" w:hAnsi="宋体" w:cs="宋体"/>
          <w:i w:val="0"/>
          <w:iCs w:val="0"/>
          <w:color w:val="000000" w:themeColor="text1"/>
          <w:sz w:val="24"/>
          <w:szCs w:val="24"/>
          <w:highlight w:val="none"/>
          <w:lang w:eastAsia="zh-CN"/>
          <w14:textFill>
            <w14:solidFill>
              <w14:schemeClr w14:val="tx1"/>
            </w14:solidFill>
          </w14:textFill>
        </w:rPr>
        <w:t>，</w:t>
      </w:r>
      <w:r>
        <w:rPr>
          <w:rFonts w:hint="eastAsia" w:ascii="宋体" w:hAnsi="宋体" w:cs="宋体"/>
          <w:i w:val="0"/>
          <w:iCs w:val="0"/>
          <w:color w:val="000000" w:themeColor="text1"/>
          <w:sz w:val="24"/>
          <w:szCs w:val="24"/>
          <w:highlight w:val="none"/>
          <w:lang w:val="en-US" w:eastAsia="zh-CN"/>
          <w14:textFill>
            <w14:solidFill>
              <w14:schemeClr w14:val="tx1"/>
            </w14:solidFill>
          </w14:textFill>
        </w:rPr>
        <w:t>所有潜在企业均可投标，如为中小企业，可享受政策支持；</w:t>
      </w:r>
    </w:p>
    <w:p w14:paraId="7952333B">
      <w:pPr>
        <w:wordWrap/>
        <w:snapToGrid/>
        <w:spacing w:line="440" w:lineRule="exact"/>
        <w:ind w:firstLine="42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（2）政府采购支持监狱企业发展；</w:t>
      </w:r>
    </w:p>
    <w:p w14:paraId="2204A394">
      <w:pPr>
        <w:wordWrap/>
        <w:snapToGrid/>
        <w:spacing w:line="440" w:lineRule="exact"/>
        <w:ind w:firstLine="42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（3）政府采购促进残疾人就业政策；</w:t>
      </w:r>
    </w:p>
    <w:p w14:paraId="4B334C94">
      <w:pPr>
        <w:wordWrap/>
        <w:snapToGrid/>
        <w:spacing w:line="440" w:lineRule="exact"/>
        <w:ind w:firstLine="42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（4）政府采购支持采用本国产品的政策；</w:t>
      </w:r>
    </w:p>
    <w:p w14:paraId="22BC609D">
      <w:pPr>
        <w:wordWrap/>
        <w:snapToGrid/>
        <w:spacing w:line="440" w:lineRule="exact"/>
        <w:ind w:firstLine="420"/>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（5）优先采购节能产品、环境标志产品。</w:t>
      </w:r>
    </w:p>
    <w:p w14:paraId="3B05136C">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u w:val="single"/>
          <w14:textFill>
            <w14:solidFill>
              <w14:schemeClr w14:val="tx1"/>
            </w14:solidFill>
          </w14:textFill>
        </w:rPr>
      </w:pPr>
      <w:r>
        <w:rPr>
          <w:rFonts w:hint="eastAsia" w:ascii="宋体" w:hAnsi="宋体" w:cs="宋体"/>
          <w:i w:val="0"/>
          <w:i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i w:val="0"/>
          <w:iCs w:val="0"/>
          <w:color w:val="000000" w:themeColor="text1"/>
          <w:sz w:val="24"/>
          <w:szCs w:val="24"/>
          <w:highlight w:val="none"/>
          <w14:textFill>
            <w14:solidFill>
              <w14:schemeClr w14:val="tx1"/>
            </w14:solidFill>
          </w14:textFill>
        </w:rPr>
        <w:t>.项目所属行业：</w:t>
      </w:r>
      <w:r>
        <w:rPr>
          <w:rFonts w:hint="eastAsia" w:ascii="宋体" w:hAnsi="宋体" w:eastAsia="宋体" w:cs="宋体"/>
          <w:i w:val="0"/>
          <w:iCs w:val="0"/>
          <w:color w:val="000000" w:themeColor="text1"/>
          <w:sz w:val="24"/>
          <w:szCs w:val="24"/>
          <w:highlight w:val="none"/>
          <w:u w:val="single"/>
          <w14:textFill>
            <w14:solidFill>
              <w14:schemeClr w14:val="tx1"/>
            </w14:solidFill>
          </w14:textFill>
        </w:rPr>
        <w:t>其他</w:t>
      </w:r>
      <w:r>
        <w:rPr>
          <w:rFonts w:hint="eastAsia" w:ascii="宋体" w:hAnsi="宋体" w:cs="宋体"/>
          <w:i w:val="0"/>
          <w:iCs w:val="0"/>
          <w:color w:val="000000" w:themeColor="text1"/>
          <w:sz w:val="24"/>
          <w:szCs w:val="24"/>
          <w:highlight w:val="none"/>
          <w:u w:val="single"/>
          <w:lang w:eastAsia="zh-CN"/>
          <w14:textFill>
            <w14:solidFill>
              <w14:schemeClr w14:val="tx1"/>
            </w14:solidFill>
          </w14:textFill>
        </w:rPr>
        <w:t>未</w:t>
      </w:r>
      <w:r>
        <w:rPr>
          <w:rFonts w:hint="eastAsia" w:ascii="宋体" w:hAnsi="宋体" w:eastAsia="宋体" w:cs="宋体"/>
          <w:i w:val="0"/>
          <w:iCs w:val="0"/>
          <w:color w:val="000000" w:themeColor="text1"/>
          <w:sz w:val="24"/>
          <w:szCs w:val="24"/>
          <w:highlight w:val="none"/>
          <w:u w:val="single"/>
          <w14:textFill>
            <w14:solidFill>
              <w14:schemeClr w14:val="tx1"/>
            </w14:solidFill>
          </w14:textFill>
        </w:rPr>
        <w:t>列明行业</w:t>
      </w:r>
    </w:p>
    <w:p w14:paraId="67D46C3A">
      <w:pPr>
        <w:wordWrap/>
        <w:snapToGrid/>
        <w:spacing w:line="440" w:lineRule="exact"/>
        <w:ind w:firstLine="42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3.响应文件递交要求：</w:t>
      </w:r>
    </w:p>
    <w:p w14:paraId="605BC928">
      <w:pPr>
        <w:wordWrap/>
        <w:snapToGrid/>
        <w:spacing w:line="440" w:lineRule="exact"/>
        <w:ind w:firstLine="42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（1）投标人应当在报名截止时间前，将响应文件密封送达首次响应文件提交地点。在首次响应文件提交截止时间</w:t>
      </w:r>
      <w:r>
        <w:rPr>
          <w:rFonts w:hint="eastAsia" w:ascii="宋体" w:hAnsi="宋体" w:eastAsia="宋体" w:cs="宋体"/>
          <w:b/>
          <w:bCs/>
          <w:i w:val="0"/>
          <w:iCs w:val="0"/>
          <w:color w:val="000000" w:themeColor="text1"/>
          <w:sz w:val="24"/>
          <w:szCs w:val="24"/>
          <w:highlight w:val="none"/>
          <w:lang w:val="en-US" w:eastAsia="zh-CN"/>
          <w14:textFill>
            <w14:solidFill>
              <w14:schemeClr w14:val="tx1"/>
            </w14:solidFill>
          </w14:textFill>
        </w:rPr>
        <w:t>后</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送达的响应文件为无效文件，将被拒收。</w:t>
      </w:r>
    </w:p>
    <w:p w14:paraId="446BA8B5">
      <w:pPr>
        <w:wordWrap/>
        <w:snapToGrid/>
        <w:spacing w:line="440" w:lineRule="exact"/>
        <w:ind w:firstLine="42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（2）供应商在指定时间将纸质版响应文件（一正四副）递交至指定地点，并提供PDF盖章扫描版本，要求U盘拷贝或光盘刻录，与响应文件一起密封于档案袋中。</w:t>
      </w:r>
    </w:p>
    <w:p w14:paraId="05424DA6">
      <w:pPr>
        <w:wordWrap/>
        <w:snapToGrid/>
        <w:spacing w:line="440" w:lineRule="exact"/>
        <w:ind w:firstLine="482" w:firstLineChars="200"/>
        <w:textAlignment w:val="auto"/>
        <w:rPr>
          <w:rFonts w:hint="eastAsia" w:ascii="宋体" w:hAnsi="宋体" w:eastAsia="宋体" w:cs="宋体"/>
          <w:b/>
          <w:bCs/>
          <w:i w:val="0"/>
          <w:iCs w:val="0"/>
          <w:color w:val="000000" w:themeColor="text1"/>
          <w:sz w:val="24"/>
          <w:szCs w:val="24"/>
          <w:highlight w:val="none"/>
          <w14:textFill>
            <w14:solidFill>
              <w14:schemeClr w14:val="tx1"/>
            </w14:solidFill>
          </w14:textFill>
        </w:rPr>
      </w:pPr>
      <w:bookmarkStart w:id="30" w:name="_Toc28359085"/>
      <w:bookmarkStart w:id="31" w:name="_Toc35393627"/>
      <w:bookmarkStart w:id="32" w:name="_Toc28359008"/>
      <w:bookmarkStart w:id="33" w:name="_Toc35393796"/>
      <w:r>
        <w:rPr>
          <w:rFonts w:hint="eastAsia" w:ascii="黑体" w:hAnsi="黑体" w:eastAsia="黑体" w:cs="黑体"/>
          <w:b/>
          <w:bCs/>
          <w:i w:val="0"/>
          <w:iCs w:val="0"/>
          <w:color w:val="000000" w:themeColor="text1"/>
          <w:sz w:val="24"/>
          <w:szCs w:val="24"/>
          <w:highlight w:val="none"/>
          <w14:textFill>
            <w14:solidFill>
              <w14:schemeClr w14:val="tx1"/>
            </w14:solidFill>
          </w14:textFill>
        </w:rPr>
        <w:t>八、对本次采购提出询问，请按以下方式联系。</w:t>
      </w:r>
      <w:bookmarkEnd w:id="30"/>
      <w:bookmarkEnd w:id="31"/>
      <w:bookmarkEnd w:id="32"/>
      <w:bookmarkEnd w:id="33"/>
    </w:p>
    <w:p w14:paraId="765C63D5">
      <w:pPr>
        <w:wordWrap/>
        <w:snapToGrid/>
        <w:spacing w:line="440" w:lineRule="exact"/>
        <w:ind w:firstLine="480" w:firstLineChars="200"/>
        <w:textAlignment w:val="auto"/>
        <w:rPr>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名称：</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广西骨伤医院采购办</w:t>
      </w:r>
    </w:p>
    <w:p w14:paraId="700045F9">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联系电话：李</w:t>
      </w:r>
      <w:r>
        <w:rPr>
          <w:rFonts w:hint="eastAsia" w:ascii="宋体" w:hAnsi="宋体" w:cs="宋体"/>
          <w:i w:val="0"/>
          <w:iCs w:val="0"/>
          <w:color w:val="000000" w:themeColor="text1"/>
          <w:sz w:val="24"/>
          <w:szCs w:val="24"/>
          <w:highlight w:val="none"/>
          <w:lang w:val="en-US" w:eastAsia="zh-CN"/>
          <w14:textFill>
            <w14:solidFill>
              <w14:schemeClr w14:val="tx1"/>
            </w14:solidFill>
          </w14:textFill>
        </w:rPr>
        <w:t>老师</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，0771-2622251</w:t>
      </w:r>
    </w:p>
    <w:p w14:paraId="4635998D">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邮箱：</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fldChar w:fldCharType="begin"/>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instrText xml:space="preserve"> HYPERLINK "mailto:gxgsyycgb@qq.com" </w:instrTex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fldChar w:fldCharType="separate"/>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gxgsyycgb@163.com</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fldChar w:fldCharType="end"/>
      </w:r>
    </w:p>
    <w:p w14:paraId="094D0797">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14:paraId="5015EA20">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14:paraId="6A6E42B4">
      <w:pPr>
        <w:wordWrap/>
        <w:snapToGrid/>
        <w:spacing w:line="440" w:lineRule="exact"/>
        <w:ind w:firstLine="480" w:firstLineChars="200"/>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14:paraId="7D0D872A">
      <w:pPr>
        <w:wordWrap/>
        <w:snapToGrid/>
        <w:spacing w:line="440" w:lineRule="exact"/>
        <w:ind w:firstLine="480" w:firstLineChars="200"/>
        <w:jc w:val="right"/>
        <w:textAlignment w:val="auto"/>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广西骨伤医院</w:t>
      </w:r>
    </w:p>
    <w:p w14:paraId="147214D9">
      <w:pPr>
        <w:wordWrap/>
        <w:snapToGrid/>
        <w:spacing w:line="440" w:lineRule="exact"/>
        <w:ind w:firstLine="480" w:firstLineChars="200"/>
        <w:jc w:val="right"/>
        <w:textAlignment w:val="auto"/>
        <w:rPr>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2026年</w:t>
      </w:r>
      <w:r>
        <w:rPr>
          <w:rFonts w:hint="eastAsia" w:ascii="宋体" w:hAnsi="宋体" w:cs="宋体"/>
          <w:i w:val="0"/>
          <w:iCs w:val="0"/>
          <w:color w:val="000000" w:themeColor="text1"/>
          <w:sz w:val="24"/>
          <w:szCs w:val="24"/>
          <w:highlight w:val="none"/>
          <w:lang w:val="en-US" w:eastAsia="zh-CN"/>
          <w14:textFill>
            <w14:solidFill>
              <w14:schemeClr w14:val="tx1"/>
            </w14:solidFill>
          </w14:textFill>
        </w:rPr>
        <w:t>4</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月</w:t>
      </w:r>
      <w:r>
        <w:rPr>
          <w:rFonts w:hint="eastAsia" w:ascii="宋体" w:hAnsi="宋体" w:cs="宋体"/>
          <w:i w:val="0"/>
          <w:iCs w:val="0"/>
          <w:color w:val="000000" w:themeColor="text1"/>
          <w:sz w:val="24"/>
          <w:szCs w:val="24"/>
          <w:highlight w:val="none"/>
          <w:lang w:val="en-US" w:eastAsia="zh-CN"/>
          <w14:textFill>
            <w14:solidFill>
              <w14:schemeClr w14:val="tx1"/>
            </w14:solidFill>
          </w14:textFill>
        </w:rPr>
        <w:t>7</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日</w:t>
      </w:r>
    </w:p>
    <w:p w14:paraId="1CA8C7B3">
      <w:pPr>
        <w:wordWrap/>
        <w:snapToGrid/>
        <w:spacing w:line="440" w:lineRule="exact"/>
        <w:ind w:firstLine="480" w:firstLineChars="200"/>
        <w:jc w:val="right"/>
        <w:textAlignment w:val="auto"/>
        <w:rPr>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pPr>
      <w:bookmarkStart w:id="377" w:name="_GoBack"/>
      <w:bookmarkEnd w:id="377"/>
    </w:p>
    <w:bookmarkEnd w:id="8"/>
    <w:bookmarkEnd w:id="9"/>
    <w:p w14:paraId="54980D07">
      <w:pPr>
        <w:jc w:val="center"/>
        <w:outlineLvl w:val="0"/>
        <w:rPr>
          <w:rFonts w:ascii="Tahoma" w:hAnsi="Tahoma"/>
          <w:b/>
          <w:bCs/>
          <w:color w:val="000000" w:themeColor="text1"/>
          <w:kern w:val="44"/>
          <w:sz w:val="32"/>
          <w:szCs w:val="44"/>
          <w:highlight w:val="none"/>
          <w14:textFill>
            <w14:solidFill>
              <w14:schemeClr w14:val="tx1"/>
            </w14:solidFill>
          </w14:textFill>
        </w:rPr>
      </w:pPr>
      <w:r>
        <w:rPr>
          <w:rFonts w:ascii="Tahoma" w:hAnsi="Tahoma"/>
          <w:b/>
          <w:bCs/>
          <w:i w:val="0"/>
          <w:iCs w:val="0"/>
          <w:color w:val="000000" w:themeColor="text1"/>
          <w:kern w:val="44"/>
          <w:sz w:val="32"/>
          <w:szCs w:val="32"/>
          <w:highlight w:val="none"/>
          <w14:textFill>
            <w14:solidFill>
              <w14:schemeClr w14:val="tx1"/>
            </w14:solidFill>
          </w14:textFill>
        </w:rPr>
        <w:br w:type="page"/>
      </w:r>
      <w:bookmarkStart w:id="34" w:name="_Toc19220"/>
      <w:r>
        <w:rPr>
          <w:rFonts w:ascii="Tahoma" w:hAnsi="Tahoma"/>
          <w:b/>
          <w:bCs/>
          <w:color w:val="000000" w:themeColor="text1"/>
          <w:kern w:val="44"/>
          <w:sz w:val="32"/>
          <w:szCs w:val="44"/>
          <w:highlight w:val="none"/>
          <w14:textFill>
            <w14:solidFill>
              <w14:schemeClr w14:val="tx1"/>
            </w14:solidFill>
          </w14:textFill>
        </w:rPr>
        <w:t xml:space="preserve">第二章  </w:t>
      </w:r>
      <w:r>
        <w:rPr>
          <w:rFonts w:hint="eastAsia" w:ascii="Tahoma" w:hAnsi="Tahoma"/>
          <w:b/>
          <w:bCs/>
          <w:color w:val="000000" w:themeColor="text1"/>
          <w:kern w:val="44"/>
          <w:sz w:val="32"/>
          <w:szCs w:val="44"/>
          <w:highlight w:val="none"/>
          <w14:textFill>
            <w14:solidFill>
              <w14:schemeClr w14:val="tx1"/>
            </w14:solidFill>
          </w14:textFill>
        </w:rPr>
        <w:t>供应商</w:t>
      </w:r>
      <w:r>
        <w:rPr>
          <w:rFonts w:ascii="Tahoma" w:hAnsi="Tahoma"/>
          <w:b/>
          <w:bCs/>
          <w:color w:val="000000" w:themeColor="text1"/>
          <w:kern w:val="44"/>
          <w:sz w:val="32"/>
          <w:szCs w:val="44"/>
          <w:highlight w:val="none"/>
          <w14:textFill>
            <w14:solidFill>
              <w14:schemeClr w14:val="tx1"/>
            </w14:solidFill>
          </w14:textFill>
        </w:rPr>
        <w:t>须知</w:t>
      </w:r>
      <w:bookmarkEnd w:id="10"/>
      <w:bookmarkEnd w:id="11"/>
      <w:bookmarkEnd w:id="34"/>
    </w:p>
    <w:p w14:paraId="0979E0A7">
      <w:pPr>
        <w:tabs>
          <w:tab w:val="left" w:pos="1065"/>
          <w:tab w:val="center" w:pos="4411"/>
        </w:tabs>
        <w:spacing w:line="360" w:lineRule="exact"/>
        <w:jc w:val="center"/>
        <w:rPr>
          <w:rFonts w:ascii="Arial" w:hAnsi="Arial" w:cs="Arial"/>
          <w:b/>
          <w:color w:val="000000" w:themeColor="text1"/>
          <w:sz w:val="24"/>
          <w:highlight w:val="none"/>
          <w14:textFill>
            <w14:solidFill>
              <w14:schemeClr w14:val="tx1"/>
            </w14:solidFill>
          </w14:textFill>
        </w:rPr>
      </w:pPr>
      <w:bookmarkStart w:id="35" w:name="_Toc9513"/>
      <w:bookmarkStart w:id="36" w:name="_Toc25500"/>
      <w:bookmarkStart w:id="37" w:name="_Toc7637"/>
      <w:bookmarkStart w:id="38" w:name="_Toc1615"/>
      <w:bookmarkStart w:id="39" w:name="_Toc495841753"/>
      <w:bookmarkStart w:id="40" w:name="_Toc4694"/>
      <w:bookmarkStart w:id="41" w:name="_Toc32042"/>
      <w:bookmarkStart w:id="42" w:name="_Toc14327"/>
      <w:bookmarkStart w:id="43" w:name="_Toc29259"/>
      <w:bookmarkStart w:id="44" w:name="_Toc14222"/>
      <w:r>
        <w:rPr>
          <w:rFonts w:hint="eastAsia" w:ascii="Arial" w:hAnsi="Arial" w:cs="Arial"/>
          <w:b/>
          <w:color w:val="000000" w:themeColor="text1"/>
          <w:sz w:val="24"/>
          <w:highlight w:val="none"/>
          <w14:textFill>
            <w14:solidFill>
              <w14:schemeClr w14:val="tx1"/>
            </w14:solidFill>
          </w14:textFill>
        </w:rPr>
        <w:t>供应商</w:t>
      </w:r>
      <w:r>
        <w:rPr>
          <w:rFonts w:ascii="Arial" w:hAnsi="Arial" w:cs="Arial"/>
          <w:b/>
          <w:color w:val="000000" w:themeColor="text1"/>
          <w:sz w:val="24"/>
          <w:highlight w:val="none"/>
          <w14:textFill>
            <w14:solidFill>
              <w14:schemeClr w14:val="tx1"/>
            </w14:solidFill>
          </w14:textFill>
        </w:rPr>
        <w:t>须知前附表</w:t>
      </w:r>
      <w:bookmarkEnd w:id="35"/>
      <w:bookmarkEnd w:id="36"/>
      <w:bookmarkEnd w:id="37"/>
      <w:bookmarkEnd w:id="38"/>
      <w:bookmarkEnd w:id="39"/>
      <w:bookmarkEnd w:id="40"/>
      <w:bookmarkEnd w:id="41"/>
      <w:bookmarkEnd w:id="42"/>
      <w:bookmarkEnd w:id="43"/>
      <w:bookmarkEnd w:id="44"/>
    </w:p>
    <w:tbl>
      <w:tblPr>
        <w:tblStyle w:val="36"/>
        <w:tblW w:w="10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947"/>
        <w:gridCol w:w="1815"/>
        <w:gridCol w:w="6984"/>
      </w:tblGrid>
      <w:tr w14:paraId="7C1E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5" w:type="dxa"/>
            <w:shd w:val="clear" w:color="auto" w:fill="8DB3E2"/>
            <w:vAlign w:val="center"/>
          </w:tcPr>
          <w:p w14:paraId="2624C7DB">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947" w:type="dxa"/>
            <w:shd w:val="clear" w:color="auto" w:fill="8DB3E2"/>
            <w:vAlign w:val="center"/>
          </w:tcPr>
          <w:p w14:paraId="38804215">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条款号</w:t>
            </w:r>
          </w:p>
        </w:tc>
        <w:tc>
          <w:tcPr>
            <w:tcW w:w="1815" w:type="dxa"/>
            <w:shd w:val="clear" w:color="auto" w:fill="8DB3E2"/>
            <w:vAlign w:val="center"/>
          </w:tcPr>
          <w:p w14:paraId="27F82E99">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条款名称</w:t>
            </w:r>
          </w:p>
        </w:tc>
        <w:tc>
          <w:tcPr>
            <w:tcW w:w="6984" w:type="dxa"/>
            <w:shd w:val="clear" w:color="auto" w:fill="8DB3E2"/>
            <w:vAlign w:val="center"/>
          </w:tcPr>
          <w:p w14:paraId="05091A59">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内容、要求</w:t>
            </w:r>
          </w:p>
        </w:tc>
      </w:tr>
      <w:tr w14:paraId="25CA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2D8BA1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w:t>
            </w:r>
          </w:p>
        </w:tc>
        <w:tc>
          <w:tcPr>
            <w:tcW w:w="947" w:type="dxa"/>
            <w:vAlign w:val="center"/>
          </w:tcPr>
          <w:p w14:paraId="5B58E80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w:t>
            </w:r>
          </w:p>
        </w:tc>
        <w:tc>
          <w:tcPr>
            <w:tcW w:w="1815" w:type="dxa"/>
            <w:vAlign w:val="center"/>
          </w:tcPr>
          <w:p w14:paraId="6B31CC6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采购项目名称及采购项目编号</w:t>
            </w:r>
          </w:p>
        </w:tc>
        <w:tc>
          <w:tcPr>
            <w:tcW w:w="6984" w:type="dxa"/>
            <w:vAlign w:val="center"/>
          </w:tcPr>
          <w:p w14:paraId="5E6D166D">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项目名称：</w:t>
            </w:r>
            <w:r>
              <w:rPr>
                <w:rFonts w:hint="eastAsia" w:ascii="宋体" w:hAnsi="宋体" w:cs="宋体"/>
                <w:color w:val="000000" w:themeColor="text1"/>
                <w:sz w:val="15"/>
                <w:szCs w:val="15"/>
                <w:highlight w:val="none"/>
                <w:lang w:eastAsia="zh-CN"/>
                <w14:textFill>
                  <w14:solidFill>
                    <w14:schemeClr w14:val="tx1"/>
                  </w14:solidFill>
                </w14:textFill>
              </w:rPr>
              <w:t>广西骨伤医院2026年度医疗责任保险项目</w:t>
            </w:r>
          </w:p>
          <w:p w14:paraId="51558AAF">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项目编号：</w:t>
            </w:r>
            <w:r>
              <w:rPr>
                <w:rFonts w:hint="eastAsia" w:ascii="宋体" w:hAnsi="宋体" w:cs="宋体"/>
                <w:color w:val="000000" w:themeColor="text1"/>
                <w:sz w:val="15"/>
                <w:szCs w:val="15"/>
                <w:highlight w:val="none"/>
                <w:lang w:eastAsia="zh-CN"/>
                <w14:textFill>
                  <w14:solidFill>
                    <w14:schemeClr w14:val="tx1"/>
                  </w14:solidFill>
                </w14:textFill>
              </w:rPr>
              <w:t>GXGSYY-CGB-YWB-2026-02</w:t>
            </w:r>
          </w:p>
        </w:tc>
      </w:tr>
      <w:tr w14:paraId="30DE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3FDCBC6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w:t>
            </w:r>
          </w:p>
        </w:tc>
        <w:tc>
          <w:tcPr>
            <w:tcW w:w="947" w:type="dxa"/>
            <w:vAlign w:val="center"/>
          </w:tcPr>
          <w:p w14:paraId="2BD9666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1815" w:type="dxa"/>
            <w:vAlign w:val="center"/>
          </w:tcPr>
          <w:p w14:paraId="77F7C31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供应商资格</w:t>
            </w:r>
          </w:p>
        </w:tc>
        <w:tc>
          <w:tcPr>
            <w:tcW w:w="6984" w:type="dxa"/>
            <w:vAlign w:val="center"/>
          </w:tcPr>
          <w:p w14:paraId="0130E0B4">
            <w:pPr>
              <w:pStyle w:val="57"/>
              <w:spacing w:line="240" w:lineRule="auto"/>
              <w:rPr>
                <w:rFonts w:hint="eastAsia" w:ascii="宋体" w:hAnsi="宋体" w:eastAsia="宋体" w:cs="宋体"/>
                <w:color w:val="000000" w:themeColor="text1"/>
                <w:kern w:val="2"/>
                <w:sz w:val="15"/>
                <w:szCs w:val="15"/>
                <w:highlight w:val="none"/>
                <w14:textFill>
                  <w14:solidFill>
                    <w14:schemeClr w14:val="tx1"/>
                  </w14:solidFill>
                </w14:textFill>
              </w:rPr>
            </w:pPr>
            <w:r>
              <w:rPr>
                <w:rFonts w:hint="eastAsia" w:ascii="宋体" w:hAnsi="宋体" w:eastAsia="宋体" w:cs="宋体"/>
                <w:color w:val="000000" w:themeColor="text1"/>
                <w:kern w:val="2"/>
                <w:sz w:val="15"/>
                <w:szCs w:val="15"/>
                <w:highlight w:val="none"/>
                <w14:textFill>
                  <w14:solidFill>
                    <w14:schemeClr w14:val="tx1"/>
                  </w14:solidFill>
                </w14:textFill>
              </w:rPr>
              <w:t>4.1.满足《中华人民共和国政府采购法》第二十二条规定；</w:t>
            </w:r>
          </w:p>
          <w:p w14:paraId="753C41A6">
            <w:pPr>
              <w:pStyle w:val="57"/>
              <w:spacing w:line="240" w:lineRule="auto"/>
              <w:rPr>
                <w:rFonts w:hint="eastAsia" w:ascii="宋体" w:hAnsi="宋体" w:eastAsia="宋体" w:cs="宋体"/>
                <w:color w:val="000000" w:themeColor="text1"/>
                <w:kern w:val="2"/>
                <w:sz w:val="15"/>
                <w:szCs w:val="15"/>
                <w:highlight w:val="none"/>
                <w:lang w:eastAsia="zh-CN"/>
                <w14:textFill>
                  <w14:solidFill>
                    <w14:schemeClr w14:val="tx1"/>
                  </w14:solidFill>
                </w14:textFill>
              </w:rPr>
            </w:pPr>
            <w:r>
              <w:rPr>
                <w:rFonts w:hint="eastAsia" w:ascii="宋体" w:hAnsi="宋体" w:eastAsia="宋体" w:cs="宋体"/>
                <w:color w:val="000000" w:themeColor="text1"/>
                <w:kern w:val="2"/>
                <w:sz w:val="15"/>
                <w:szCs w:val="15"/>
                <w:highlight w:val="none"/>
                <w14:textFill>
                  <w14:solidFill>
                    <w14:schemeClr w14:val="tx1"/>
                  </w14:solidFill>
                </w14:textFill>
              </w:rPr>
              <w:t>4.2.</w:t>
            </w:r>
            <w:r>
              <w:rPr>
                <w:rFonts w:hint="eastAsia" w:ascii="宋体" w:hAnsi="宋体" w:eastAsia="宋体" w:cs="宋体"/>
                <w:bCs/>
                <w:color w:val="000000" w:themeColor="text1"/>
                <w:sz w:val="15"/>
                <w:szCs w:val="15"/>
                <w:highlight w:val="none"/>
                <w14:textFill>
                  <w14:solidFill>
                    <w14:schemeClr w14:val="tx1"/>
                  </w14:solidFill>
                </w14:textFill>
              </w:rPr>
              <w:t>落实政府采购政策需满足的资格要求：</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无；</w:t>
            </w:r>
          </w:p>
          <w:p w14:paraId="2E076552">
            <w:pPr>
              <w:wordWrap/>
              <w:snapToGrid/>
              <w:spacing w:line="240" w:lineRule="auto"/>
              <w:textAlignment w:val="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4.3.本项目的特定资格要求：</w:t>
            </w:r>
            <w:r>
              <w:rPr>
                <w:rFonts w:hint="eastAsia" w:ascii="宋体" w:hAnsi="宋体" w:cs="宋体"/>
                <w:color w:val="000000" w:themeColor="text1"/>
                <w:sz w:val="15"/>
                <w:szCs w:val="15"/>
                <w:highlight w:val="none"/>
                <w:lang w:val="en-US" w:eastAsia="zh-CN"/>
                <w14:textFill>
                  <w14:solidFill>
                    <w14:schemeClr w14:val="tx1"/>
                  </w14:solidFill>
                </w14:textFill>
              </w:rPr>
              <w:t>无</w:t>
            </w:r>
            <w:r>
              <w:rPr>
                <w:rFonts w:hint="eastAsia" w:ascii="宋体" w:hAnsi="宋体" w:cs="宋体"/>
                <w:color w:val="000000" w:themeColor="text1"/>
                <w:sz w:val="15"/>
                <w:szCs w:val="15"/>
                <w:highlight w:val="none"/>
                <w:lang w:eastAsia="zh-CN"/>
                <w14:textFill>
                  <w14:solidFill>
                    <w14:schemeClr w14:val="tx1"/>
                  </w14:solidFill>
                </w14:textFill>
              </w:rPr>
              <w:t>。</w:t>
            </w:r>
          </w:p>
        </w:tc>
      </w:tr>
      <w:tr w14:paraId="2586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C0F3E1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w:t>
            </w:r>
          </w:p>
        </w:tc>
        <w:tc>
          <w:tcPr>
            <w:tcW w:w="947" w:type="dxa"/>
            <w:vAlign w:val="center"/>
          </w:tcPr>
          <w:p w14:paraId="3B151CE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5</w:t>
            </w:r>
          </w:p>
        </w:tc>
        <w:tc>
          <w:tcPr>
            <w:tcW w:w="1815" w:type="dxa"/>
            <w:vAlign w:val="center"/>
          </w:tcPr>
          <w:p w14:paraId="756B97B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磋商费用</w:t>
            </w:r>
          </w:p>
        </w:tc>
        <w:tc>
          <w:tcPr>
            <w:tcW w:w="6984" w:type="dxa"/>
            <w:vAlign w:val="center"/>
          </w:tcPr>
          <w:p w14:paraId="70031FD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不论磋商结果如何，供应商均应自行承担所有与磋商有关的全部费用。</w:t>
            </w:r>
          </w:p>
        </w:tc>
      </w:tr>
      <w:tr w14:paraId="106E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AA1DB2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947" w:type="dxa"/>
            <w:vAlign w:val="center"/>
          </w:tcPr>
          <w:p w14:paraId="59EE20DA">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6</w:t>
            </w:r>
          </w:p>
        </w:tc>
        <w:tc>
          <w:tcPr>
            <w:tcW w:w="1815" w:type="dxa"/>
            <w:vAlign w:val="center"/>
          </w:tcPr>
          <w:p w14:paraId="303E7DC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联合体磋商要求</w:t>
            </w:r>
          </w:p>
        </w:tc>
        <w:tc>
          <w:tcPr>
            <w:tcW w:w="6984" w:type="dxa"/>
            <w:vAlign w:val="center"/>
          </w:tcPr>
          <w:p w14:paraId="4F50DD92">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本次采购</w:t>
            </w:r>
            <w:r>
              <w:rPr>
                <w:rFonts w:hint="eastAsia" w:ascii="宋体" w:hAnsi="宋体" w:cs="宋体"/>
                <w:b/>
                <w:bCs/>
                <w:color w:val="000000" w:themeColor="text1"/>
                <w:sz w:val="15"/>
                <w:szCs w:val="15"/>
                <w:highlight w:val="none"/>
                <w:u w:val="single"/>
                <w14:textFill>
                  <w14:solidFill>
                    <w14:schemeClr w14:val="tx1"/>
                  </w14:solidFill>
                </w14:textFill>
              </w:rPr>
              <w:t>不接受</w:t>
            </w:r>
            <w:r>
              <w:rPr>
                <w:rFonts w:hint="eastAsia" w:ascii="宋体" w:hAnsi="宋体" w:cs="宋体"/>
                <w:b/>
                <w:bCs/>
                <w:color w:val="000000" w:themeColor="text1"/>
                <w:sz w:val="15"/>
                <w:szCs w:val="15"/>
                <w:highlight w:val="none"/>
                <w14:textFill>
                  <w14:solidFill>
                    <w14:schemeClr w14:val="tx1"/>
                  </w14:solidFill>
                </w14:textFill>
              </w:rPr>
              <w:t>联合体磋商</w:t>
            </w:r>
            <w:r>
              <w:rPr>
                <w:rFonts w:hint="eastAsia" w:ascii="宋体" w:hAnsi="宋体" w:cs="宋体"/>
                <w:color w:val="000000" w:themeColor="text1"/>
                <w:sz w:val="15"/>
                <w:szCs w:val="15"/>
                <w:highlight w:val="none"/>
                <w14:textFill>
                  <w14:solidFill>
                    <w14:schemeClr w14:val="tx1"/>
                  </w14:solidFill>
                </w14:textFill>
              </w:rPr>
              <w:t>。</w:t>
            </w:r>
          </w:p>
        </w:tc>
      </w:tr>
      <w:tr w14:paraId="554C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E84495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947" w:type="dxa"/>
            <w:vAlign w:val="center"/>
          </w:tcPr>
          <w:p w14:paraId="774F1AFC">
            <w:pPr>
              <w:spacing w:line="240" w:lineRule="auto"/>
              <w:jc w:val="center"/>
              <w:rPr>
                <w:rFonts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position w:val="-2"/>
                <w:sz w:val="15"/>
                <w:szCs w:val="15"/>
                <w:highlight w:val="none"/>
                <w14:textFill>
                  <w14:solidFill>
                    <w14:schemeClr w14:val="tx1"/>
                  </w14:solidFill>
                </w14:textFill>
              </w:rPr>
              <w:t>14</w:t>
            </w:r>
          </w:p>
        </w:tc>
        <w:tc>
          <w:tcPr>
            <w:tcW w:w="1815" w:type="dxa"/>
            <w:vAlign w:val="center"/>
          </w:tcPr>
          <w:p w14:paraId="640A670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磋商报价及其他要求</w:t>
            </w:r>
          </w:p>
        </w:tc>
        <w:tc>
          <w:tcPr>
            <w:tcW w:w="6984" w:type="dxa"/>
            <w:vAlign w:val="center"/>
          </w:tcPr>
          <w:p w14:paraId="46DF846E">
            <w:pPr>
              <w:spacing w:line="240" w:lineRule="auto"/>
              <w:ind w:firstLine="0" w:firstLineChars="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1供应商必须就“采购需求”中的所有内容作完整唯一报价，有选择的或有条件的报价将不予接受。</w:t>
            </w:r>
          </w:p>
          <w:p w14:paraId="39C13D8B">
            <w:pPr>
              <w:spacing w:line="240" w:lineRule="auto"/>
              <w:ind w:firstLine="0" w:firstLineChars="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eastAsia="宋体" w:cs="宋体"/>
                <w:color w:val="000000" w:themeColor="text1"/>
                <w:sz w:val="15"/>
                <w:szCs w:val="15"/>
                <w:highlight w:val="none"/>
                <w:lang w:val="en-US" w:eastAsia="zh-CN"/>
                <w14:textFill>
                  <w14:solidFill>
                    <w14:schemeClr w14:val="tx1"/>
                  </w14:solidFill>
                </w14:textFill>
              </w:rPr>
              <w:t>4</w:t>
            </w:r>
            <w:r>
              <w:rPr>
                <w:rFonts w:hint="eastAsia" w:ascii="宋体" w:hAnsi="宋体" w:eastAsia="宋体" w:cs="宋体"/>
                <w:color w:val="000000" w:themeColor="text1"/>
                <w:sz w:val="15"/>
                <w:szCs w:val="15"/>
                <w:highlight w:val="none"/>
                <w14:textFill>
                  <w14:solidFill>
                    <w14:schemeClr w14:val="tx1"/>
                  </w14:solidFill>
                </w14:textFill>
              </w:rPr>
              <w:t>.2采购预算金额</w:t>
            </w:r>
            <w:r>
              <w:rPr>
                <w:rFonts w:hint="eastAsia" w:ascii="宋体" w:hAnsi="宋体" w:cs="宋体"/>
                <w:color w:val="000000" w:themeColor="text1"/>
                <w:sz w:val="15"/>
                <w:szCs w:val="15"/>
                <w:highlight w:val="none"/>
                <w:lang w:val="en-US" w:eastAsia="zh-CN"/>
                <w14:textFill>
                  <w14:solidFill>
                    <w14:schemeClr w14:val="tx1"/>
                  </w14:solidFill>
                </w14:textFill>
              </w:rPr>
              <w:t>及</w:t>
            </w:r>
            <w:r>
              <w:rPr>
                <w:rFonts w:hint="eastAsia" w:ascii="宋体" w:hAnsi="宋体" w:eastAsia="宋体" w:cs="宋体"/>
                <w:color w:val="000000" w:themeColor="text1"/>
                <w:kern w:val="2"/>
                <w:sz w:val="15"/>
                <w:szCs w:val="15"/>
                <w:highlight w:val="none"/>
                <w14:textFill>
                  <w14:solidFill>
                    <w14:schemeClr w14:val="tx1"/>
                  </w14:solidFill>
                </w14:textFill>
              </w:rPr>
              <w:t>最高限价</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b/>
                <w:bCs/>
                <w:color w:val="000000" w:themeColor="text1"/>
                <w:sz w:val="15"/>
                <w:szCs w:val="15"/>
                <w:highlight w:val="none"/>
                <w:lang w:val="en-US" w:eastAsia="zh-CN"/>
                <w14:textFill>
                  <w14:solidFill>
                    <w14:schemeClr w14:val="tx1"/>
                  </w14:solidFill>
                </w14:textFill>
              </w:rPr>
              <w:t>贰拾伍万元整（¥250000.00）报价超过最高限价金额，响应文件作无效处理。</w:t>
            </w:r>
          </w:p>
          <w:p w14:paraId="63AD6FBB">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eastAsia="zh-CN"/>
                <w14:textFill>
                  <w14:solidFill>
                    <w14:schemeClr w14:val="tx1"/>
                  </w14:solidFill>
                </w14:textFill>
              </w:rPr>
              <w:t>14</w:t>
            </w:r>
            <w:r>
              <w:rPr>
                <w:rFonts w:hint="eastAsia" w:ascii="宋体" w:hAnsi="宋体" w:eastAsia="宋体" w:cs="宋体"/>
                <w:color w:val="000000" w:themeColor="text1"/>
                <w:kern w:val="0"/>
                <w:sz w:val="15"/>
                <w:szCs w:val="15"/>
                <w:highlight w:val="none"/>
                <w14:textFill>
                  <w14:solidFill>
                    <w14:schemeClr w14:val="tx1"/>
                  </w14:solidFill>
                </w14:textFill>
              </w:rPr>
              <w:t>.3</w:t>
            </w:r>
            <w:r>
              <w:rPr>
                <w:rFonts w:hint="eastAsia" w:ascii="宋体" w:hAnsi="宋体" w:eastAsia="宋体" w:cs="宋体"/>
                <w:bCs/>
                <w:color w:val="000000" w:themeColor="text1"/>
                <w:sz w:val="15"/>
                <w:szCs w:val="15"/>
                <w:highlight w:val="none"/>
                <w14:textFill>
                  <w14:solidFill>
                    <w14:schemeClr w14:val="tx1"/>
                  </w14:solidFill>
                </w14:textFill>
              </w:rPr>
              <w:t>供应商磋商报价应包含</w:t>
            </w:r>
            <w:r>
              <w:rPr>
                <w:rFonts w:hint="eastAsia" w:ascii="宋体" w:hAnsi="宋体" w:cs="宋体"/>
                <w:bCs/>
                <w:color w:val="000000" w:themeColor="text1"/>
                <w:sz w:val="15"/>
                <w:szCs w:val="15"/>
                <w:highlight w:val="none"/>
                <w:lang w:eastAsia="zh-CN"/>
                <w14:textFill>
                  <w14:solidFill>
                    <w14:schemeClr w14:val="tx1"/>
                  </w14:solidFill>
                </w14:textFill>
              </w:rPr>
              <w:t>满足本次磋商全部采购需求所应提供的服务，以及伴随的服务；包含竞标服务、技术服务、咨询、税费、运营日常用品用具的消耗和折旧费、行政办公用品及资料印刷、服务清单涵盖的所有项目等全部费用；</w:t>
            </w:r>
          </w:p>
        </w:tc>
      </w:tr>
      <w:tr w14:paraId="3026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DE9D8D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5</w:t>
            </w:r>
          </w:p>
        </w:tc>
        <w:tc>
          <w:tcPr>
            <w:tcW w:w="947" w:type="dxa"/>
            <w:vAlign w:val="center"/>
          </w:tcPr>
          <w:p w14:paraId="04B0C29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15.1</w:t>
            </w:r>
          </w:p>
        </w:tc>
        <w:tc>
          <w:tcPr>
            <w:tcW w:w="1815" w:type="dxa"/>
            <w:vAlign w:val="center"/>
          </w:tcPr>
          <w:p w14:paraId="268432B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w:t>
            </w:r>
            <w:r>
              <w:rPr>
                <w:rFonts w:hint="eastAsia" w:ascii="宋体" w:hAnsi="宋体" w:cs="宋体"/>
                <w:color w:val="000000" w:themeColor="text1"/>
                <w:sz w:val="15"/>
                <w:szCs w:val="15"/>
                <w:highlight w:val="none"/>
                <w:lang w:val="en-US" w:eastAsia="zh-CN"/>
                <w14:textFill>
                  <w14:solidFill>
                    <w14:schemeClr w14:val="tx1"/>
                  </w14:solidFill>
                </w14:textFill>
              </w:rPr>
              <w:t>文件</w:t>
            </w:r>
            <w:r>
              <w:rPr>
                <w:rFonts w:hint="eastAsia" w:ascii="宋体" w:hAnsi="宋体" w:cs="宋体"/>
                <w:color w:val="000000" w:themeColor="text1"/>
                <w:sz w:val="15"/>
                <w:szCs w:val="15"/>
                <w:highlight w:val="none"/>
                <w14:textFill>
                  <w14:solidFill>
                    <w14:schemeClr w14:val="tx1"/>
                  </w14:solidFill>
                </w14:textFill>
              </w:rPr>
              <w:t>有效期</w:t>
            </w:r>
          </w:p>
        </w:tc>
        <w:tc>
          <w:tcPr>
            <w:tcW w:w="6984" w:type="dxa"/>
            <w:vAlign w:val="center"/>
          </w:tcPr>
          <w:p w14:paraId="630F864E">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响应截止时间之日起90天。</w:t>
            </w:r>
          </w:p>
        </w:tc>
      </w:tr>
      <w:tr w14:paraId="0834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F32F39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6</w:t>
            </w:r>
          </w:p>
        </w:tc>
        <w:tc>
          <w:tcPr>
            <w:tcW w:w="947" w:type="dxa"/>
            <w:vAlign w:val="center"/>
          </w:tcPr>
          <w:p w14:paraId="651A58D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16</w:t>
            </w:r>
          </w:p>
        </w:tc>
        <w:tc>
          <w:tcPr>
            <w:tcW w:w="1815" w:type="dxa"/>
            <w:vAlign w:val="center"/>
          </w:tcPr>
          <w:p w14:paraId="1ACAF60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响应保证金</w:t>
            </w:r>
          </w:p>
        </w:tc>
        <w:tc>
          <w:tcPr>
            <w:tcW w:w="6984" w:type="dxa"/>
            <w:vAlign w:val="top"/>
          </w:tcPr>
          <w:p w14:paraId="6C7E19EF">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本项目无需缴纳磋商保证金</w:t>
            </w:r>
            <w:r>
              <w:rPr>
                <w:rFonts w:hint="eastAsia" w:ascii="宋体" w:hAnsi="宋体" w:cs="宋体"/>
                <w:color w:val="000000" w:themeColor="text1"/>
                <w:sz w:val="15"/>
                <w:szCs w:val="15"/>
                <w:highlight w:val="none"/>
                <w14:textFill>
                  <w14:solidFill>
                    <w14:schemeClr w14:val="tx1"/>
                  </w14:solidFill>
                </w14:textFill>
              </w:rPr>
              <w:t>。</w:t>
            </w:r>
          </w:p>
        </w:tc>
      </w:tr>
      <w:tr w14:paraId="0703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FC55FD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7</w:t>
            </w:r>
          </w:p>
        </w:tc>
        <w:tc>
          <w:tcPr>
            <w:tcW w:w="947" w:type="dxa"/>
            <w:vAlign w:val="center"/>
          </w:tcPr>
          <w:p w14:paraId="00EE30E9">
            <w:pPr>
              <w:spacing w:line="240" w:lineRule="auto"/>
              <w:jc w:val="center"/>
              <w:rPr>
                <w:rFonts w:hint="eastAsia" w:ascii="宋体" w:hAnsi="宋体" w:cs="宋体"/>
                <w:color w:val="000000" w:themeColor="text1"/>
                <w:position w:val="10"/>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17</w:t>
            </w:r>
          </w:p>
        </w:tc>
        <w:tc>
          <w:tcPr>
            <w:tcW w:w="1815" w:type="dxa"/>
            <w:vAlign w:val="center"/>
          </w:tcPr>
          <w:p w14:paraId="43F4C66A">
            <w:pPr>
              <w:spacing w:line="240" w:lineRule="auto"/>
              <w:jc w:val="center"/>
              <w:rPr>
                <w:rFonts w:hint="eastAsia" w:ascii="宋体" w:hAnsi="宋体" w:cs="宋体"/>
                <w:color w:val="000000" w:themeColor="text1"/>
                <w:position w:val="10"/>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响应文件的制作</w:t>
            </w:r>
          </w:p>
        </w:tc>
        <w:tc>
          <w:tcPr>
            <w:tcW w:w="6984" w:type="dxa"/>
            <w:vAlign w:val="center"/>
          </w:tcPr>
          <w:p w14:paraId="1D250720">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按第六章 响应文件格式编制</w:t>
            </w:r>
          </w:p>
        </w:tc>
      </w:tr>
      <w:tr w14:paraId="5F68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789B7EB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8</w:t>
            </w:r>
          </w:p>
        </w:tc>
        <w:tc>
          <w:tcPr>
            <w:tcW w:w="947" w:type="dxa"/>
            <w:vAlign w:val="center"/>
          </w:tcPr>
          <w:p w14:paraId="287D757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w:t>
            </w:r>
          </w:p>
        </w:tc>
        <w:tc>
          <w:tcPr>
            <w:tcW w:w="1815" w:type="dxa"/>
            <w:vAlign w:val="center"/>
          </w:tcPr>
          <w:p w14:paraId="54E1F08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响应文件的补充、修改和撤回</w:t>
            </w:r>
          </w:p>
        </w:tc>
        <w:tc>
          <w:tcPr>
            <w:tcW w:w="6984" w:type="dxa"/>
            <w:vAlign w:val="center"/>
          </w:tcPr>
          <w:p w14:paraId="63FB2013">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18.1响应文件递交截止时间前可以撤回</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cs="宋体"/>
                <w:color w:val="000000" w:themeColor="text1"/>
                <w:sz w:val="15"/>
                <w:szCs w:val="15"/>
                <w:highlight w:val="none"/>
                <w14:textFill>
                  <w14:solidFill>
                    <w14:schemeClr w14:val="tx1"/>
                  </w14:solidFill>
                </w14:textFill>
              </w:rPr>
              <w:t>。补充或者修改</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cs="宋体"/>
                <w:color w:val="000000" w:themeColor="text1"/>
                <w:sz w:val="15"/>
                <w:szCs w:val="15"/>
                <w:highlight w:val="none"/>
                <w14:textFill>
                  <w14:solidFill>
                    <w14:schemeClr w14:val="tx1"/>
                  </w14:solidFill>
                </w14:textFill>
              </w:rPr>
              <w:t>的，应当先行撤回原文件，补充、修改后重新递交，响应文件递交截止时间前未完成的，视为撤回响应文件。</w:t>
            </w:r>
          </w:p>
        </w:tc>
      </w:tr>
      <w:tr w14:paraId="466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457FA26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9</w:t>
            </w:r>
          </w:p>
        </w:tc>
        <w:tc>
          <w:tcPr>
            <w:tcW w:w="947" w:type="dxa"/>
            <w:vAlign w:val="center"/>
          </w:tcPr>
          <w:p w14:paraId="5449089D">
            <w:pPr>
              <w:spacing w:line="240" w:lineRule="auto"/>
              <w:jc w:val="center"/>
              <w:rPr>
                <w:rFonts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19.1</w:t>
            </w:r>
          </w:p>
        </w:tc>
        <w:tc>
          <w:tcPr>
            <w:tcW w:w="1815" w:type="dxa"/>
            <w:vAlign w:val="center"/>
          </w:tcPr>
          <w:p w14:paraId="1E792AC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响应文件递交</w:t>
            </w:r>
          </w:p>
        </w:tc>
        <w:tc>
          <w:tcPr>
            <w:tcW w:w="6984" w:type="dxa"/>
            <w:vAlign w:val="center"/>
          </w:tcPr>
          <w:p w14:paraId="2E06BB27">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19.1响应文件递交截止时间：</w:t>
            </w:r>
            <w:r>
              <w:rPr>
                <w:rFonts w:hint="eastAsia" w:ascii="宋体" w:hAnsi="宋体" w:cs="宋体"/>
                <w:color w:val="000000" w:themeColor="text1"/>
                <w:sz w:val="15"/>
                <w:szCs w:val="15"/>
                <w:highlight w:val="none"/>
                <w:lang w:val="en-US" w:eastAsia="zh-CN"/>
                <w14:textFill>
                  <w14:solidFill>
                    <w14:schemeClr w14:val="tx1"/>
                  </w14:solidFill>
                </w14:textFill>
              </w:rPr>
              <w:t>按磋商公告规定时间</w:t>
            </w:r>
          </w:p>
        </w:tc>
      </w:tr>
      <w:tr w14:paraId="4784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71FA76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10</w:t>
            </w:r>
          </w:p>
        </w:tc>
        <w:tc>
          <w:tcPr>
            <w:tcW w:w="947" w:type="dxa"/>
            <w:vAlign w:val="center"/>
          </w:tcPr>
          <w:p w14:paraId="3E1DA48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19.2</w:t>
            </w:r>
          </w:p>
        </w:tc>
        <w:tc>
          <w:tcPr>
            <w:tcW w:w="1815" w:type="dxa"/>
            <w:vAlign w:val="center"/>
          </w:tcPr>
          <w:p w14:paraId="5CCA5B7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响应文件解密</w:t>
            </w:r>
          </w:p>
        </w:tc>
        <w:tc>
          <w:tcPr>
            <w:tcW w:w="6984" w:type="dxa"/>
            <w:vAlign w:val="center"/>
          </w:tcPr>
          <w:p w14:paraId="340C9512">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19.2响应文件解密时间：</w:t>
            </w:r>
            <w:r>
              <w:rPr>
                <w:rFonts w:hint="eastAsia" w:ascii="宋体" w:hAnsi="宋体" w:cs="宋体"/>
                <w:color w:val="000000" w:themeColor="text1"/>
                <w:sz w:val="15"/>
                <w:szCs w:val="15"/>
                <w:highlight w:val="none"/>
                <w:lang w:val="en-US" w:eastAsia="zh-CN"/>
                <w14:textFill>
                  <w14:solidFill>
                    <w14:schemeClr w14:val="tx1"/>
                  </w14:solidFill>
                </w14:textFill>
              </w:rPr>
              <w:t>开标现场解密</w:t>
            </w:r>
          </w:p>
        </w:tc>
      </w:tr>
      <w:tr w14:paraId="6D6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5" w:type="dxa"/>
            <w:vAlign w:val="center"/>
          </w:tcPr>
          <w:p w14:paraId="7C14015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11</w:t>
            </w:r>
          </w:p>
        </w:tc>
        <w:tc>
          <w:tcPr>
            <w:tcW w:w="947" w:type="dxa"/>
            <w:vAlign w:val="center"/>
          </w:tcPr>
          <w:p w14:paraId="3E9DD81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w:t>
            </w:r>
          </w:p>
        </w:tc>
        <w:tc>
          <w:tcPr>
            <w:tcW w:w="1815" w:type="dxa"/>
            <w:vAlign w:val="center"/>
          </w:tcPr>
          <w:p w14:paraId="2D89F1E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磋商时间及地点</w:t>
            </w:r>
          </w:p>
        </w:tc>
        <w:tc>
          <w:tcPr>
            <w:tcW w:w="6984" w:type="dxa"/>
            <w:vAlign w:val="top"/>
          </w:tcPr>
          <w:p w14:paraId="05B7D42C">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20.1.1磋商时间：响应文件递交截止时间后。</w:t>
            </w:r>
          </w:p>
          <w:p w14:paraId="7C9135BB">
            <w:pPr>
              <w:tabs>
                <w:tab w:val="left" w:pos="1305"/>
              </w:tabs>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20.1.2磋商地点：</w:t>
            </w:r>
            <w:r>
              <w:rPr>
                <w:rFonts w:hint="eastAsia" w:ascii="宋体" w:hAnsi="宋体" w:cs="宋体"/>
                <w:color w:val="000000" w:themeColor="text1"/>
                <w:sz w:val="15"/>
                <w:szCs w:val="15"/>
                <w:highlight w:val="none"/>
                <w:lang w:val="en-US" w:eastAsia="zh-CN"/>
                <w14:textFill>
                  <w14:solidFill>
                    <w14:schemeClr w14:val="tx1"/>
                  </w14:solidFill>
                </w14:textFill>
              </w:rPr>
              <w:t>采购人指定地点</w:t>
            </w:r>
          </w:p>
          <w:p w14:paraId="7BB68193">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20.1.3磋商参加人员：供应商法定代表人(负责人、自然人)或相应的委托代理人参加磋商。</w:t>
            </w:r>
          </w:p>
          <w:p w14:paraId="6E47DB17">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20.1.4响应文件递交截止时间后，由磋商小组在评标室内开启响应文件。</w:t>
            </w:r>
          </w:p>
        </w:tc>
      </w:tr>
      <w:tr w14:paraId="184D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46E8F21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12</w:t>
            </w:r>
          </w:p>
        </w:tc>
        <w:tc>
          <w:tcPr>
            <w:tcW w:w="947" w:type="dxa"/>
            <w:vAlign w:val="center"/>
          </w:tcPr>
          <w:p w14:paraId="7F2C01B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23</w:t>
            </w:r>
          </w:p>
        </w:tc>
        <w:tc>
          <w:tcPr>
            <w:tcW w:w="1815" w:type="dxa"/>
            <w:vAlign w:val="center"/>
          </w:tcPr>
          <w:p w14:paraId="62CF26D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磋商小组组成</w:t>
            </w:r>
          </w:p>
        </w:tc>
        <w:tc>
          <w:tcPr>
            <w:tcW w:w="6984" w:type="dxa"/>
            <w:vAlign w:val="center"/>
          </w:tcPr>
          <w:p w14:paraId="63770C14">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磋商小组由采购人评审专家组成。磋商小组的构成：3人</w:t>
            </w:r>
            <w:r>
              <w:rPr>
                <w:rFonts w:hint="eastAsia" w:ascii="宋体" w:hAnsi="宋体" w:cs="宋体"/>
                <w:color w:val="000000" w:themeColor="text1"/>
                <w:sz w:val="15"/>
                <w:szCs w:val="15"/>
                <w:highlight w:val="none"/>
                <w:lang w:val="en-US" w:eastAsia="zh-CN"/>
                <w14:textFill>
                  <w14:solidFill>
                    <w14:schemeClr w14:val="tx1"/>
                  </w14:solidFill>
                </w14:textFill>
              </w:rPr>
              <w:t>或以上单数</w:t>
            </w:r>
          </w:p>
        </w:tc>
      </w:tr>
      <w:tr w14:paraId="225E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91D5F5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13</w:t>
            </w:r>
          </w:p>
        </w:tc>
        <w:tc>
          <w:tcPr>
            <w:tcW w:w="947" w:type="dxa"/>
            <w:vAlign w:val="center"/>
          </w:tcPr>
          <w:p w14:paraId="28E0148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24.1</w:t>
            </w:r>
          </w:p>
        </w:tc>
        <w:tc>
          <w:tcPr>
            <w:tcW w:w="1815" w:type="dxa"/>
            <w:vAlign w:val="center"/>
          </w:tcPr>
          <w:p w14:paraId="2CA9987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评审办法</w:t>
            </w:r>
          </w:p>
        </w:tc>
        <w:tc>
          <w:tcPr>
            <w:tcW w:w="6984" w:type="dxa"/>
            <w:vAlign w:val="center"/>
          </w:tcPr>
          <w:p w14:paraId="297AFD82">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综合评分法，具体评标内容及标准详见第四章。</w:t>
            </w:r>
          </w:p>
        </w:tc>
      </w:tr>
      <w:tr w14:paraId="4A25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E80689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14</w:t>
            </w:r>
          </w:p>
        </w:tc>
        <w:tc>
          <w:tcPr>
            <w:tcW w:w="947" w:type="dxa"/>
            <w:vAlign w:val="center"/>
          </w:tcPr>
          <w:p w14:paraId="3E853EB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31</w:t>
            </w:r>
          </w:p>
        </w:tc>
        <w:tc>
          <w:tcPr>
            <w:tcW w:w="1815" w:type="dxa"/>
            <w:vAlign w:val="center"/>
          </w:tcPr>
          <w:p w14:paraId="6BD2DB01">
            <w:pPr>
              <w:tabs>
                <w:tab w:val="left" w:pos="1140"/>
              </w:tabs>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信用查询</w:t>
            </w:r>
          </w:p>
        </w:tc>
        <w:tc>
          <w:tcPr>
            <w:tcW w:w="6984" w:type="dxa"/>
            <w:vAlign w:val="center"/>
          </w:tcPr>
          <w:p w14:paraId="175175CB">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根据《关于做好政府采购有关信用主体标识码登记及在政府采购活动中查询使用信用记录有关问题的通知》（桂财采〔2016〕37</w:t>
            </w:r>
            <w:r>
              <w:rPr>
                <w:rFonts w:hint="eastAsia" w:ascii="宋体" w:hAnsi="宋体" w:cs="宋体"/>
                <w:color w:val="000000" w:themeColor="text1"/>
                <w:sz w:val="15"/>
                <w:szCs w:val="15"/>
                <w:highlight w:val="none"/>
                <w:lang w:eastAsia="zh-CN"/>
                <w14:textFill>
                  <w14:solidFill>
                    <w14:schemeClr w14:val="tx1"/>
                  </w14:solidFill>
                </w14:textFill>
              </w:rPr>
              <w:t>号）</w:t>
            </w:r>
            <w:r>
              <w:rPr>
                <w:rFonts w:hint="eastAsia" w:ascii="宋体" w:hAnsi="宋体" w:cs="宋体"/>
                <w:color w:val="000000" w:themeColor="text1"/>
                <w:sz w:val="15"/>
                <w:szCs w:val="15"/>
                <w:highlight w:val="none"/>
                <w14:textFill>
                  <w14:solidFill>
                    <w14:schemeClr w14:val="tx1"/>
                  </w14:solidFill>
                </w14:textFill>
              </w:rPr>
              <w:t>，由采购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cs="宋体"/>
                <w:color w:val="000000" w:themeColor="text1"/>
                <w:sz w:val="15"/>
                <w:szCs w:val="15"/>
                <w:highlight w:val="none"/>
                <w14:textFill>
                  <w14:solidFill>
                    <w14:schemeClr w14:val="tx1"/>
                  </w14:solidFill>
                </w14:textFill>
              </w:rPr>
              <w:t>对第一成交候选人进行信用查询：</w:t>
            </w:r>
          </w:p>
          <w:p w14:paraId="06E93149">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⑴查询渠道：“信用中国”网站(www.creditchina.gov.cn)、中国政府采购网(www.ccgp.gov.cn)等；</w:t>
            </w:r>
          </w:p>
          <w:p w14:paraId="6C509DDC">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⑵查询截止时点：成交通知书发出前；</w:t>
            </w:r>
          </w:p>
          <w:p w14:paraId="2642454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⑶信用信息查询记录和证据留存方式：在查询网站中直接打印查询记录，打印材料作为采购活动资料保存。</w:t>
            </w:r>
          </w:p>
          <w:p w14:paraId="458E585C">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w:t>
            </w:r>
          </w:p>
        </w:tc>
      </w:tr>
      <w:tr w14:paraId="2040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C01866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15</w:t>
            </w:r>
          </w:p>
        </w:tc>
        <w:tc>
          <w:tcPr>
            <w:tcW w:w="947" w:type="dxa"/>
            <w:vAlign w:val="center"/>
          </w:tcPr>
          <w:p w14:paraId="20C2A3D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32</w:t>
            </w:r>
          </w:p>
        </w:tc>
        <w:tc>
          <w:tcPr>
            <w:tcW w:w="1815" w:type="dxa"/>
            <w:vAlign w:val="center"/>
          </w:tcPr>
          <w:p w14:paraId="00700FF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成交公告</w:t>
            </w:r>
          </w:p>
          <w:p w14:paraId="5FF8F31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及成交通知书</w:t>
            </w:r>
          </w:p>
        </w:tc>
        <w:tc>
          <w:tcPr>
            <w:tcW w:w="6984" w:type="dxa"/>
            <w:vAlign w:val="center"/>
          </w:tcPr>
          <w:p w14:paraId="6A3B3164">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33.1采购人按</w:t>
            </w:r>
            <w:r>
              <w:rPr>
                <w:rFonts w:hint="eastAsia" w:ascii="宋体" w:hAnsi="宋体" w:cs="宋体"/>
                <w:color w:val="000000" w:themeColor="text1"/>
                <w:sz w:val="15"/>
                <w:szCs w:val="15"/>
                <w:highlight w:val="none"/>
                <w:lang w:eastAsia="zh-CN"/>
                <w14:textFill>
                  <w14:solidFill>
                    <w14:schemeClr w14:val="tx1"/>
                  </w14:solidFill>
                </w14:textFill>
              </w:rPr>
              <w:t>成交候选人</w:t>
            </w:r>
            <w:r>
              <w:rPr>
                <w:rFonts w:hint="eastAsia" w:ascii="宋体" w:hAnsi="宋体" w:cs="宋体"/>
                <w:color w:val="000000" w:themeColor="text1"/>
                <w:sz w:val="15"/>
                <w:szCs w:val="15"/>
                <w:highlight w:val="none"/>
                <w:lang w:val="en-US" w:eastAsia="zh-CN"/>
                <w14:textFill>
                  <w14:solidFill>
                    <w14:schemeClr w14:val="tx1"/>
                  </w14:solidFill>
                </w14:textFill>
              </w:rPr>
              <w:t>入围原则</w:t>
            </w:r>
            <w:r>
              <w:rPr>
                <w:rFonts w:hint="eastAsia" w:ascii="宋体" w:hAnsi="宋体" w:cs="宋体"/>
                <w:color w:val="000000" w:themeColor="text1"/>
                <w:sz w:val="15"/>
                <w:szCs w:val="15"/>
                <w:highlight w:val="none"/>
                <w14:textFill>
                  <w14:solidFill>
                    <w14:schemeClr w14:val="tx1"/>
                  </w14:solidFill>
                </w14:textFill>
              </w:rPr>
              <w:t>确定成交供应商，并在</w:t>
            </w:r>
            <w:r>
              <w:rPr>
                <w:rFonts w:hint="eastAsia" w:ascii="宋体" w:hAnsi="宋体" w:cs="宋体"/>
                <w:color w:val="000000" w:themeColor="text1"/>
                <w:sz w:val="15"/>
                <w:szCs w:val="15"/>
                <w:highlight w:val="none"/>
                <w:lang w:val="en-US" w:eastAsia="zh-CN"/>
                <w14:textFill>
                  <w14:solidFill>
                    <w14:schemeClr w14:val="tx1"/>
                  </w14:solidFill>
                </w14:textFill>
              </w:rPr>
              <w:t>官网</w:t>
            </w:r>
            <w:r>
              <w:rPr>
                <w:rFonts w:hint="eastAsia" w:ascii="宋体" w:hAnsi="宋体" w:cs="宋体"/>
                <w:color w:val="000000" w:themeColor="text1"/>
                <w:sz w:val="15"/>
                <w:szCs w:val="15"/>
                <w:highlight w:val="none"/>
                <w14:textFill>
                  <w14:solidFill>
                    <w14:schemeClr w14:val="tx1"/>
                  </w14:solidFill>
                </w14:textFill>
              </w:rPr>
              <w:t>公告成交信息。</w:t>
            </w:r>
          </w:p>
          <w:p w14:paraId="4112EA7E">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33.2.</w:t>
            </w:r>
            <w:r>
              <w:rPr>
                <w:rFonts w:hint="eastAsia" w:ascii="宋体" w:hAnsi="宋体" w:cs="宋体"/>
                <w:color w:val="000000" w:themeColor="text1"/>
                <w:sz w:val="15"/>
                <w:szCs w:val="15"/>
                <w:highlight w:val="none"/>
                <w:lang w:val="en-US" w:eastAsia="zh-CN"/>
                <w14:textFill>
                  <w14:solidFill>
                    <w14:schemeClr w14:val="tx1"/>
                  </w14:solidFill>
                </w14:textFill>
              </w:rPr>
              <w:t>本项目采用官网公告方式通知成交信息并电话通知成交人，不再向成交人递送纸质</w:t>
            </w:r>
            <w:r>
              <w:rPr>
                <w:rFonts w:hint="eastAsia" w:ascii="宋体" w:hAnsi="宋体" w:cs="宋体"/>
                <w:color w:val="000000" w:themeColor="text1"/>
                <w:sz w:val="15"/>
                <w:szCs w:val="15"/>
                <w:highlight w:val="none"/>
                <w14:textFill>
                  <w14:solidFill>
                    <w14:schemeClr w14:val="tx1"/>
                  </w14:solidFill>
                </w14:textFill>
              </w:rPr>
              <w:t>成交通知书。</w:t>
            </w:r>
          </w:p>
        </w:tc>
      </w:tr>
      <w:tr w14:paraId="2032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36FE8CD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16</w:t>
            </w:r>
          </w:p>
        </w:tc>
        <w:tc>
          <w:tcPr>
            <w:tcW w:w="947" w:type="dxa"/>
            <w:vAlign w:val="center"/>
          </w:tcPr>
          <w:p w14:paraId="7FEB16B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w:t>
            </w:r>
          </w:p>
        </w:tc>
        <w:tc>
          <w:tcPr>
            <w:tcW w:w="1815" w:type="dxa"/>
            <w:vAlign w:val="center"/>
          </w:tcPr>
          <w:p w14:paraId="24FE789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履约保证金</w:t>
            </w:r>
          </w:p>
        </w:tc>
        <w:tc>
          <w:tcPr>
            <w:tcW w:w="6984" w:type="dxa"/>
            <w:vAlign w:val="center"/>
          </w:tcPr>
          <w:p w14:paraId="73D916D3">
            <w:pPr>
              <w:widowControl/>
              <w:spacing w:line="240" w:lineRule="auto"/>
              <w:jc w:val="left"/>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无</w:t>
            </w:r>
          </w:p>
        </w:tc>
      </w:tr>
      <w:tr w14:paraId="4E80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79C1E27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17</w:t>
            </w:r>
          </w:p>
        </w:tc>
        <w:tc>
          <w:tcPr>
            <w:tcW w:w="947" w:type="dxa"/>
            <w:vAlign w:val="center"/>
          </w:tcPr>
          <w:p w14:paraId="3892A40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34.1</w:t>
            </w:r>
          </w:p>
        </w:tc>
        <w:tc>
          <w:tcPr>
            <w:tcW w:w="1815" w:type="dxa"/>
            <w:vAlign w:val="center"/>
          </w:tcPr>
          <w:p w14:paraId="5942E4DD">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签订合同时间</w:t>
            </w:r>
          </w:p>
        </w:tc>
        <w:tc>
          <w:tcPr>
            <w:tcW w:w="6984" w:type="dxa"/>
            <w:vAlign w:val="center"/>
          </w:tcPr>
          <w:p w14:paraId="56D436C9">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成交</w:t>
            </w:r>
            <w:r>
              <w:rPr>
                <w:rFonts w:hint="eastAsia" w:ascii="宋体" w:hAnsi="宋体" w:cs="宋体"/>
                <w:color w:val="000000" w:themeColor="text1"/>
                <w:sz w:val="15"/>
                <w:szCs w:val="15"/>
                <w:highlight w:val="none"/>
                <w:lang w:val="en-US" w:eastAsia="zh-CN"/>
                <w14:textFill>
                  <w14:solidFill>
                    <w14:schemeClr w14:val="tx1"/>
                  </w14:solidFill>
                </w14:textFill>
              </w:rPr>
              <w:t>公告发布</w:t>
            </w:r>
            <w:r>
              <w:rPr>
                <w:rFonts w:hint="eastAsia" w:ascii="宋体" w:hAnsi="宋体" w:cs="宋体"/>
                <w:color w:val="000000" w:themeColor="text1"/>
                <w:sz w:val="15"/>
                <w:szCs w:val="15"/>
                <w:highlight w:val="none"/>
                <w14:textFill>
                  <w14:solidFill>
                    <w14:schemeClr w14:val="tx1"/>
                  </w14:solidFill>
                </w14:textFill>
              </w:rPr>
              <w:t>之日起</w:t>
            </w:r>
            <w:r>
              <w:rPr>
                <w:rFonts w:hint="eastAsia" w:ascii="宋体" w:hAnsi="宋体" w:cs="宋体"/>
                <w:color w:val="000000" w:themeColor="text1"/>
                <w:sz w:val="15"/>
                <w:szCs w:val="15"/>
                <w:highlight w:val="none"/>
                <w:lang w:val="en-US" w:eastAsia="zh-CN"/>
                <w14:textFill>
                  <w14:solidFill>
                    <w14:schemeClr w14:val="tx1"/>
                  </w14:solidFill>
                </w14:textFill>
              </w:rPr>
              <w:t>15</w:t>
            </w:r>
            <w:r>
              <w:rPr>
                <w:rFonts w:hint="eastAsia" w:ascii="宋体" w:hAnsi="宋体" w:cs="宋体"/>
                <w:color w:val="000000" w:themeColor="text1"/>
                <w:sz w:val="15"/>
                <w:szCs w:val="15"/>
                <w:highlight w:val="none"/>
                <w:lang w:eastAsia="zh-CN"/>
                <w14:textFill>
                  <w14:solidFill>
                    <w14:schemeClr w14:val="tx1"/>
                  </w14:solidFill>
                </w14:textFill>
              </w:rPr>
              <w:t>日内</w:t>
            </w:r>
            <w:r>
              <w:rPr>
                <w:rFonts w:hint="eastAsia" w:ascii="宋体" w:hAnsi="宋体" w:cs="宋体"/>
                <w:color w:val="000000" w:themeColor="text1"/>
                <w:sz w:val="15"/>
                <w:szCs w:val="15"/>
                <w:highlight w:val="none"/>
                <w14:textFill>
                  <w14:solidFill>
                    <w14:schemeClr w14:val="tx1"/>
                  </w14:solidFill>
                </w14:textFill>
              </w:rPr>
              <w:t>签订合同。成交供应商应按规定与采购人签订合同。</w:t>
            </w:r>
            <w:r>
              <w:rPr>
                <w:rFonts w:hint="eastAsia" w:ascii="宋体" w:hAnsi="宋体" w:cs="宋体"/>
                <w:color w:val="000000" w:themeColor="text1"/>
                <w:sz w:val="15"/>
                <w:szCs w:val="15"/>
                <w:highlight w:val="none"/>
                <w:lang w:val="en-US" w:eastAsia="zh-CN"/>
                <w14:textFill>
                  <w14:solidFill>
                    <w14:schemeClr w14:val="tx1"/>
                  </w14:solidFill>
                </w14:textFill>
              </w:rPr>
              <w:t>否则采购人按自动放弃中标资格从有效投标人中顺位确定供应商。</w:t>
            </w:r>
          </w:p>
        </w:tc>
      </w:tr>
      <w:tr w14:paraId="1044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C881FB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w:t>
            </w:r>
          </w:p>
        </w:tc>
        <w:tc>
          <w:tcPr>
            <w:tcW w:w="947" w:type="dxa"/>
            <w:vAlign w:val="center"/>
          </w:tcPr>
          <w:p w14:paraId="24F6C28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34.4</w:t>
            </w:r>
          </w:p>
        </w:tc>
        <w:tc>
          <w:tcPr>
            <w:tcW w:w="1815" w:type="dxa"/>
            <w:vAlign w:val="center"/>
          </w:tcPr>
          <w:p w14:paraId="6177608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合同备案存档</w:t>
            </w:r>
          </w:p>
        </w:tc>
        <w:tc>
          <w:tcPr>
            <w:tcW w:w="6984" w:type="dxa"/>
            <w:vAlign w:val="center"/>
          </w:tcPr>
          <w:p w14:paraId="4D7B5896">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无</w:t>
            </w:r>
          </w:p>
        </w:tc>
      </w:tr>
      <w:tr w14:paraId="3D41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412F91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w:t>
            </w:r>
          </w:p>
        </w:tc>
        <w:tc>
          <w:tcPr>
            <w:tcW w:w="947" w:type="dxa"/>
            <w:vAlign w:val="center"/>
          </w:tcPr>
          <w:p w14:paraId="7F56FC5C">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35</w:t>
            </w:r>
          </w:p>
        </w:tc>
        <w:tc>
          <w:tcPr>
            <w:tcW w:w="1815" w:type="dxa"/>
            <w:vAlign w:val="center"/>
          </w:tcPr>
          <w:p w14:paraId="02B3BEED">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采购代理服务费</w:t>
            </w:r>
          </w:p>
        </w:tc>
        <w:tc>
          <w:tcPr>
            <w:tcW w:w="6984" w:type="dxa"/>
            <w:vAlign w:val="center"/>
          </w:tcPr>
          <w:p w14:paraId="4DC1FEFC">
            <w:pPr>
              <w:widowControl w:val="0"/>
              <w:wordWrap/>
              <w:adjustRightInd/>
              <w:spacing w:line="240" w:lineRule="auto"/>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36.1</w:t>
            </w:r>
            <w:r>
              <w:rPr>
                <w:rFonts w:hint="eastAsia" w:ascii="宋体" w:hAnsi="宋体" w:cs="宋体"/>
                <w:color w:val="000000" w:themeColor="text1"/>
                <w:kern w:val="0"/>
                <w:sz w:val="15"/>
                <w:szCs w:val="15"/>
                <w:highlight w:val="none"/>
                <w:lang w:val="en-US" w:eastAsia="zh-CN"/>
                <w14:textFill>
                  <w14:solidFill>
                    <w14:schemeClr w14:val="tx1"/>
                  </w14:solidFill>
                </w14:textFill>
              </w:rPr>
              <w:t>无</w:t>
            </w:r>
          </w:p>
        </w:tc>
      </w:tr>
      <w:tr w14:paraId="104E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A7C96D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w:t>
            </w:r>
          </w:p>
        </w:tc>
        <w:tc>
          <w:tcPr>
            <w:tcW w:w="947" w:type="dxa"/>
            <w:vAlign w:val="center"/>
          </w:tcPr>
          <w:p w14:paraId="5E9CFCB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36</w:t>
            </w:r>
          </w:p>
        </w:tc>
        <w:tc>
          <w:tcPr>
            <w:tcW w:w="1815" w:type="dxa"/>
            <w:vAlign w:val="center"/>
          </w:tcPr>
          <w:p w14:paraId="5E11BAB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解释权</w:t>
            </w:r>
          </w:p>
        </w:tc>
        <w:tc>
          <w:tcPr>
            <w:tcW w:w="6984" w:type="dxa"/>
            <w:vAlign w:val="center"/>
          </w:tcPr>
          <w:p w14:paraId="0F5C45A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本竞争性磋商文件是根据《中华人民共和国政府采购法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中华人民共和国政府采购法实施条例</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政府采购非招标采购方式管理办法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政府采购竞争性磋商采购方式管理暂行办法》和政府采购管理有关规定编制，本竞争性磋商文件的解释权属于采购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cs="宋体"/>
                <w:color w:val="000000" w:themeColor="text1"/>
                <w:sz w:val="15"/>
                <w:szCs w:val="15"/>
                <w:highlight w:val="none"/>
                <w14:textFill>
                  <w14:solidFill>
                    <w14:schemeClr w14:val="tx1"/>
                  </w14:solidFill>
                </w14:textFill>
              </w:rPr>
              <w:t>。</w:t>
            </w:r>
          </w:p>
        </w:tc>
      </w:tr>
      <w:tr w14:paraId="6CA2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45" w:type="dxa"/>
            <w:vAlign w:val="center"/>
          </w:tcPr>
          <w:p w14:paraId="576DAB6A">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21</w:t>
            </w:r>
          </w:p>
        </w:tc>
        <w:tc>
          <w:tcPr>
            <w:tcW w:w="947" w:type="dxa"/>
            <w:vAlign w:val="center"/>
          </w:tcPr>
          <w:p w14:paraId="380C184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37</w:t>
            </w:r>
          </w:p>
        </w:tc>
        <w:tc>
          <w:tcPr>
            <w:tcW w:w="1815" w:type="dxa"/>
            <w:vAlign w:val="center"/>
          </w:tcPr>
          <w:p w14:paraId="2951787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监督管理机构</w:t>
            </w:r>
          </w:p>
        </w:tc>
        <w:tc>
          <w:tcPr>
            <w:tcW w:w="6984" w:type="dxa"/>
            <w:vAlign w:val="center"/>
          </w:tcPr>
          <w:p w14:paraId="00D6576E">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广西</w:t>
            </w:r>
            <w:r>
              <w:rPr>
                <w:rFonts w:hint="eastAsia" w:ascii="宋体" w:hAnsi="宋体" w:cs="宋体"/>
                <w:color w:val="000000" w:themeColor="text1"/>
                <w:sz w:val="15"/>
                <w:szCs w:val="15"/>
                <w:highlight w:val="none"/>
                <w:lang w:val="en-US" w:eastAsia="zh-CN"/>
                <w14:textFill>
                  <w14:solidFill>
                    <w14:schemeClr w14:val="tx1"/>
                  </w14:solidFill>
                </w14:textFill>
              </w:rPr>
              <w:t>骨伤医院纪检监察室、审计科</w:t>
            </w:r>
            <w:r>
              <w:rPr>
                <w:rFonts w:hint="eastAsia" w:ascii="宋体" w:hAnsi="宋体" w:cs="宋体"/>
                <w:color w:val="000000" w:themeColor="text1"/>
                <w:sz w:val="15"/>
                <w:szCs w:val="15"/>
                <w:highlight w:val="none"/>
                <w14:textFill>
                  <w14:solidFill>
                    <w14:schemeClr w14:val="tx1"/>
                  </w14:solidFill>
                </w14:textFill>
              </w:rPr>
              <w:t xml:space="preserve">     电话：0771-2869067</w:t>
            </w:r>
          </w:p>
        </w:tc>
      </w:tr>
    </w:tbl>
    <w:p w14:paraId="5E2E5CB1">
      <w:pPr>
        <w:spacing w:line="440" w:lineRule="atLeast"/>
        <w:jc w:val="center"/>
        <w:rPr>
          <w:rFonts w:hint="eastAsia" w:ascii="宋体" w:hAnsi="宋体" w:cs="宋体"/>
          <w:b/>
          <w:color w:val="000000" w:themeColor="text1"/>
          <w:szCs w:val="21"/>
          <w:highlight w:val="none"/>
          <w14:textFill>
            <w14:solidFill>
              <w14:schemeClr w14:val="tx1"/>
            </w14:solidFill>
          </w14:textFill>
        </w:rPr>
      </w:pPr>
      <w:bookmarkStart w:id="45" w:name="_Toc495841754"/>
      <w:bookmarkStart w:id="46" w:name="_Toc3679"/>
      <w:r>
        <w:rPr>
          <w:rFonts w:ascii="Arial" w:hAnsi="Arial" w:cs="Arial"/>
          <w:b/>
          <w:color w:val="000000" w:themeColor="text1"/>
          <w:sz w:val="28"/>
          <w:szCs w:val="28"/>
          <w:highlight w:val="none"/>
          <w14:textFill>
            <w14:solidFill>
              <w14:schemeClr w14:val="tx1"/>
            </w14:solidFill>
          </w14:textFill>
        </w:rPr>
        <w:br w:type="page"/>
      </w:r>
      <w:bookmarkStart w:id="47" w:name="_Toc15577"/>
      <w:bookmarkStart w:id="48" w:name="_Toc14426"/>
      <w:bookmarkStart w:id="49" w:name="_Toc20689"/>
      <w:bookmarkStart w:id="50" w:name="_Toc16995"/>
      <w:bookmarkStart w:id="51" w:name="_Toc4547"/>
      <w:bookmarkStart w:id="52" w:name="_Toc26837"/>
      <w:bookmarkStart w:id="53" w:name="_Toc17191"/>
      <w:bookmarkStart w:id="54" w:name="_Toc3485"/>
      <w:r>
        <w:rPr>
          <w:rFonts w:hint="eastAsia" w:ascii="宋体" w:hAnsi="宋体" w:cs="宋体"/>
          <w:b/>
          <w:color w:val="000000" w:themeColor="text1"/>
          <w:szCs w:val="21"/>
          <w:highlight w:val="none"/>
          <w14:textFill>
            <w14:solidFill>
              <w14:schemeClr w14:val="tx1"/>
            </w14:solidFill>
          </w14:textFill>
        </w:rPr>
        <w:t>一、总则</w:t>
      </w:r>
      <w:bookmarkEnd w:id="45"/>
      <w:bookmarkEnd w:id="46"/>
      <w:bookmarkEnd w:id="47"/>
      <w:bookmarkEnd w:id="48"/>
      <w:bookmarkEnd w:id="49"/>
      <w:bookmarkEnd w:id="50"/>
      <w:bookmarkEnd w:id="51"/>
      <w:bookmarkEnd w:id="52"/>
      <w:bookmarkEnd w:id="53"/>
      <w:bookmarkEnd w:id="54"/>
    </w:p>
    <w:p w14:paraId="236180CB">
      <w:pPr>
        <w:keepNext w:val="0"/>
        <w:keepLines w:val="0"/>
        <w:pageBreakBefore w:val="0"/>
        <w:kinsoku/>
        <w:wordWrap/>
        <w:overflowPunct/>
        <w:topLinePunct w:val="0"/>
        <w:bidi w:val="0"/>
        <w:spacing w:line="240" w:lineRule="auto"/>
        <w:rPr>
          <w:rFonts w:hint="eastAsia" w:ascii="宋体" w:hAnsi="宋体" w:eastAsia="宋体" w:cs="宋体"/>
          <w:b/>
          <w:bCs/>
          <w:color w:val="000000" w:themeColor="text1"/>
          <w:sz w:val="15"/>
          <w:szCs w:val="15"/>
          <w:highlight w:val="none"/>
          <w14:textFill>
            <w14:solidFill>
              <w14:schemeClr w14:val="tx1"/>
            </w14:solidFill>
          </w14:textFill>
        </w:rPr>
      </w:pPr>
      <w:bookmarkStart w:id="55" w:name="_Toc8947"/>
      <w:bookmarkStart w:id="56" w:name="_Toc3690"/>
      <w:bookmarkStart w:id="57" w:name="_Toc23807"/>
      <w:bookmarkStart w:id="58" w:name="_Toc5042"/>
      <w:bookmarkStart w:id="59" w:name="_Toc28947"/>
      <w:bookmarkStart w:id="60" w:name="_Toc6491"/>
      <w:bookmarkStart w:id="61" w:name="_Toc3101"/>
      <w:bookmarkStart w:id="62" w:name="_Toc19103"/>
      <w:bookmarkStart w:id="63" w:name="_Toc32460"/>
      <w:r>
        <w:rPr>
          <w:rFonts w:hint="eastAsia" w:ascii="宋体" w:hAnsi="宋体" w:eastAsia="宋体" w:cs="宋体"/>
          <w:b/>
          <w:color w:val="000000" w:themeColor="text1"/>
          <w:sz w:val="15"/>
          <w:szCs w:val="15"/>
          <w:highlight w:val="none"/>
          <w14:textFill>
            <w14:solidFill>
              <w14:schemeClr w14:val="tx1"/>
            </w14:solidFill>
          </w14:textFill>
        </w:rPr>
        <w:t>1.</w:t>
      </w:r>
      <w:bookmarkEnd w:id="55"/>
      <w:bookmarkEnd w:id="56"/>
      <w:bookmarkEnd w:id="57"/>
      <w:bookmarkEnd w:id="58"/>
      <w:bookmarkEnd w:id="59"/>
      <w:bookmarkEnd w:id="60"/>
      <w:bookmarkEnd w:id="61"/>
      <w:bookmarkEnd w:id="62"/>
      <w:bookmarkEnd w:id="63"/>
      <w:bookmarkStart w:id="64" w:name="_Toc340"/>
      <w:r>
        <w:rPr>
          <w:rFonts w:hint="eastAsia" w:ascii="宋体" w:hAnsi="宋体" w:eastAsia="宋体" w:cs="宋体"/>
          <w:b/>
          <w:bCs/>
          <w:color w:val="000000" w:themeColor="text1"/>
          <w:sz w:val="15"/>
          <w:szCs w:val="15"/>
          <w:highlight w:val="none"/>
          <w14:textFill>
            <w14:solidFill>
              <w14:schemeClr w14:val="tx1"/>
            </w14:solidFill>
          </w14:textFill>
        </w:rPr>
        <w:t>项目基本情况</w:t>
      </w:r>
    </w:p>
    <w:p w14:paraId="5EEEE5F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1.1采购项目名称及采购项目编号：详见供应商须知前附表。</w:t>
      </w:r>
    </w:p>
    <w:p w14:paraId="5E7CD373">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1.2本竞争性磋商文件（以下简称磋商文件）适用于本磋商项目的磋商、评审、合同履约、验收、付款等行为（</w:t>
      </w:r>
      <w:r>
        <w:rPr>
          <w:rFonts w:hint="eastAsia" w:ascii="宋体" w:hAnsi="宋体" w:cs="宋体"/>
          <w:color w:val="000000" w:themeColor="text1"/>
          <w:sz w:val="15"/>
          <w:szCs w:val="15"/>
          <w:highlight w:val="none"/>
          <w:lang w:eastAsia="zh-CN"/>
          <w14:textFill>
            <w14:solidFill>
              <w14:schemeClr w14:val="tx1"/>
            </w14:solidFill>
          </w14:textFill>
        </w:rPr>
        <w:t>法律法规</w:t>
      </w:r>
      <w:r>
        <w:rPr>
          <w:rFonts w:hint="eastAsia" w:ascii="宋体" w:hAnsi="宋体" w:eastAsia="宋体" w:cs="宋体"/>
          <w:color w:val="000000" w:themeColor="text1"/>
          <w:sz w:val="15"/>
          <w:szCs w:val="15"/>
          <w:highlight w:val="none"/>
          <w14:textFill>
            <w14:solidFill>
              <w14:schemeClr w14:val="tx1"/>
            </w14:solidFill>
          </w14:textFill>
        </w:rPr>
        <w:t>另有规定的，从其规定）。</w:t>
      </w:r>
    </w:p>
    <w:bookmarkEnd w:id="64"/>
    <w:p w14:paraId="24BC3112">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65" w:name="_Toc11436"/>
      <w:bookmarkStart w:id="66" w:name="_Toc9438"/>
      <w:bookmarkStart w:id="67" w:name="_Toc18940"/>
      <w:bookmarkStart w:id="68" w:name="_Toc1895"/>
      <w:bookmarkStart w:id="69" w:name="_Toc26622"/>
      <w:bookmarkStart w:id="70" w:name="_Toc29738"/>
      <w:bookmarkStart w:id="71" w:name="_Toc22919"/>
      <w:bookmarkStart w:id="72" w:name="_Toc3390"/>
      <w:bookmarkStart w:id="73" w:name="_Toc2929"/>
      <w:r>
        <w:rPr>
          <w:rFonts w:hint="eastAsia" w:ascii="宋体" w:hAnsi="宋体" w:eastAsia="宋体" w:cs="宋体"/>
          <w:b/>
          <w:color w:val="000000" w:themeColor="text1"/>
          <w:sz w:val="15"/>
          <w:szCs w:val="15"/>
          <w:highlight w:val="none"/>
          <w14:textFill>
            <w14:solidFill>
              <w14:schemeClr w14:val="tx1"/>
            </w14:solidFill>
          </w14:textFill>
        </w:rPr>
        <w:t>2.定义</w:t>
      </w:r>
      <w:bookmarkEnd w:id="65"/>
      <w:bookmarkEnd w:id="66"/>
      <w:bookmarkEnd w:id="67"/>
      <w:bookmarkEnd w:id="68"/>
      <w:bookmarkEnd w:id="69"/>
      <w:bookmarkEnd w:id="70"/>
      <w:bookmarkEnd w:id="71"/>
      <w:bookmarkEnd w:id="72"/>
      <w:bookmarkEnd w:id="73"/>
    </w:p>
    <w:p w14:paraId="21676757">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lang w:eastAsia="zh-CN"/>
          <w14:textFill>
            <w14:solidFill>
              <w14:schemeClr w14:val="tx1"/>
            </w14:solidFill>
          </w14:textFill>
        </w:rPr>
      </w:pPr>
      <w:bookmarkStart w:id="74" w:name="_Toc12152"/>
      <w:bookmarkStart w:id="75" w:name="_Toc376"/>
      <w:bookmarkStart w:id="76" w:name="_Toc24964"/>
      <w:bookmarkStart w:id="77" w:name="_Toc15166"/>
      <w:bookmarkStart w:id="78" w:name="_Toc790"/>
      <w:bookmarkStart w:id="79" w:name="_Toc28906"/>
      <w:bookmarkStart w:id="80" w:name="_Toc2146"/>
      <w:bookmarkStart w:id="81" w:name="_Toc13623"/>
      <w:bookmarkStart w:id="82" w:name="_Toc2140"/>
      <w:r>
        <w:rPr>
          <w:rFonts w:hint="eastAsia" w:ascii="宋体" w:hAnsi="宋体" w:eastAsia="宋体" w:cs="宋体"/>
          <w:bCs/>
          <w:color w:val="000000" w:themeColor="text1"/>
          <w:sz w:val="15"/>
          <w:szCs w:val="15"/>
          <w:highlight w:val="none"/>
          <w14:textFill>
            <w14:solidFill>
              <w14:schemeClr w14:val="tx1"/>
            </w14:solidFill>
          </w14:textFill>
        </w:rPr>
        <w:t>2.1“采购人”是指：</w:t>
      </w:r>
      <w:r>
        <w:rPr>
          <w:rFonts w:hint="eastAsia" w:ascii="宋体" w:hAnsi="宋体" w:cs="宋体"/>
          <w:bCs/>
          <w:color w:val="000000" w:themeColor="text1"/>
          <w:sz w:val="15"/>
          <w:szCs w:val="15"/>
          <w:highlight w:val="none"/>
          <w:lang w:eastAsia="zh-CN"/>
          <w14:textFill>
            <w14:solidFill>
              <w14:schemeClr w14:val="tx1"/>
            </w14:solidFill>
          </w14:textFill>
        </w:rPr>
        <w:t>广西骨伤医院</w:t>
      </w:r>
    </w:p>
    <w:p w14:paraId="0D500E3C">
      <w:pPr>
        <w:keepNext w:val="0"/>
        <w:keepLines w:val="0"/>
        <w:pageBreakBefore w:val="0"/>
        <w:kinsoku/>
        <w:wordWrap/>
        <w:overflowPunct/>
        <w:topLinePunct w:val="0"/>
        <w:bidi w:val="0"/>
        <w:spacing w:line="240" w:lineRule="auto"/>
        <w:ind w:firstLine="294" w:firstLineChars="196"/>
        <w:rPr>
          <w:rFonts w:hint="default" w:ascii="宋体" w:hAnsi="宋体" w:eastAsia="宋体" w:cs="宋体"/>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2.2“</w:t>
      </w:r>
      <w:r>
        <w:rPr>
          <w:rFonts w:hint="eastAsia" w:ascii="宋体" w:hAnsi="宋体" w:cs="宋体"/>
          <w:bCs/>
          <w:color w:val="000000" w:themeColor="text1"/>
          <w:sz w:val="15"/>
          <w:szCs w:val="15"/>
          <w:highlight w:val="none"/>
          <w:lang w:eastAsia="zh-CN"/>
          <w14:textFill>
            <w14:solidFill>
              <w14:schemeClr w14:val="tx1"/>
            </w14:solidFill>
          </w14:textFill>
        </w:rPr>
        <w:t>采购</w:t>
      </w:r>
      <w:r>
        <w:rPr>
          <w:rFonts w:hint="eastAsia" w:ascii="宋体" w:hAnsi="宋体" w:cs="宋体"/>
          <w:bCs/>
          <w:color w:val="000000" w:themeColor="text1"/>
          <w:sz w:val="15"/>
          <w:szCs w:val="15"/>
          <w:highlight w:val="none"/>
          <w:lang w:val="en-US" w:eastAsia="zh-CN"/>
          <w14:textFill>
            <w14:solidFill>
              <w14:schemeClr w14:val="tx1"/>
            </w14:solidFill>
          </w14:textFill>
        </w:rPr>
        <w:t>代理机构</w:t>
      </w:r>
      <w:r>
        <w:rPr>
          <w:rFonts w:hint="eastAsia" w:ascii="宋体" w:hAnsi="宋体" w:eastAsia="宋体" w:cs="宋体"/>
          <w:bCs/>
          <w:color w:val="000000" w:themeColor="text1"/>
          <w:sz w:val="15"/>
          <w:szCs w:val="15"/>
          <w:highlight w:val="none"/>
          <w14:textFill>
            <w14:solidFill>
              <w14:schemeClr w14:val="tx1"/>
            </w14:solidFill>
          </w14:textFill>
        </w:rPr>
        <w:t>”是指：</w:t>
      </w:r>
      <w:r>
        <w:rPr>
          <w:rFonts w:hint="eastAsia" w:ascii="宋体" w:hAnsi="宋体" w:cs="宋体"/>
          <w:bCs/>
          <w:color w:val="000000" w:themeColor="text1"/>
          <w:sz w:val="15"/>
          <w:szCs w:val="15"/>
          <w:highlight w:val="none"/>
          <w:lang w:val="en-US" w:eastAsia="zh-CN"/>
          <w14:textFill>
            <w14:solidFill>
              <w14:schemeClr w14:val="tx1"/>
            </w14:solidFill>
          </w14:textFill>
        </w:rPr>
        <w:t>采购人委托社会具有实施招标采购流程相关资质第三方机构。</w:t>
      </w:r>
    </w:p>
    <w:p w14:paraId="298FE63A">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2.3“供应商”是指符合本次采购项目的供应商资格并提交响应文件、参加磋商的供应商。如果该供应商在本次磋商中成交，即成为“成交人”。</w:t>
      </w:r>
    </w:p>
    <w:p w14:paraId="045C2091">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2.4“服务”：系指按磋商文件规定，供应商须</w:t>
      </w:r>
      <w:r>
        <w:rPr>
          <w:rFonts w:hint="eastAsia" w:ascii="宋体" w:hAnsi="宋体" w:cs="宋体"/>
          <w:bCs/>
          <w:color w:val="000000" w:themeColor="text1"/>
          <w:sz w:val="15"/>
          <w:szCs w:val="15"/>
          <w:highlight w:val="none"/>
          <w:lang w:eastAsia="zh-CN"/>
          <w14:textFill>
            <w14:solidFill>
              <w14:schemeClr w14:val="tx1"/>
            </w14:solidFill>
          </w14:textFill>
        </w:rPr>
        <w:t>承担</w:t>
      </w:r>
      <w:r>
        <w:rPr>
          <w:rFonts w:hint="eastAsia" w:ascii="宋体" w:hAnsi="宋体" w:eastAsia="宋体" w:cs="宋体"/>
          <w:bCs/>
          <w:color w:val="000000" w:themeColor="text1"/>
          <w:sz w:val="15"/>
          <w:szCs w:val="15"/>
          <w:highlight w:val="none"/>
          <w14:textFill>
            <w14:solidFill>
              <w14:schemeClr w14:val="tx1"/>
            </w14:solidFill>
          </w14:textFill>
        </w:rPr>
        <w:t>技术协助、技术指导以及其他类似的义务。</w:t>
      </w:r>
    </w:p>
    <w:p w14:paraId="6B347D1A">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2.5“竞争性磋商响应文件”简称“响应文件”，供应商根据本文件要求，编制包含报价、技术和服务等所有内容的文件。</w:t>
      </w:r>
    </w:p>
    <w:p w14:paraId="4C9E032E">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2.6“书面形式”包括信函、传真、电报等。</w:t>
      </w:r>
    </w:p>
    <w:p w14:paraId="453DCD6F">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3.采购方式、评分办法</w:t>
      </w:r>
      <w:bookmarkEnd w:id="74"/>
      <w:bookmarkEnd w:id="75"/>
      <w:bookmarkEnd w:id="76"/>
      <w:bookmarkEnd w:id="77"/>
      <w:bookmarkEnd w:id="78"/>
      <w:bookmarkEnd w:id="79"/>
      <w:bookmarkEnd w:id="80"/>
      <w:bookmarkEnd w:id="81"/>
      <w:bookmarkEnd w:id="82"/>
    </w:p>
    <w:p w14:paraId="48F9A50E">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竞争性磋商、综合评分法</w:t>
      </w:r>
    </w:p>
    <w:p w14:paraId="2A54A0B1">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83" w:name="_Toc20134"/>
      <w:bookmarkStart w:id="84" w:name="_Toc598"/>
      <w:bookmarkStart w:id="85" w:name="_Toc13834"/>
      <w:bookmarkStart w:id="86" w:name="_Toc22763"/>
      <w:bookmarkStart w:id="87" w:name="_Toc13564"/>
      <w:bookmarkStart w:id="88" w:name="_Toc17346"/>
      <w:bookmarkStart w:id="89" w:name="_Toc29127"/>
      <w:bookmarkStart w:id="90" w:name="_Toc15441"/>
      <w:bookmarkStart w:id="91" w:name="_Toc29647"/>
      <w:r>
        <w:rPr>
          <w:rFonts w:hint="eastAsia" w:ascii="宋体" w:hAnsi="宋体" w:eastAsia="宋体" w:cs="宋体"/>
          <w:b/>
          <w:color w:val="000000" w:themeColor="text1"/>
          <w:sz w:val="15"/>
          <w:szCs w:val="15"/>
          <w:highlight w:val="none"/>
          <w14:textFill>
            <w14:solidFill>
              <w14:schemeClr w14:val="tx1"/>
            </w14:solidFill>
          </w14:textFill>
        </w:rPr>
        <w:t>4.供应商资格</w:t>
      </w:r>
      <w:bookmarkEnd w:id="83"/>
      <w:bookmarkEnd w:id="84"/>
      <w:bookmarkEnd w:id="85"/>
      <w:bookmarkEnd w:id="86"/>
      <w:bookmarkEnd w:id="87"/>
      <w:bookmarkEnd w:id="88"/>
      <w:bookmarkEnd w:id="89"/>
      <w:bookmarkEnd w:id="90"/>
      <w:bookmarkEnd w:id="91"/>
    </w:p>
    <w:p w14:paraId="7FEDE7B0">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bookmarkStart w:id="92" w:name="_Toc11361"/>
      <w:bookmarkStart w:id="93" w:name="_Toc31000"/>
      <w:bookmarkStart w:id="94" w:name="_Toc26707"/>
      <w:bookmarkStart w:id="95" w:name="_Toc22278"/>
      <w:bookmarkStart w:id="96" w:name="_Toc29375"/>
      <w:bookmarkStart w:id="97" w:name="_Toc3176"/>
      <w:bookmarkStart w:id="98" w:name="_Toc27377"/>
      <w:bookmarkStart w:id="99" w:name="_Toc12882"/>
      <w:bookmarkStart w:id="100" w:name="_Toc24742"/>
      <w:r>
        <w:rPr>
          <w:rFonts w:hint="eastAsia" w:ascii="宋体" w:hAnsi="宋体" w:eastAsia="宋体" w:cs="宋体"/>
          <w:bCs/>
          <w:color w:val="000000" w:themeColor="text1"/>
          <w:sz w:val="15"/>
          <w:szCs w:val="15"/>
          <w:highlight w:val="none"/>
          <w14:textFill>
            <w14:solidFill>
              <w14:schemeClr w14:val="tx1"/>
            </w14:solidFill>
          </w14:textFill>
        </w:rPr>
        <w:t>详见供应商须知前附表。</w:t>
      </w:r>
    </w:p>
    <w:p w14:paraId="79D51C5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5.磋商费用</w:t>
      </w:r>
      <w:bookmarkEnd w:id="92"/>
      <w:bookmarkEnd w:id="93"/>
      <w:bookmarkEnd w:id="94"/>
      <w:bookmarkEnd w:id="95"/>
      <w:bookmarkEnd w:id="96"/>
      <w:bookmarkEnd w:id="97"/>
      <w:bookmarkEnd w:id="98"/>
      <w:bookmarkEnd w:id="99"/>
      <w:bookmarkEnd w:id="100"/>
    </w:p>
    <w:p w14:paraId="7F5373B1">
      <w:pPr>
        <w:keepNext w:val="0"/>
        <w:keepLines w:val="0"/>
        <w:pageBreakBefore w:val="0"/>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不论投标结果如何，供应商均应自行承担所有与磋商有关的全部费用。</w:t>
      </w:r>
    </w:p>
    <w:p w14:paraId="3676C13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01" w:name="_Toc16131"/>
      <w:bookmarkStart w:id="102" w:name="_Toc15748"/>
      <w:bookmarkStart w:id="103" w:name="_Toc11612"/>
      <w:bookmarkStart w:id="104" w:name="_Toc22702"/>
      <w:bookmarkStart w:id="105" w:name="_Toc15936"/>
      <w:bookmarkStart w:id="106" w:name="_Toc27779"/>
      <w:bookmarkStart w:id="107" w:name="_Toc26377"/>
      <w:bookmarkStart w:id="108" w:name="_Toc3614"/>
      <w:bookmarkStart w:id="109" w:name="_Toc1465"/>
      <w:r>
        <w:rPr>
          <w:rFonts w:hint="eastAsia" w:ascii="宋体" w:hAnsi="宋体" w:eastAsia="宋体" w:cs="宋体"/>
          <w:b/>
          <w:color w:val="000000" w:themeColor="text1"/>
          <w:sz w:val="15"/>
          <w:szCs w:val="15"/>
          <w:highlight w:val="none"/>
          <w14:textFill>
            <w14:solidFill>
              <w14:schemeClr w14:val="tx1"/>
            </w14:solidFill>
          </w14:textFill>
        </w:rPr>
        <w:t>6.联合体投标要求</w:t>
      </w:r>
      <w:bookmarkEnd w:id="101"/>
      <w:bookmarkEnd w:id="102"/>
      <w:bookmarkEnd w:id="103"/>
      <w:bookmarkEnd w:id="104"/>
      <w:bookmarkEnd w:id="105"/>
      <w:bookmarkEnd w:id="106"/>
      <w:bookmarkEnd w:id="107"/>
      <w:bookmarkEnd w:id="108"/>
      <w:bookmarkEnd w:id="109"/>
    </w:p>
    <w:p w14:paraId="7462018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bookmarkStart w:id="110" w:name="_Toc12345"/>
      <w:bookmarkStart w:id="111" w:name="_Toc11107"/>
      <w:bookmarkStart w:id="112" w:name="_Toc8634"/>
      <w:bookmarkStart w:id="113" w:name="_Toc6046"/>
      <w:bookmarkStart w:id="114" w:name="_Toc27095"/>
      <w:bookmarkStart w:id="115" w:name="_Toc29957"/>
      <w:bookmarkStart w:id="116" w:name="_Toc3291"/>
      <w:bookmarkStart w:id="117" w:name="_Toc14641"/>
      <w:bookmarkStart w:id="118" w:name="_Toc7853"/>
      <w:r>
        <w:rPr>
          <w:rFonts w:hint="eastAsia" w:ascii="宋体" w:hAnsi="宋体" w:eastAsia="宋体" w:cs="宋体"/>
          <w:color w:val="000000" w:themeColor="text1"/>
          <w:sz w:val="15"/>
          <w:szCs w:val="15"/>
          <w:highlight w:val="none"/>
          <w14:textFill>
            <w14:solidFill>
              <w14:schemeClr w14:val="tx1"/>
            </w14:solidFill>
          </w14:textFill>
        </w:rPr>
        <w:t>本项目</w:t>
      </w:r>
      <w:r>
        <w:rPr>
          <w:rFonts w:hint="eastAsia" w:ascii="宋体" w:hAnsi="宋体" w:eastAsia="宋体" w:cs="宋体"/>
          <w:b/>
          <w:bCs/>
          <w:color w:val="000000" w:themeColor="text1"/>
          <w:sz w:val="15"/>
          <w:szCs w:val="15"/>
          <w:highlight w:val="none"/>
          <w:u w:val="single"/>
          <w14:textFill>
            <w14:solidFill>
              <w14:schemeClr w14:val="tx1"/>
            </w14:solidFill>
          </w14:textFill>
        </w:rPr>
        <w:t>不接受</w:t>
      </w:r>
      <w:r>
        <w:rPr>
          <w:rFonts w:hint="eastAsia" w:ascii="宋体" w:hAnsi="宋体" w:eastAsia="宋体" w:cs="宋体"/>
          <w:color w:val="000000" w:themeColor="text1"/>
          <w:sz w:val="15"/>
          <w:szCs w:val="15"/>
          <w:highlight w:val="none"/>
          <w14:textFill>
            <w14:solidFill>
              <w14:schemeClr w14:val="tx1"/>
            </w14:solidFill>
          </w14:textFill>
        </w:rPr>
        <w:t>联合体竞标。</w:t>
      </w:r>
    </w:p>
    <w:p w14:paraId="55E971E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7.转包与分包</w:t>
      </w:r>
      <w:bookmarkEnd w:id="110"/>
      <w:bookmarkEnd w:id="111"/>
      <w:bookmarkEnd w:id="112"/>
      <w:bookmarkEnd w:id="113"/>
      <w:bookmarkEnd w:id="114"/>
      <w:bookmarkEnd w:id="115"/>
      <w:bookmarkEnd w:id="116"/>
      <w:bookmarkEnd w:id="117"/>
      <w:bookmarkEnd w:id="118"/>
    </w:p>
    <w:p w14:paraId="7A698D2E">
      <w:pPr>
        <w:keepNext w:val="0"/>
        <w:keepLines w:val="0"/>
        <w:pageBreakBefore w:val="0"/>
        <w:tabs>
          <w:tab w:val="left" w:pos="163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本项目不允许转包、分包。</w:t>
      </w:r>
    </w:p>
    <w:p w14:paraId="0DE0B2C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19" w:name="_Toc31454"/>
      <w:bookmarkStart w:id="120" w:name="_Toc6936"/>
      <w:bookmarkStart w:id="121" w:name="_Toc30274"/>
      <w:bookmarkStart w:id="122" w:name="_Toc28953"/>
      <w:bookmarkStart w:id="123" w:name="_Toc19400"/>
      <w:bookmarkStart w:id="124" w:name="_Toc1504"/>
      <w:bookmarkStart w:id="125" w:name="_Toc31364"/>
      <w:bookmarkStart w:id="126" w:name="_Toc5088"/>
      <w:bookmarkStart w:id="127" w:name="_Toc18661"/>
      <w:r>
        <w:rPr>
          <w:rFonts w:hint="eastAsia" w:ascii="宋体" w:hAnsi="宋体" w:eastAsia="宋体" w:cs="宋体"/>
          <w:b/>
          <w:color w:val="000000" w:themeColor="text1"/>
          <w:sz w:val="15"/>
          <w:szCs w:val="15"/>
          <w:highlight w:val="none"/>
          <w14:textFill>
            <w14:solidFill>
              <w14:schemeClr w14:val="tx1"/>
            </w14:solidFill>
          </w14:textFill>
        </w:rPr>
        <w:t>8.特别说明</w:t>
      </w:r>
      <w:bookmarkEnd w:id="119"/>
      <w:bookmarkEnd w:id="120"/>
      <w:bookmarkEnd w:id="121"/>
      <w:bookmarkEnd w:id="122"/>
      <w:bookmarkEnd w:id="123"/>
      <w:bookmarkEnd w:id="124"/>
      <w:bookmarkEnd w:id="125"/>
      <w:bookmarkEnd w:id="126"/>
      <w:bookmarkEnd w:id="127"/>
    </w:p>
    <w:p w14:paraId="0B3FE822">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8.1关联供应商不得参加同一合同项下政府采购活动，否则投标文件将被视为无效：</w:t>
      </w:r>
    </w:p>
    <w:p w14:paraId="0353CDF2">
      <w:pPr>
        <w:keepNext w:val="0"/>
        <w:keepLines w:val="0"/>
        <w:pageBreakBefore w:val="0"/>
        <w:tabs>
          <w:tab w:val="left" w:pos="163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（1）单位负责人为同一人或者存在直接控股、管理关系的不同供应商，不得参加同一合同项下的政府采购活动。</w:t>
      </w:r>
    </w:p>
    <w:p w14:paraId="2410A634">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（2）为本采购项目提供整体设计、规范编制或者项目管理、监理、检测等服务的供应商，不得再参加本次采购活动。</w:t>
      </w:r>
    </w:p>
    <w:p w14:paraId="7BEA09D6">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8.2供应商应仔细阅读竞争性磋商的所有内容，按照竞争性磋商的要求提交响应文件，并对所提供的全部资料的真实性承担法律责任。</w:t>
      </w:r>
    </w:p>
    <w:p w14:paraId="30F2C60C">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8.3供应商在投标活动中提供任何虚假材料，其投标无效，并报监管部门查处；中标后发现的，成交供应商须依照《中华人民共和国消费者权益保护法》赔偿采购人，且民事赔偿并不免除违法供应商的行政与刑事责任。</w:t>
      </w:r>
    </w:p>
    <w:p w14:paraId="6F673D4C">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28" w:name="_Toc12917"/>
      <w:bookmarkStart w:id="129" w:name="_Toc303"/>
      <w:bookmarkStart w:id="130" w:name="_Toc7833"/>
      <w:bookmarkStart w:id="131" w:name="_Toc3986"/>
      <w:bookmarkStart w:id="132" w:name="_Toc14341"/>
      <w:bookmarkStart w:id="133" w:name="_Toc6489"/>
      <w:bookmarkStart w:id="134" w:name="_Toc6363"/>
      <w:bookmarkStart w:id="135" w:name="_Toc17175"/>
      <w:bookmarkStart w:id="136" w:name="_Toc25353"/>
      <w:r>
        <w:rPr>
          <w:rFonts w:hint="eastAsia" w:ascii="宋体" w:hAnsi="宋体" w:eastAsia="宋体" w:cs="宋体"/>
          <w:b/>
          <w:color w:val="000000" w:themeColor="text1"/>
          <w:sz w:val="15"/>
          <w:szCs w:val="15"/>
          <w:highlight w:val="none"/>
          <w14:textFill>
            <w14:solidFill>
              <w14:schemeClr w14:val="tx1"/>
            </w14:solidFill>
          </w14:textFill>
        </w:rPr>
        <w:t>9.质疑和投诉</w:t>
      </w:r>
      <w:bookmarkEnd w:id="128"/>
      <w:bookmarkEnd w:id="129"/>
      <w:bookmarkEnd w:id="130"/>
      <w:bookmarkEnd w:id="131"/>
      <w:bookmarkEnd w:id="132"/>
      <w:bookmarkEnd w:id="133"/>
      <w:bookmarkEnd w:id="134"/>
      <w:bookmarkEnd w:id="135"/>
      <w:bookmarkEnd w:id="136"/>
    </w:p>
    <w:p w14:paraId="30D38C69">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bookmarkStart w:id="137" w:name="_Toc26087"/>
      <w:bookmarkStart w:id="138" w:name="_Toc8195"/>
      <w:r>
        <w:rPr>
          <w:rFonts w:hint="eastAsia" w:ascii="宋体" w:hAnsi="宋体" w:eastAsia="宋体" w:cs="宋体"/>
          <w:color w:val="000000" w:themeColor="text1"/>
          <w:sz w:val="15"/>
          <w:szCs w:val="15"/>
          <w:highlight w:val="none"/>
          <w14:textFill>
            <w14:solidFill>
              <w14:schemeClr w14:val="tx1"/>
            </w14:solidFill>
          </w14:textFill>
        </w:rPr>
        <w:t>9.1供应商认为竞争性磋商使自己的合法权益受到损害的，应当在本项目招标公告期限届满之日起七个工作日内以书面形式向</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提出质疑。供应商认为招标过程或成交结果使自己的合法权益受到损害的，应当在采购程序环节结束之日或中标公告期限届满之日起七个工作日内，以书面形式向采购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提出质疑</w:t>
      </w:r>
      <w:bookmarkEnd w:id="137"/>
      <w:bookmarkEnd w:id="138"/>
      <w:r>
        <w:rPr>
          <w:rFonts w:hint="eastAsia" w:ascii="宋体" w:hAnsi="宋体" w:eastAsia="宋体" w:cs="宋体"/>
          <w:color w:val="000000" w:themeColor="text1"/>
          <w:sz w:val="15"/>
          <w:szCs w:val="15"/>
          <w:highlight w:val="none"/>
          <w14:textFill>
            <w14:solidFill>
              <w14:schemeClr w14:val="tx1"/>
            </w14:solidFill>
          </w14:textFill>
        </w:rPr>
        <w:t>。否则，采购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有权拒收。</w:t>
      </w:r>
    </w:p>
    <w:p w14:paraId="2776F044">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应认真做好质疑处理工作，对于质疑供应商在法定质疑期内提出的质疑函，应当在收到质疑函后7个工作日内作出答复，并以书面形式通知质疑供应商和其他有关供应商。</w:t>
      </w:r>
    </w:p>
    <w:p w14:paraId="4E606530">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供应商在法定质疑期内应一次性提出与项目相关的质疑，供应商在提出与项目相关的质疑前应当做好全面且详细的工作，</w:t>
      </w:r>
      <w:r>
        <w:rPr>
          <w:rFonts w:hint="eastAsia" w:ascii="宋体" w:hAnsi="宋体" w:cs="宋体"/>
          <w:color w:val="000000" w:themeColor="text1"/>
          <w:sz w:val="15"/>
          <w:szCs w:val="15"/>
          <w:highlight w:val="none"/>
          <w:lang w:val="en-US"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不再受理供应商针对同一采购程序环节的再次质疑。</w:t>
      </w:r>
    </w:p>
    <w:p w14:paraId="368127B3">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9.2供应商对</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的质疑答复不满意或者</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未在规定的时间内作出答复的，可以在答复期满后十五个工作日内向采购监管部门投诉。</w:t>
      </w:r>
    </w:p>
    <w:p w14:paraId="0F4A64A9">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9.3质疑、投诉应当采用书面形式，质疑书、投诉书实行实名制，均应明确阐述竞争性磋商或成交结果中使自己合法权益受到损害的实质性内容，并提供必要的证明材料。</w:t>
      </w:r>
    </w:p>
    <w:p w14:paraId="21B71E8E">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w:t>
      </w:r>
    </w:p>
    <w:p w14:paraId="7F76110B">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（1）供应商的姓名或者名称、地址、邮编、联系人及联系电话；</w:t>
      </w:r>
    </w:p>
    <w:p w14:paraId="5A8EFD08">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（2）质疑项目的名称、编号；</w:t>
      </w:r>
    </w:p>
    <w:p w14:paraId="180785B6">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（3）具体、明确的质疑事项和与质疑事项相关的请求；</w:t>
      </w:r>
    </w:p>
    <w:p w14:paraId="4C436D3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（4）事实依据；</w:t>
      </w:r>
    </w:p>
    <w:p w14:paraId="30463EFA">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（5）必要的法律依据；</w:t>
      </w:r>
    </w:p>
    <w:p w14:paraId="4B61978D">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（6）提出质疑的日期。</w:t>
      </w:r>
    </w:p>
    <w:p w14:paraId="7560677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69C9148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接收质疑函方式：以书面形式（原件）递交</w:t>
      </w:r>
    </w:p>
    <w:p w14:paraId="087E6EE3">
      <w:pPr>
        <w:keepNext w:val="0"/>
        <w:keepLines w:val="0"/>
        <w:pageBreakBefore w:val="0"/>
        <w:tabs>
          <w:tab w:val="left" w:pos="2190"/>
        </w:tabs>
        <w:kinsoku/>
        <w:wordWrap/>
        <w:overflowPunct/>
        <w:topLinePunct w:val="0"/>
        <w:bidi w:val="0"/>
        <w:spacing w:line="240" w:lineRule="auto"/>
        <w:ind w:firstLine="435"/>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质疑联系部门及联系方式：</w:t>
      </w:r>
      <w:r>
        <w:rPr>
          <w:rFonts w:hint="eastAsia" w:ascii="宋体" w:hAnsi="宋体" w:cs="宋体"/>
          <w:color w:val="000000" w:themeColor="text1"/>
          <w:sz w:val="15"/>
          <w:szCs w:val="15"/>
          <w:highlight w:val="none"/>
          <w:lang w:val="en-US" w:eastAsia="zh-CN"/>
          <w14:textFill>
            <w14:solidFill>
              <w14:schemeClr w14:val="tx1"/>
            </w14:solidFill>
          </w14:textFill>
        </w:rPr>
        <w:t>见供应商须知</w:t>
      </w:r>
    </w:p>
    <w:p w14:paraId="2EA4661F">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139" w:name="_Toc26849"/>
      <w:bookmarkStart w:id="140" w:name="_Toc23663"/>
      <w:bookmarkStart w:id="141" w:name="_Toc10839"/>
      <w:bookmarkStart w:id="142" w:name="_Toc17998"/>
      <w:bookmarkStart w:id="143" w:name="_Toc16097"/>
      <w:bookmarkStart w:id="144" w:name="_Toc3034"/>
      <w:bookmarkStart w:id="145" w:name="_Toc2855"/>
      <w:bookmarkStart w:id="146" w:name="_Toc26766"/>
      <w:bookmarkStart w:id="147" w:name="_Toc1107"/>
      <w:bookmarkStart w:id="148" w:name="_Toc495841755"/>
      <w:r>
        <w:rPr>
          <w:rFonts w:hint="eastAsia" w:ascii="宋体" w:hAnsi="宋体" w:eastAsia="宋体" w:cs="宋体"/>
          <w:b/>
          <w:color w:val="000000" w:themeColor="text1"/>
          <w:sz w:val="15"/>
          <w:szCs w:val="15"/>
          <w:highlight w:val="none"/>
          <w14:textFill>
            <w14:solidFill>
              <w14:schemeClr w14:val="tx1"/>
            </w14:solidFill>
          </w14:textFill>
        </w:rPr>
        <w:t>二、磋商文件</w:t>
      </w:r>
      <w:bookmarkEnd w:id="139"/>
      <w:bookmarkEnd w:id="140"/>
      <w:bookmarkEnd w:id="141"/>
      <w:bookmarkEnd w:id="142"/>
      <w:bookmarkEnd w:id="143"/>
      <w:bookmarkEnd w:id="144"/>
      <w:bookmarkEnd w:id="145"/>
      <w:bookmarkEnd w:id="146"/>
      <w:bookmarkEnd w:id="147"/>
      <w:bookmarkEnd w:id="148"/>
    </w:p>
    <w:p w14:paraId="4391DA1B">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49" w:name="_Toc31701"/>
      <w:bookmarkStart w:id="150" w:name="_Toc18153"/>
      <w:bookmarkStart w:id="151" w:name="_Toc10485"/>
      <w:bookmarkStart w:id="152" w:name="_Toc3397"/>
      <w:bookmarkStart w:id="153" w:name="_Toc5514"/>
      <w:bookmarkStart w:id="154" w:name="_Toc8065"/>
      <w:bookmarkStart w:id="155" w:name="_Toc26066"/>
      <w:bookmarkStart w:id="156" w:name="_Toc26949"/>
      <w:bookmarkStart w:id="157" w:name="_Toc11214"/>
      <w:r>
        <w:rPr>
          <w:rFonts w:hint="eastAsia" w:ascii="宋体" w:hAnsi="宋体" w:eastAsia="宋体" w:cs="宋体"/>
          <w:b/>
          <w:color w:val="000000" w:themeColor="text1"/>
          <w:sz w:val="15"/>
          <w:szCs w:val="15"/>
          <w:highlight w:val="none"/>
          <w14:textFill>
            <w14:solidFill>
              <w14:schemeClr w14:val="tx1"/>
            </w14:solidFill>
          </w14:textFill>
        </w:rPr>
        <w:t>10.磋商文件的构成</w:t>
      </w:r>
      <w:bookmarkEnd w:id="149"/>
      <w:bookmarkEnd w:id="150"/>
      <w:bookmarkEnd w:id="151"/>
      <w:bookmarkEnd w:id="152"/>
      <w:bookmarkEnd w:id="153"/>
      <w:bookmarkEnd w:id="154"/>
      <w:bookmarkEnd w:id="155"/>
      <w:bookmarkEnd w:id="156"/>
      <w:bookmarkEnd w:id="157"/>
    </w:p>
    <w:p w14:paraId="113782D0">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（1）竞争性磋商公告；</w:t>
      </w:r>
    </w:p>
    <w:p w14:paraId="729946C9">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（2）供应商须知；</w:t>
      </w:r>
    </w:p>
    <w:p w14:paraId="10109EC8">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bookmarkStart w:id="158" w:name="_Toc10396"/>
      <w:bookmarkStart w:id="159" w:name="_Toc5481"/>
      <w:bookmarkStart w:id="160" w:name="_Toc17307"/>
      <w:bookmarkStart w:id="161" w:name="_Toc15944"/>
      <w:bookmarkStart w:id="162" w:name="_Toc24416"/>
      <w:bookmarkStart w:id="163" w:name="_Toc10831"/>
      <w:bookmarkStart w:id="164" w:name="_Toc15697"/>
      <w:bookmarkStart w:id="165" w:name="_Toc24191"/>
      <w:bookmarkStart w:id="166" w:name="_Toc26988"/>
      <w:r>
        <w:rPr>
          <w:rFonts w:hint="eastAsia" w:ascii="宋体" w:hAnsi="宋体" w:eastAsia="宋体" w:cs="宋体"/>
          <w:color w:val="000000" w:themeColor="text1"/>
          <w:sz w:val="15"/>
          <w:szCs w:val="15"/>
          <w:highlight w:val="none"/>
          <w14:textFill>
            <w14:solidFill>
              <w14:schemeClr w14:val="tx1"/>
            </w14:solidFill>
          </w14:textFill>
        </w:rPr>
        <w:t>（3）采购需求；</w:t>
      </w:r>
    </w:p>
    <w:p w14:paraId="1BB573AF">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（4）评审办法；</w:t>
      </w:r>
    </w:p>
    <w:p w14:paraId="40888CF1">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（5）合同条款及格式；</w:t>
      </w:r>
    </w:p>
    <w:p w14:paraId="6C495AB4">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（6）响应文件（格式）。</w:t>
      </w:r>
    </w:p>
    <w:p w14:paraId="0272F195">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11.磋商文件的澄清与修改</w:t>
      </w:r>
      <w:bookmarkEnd w:id="158"/>
      <w:bookmarkEnd w:id="159"/>
      <w:bookmarkEnd w:id="160"/>
      <w:bookmarkEnd w:id="161"/>
      <w:bookmarkEnd w:id="162"/>
      <w:bookmarkEnd w:id="163"/>
      <w:bookmarkEnd w:id="164"/>
      <w:bookmarkEnd w:id="165"/>
      <w:bookmarkEnd w:id="166"/>
    </w:p>
    <w:p w14:paraId="1ED0AF70">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11.1提交首次响应文件截止之日前，</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可以对已发出的磋商文件进行必要澄清或者修改，澄清或者修改的内容可能影响响应文件编制的，</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应当在提交首次响应文件递交截止时间五日前在本项目竞争性磋商公告发布的同一媒体上发布更正公告，不足五日的，应当顺延首次响应文件递交截止时间。</w:t>
      </w:r>
    </w:p>
    <w:p w14:paraId="7CC7D0E5">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11.2供应商获取竞争性磋商文件后必须实时关注相关网站了解澄清、修改等与项目有关的内容，如因供应商未及时登录相关网站了解澄清、修改等与项目有关的内容，从而导致响应文件无效的，由供应商自行承担责任。</w:t>
      </w:r>
    </w:p>
    <w:p w14:paraId="1E9E684D">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11.3澄清或者修改的内容为磋商文件的组成部分。当澄清或者修改通知就同一内容的表述不一致时，以最后发出的书面文件为准。</w:t>
      </w:r>
    </w:p>
    <w:p w14:paraId="6F2C6C04">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11.4磋商文件的澄清或者修改都应该通过本项目</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以法定形式发布，采购人非通过本机构，不得擅自澄清、答复、修改或补充磋商文件。</w:t>
      </w:r>
    </w:p>
    <w:p w14:paraId="7648CD7B">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11.5</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可以视采购具体情况，延长响应文件递交截止时间和磋商时间，并</w:t>
      </w:r>
      <w:r>
        <w:rPr>
          <w:rFonts w:hint="eastAsia" w:ascii="宋体" w:hAnsi="宋体" w:cs="宋体"/>
          <w:color w:val="000000" w:themeColor="text1"/>
          <w:sz w:val="15"/>
          <w:szCs w:val="15"/>
          <w:highlight w:val="none"/>
          <w:lang w:val="en-US" w:eastAsia="zh-CN"/>
          <w14:textFill>
            <w14:solidFill>
              <w14:schemeClr w14:val="tx1"/>
            </w14:solidFill>
          </w14:textFill>
        </w:rPr>
        <w:t>通知已递交响应文件供应商</w:t>
      </w:r>
      <w:r>
        <w:rPr>
          <w:rFonts w:hint="eastAsia" w:ascii="宋体" w:hAnsi="宋体" w:eastAsia="宋体" w:cs="宋体"/>
          <w:color w:val="000000" w:themeColor="text1"/>
          <w:sz w:val="15"/>
          <w:szCs w:val="15"/>
          <w:highlight w:val="none"/>
          <w14:textFill>
            <w14:solidFill>
              <w14:schemeClr w14:val="tx1"/>
            </w14:solidFill>
          </w14:textFill>
        </w:rPr>
        <w:t>。</w:t>
      </w:r>
    </w:p>
    <w:p w14:paraId="7BB6E65F">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167" w:name="_Toc24600"/>
      <w:bookmarkStart w:id="168" w:name="_Toc411"/>
      <w:bookmarkStart w:id="169" w:name="_Toc24592"/>
      <w:bookmarkStart w:id="170" w:name="_Toc229"/>
      <w:bookmarkStart w:id="171" w:name="_Toc14821"/>
      <w:bookmarkStart w:id="172" w:name="_Toc12874"/>
      <w:bookmarkStart w:id="173" w:name="_Toc495841756"/>
      <w:bookmarkStart w:id="174" w:name="_Toc7631"/>
      <w:bookmarkStart w:id="175" w:name="_Toc9202"/>
      <w:bookmarkStart w:id="176" w:name="_Toc5878"/>
      <w:r>
        <w:rPr>
          <w:rFonts w:hint="eastAsia" w:ascii="宋体" w:hAnsi="宋体" w:eastAsia="宋体" w:cs="宋体"/>
          <w:b/>
          <w:color w:val="000000" w:themeColor="text1"/>
          <w:sz w:val="15"/>
          <w:szCs w:val="15"/>
          <w:highlight w:val="none"/>
          <w14:textFill>
            <w14:solidFill>
              <w14:schemeClr w14:val="tx1"/>
            </w14:solidFill>
          </w14:textFill>
        </w:rPr>
        <w:t>三、</w:t>
      </w:r>
      <w:bookmarkEnd w:id="167"/>
      <w:bookmarkEnd w:id="168"/>
      <w:bookmarkEnd w:id="169"/>
      <w:bookmarkEnd w:id="170"/>
      <w:bookmarkEnd w:id="171"/>
      <w:bookmarkEnd w:id="172"/>
      <w:bookmarkEnd w:id="173"/>
      <w:bookmarkEnd w:id="174"/>
      <w:bookmarkEnd w:id="175"/>
      <w:bookmarkEnd w:id="176"/>
      <w:r>
        <w:rPr>
          <w:rFonts w:hint="eastAsia" w:ascii="宋体" w:hAnsi="宋体" w:eastAsia="宋体" w:cs="宋体"/>
          <w:b/>
          <w:color w:val="000000" w:themeColor="text1"/>
          <w:sz w:val="15"/>
          <w:szCs w:val="15"/>
          <w:highlight w:val="none"/>
          <w14:textFill>
            <w14:solidFill>
              <w14:schemeClr w14:val="tx1"/>
            </w14:solidFill>
          </w14:textFill>
        </w:rPr>
        <w:t>竞争性磋商响应文件的编制</w:t>
      </w:r>
    </w:p>
    <w:p w14:paraId="76DDC81F">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77" w:name="_Toc12096"/>
      <w:bookmarkStart w:id="178" w:name="_Toc17149"/>
      <w:bookmarkStart w:id="179" w:name="_Toc8620"/>
      <w:bookmarkStart w:id="180" w:name="_Toc18660"/>
      <w:bookmarkStart w:id="181" w:name="_Toc32745"/>
      <w:bookmarkStart w:id="182" w:name="_Toc19723"/>
      <w:bookmarkStart w:id="183" w:name="_Toc15443"/>
      <w:bookmarkStart w:id="184" w:name="_Toc26390"/>
      <w:bookmarkStart w:id="185" w:name="_Toc26339"/>
      <w:r>
        <w:rPr>
          <w:rFonts w:hint="eastAsia" w:ascii="宋体" w:hAnsi="宋体" w:eastAsia="宋体" w:cs="宋体"/>
          <w:b/>
          <w:color w:val="000000" w:themeColor="text1"/>
          <w:sz w:val="15"/>
          <w:szCs w:val="15"/>
          <w:highlight w:val="none"/>
          <w14:textFill>
            <w14:solidFill>
              <w14:schemeClr w14:val="tx1"/>
            </w14:solidFill>
          </w14:textFill>
        </w:rPr>
        <w:t>12.</w:t>
      </w:r>
      <w:bookmarkEnd w:id="177"/>
      <w:bookmarkEnd w:id="178"/>
      <w:bookmarkEnd w:id="179"/>
      <w:bookmarkEnd w:id="180"/>
      <w:bookmarkEnd w:id="181"/>
      <w:bookmarkEnd w:id="182"/>
      <w:bookmarkEnd w:id="183"/>
      <w:bookmarkEnd w:id="184"/>
      <w:bookmarkEnd w:id="185"/>
      <w:r>
        <w:rPr>
          <w:rFonts w:hint="eastAsia" w:ascii="宋体" w:hAnsi="宋体" w:eastAsia="宋体" w:cs="宋体"/>
          <w:b/>
          <w:color w:val="000000" w:themeColor="text1"/>
          <w:sz w:val="15"/>
          <w:szCs w:val="15"/>
          <w:highlight w:val="none"/>
          <w14:textFill>
            <w14:solidFill>
              <w14:schemeClr w14:val="tx1"/>
            </w14:solidFill>
          </w14:textFill>
        </w:rPr>
        <w:t>竞争性磋商响应文件编制基本要求</w:t>
      </w:r>
    </w:p>
    <w:p w14:paraId="67331291">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12.1本项目实行响应</w:t>
      </w:r>
      <w:r>
        <w:rPr>
          <w:rFonts w:hint="eastAsia" w:ascii="宋体" w:hAnsi="宋体" w:cs="宋体"/>
          <w:b/>
          <w:bCs/>
          <w:color w:val="000000" w:themeColor="text1"/>
          <w:sz w:val="15"/>
          <w:szCs w:val="15"/>
          <w:highlight w:val="none"/>
          <w:lang w:val="en-US" w:eastAsia="zh-CN"/>
          <w14:textFill>
            <w14:solidFill>
              <w14:schemeClr w14:val="tx1"/>
            </w14:solidFill>
          </w14:textFill>
        </w:rPr>
        <w:t>机制</w:t>
      </w:r>
      <w:r>
        <w:rPr>
          <w:rFonts w:hint="eastAsia" w:ascii="宋体" w:hAnsi="宋体" w:eastAsia="宋体" w:cs="宋体"/>
          <w:b/>
          <w:bCs/>
          <w:color w:val="000000" w:themeColor="text1"/>
          <w:sz w:val="15"/>
          <w:szCs w:val="15"/>
          <w:highlight w:val="none"/>
          <w14:textFill>
            <w14:solidFill>
              <w14:schemeClr w14:val="tx1"/>
            </w14:solidFill>
          </w14:textFill>
        </w:rPr>
        <w:t>，供应商应准备磋商响应文件：</w:t>
      </w:r>
    </w:p>
    <w:p w14:paraId="6286737D">
      <w:pPr>
        <w:keepNext w:val="0"/>
        <w:keepLines w:val="0"/>
        <w:pageBreakBefore w:val="0"/>
        <w:tabs>
          <w:tab w:val="left" w:pos="2190"/>
        </w:tabs>
        <w:kinsoku/>
        <w:wordWrap/>
        <w:overflowPunct/>
        <w:topLinePunct w:val="0"/>
        <w:bidi w:val="0"/>
        <w:spacing w:line="240" w:lineRule="auto"/>
        <w:ind w:firstLine="435"/>
        <w:jc w:val="left"/>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12.1.1</w:t>
      </w:r>
      <w:r>
        <w:rPr>
          <w:rFonts w:hint="eastAsia" w:ascii="宋体" w:hAnsi="宋体" w:cs="宋体"/>
          <w:b/>
          <w:bCs/>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b/>
          <w:bCs/>
          <w:color w:val="000000" w:themeColor="text1"/>
          <w:sz w:val="15"/>
          <w:szCs w:val="15"/>
          <w:highlight w:val="none"/>
          <w14:textFill>
            <w14:solidFill>
              <w14:schemeClr w14:val="tx1"/>
            </w14:solidFill>
          </w14:textFill>
        </w:rPr>
        <w:t>按</w:t>
      </w:r>
      <w:r>
        <w:rPr>
          <w:rFonts w:hint="eastAsia" w:ascii="宋体" w:hAnsi="宋体" w:cs="宋体"/>
          <w:b/>
          <w:bCs/>
          <w:color w:val="000000" w:themeColor="text1"/>
          <w:sz w:val="15"/>
          <w:szCs w:val="15"/>
          <w:highlight w:val="none"/>
          <w:lang w:val="en-US" w:eastAsia="zh-CN"/>
          <w14:textFill>
            <w14:solidFill>
              <w14:schemeClr w14:val="tx1"/>
            </w14:solidFill>
          </w14:textFill>
        </w:rPr>
        <w:t>第六章 响应文件</w:t>
      </w:r>
      <w:r>
        <w:rPr>
          <w:rFonts w:hint="eastAsia" w:ascii="宋体" w:hAnsi="宋体" w:eastAsia="宋体" w:cs="宋体"/>
          <w:b/>
          <w:bCs/>
          <w:color w:val="000000" w:themeColor="text1"/>
          <w:sz w:val="15"/>
          <w:szCs w:val="15"/>
          <w:highlight w:val="none"/>
          <w14:textFill>
            <w14:solidFill>
              <w14:schemeClr w14:val="tx1"/>
            </w14:solidFill>
          </w14:textFill>
        </w:rPr>
        <w:t>要求制作、</w:t>
      </w:r>
      <w:r>
        <w:rPr>
          <w:rFonts w:hint="eastAsia" w:ascii="宋体" w:hAnsi="宋体" w:cs="宋体"/>
          <w:b/>
          <w:bCs/>
          <w:color w:val="000000" w:themeColor="text1"/>
          <w:sz w:val="15"/>
          <w:szCs w:val="15"/>
          <w:highlight w:val="none"/>
          <w:lang w:val="en-US" w:eastAsia="zh-CN"/>
          <w14:textFill>
            <w14:solidFill>
              <w14:schemeClr w14:val="tx1"/>
            </w14:solidFill>
          </w14:textFill>
        </w:rPr>
        <w:t>密封</w:t>
      </w:r>
      <w:r>
        <w:rPr>
          <w:rFonts w:hint="eastAsia" w:ascii="宋体" w:hAnsi="宋体" w:eastAsia="宋体" w:cs="宋体"/>
          <w:b/>
          <w:bCs/>
          <w:color w:val="000000" w:themeColor="text1"/>
          <w:sz w:val="15"/>
          <w:szCs w:val="15"/>
          <w:highlight w:val="none"/>
          <w14:textFill>
            <w14:solidFill>
              <w14:schemeClr w14:val="tx1"/>
            </w14:solidFill>
          </w14:textFill>
        </w:rPr>
        <w:t>并递交。</w:t>
      </w:r>
    </w:p>
    <w:p w14:paraId="0A7C2D32">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12.2竞争性磋商响应文件（以下简称响应文件）的组成及要求</w:t>
      </w:r>
      <w:r>
        <w:rPr>
          <w:rFonts w:hint="eastAsia" w:ascii="宋体" w:hAnsi="宋体" w:eastAsia="宋体" w:cs="宋体"/>
          <w:b/>
          <w:color w:val="000000" w:themeColor="text1"/>
          <w:sz w:val="15"/>
          <w:szCs w:val="15"/>
          <w:highlight w:val="none"/>
          <w14:textFill>
            <w14:solidFill>
              <w14:schemeClr w14:val="tx1"/>
            </w14:solidFill>
          </w14:textFill>
        </w:rPr>
        <w:t>【格式见第</w:t>
      </w:r>
      <w:r>
        <w:rPr>
          <w:rFonts w:hint="eastAsia" w:ascii="宋体" w:hAnsi="宋体" w:cs="宋体"/>
          <w:b/>
          <w:color w:val="000000" w:themeColor="text1"/>
          <w:sz w:val="15"/>
          <w:szCs w:val="15"/>
          <w:highlight w:val="none"/>
          <w:lang w:val="en-US" w:eastAsia="zh-CN"/>
          <w14:textFill>
            <w14:solidFill>
              <w14:schemeClr w14:val="tx1"/>
            </w14:solidFill>
          </w14:textFill>
        </w:rPr>
        <w:t>六</w:t>
      </w:r>
      <w:r>
        <w:rPr>
          <w:rFonts w:hint="eastAsia" w:ascii="宋体" w:hAnsi="宋体" w:eastAsia="宋体" w:cs="宋体"/>
          <w:b/>
          <w:color w:val="000000" w:themeColor="text1"/>
          <w:sz w:val="15"/>
          <w:szCs w:val="15"/>
          <w:highlight w:val="none"/>
          <w14:textFill>
            <w14:solidFill>
              <w14:schemeClr w14:val="tx1"/>
            </w14:solidFill>
          </w14:textFill>
        </w:rPr>
        <w:t>章“响应文件格式”】</w:t>
      </w:r>
    </w:p>
    <w:p w14:paraId="113AEA0B">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12.2.1资格性响应证明材料（下列文件加盖公章，必须提供，否则竞标无效）</w:t>
      </w:r>
    </w:p>
    <w:p w14:paraId="3A1C4286">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（1）供应商相应的法定代表人、负责人身份证正反两面复印件</w:t>
      </w:r>
      <w:r>
        <w:rPr>
          <w:rFonts w:hint="eastAsia" w:ascii="宋体" w:hAnsi="宋体" w:eastAsia="宋体" w:cs="宋体"/>
          <w:b/>
          <w:color w:val="000000" w:themeColor="text1"/>
          <w:sz w:val="15"/>
          <w:szCs w:val="15"/>
          <w:highlight w:val="none"/>
          <w14:textFill>
            <w14:solidFill>
              <w14:schemeClr w14:val="tx1"/>
            </w14:solidFill>
          </w14:textFill>
        </w:rPr>
        <w:t>（必须提供）</w:t>
      </w:r>
      <w:r>
        <w:rPr>
          <w:rFonts w:hint="eastAsia" w:ascii="宋体" w:hAnsi="宋体" w:eastAsia="宋体" w:cs="宋体"/>
          <w:color w:val="000000" w:themeColor="text1"/>
          <w:sz w:val="15"/>
          <w:szCs w:val="15"/>
          <w:highlight w:val="none"/>
          <w14:textFill>
            <w14:solidFill>
              <w14:schemeClr w14:val="tx1"/>
            </w14:solidFill>
          </w14:textFill>
        </w:rPr>
        <w:t>；</w:t>
      </w:r>
    </w:p>
    <w:p w14:paraId="5577A0E5">
      <w:pPr>
        <w:pStyle w:val="20"/>
        <w:keepNext w:val="0"/>
        <w:keepLines w:val="0"/>
        <w:pageBreakBefore w:val="0"/>
        <w:kinsoku/>
        <w:wordWrap/>
        <w:overflowPunct/>
        <w:topLinePunct w:val="0"/>
        <w:bidi w:val="0"/>
        <w:spacing w:line="240" w:lineRule="auto"/>
        <w:ind w:firstLine="300"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w:t>
      </w:r>
      <w:r>
        <w:rPr>
          <w:rFonts w:hint="eastAsia" w:ascii="宋体" w:hAnsi="宋体" w:eastAsia="宋体" w:cs="宋体"/>
          <w:bCs/>
          <w:color w:val="000000" w:themeColor="text1"/>
          <w:sz w:val="15"/>
          <w:szCs w:val="15"/>
          <w:highlight w:val="none"/>
          <w14:textFill>
            <w14:solidFill>
              <w14:schemeClr w14:val="tx1"/>
            </w14:solidFill>
          </w14:textFill>
        </w:rPr>
        <w:t>供应商的授权委托书原件、委托代理人身份证正反面复印件</w:t>
      </w:r>
      <w:r>
        <w:rPr>
          <w:rFonts w:hint="eastAsia" w:ascii="宋体" w:hAnsi="宋体" w:eastAsia="宋体" w:cs="宋体"/>
          <w:b/>
          <w:color w:val="000000" w:themeColor="text1"/>
          <w:sz w:val="15"/>
          <w:szCs w:val="15"/>
          <w:highlight w:val="none"/>
          <w14:textFill>
            <w14:solidFill>
              <w14:schemeClr w14:val="tx1"/>
            </w14:solidFill>
          </w14:textFill>
        </w:rPr>
        <w:t>（委托代理时必须提供）；</w:t>
      </w:r>
    </w:p>
    <w:p w14:paraId="2311EC18">
      <w:pPr>
        <w:pStyle w:val="20"/>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（3）供应商参</w:t>
      </w:r>
      <w:r>
        <w:rPr>
          <w:rFonts w:hint="eastAsia" w:ascii="宋体" w:hAnsi="宋体" w:eastAsia="宋体" w:cs="宋体"/>
          <w:bCs/>
          <w:color w:val="000000" w:themeColor="text1"/>
          <w:sz w:val="15"/>
          <w:szCs w:val="15"/>
          <w:highlight w:val="none"/>
          <w14:textFill>
            <w14:solidFill>
              <w14:schemeClr w14:val="tx1"/>
            </w14:solidFill>
          </w14:textFill>
        </w:rPr>
        <w:t>加政府采购活动前3年内在经营活动中没有重大违法记录及有关信用信息的书面声明</w:t>
      </w:r>
      <w:r>
        <w:rPr>
          <w:rFonts w:hint="eastAsia" w:ascii="宋体" w:hAnsi="宋体" w:eastAsia="宋体" w:cs="宋体"/>
          <w:b/>
          <w:color w:val="000000" w:themeColor="text1"/>
          <w:sz w:val="15"/>
          <w:szCs w:val="15"/>
          <w:highlight w:val="none"/>
          <w14:textFill>
            <w14:solidFill>
              <w14:schemeClr w14:val="tx1"/>
            </w14:solidFill>
          </w14:textFill>
        </w:rPr>
        <w:t>；</w:t>
      </w:r>
    </w:p>
    <w:p w14:paraId="4FC06469">
      <w:pPr>
        <w:keepNext w:val="0"/>
        <w:keepLines w:val="0"/>
        <w:pageBreakBefore w:val="0"/>
        <w:kinsoku/>
        <w:wordWrap/>
        <w:overflowPunct/>
        <w:topLinePunct w:val="0"/>
        <w:bidi w:val="0"/>
        <w:spacing w:line="240" w:lineRule="auto"/>
        <w:ind w:firstLine="294" w:firstLineChars="196"/>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（4）供应商营业执照副本复印件</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1347132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）供应商参加本项目无围标串标行为的承诺函</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0B1708A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6</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本项目的特定资格要求</w:t>
      </w:r>
      <w:r>
        <w:rPr>
          <w:rFonts w:hint="eastAsia" w:ascii="宋体" w:hAnsi="宋体" w:cs="宋体"/>
          <w:color w:val="000000" w:themeColor="text1"/>
          <w:sz w:val="15"/>
          <w:szCs w:val="15"/>
          <w:highlight w:val="none"/>
          <w:lang w:val="en-US" w:eastAsia="zh-CN"/>
          <w14:textFill>
            <w14:solidFill>
              <w14:schemeClr w14:val="tx1"/>
            </w14:solidFill>
          </w14:textFill>
        </w:rPr>
        <w:t>证明材料</w:t>
      </w:r>
      <w:r>
        <w:rPr>
          <w:rFonts w:hint="eastAsia" w:ascii="宋体" w:hAnsi="宋体" w:eastAsia="宋体" w:cs="宋体"/>
          <w:b/>
          <w:bCs/>
          <w:color w:val="000000" w:themeColor="text1"/>
          <w:sz w:val="15"/>
          <w:szCs w:val="15"/>
          <w:highlight w:val="none"/>
          <w14:textFill>
            <w14:solidFill>
              <w14:schemeClr w14:val="tx1"/>
            </w14:solidFill>
          </w14:textFill>
        </w:rPr>
        <w:t>；</w:t>
      </w:r>
    </w:p>
    <w:p w14:paraId="40D7A7EE">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7</w:t>
      </w:r>
      <w:r>
        <w:rPr>
          <w:rFonts w:hint="eastAsia" w:ascii="宋体" w:hAnsi="宋体" w:eastAsia="宋体" w:cs="宋体"/>
          <w:color w:val="000000" w:themeColor="text1"/>
          <w:sz w:val="15"/>
          <w:szCs w:val="15"/>
          <w:highlight w:val="none"/>
          <w14:textFill>
            <w14:solidFill>
              <w14:schemeClr w14:val="tx1"/>
            </w14:solidFill>
          </w14:textFill>
        </w:rPr>
        <w:t>）供应商可结合本项目的评审办法视自身情况自行提交相关资格审查证明材料</w:t>
      </w:r>
      <w:r>
        <w:rPr>
          <w:rFonts w:hint="eastAsia" w:ascii="宋体" w:hAnsi="宋体" w:eastAsia="宋体" w:cs="宋体"/>
          <w:b/>
          <w:bCs/>
          <w:color w:val="000000" w:themeColor="text1"/>
          <w:sz w:val="15"/>
          <w:szCs w:val="15"/>
          <w:highlight w:val="none"/>
          <w14:textFill>
            <w14:solidFill>
              <w14:schemeClr w14:val="tx1"/>
            </w14:solidFill>
          </w14:textFill>
        </w:rPr>
        <w:t>（如有，请提供）；</w:t>
      </w:r>
    </w:p>
    <w:p w14:paraId="0BCC56F7">
      <w:pPr>
        <w:keepNext w:val="0"/>
        <w:keepLines w:val="0"/>
        <w:pageBreakBefore w:val="0"/>
        <w:tabs>
          <w:tab w:val="left" w:pos="1305"/>
        </w:tabs>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12.2.2</w:t>
      </w:r>
      <w:r>
        <w:rPr>
          <w:rFonts w:hint="eastAsia" w:ascii="宋体" w:hAnsi="宋体" w:eastAsia="宋体" w:cs="宋体"/>
          <w:b/>
          <w:color w:val="000000" w:themeColor="text1"/>
          <w:sz w:val="15"/>
          <w:szCs w:val="15"/>
          <w:highlight w:val="none"/>
          <w14:textFill>
            <w14:solidFill>
              <w14:schemeClr w14:val="tx1"/>
            </w14:solidFill>
          </w14:textFill>
        </w:rPr>
        <w:t>商务、技术性响应证明材料：</w:t>
      </w:r>
    </w:p>
    <w:p w14:paraId="1715BBA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（1）响应函</w:t>
      </w:r>
      <w:r>
        <w:rPr>
          <w:rFonts w:hint="eastAsia" w:ascii="宋体" w:hAnsi="宋体" w:eastAsia="宋体" w:cs="宋体"/>
          <w:b/>
          <w:bCs/>
          <w:color w:val="000000" w:themeColor="text1"/>
          <w:sz w:val="15"/>
          <w:szCs w:val="15"/>
          <w:highlight w:val="none"/>
          <w14:textFill>
            <w14:solidFill>
              <w14:schemeClr w14:val="tx1"/>
            </w14:solidFill>
          </w14:textFill>
        </w:rPr>
        <w:t>（必须提供）</w:t>
      </w:r>
      <w:r>
        <w:rPr>
          <w:rFonts w:hint="eastAsia" w:ascii="宋体" w:hAnsi="宋体" w:eastAsia="宋体" w:cs="宋体"/>
          <w:color w:val="000000" w:themeColor="text1"/>
          <w:sz w:val="15"/>
          <w:szCs w:val="15"/>
          <w:highlight w:val="none"/>
          <w14:textFill>
            <w14:solidFill>
              <w14:schemeClr w14:val="tx1"/>
            </w14:solidFill>
          </w14:textFill>
        </w:rPr>
        <w:t>；</w:t>
      </w:r>
    </w:p>
    <w:p w14:paraId="3E95D489">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（2）服务需求响应表</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（必须提供）</w:t>
      </w:r>
      <w:r>
        <w:rPr>
          <w:rFonts w:hint="eastAsia" w:ascii="宋体" w:hAnsi="宋体" w:eastAsia="宋体" w:cs="宋体"/>
          <w:b w:val="0"/>
          <w:bCs w:val="0"/>
          <w:color w:val="000000" w:themeColor="text1"/>
          <w:sz w:val="15"/>
          <w:szCs w:val="15"/>
          <w:highlight w:val="none"/>
          <w:lang w:val="en-US" w:eastAsia="zh-CN"/>
          <w14:textFill>
            <w14:solidFill>
              <w14:schemeClr w14:val="tx1"/>
            </w14:solidFill>
          </w14:textFill>
        </w:rPr>
        <w:t>；</w:t>
      </w:r>
    </w:p>
    <w:p w14:paraId="349B9E60">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eastAsia="zh-CN"/>
          <w14:textFill>
            <w14:solidFill>
              <w14:schemeClr w14:val="tx1"/>
            </w14:solidFill>
          </w14:textFill>
        </w:rPr>
        <w:t>拟投入服务团队</w:t>
      </w:r>
      <w:r>
        <w:rPr>
          <w:rFonts w:hint="eastAsia" w:ascii="宋体" w:hAnsi="宋体" w:eastAsia="宋体" w:cs="宋体"/>
          <w:color w:val="000000" w:themeColor="text1"/>
          <w:sz w:val="15"/>
          <w:szCs w:val="15"/>
          <w:highlight w:val="none"/>
          <w14:textFill>
            <w14:solidFill>
              <w14:schemeClr w14:val="tx1"/>
            </w14:solidFill>
          </w14:textFill>
        </w:rPr>
        <w:t>（如有，请提供）；</w:t>
      </w:r>
    </w:p>
    <w:p w14:paraId="333BA18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4</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eastAsia="zh-CN"/>
          <w14:textFill>
            <w14:solidFill>
              <w14:schemeClr w14:val="tx1"/>
            </w14:solidFill>
          </w14:textFill>
        </w:rPr>
        <w:t>服务方案（含服务方案、管理制度</w:t>
      </w:r>
      <w:r>
        <w:rPr>
          <w:rFonts w:hint="eastAsia" w:ascii="宋体" w:hAnsi="宋体" w:cs="宋体"/>
          <w:color w:val="000000" w:themeColor="text1"/>
          <w:sz w:val="15"/>
          <w:szCs w:val="15"/>
          <w:highlight w:val="none"/>
          <w:lang w:eastAsia="zh-CN"/>
          <w14:textFill>
            <w14:solidFill>
              <w14:schemeClr w14:val="tx1"/>
            </w14:solidFill>
          </w14:textFill>
        </w:rPr>
        <w:t>、增值服务方案，如有，请提供</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w:t>
      </w:r>
    </w:p>
    <w:p w14:paraId="2C9DF0D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供应商属于中小企业的应提供《中小企业声明函》（详见附件）；或属于监狱企业的，应当提供由省级以上监狱管理局、戒毒管理局(含新疆生产建设兵团)出具的属于监狱企业的证明文件；或符合条件的残疾人福利性单位在参加政府采购活动时，应当提供《残疾人福利性单位声明函》（详见附件），并对声明的真实性负责（如有，请提供）</w:t>
      </w:r>
      <w:r>
        <w:rPr>
          <w:rFonts w:hint="eastAsia" w:ascii="宋体" w:hAnsi="宋体" w:eastAsia="宋体" w:cs="宋体"/>
          <w:b/>
          <w:bCs/>
          <w:color w:val="000000" w:themeColor="text1"/>
          <w:sz w:val="15"/>
          <w:szCs w:val="15"/>
          <w:highlight w:val="none"/>
          <w14:textFill>
            <w14:solidFill>
              <w14:schemeClr w14:val="tx1"/>
            </w14:solidFill>
          </w14:textFill>
        </w:rPr>
        <w:t>；</w:t>
      </w:r>
    </w:p>
    <w:p w14:paraId="41844EFE">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6</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供应商相关获奖证书、认证证书等复印件（如有请提供）</w:t>
      </w:r>
    </w:p>
    <w:p w14:paraId="2D5FF338">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7</w:t>
      </w:r>
      <w:r>
        <w:rPr>
          <w:rFonts w:hint="eastAsia" w:ascii="宋体" w:hAnsi="宋体" w:eastAsia="宋体" w:cs="宋体"/>
          <w:color w:val="000000" w:themeColor="text1"/>
          <w:sz w:val="15"/>
          <w:szCs w:val="15"/>
          <w:highlight w:val="none"/>
          <w14:textFill>
            <w14:solidFill>
              <w14:schemeClr w14:val="tx1"/>
            </w14:solidFill>
          </w14:textFill>
        </w:rPr>
        <w:t>）供应商认为有必要提供的其他资料（如有，请提供）。</w:t>
      </w:r>
    </w:p>
    <w:p w14:paraId="6F5724D0">
      <w:pPr>
        <w:keepNext w:val="0"/>
        <w:keepLines w:val="0"/>
        <w:pageBreakBefore w:val="0"/>
        <w:kinsoku/>
        <w:wordWrap/>
        <w:overflowPunct/>
        <w:topLinePunct w:val="0"/>
        <w:bidi w:val="0"/>
        <w:spacing w:line="240" w:lineRule="auto"/>
        <w:ind w:firstLine="42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供应商提供的以上相关证明材料必须真实有效，属于“必须提供”的文件应加盖供应商签章，否则响应文件按无效处理；</w:t>
      </w:r>
    </w:p>
    <w:p w14:paraId="57E81C69">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12.3供应商应按采购文件第</w:t>
      </w:r>
      <w:r>
        <w:rPr>
          <w:rFonts w:hint="eastAsia" w:ascii="宋体" w:hAnsi="宋体" w:cs="宋体"/>
          <w:color w:val="000000" w:themeColor="text1"/>
          <w:sz w:val="15"/>
          <w:szCs w:val="15"/>
          <w:highlight w:val="none"/>
          <w:lang w:val="en-US" w:eastAsia="zh-CN"/>
          <w14:textFill>
            <w14:solidFill>
              <w14:schemeClr w14:val="tx1"/>
            </w14:solidFill>
          </w14:textFill>
        </w:rPr>
        <w:t>六</w:t>
      </w:r>
      <w:r>
        <w:rPr>
          <w:rFonts w:hint="eastAsia" w:ascii="宋体" w:hAnsi="宋体" w:eastAsia="宋体" w:cs="宋体"/>
          <w:color w:val="000000" w:themeColor="text1"/>
          <w:sz w:val="15"/>
          <w:szCs w:val="15"/>
          <w:highlight w:val="none"/>
          <w14:textFill>
            <w14:solidFill>
              <w14:schemeClr w14:val="tx1"/>
            </w14:solidFill>
          </w14:textFill>
        </w:rPr>
        <w:t>章“响应文件（格式）”编制响应文件。</w:t>
      </w:r>
    </w:p>
    <w:p w14:paraId="60744276">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12.4响应文件应当对采购文件提出的要求和条件作出明确响应。</w:t>
      </w:r>
    </w:p>
    <w:p w14:paraId="7DC88C78">
      <w:pPr>
        <w:keepNext w:val="0"/>
        <w:keepLines w:val="0"/>
        <w:pageBreakBefore w:val="0"/>
        <w:kinsoku/>
        <w:wordWrap/>
        <w:overflowPunct/>
        <w:topLinePunct w:val="0"/>
        <w:bidi w:val="0"/>
        <w:spacing w:line="240" w:lineRule="auto"/>
        <w:ind w:firstLine="42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特别说明：</w:t>
      </w:r>
    </w:p>
    <w:p w14:paraId="10BDE7F9">
      <w:pPr>
        <w:keepNext w:val="0"/>
        <w:keepLines w:val="0"/>
        <w:pageBreakBefore w:val="0"/>
        <w:tabs>
          <w:tab w:val="left" w:pos="1305"/>
        </w:tabs>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bookmarkStart w:id="186" w:name="_Toc11037"/>
      <w:r>
        <w:rPr>
          <w:rFonts w:hint="eastAsia" w:ascii="宋体" w:hAnsi="宋体" w:eastAsia="宋体" w:cs="宋体"/>
          <w:b/>
          <w:bCs/>
          <w:color w:val="000000" w:themeColor="text1"/>
          <w:sz w:val="15"/>
          <w:szCs w:val="15"/>
          <w:highlight w:val="none"/>
          <w14:textFill>
            <w14:solidFill>
              <w14:schemeClr w14:val="tx1"/>
            </w14:solidFill>
          </w14:textFill>
        </w:rPr>
        <w:t>（1）若响应文件中有专门标注的某关联点，并要求供应商在投标系统中作出投标响应的，如供应商未对关联点进行响应或者在投标文件</w:t>
      </w:r>
      <w:r>
        <w:rPr>
          <w:rFonts w:hint="eastAsia" w:ascii="宋体" w:hAnsi="宋体" w:cs="宋体"/>
          <w:b/>
          <w:bCs/>
          <w:color w:val="000000" w:themeColor="text1"/>
          <w:sz w:val="15"/>
          <w:szCs w:val="15"/>
          <w:highlight w:val="none"/>
          <w:lang w:eastAsia="zh-CN"/>
          <w14:textFill>
            <w14:solidFill>
              <w14:schemeClr w14:val="tx1"/>
            </w14:solidFill>
          </w14:textFill>
        </w:rPr>
        <w:t>其他</w:t>
      </w:r>
      <w:r>
        <w:rPr>
          <w:rFonts w:hint="eastAsia" w:ascii="宋体" w:hAnsi="宋体" w:eastAsia="宋体" w:cs="宋体"/>
          <w:b/>
          <w:bCs/>
          <w:color w:val="000000" w:themeColor="text1"/>
          <w:sz w:val="15"/>
          <w:szCs w:val="15"/>
          <w:highlight w:val="none"/>
          <w14:textFill>
            <w14:solidFill>
              <w14:schemeClr w14:val="tx1"/>
            </w14:solidFill>
          </w14:textFill>
        </w:rPr>
        <w:t>内容中进行描述，造成评审不能查询的责任由供应商自行承担。</w:t>
      </w:r>
    </w:p>
    <w:p w14:paraId="5BAC7ED0">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87" w:name="_Toc27918"/>
      <w:bookmarkStart w:id="188" w:name="_Toc21191"/>
      <w:bookmarkStart w:id="189" w:name="_Toc16072"/>
      <w:bookmarkStart w:id="190" w:name="_Toc19729"/>
      <w:bookmarkStart w:id="191" w:name="_Toc5166"/>
      <w:bookmarkStart w:id="192" w:name="_Toc32647"/>
      <w:bookmarkStart w:id="193" w:name="_Toc27768"/>
      <w:bookmarkStart w:id="194" w:name="_Toc15181"/>
      <w:r>
        <w:rPr>
          <w:rFonts w:hint="eastAsia" w:ascii="宋体" w:hAnsi="宋体" w:eastAsia="宋体" w:cs="宋体"/>
          <w:b/>
          <w:color w:val="000000" w:themeColor="text1"/>
          <w:sz w:val="15"/>
          <w:szCs w:val="15"/>
          <w:highlight w:val="none"/>
          <w14:textFill>
            <w14:solidFill>
              <w14:schemeClr w14:val="tx1"/>
            </w14:solidFill>
          </w14:textFill>
        </w:rPr>
        <w:t>13.响应文件的语言及计量</w:t>
      </w:r>
      <w:bookmarkEnd w:id="186"/>
      <w:bookmarkEnd w:id="187"/>
      <w:bookmarkEnd w:id="188"/>
      <w:bookmarkEnd w:id="189"/>
      <w:bookmarkEnd w:id="190"/>
      <w:bookmarkEnd w:id="191"/>
      <w:bookmarkEnd w:id="192"/>
      <w:bookmarkEnd w:id="193"/>
      <w:bookmarkEnd w:id="194"/>
    </w:p>
    <w:p w14:paraId="27306327">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13.1响应文件以及供应商与采购人就有关响应事宜的所有来往函电，均应以中文汉语书写。供应商提交的支持文件和印刷的文献可以使用别的语言，但其相应内容必须附有中文翻译文本，在解释响应文件时以中文翻译文本为主。</w:t>
      </w:r>
    </w:p>
    <w:p w14:paraId="2B2E2531">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13.2响应计量单位，采购文件已有明确规定的，使用采购文件规定的计量单位；采购文件没有规定的，应采用中华人民共和国法定计量单位（货币单位：元人民币），否则视同未响应。</w:t>
      </w:r>
    </w:p>
    <w:p w14:paraId="6220E26D">
      <w:pPr>
        <w:pStyle w:val="15"/>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95" w:name="_Toc27899"/>
      <w:bookmarkStart w:id="196" w:name="_Toc2716"/>
      <w:r>
        <w:rPr>
          <w:rFonts w:hint="eastAsia" w:ascii="宋体" w:hAnsi="宋体" w:eastAsia="宋体" w:cs="宋体"/>
          <w:b/>
          <w:color w:val="000000" w:themeColor="text1"/>
          <w:sz w:val="15"/>
          <w:szCs w:val="15"/>
          <w:highlight w:val="none"/>
          <w14:textFill>
            <w14:solidFill>
              <w14:schemeClr w14:val="tx1"/>
            </w14:solidFill>
          </w14:textFill>
        </w:rPr>
        <w:t>14.</w:t>
      </w:r>
      <w:bookmarkEnd w:id="195"/>
      <w:bookmarkEnd w:id="196"/>
      <w:bookmarkStart w:id="197" w:name="_Toc32148"/>
      <w:bookmarkStart w:id="198" w:name="_Toc22333"/>
      <w:bookmarkStart w:id="199" w:name="_Toc28624"/>
      <w:bookmarkStart w:id="200" w:name="_Toc4075"/>
      <w:bookmarkStart w:id="201" w:name="_Toc12698"/>
      <w:bookmarkStart w:id="202" w:name="_Toc27167"/>
      <w:bookmarkStart w:id="203" w:name="_Toc24652"/>
      <w:bookmarkStart w:id="204" w:name="_Toc12200"/>
      <w:bookmarkStart w:id="205" w:name="_Toc16017"/>
      <w:r>
        <w:rPr>
          <w:rFonts w:hint="eastAsia" w:ascii="宋体" w:hAnsi="宋体" w:eastAsia="宋体" w:cs="宋体"/>
          <w:b/>
          <w:color w:val="000000" w:themeColor="text1"/>
          <w:sz w:val="15"/>
          <w:szCs w:val="15"/>
          <w:highlight w:val="none"/>
          <w14:textFill>
            <w14:solidFill>
              <w14:schemeClr w14:val="tx1"/>
            </w14:solidFill>
          </w14:textFill>
        </w:rPr>
        <w:t>磋商报价及采购预算金额</w:t>
      </w:r>
    </w:p>
    <w:p w14:paraId="0BF2B276">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14.1供应商必须就“采购需求”中的所有内容作完整唯一报价，有选择的或有条件的报价将不予接受。</w:t>
      </w:r>
    </w:p>
    <w:p w14:paraId="0D7B3D5F">
      <w:pPr>
        <w:spacing w:line="240" w:lineRule="auto"/>
        <w:ind w:firstLine="300" w:firstLineChars="200"/>
        <w:rPr>
          <w:rFonts w:hint="default" w:ascii="宋体" w:hAnsi="宋体" w:eastAsia="宋体" w:cs="宋体"/>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14.2</w:t>
      </w:r>
      <w:r>
        <w:rPr>
          <w:rFonts w:hint="eastAsia" w:ascii="宋体" w:hAnsi="宋体" w:eastAsia="宋体" w:cs="宋体"/>
          <w:color w:val="000000" w:themeColor="text1"/>
          <w:sz w:val="15"/>
          <w:szCs w:val="15"/>
          <w:highlight w:val="none"/>
          <w14:textFill>
            <w14:solidFill>
              <w14:schemeClr w14:val="tx1"/>
            </w14:solidFill>
          </w14:textFill>
        </w:rPr>
        <w:t>采购预算金额</w:t>
      </w:r>
      <w:r>
        <w:rPr>
          <w:rFonts w:hint="eastAsia" w:ascii="宋体" w:hAnsi="宋体" w:cs="宋体"/>
          <w:color w:val="000000" w:themeColor="text1"/>
          <w:sz w:val="15"/>
          <w:szCs w:val="15"/>
          <w:highlight w:val="none"/>
          <w:lang w:val="en-US" w:eastAsia="zh-CN"/>
          <w14:textFill>
            <w14:solidFill>
              <w14:schemeClr w14:val="tx1"/>
            </w14:solidFill>
          </w14:textFill>
        </w:rPr>
        <w:t>及</w:t>
      </w:r>
      <w:r>
        <w:rPr>
          <w:rFonts w:hint="eastAsia" w:ascii="宋体" w:hAnsi="宋体" w:eastAsia="宋体" w:cs="宋体"/>
          <w:color w:val="000000" w:themeColor="text1"/>
          <w:kern w:val="2"/>
          <w:sz w:val="15"/>
          <w:szCs w:val="15"/>
          <w:highlight w:val="none"/>
          <w14:textFill>
            <w14:solidFill>
              <w14:schemeClr w14:val="tx1"/>
            </w14:solidFill>
          </w14:textFill>
        </w:rPr>
        <w:t>最高限价</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见供应商须知</w:t>
      </w:r>
    </w:p>
    <w:p w14:paraId="2C2945E1">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lang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14.3供应商磋商报价应包含</w:t>
      </w:r>
      <w:r>
        <w:rPr>
          <w:rFonts w:hint="eastAsia" w:ascii="宋体" w:hAnsi="宋体" w:eastAsia="宋体" w:cs="宋体"/>
          <w:bCs/>
          <w:color w:val="000000" w:themeColor="text1"/>
          <w:sz w:val="15"/>
          <w:szCs w:val="15"/>
          <w:highlight w:val="none"/>
          <w:lang w:eastAsia="zh-CN"/>
          <w14:textFill>
            <w14:solidFill>
              <w14:schemeClr w14:val="tx1"/>
            </w14:solidFill>
          </w14:textFill>
        </w:rPr>
        <w:t>满足本次磋商全部采购需求所应提供的服务，以及伴随的服务；包含竞标服务、技术服务、咨询、税费、运营日常用品用具的消耗和折旧费、行政办公用品及资料印刷、服务清单涵盖的所有项目等全部费用；</w:t>
      </w:r>
    </w:p>
    <w:p w14:paraId="0F77F09F">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14.4供应商磋商报价应综合考虑总价包干（包含提供本次服务范围的所有成本、税金、利润等），报价不得超过预算金额。</w:t>
      </w:r>
    </w:p>
    <w:p w14:paraId="5E309173">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15.响应有效期</w:t>
      </w:r>
      <w:bookmarkEnd w:id="197"/>
      <w:bookmarkEnd w:id="198"/>
      <w:bookmarkEnd w:id="199"/>
      <w:bookmarkEnd w:id="200"/>
      <w:bookmarkEnd w:id="201"/>
      <w:bookmarkEnd w:id="202"/>
      <w:bookmarkEnd w:id="203"/>
      <w:bookmarkEnd w:id="204"/>
      <w:bookmarkEnd w:id="205"/>
    </w:p>
    <w:p w14:paraId="4CB599FB">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15.1响应有效期：响应截止时间之日起90天。</w:t>
      </w:r>
    </w:p>
    <w:p w14:paraId="4B756962">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15.2出现特殊情况下，需要延长响应有效期的，</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以书面形式通知供应商延长响应有效期。供应商同意延长的，原响应文件继续有效。供应商拒绝延长的，其响应无效。</w:t>
      </w:r>
    </w:p>
    <w:p w14:paraId="2A322ED9">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06" w:name="_Toc10671"/>
      <w:bookmarkStart w:id="207" w:name="_Toc18919"/>
      <w:bookmarkStart w:id="208" w:name="_Toc21919"/>
      <w:bookmarkStart w:id="209" w:name="_Toc20297"/>
      <w:bookmarkStart w:id="210" w:name="_Toc9375"/>
      <w:bookmarkStart w:id="211" w:name="_Toc7354"/>
      <w:bookmarkStart w:id="212" w:name="_Toc29063"/>
      <w:bookmarkStart w:id="213" w:name="_Toc5668"/>
      <w:bookmarkStart w:id="214" w:name="_Toc9210"/>
      <w:r>
        <w:rPr>
          <w:rFonts w:hint="eastAsia" w:ascii="宋体" w:hAnsi="宋体" w:eastAsia="宋体" w:cs="宋体"/>
          <w:b/>
          <w:color w:val="000000" w:themeColor="text1"/>
          <w:sz w:val="15"/>
          <w:szCs w:val="15"/>
          <w:highlight w:val="none"/>
          <w14:textFill>
            <w14:solidFill>
              <w14:schemeClr w14:val="tx1"/>
            </w14:solidFill>
          </w14:textFill>
        </w:rPr>
        <w:t>16.投标保证金</w:t>
      </w:r>
      <w:bookmarkEnd w:id="206"/>
      <w:bookmarkEnd w:id="207"/>
      <w:bookmarkEnd w:id="208"/>
      <w:bookmarkEnd w:id="209"/>
      <w:bookmarkEnd w:id="210"/>
      <w:bookmarkEnd w:id="211"/>
      <w:bookmarkEnd w:id="212"/>
      <w:bookmarkEnd w:id="213"/>
      <w:bookmarkEnd w:id="214"/>
    </w:p>
    <w:p w14:paraId="4F149F4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本项目无需缴纳投标保证金。</w:t>
      </w:r>
    </w:p>
    <w:p w14:paraId="26FF7FE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15" w:name="_Toc17461"/>
      <w:bookmarkStart w:id="216" w:name="_Toc30873"/>
      <w:bookmarkStart w:id="217" w:name="_Toc6809"/>
      <w:bookmarkStart w:id="218" w:name="_Toc9895"/>
      <w:bookmarkStart w:id="219" w:name="_Toc19052"/>
      <w:bookmarkStart w:id="220" w:name="_Toc14725"/>
      <w:bookmarkStart w:id="221" w:name="_Toc22059"/>
      <w:bookmarkStart w:id="222" w:name="_Toc19430"/>
      <w:bookmarkStart w:id="223" w:name="_Toc6820"/>
      <w:bookmarkStart w:id="224" w:name="_Toc4967"/>
      <w:bookmarkStart w:id="225" w:name="_Toc995"/>
      <w:bookmarkStart w:id="226" w:name="_Toc24490"/>
      <w:r>
        <w:rPr>
          <w:rFonts w:hint="eastAsia" w:ascii="宋体" w:hAnsi="宋体" w:eastAsia="宋体" w:cs="宋体"/>
          <w:b/>
          <w:color w:val="000000" w:themeColor="text1"/>
          <w:sz w:val="15"/>
          <w:szCs w:val="15"/>
          <w:highlight w:val="none"/>
          <w14:textFill>
            <w14:solidFill>
              <w14:schemeClr w14:val="tx1"/>
            </w14:solidFill>
          </w14:textFill>
        </w:rPr>
        <w:t>17.响应文件的</w:t>
      </w:r>
      <w:bookmarkEnd w:id="215"/>
      <w:bookmarkEnd w:id="216"/>
      <w:bookmarkEnd w:id="217"/>
      <w:r>
        <w:rPr>
          <w:rFonts w:hint="eastAsia" w:ascii="宋体" w:hAnsi="宋体" w:eastAsia="宋体" w:cs="宋体"/>
          <w:b/>
          <w:color w:val="000000" w:themeColor="text1"/>
          <w:sz w:val="15"/>
          <w:szCs w:val="15"/>
          <w:highlight w:val="none"/>
          <w14:textFill>
            <w14:solidFill>
              <w14:schemeClr w14:val="tx1"/>
            </w14:solidFill>
          </w14:textFill>
        </w:rPr>
        <w:t>制作</w:t>
      </w:r>
      <w:bookmarkEnd w:id="218"/>
      <w:bookmarkEnd w:id="219"/>
      <w:bookmarkEnd w:id="220"/>
      <w:bookmarkEnd w:id="221"/>
      <w:bookmarkEnd w:id="222"/>
      <w:bookmarkEnd w:id="223"/>
      <w:bookmarkEnd w:id="224"/>
      <w:bookmarkEnd w:id="225"/>
    </w:p>
    <w:bookmarkEnd w:id="226"/>
    <w:p w14:paraId="52A27E11">
      <w:pPr>
        <w:keepNext w:val="0"/>
        <w:keepLines w:val="0"/>
        <w:pageBreakBefore w:val="0"/>
        <w:kinsoku/>
        <w:wordWrap/>
        <w:overflowPunct/>
        <w:topLinePunct w:val="0"/>
        <w:bidi w:val="0"/>
        <w:spacing w:line="240" w:lineRule="auto"/>
        <w:ind w:firstLine="300" w:firstLineChars="200"/>
        <w:rPr>
          <w:rFonts w:hint="default" w:ascii="宋体" w:hAnsi="宋体" w:eastAsia="宋体" w:cs="宋体"/>
          <w:color w:val="000000" w:themeColor="text1"/>
          <w:sz w:val="15"/>
          <w:szCs w:val="15"/>
          <w:highlight w:val="none"/>
          <w:lang w:val="en-US" w:eastAsia="zh-CN"/>
          <w14:textFill>
            <w14:solidFill>
              <w14:schemeClr w14:val="tx1"/>
            </w14:solidFill>
          </w14:textFill>
        </w:rPr>
      </w:pPr>
      <w:bookmarkStart w:id="227" w:name="_Toc15098"/>
      <w:bookmarkStart w:id="228" w:name="_Toc12348"/>
      <w:bookmarkStart w:id="229" w:name="_Toc1108"/>
      <w:bookmarkStart w:id="230" w:name="_Toc31572"/>
      <w:r>
        <w:rPr>
          <w:rFonts w:hint="eastAsia" w:ascii="宋体" w:hAnsi="宋体" w:eastAsia="宋体" w:cs="宋体"/>
          <w:color w:val="000000" w:themeColor="text1"/>
          <w:sz w:val="15"/>
          <w:szCs w:val="15"/>
          <w:highlight w:val="none"/>
          <w14:textFill>
            <w14:solidFill>
              <w14:schemeClr w14:val="tx1"/>
            </w14:solidFill>
          </w14:textFill>
        </w:rPr>
        <w:t>17.1</w:t>
      </w:r>
      <w:r>
        <w:rPr>
          <w:rFonts w:hint="eastAsia" w:ascii="宋体" w:hAnsi="宋体" w:cs="宋体"/>
          <w:color w:val="000000" w:themeColor="text1"/>
          <w:sz w:val="15"/>
          <w:szCs w:val="15"/>
          <w:highlight w:val="none"/>
          <w:lang w:val="en-US" w:eastAsia="zh-CN"/>
          <w14:textFill>
            <w14:solidFill>
              <w14:schemeClr w14:val="tx1"/>
            </w14:solidFill>
          </w14:textFill>
        </w:rPr>
        <w:t>按响应文件格式要求编制</w:t>
      </w:r>
    </w:p>
    <w:p w14:paraId="4B24ED94">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31" w:name="_Toc23220"/>
      <w:bookmarkStart w:id="232" w:name="_Toc9519"/>
      <w:bookmarkStart w:id="233" w:name="_Toc7332"/>
      <w:bookmarkStart w:id="234" w:name="_Toc17050"/>
      <w:bookmarkStart w:id="235" w:name="_Toc12731"/>
      <w:bookmarkStart w:id="236" w:name="_Toc6100"/>
      <w:bookmarkStart w:id="237" w:name="_Toc2478"/>
      <w:r>
        <w:rPr>
          <w:rFonts w:hint="eastAsia" w:ascii="宋体" w:hAnsi="宋体" w:eastAsia="宋体" w:cs="宋体"/>
          <w:b/>
          <w:color w:val="000000" w:themeColor="text1"/>
          <w:sz w:val="15"/>
          <w:szCs w:val="15"/>
          <w:highlight w:val="none"/>
          <w14:textFill>
            <w14:solidFill>
              <w14:schemeClr w14:val="tx1"/>
            </w14:solidFill>
          </w14:textFill>
        </w:rPr>
        <w:t>18.响应文件的补充、修改和撤回</w:t>
      </w:r>
      <w:bookmarkEnd w:id="227"/>
      <w:bookmarkEnd w:id="228"/>
      <w:bookmarkEnd w:id="229"/>
      <w:bookmarkEnd w:id="231"/>
      <w:bookmarkEnd w:id="232"/>
      <w:bookmarkEnd w:id="233"/>
      <w:bookmarkEnd w:id="234"/>
      <w:bookmarkEnd w:id="235"/>
      <w:bookmarkEnd w:id="236"/>
      <w:bookmarkEnd w:id="237"/>
    </w:p>
    <w:p w14:paraId="5354D5B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18.1</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文件递交截止时间前可以撤回</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。补充或者修改</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的，应当先行撤回原文件，补充、修改后重新递交，</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文件递交截止时间前未完成的，视为撤回</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w:t>
      </w:r>
    </w:p>
    <w:p w14:paraId="1C075FB8">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18.2在</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文件递交截止时间后的</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文件有效期内，供应商不得撤回其</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w:t>
      </w:r>
    </w:p>
    <w:bookmarkEnd w:id="230"/>
    <w:p w14:paraId="3584E67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38" w:name="_Toc13713"/>
      <w:bookmarkStart w:id="239" w:name="_Toc25303"/>
      <w:bookmarkStart w:id="240" w:name="_Toc16743"/>
      <w:bookmarkStart w:id="241" w:name="_Toc31942"/>
      <w:bookmarkStart w:id="242" w:name="_Toc16777"/>
      <w:bookmarkStart w:id="243" w:name="_Toc25735"/>
      <w:bookmarkStart w:id="244" w:name="_Toc15145"/>
      <w:bookmarkStart w:id="245" w:name="_Toc21050"/>
      <w:bookmarkStart w:id="246" w:name="_Toc14058"/>
      <w:bookmarkStart w:id="247" w:name="_Toc11459"/>
      <w:r>
        <w:rPr>
          <w:rFonts w:hint="eastAsia" w:ascii="宋体" w:hAnsi="宋体" w:eastAsia="宋体" w:cs="宋体"/>
          <w:b/>
          <w:color w:val="000000" w:themeColor="text1"/>
          <w:sz w:val="15"/>
          <w:szCs w:val="15"/>
          <w:highlight w:val="none"/>
          <w14:textFill>
            <w14:solidFill>
              <w14:schemeClr w14:val="tx1"/>
            </w14:solidFill>
          </w14:textFill>
        </w:rPr>
        <w:t>19.响应文件的递交</w:t>
      </w:r>
      <w:bookmarkEnd w:id="238"/>
      <w:r>
        <w:rPr>
          <w:rFonts w:hint="eastAsia" w:ascii="宋体" w:hAnsi="宋体" w:eastAsia="宋体" w:cs="宋体"/>
          <w:b/>
          <w:color w:val="000000" w:themeColor="text1"/>
          <w:sz w:val="15"/>
          <w:szCs w:val="15"/>
          <w:highlight w:val="none"/>
          <w14:textFill>
            <w14:solidFill>
              <w14:schemeClr w14:val="tx1"/>
            </w14:solidFill>
          </w14:textFill>
        </w:rPr>
        <w:t>和解密</w:t>
      </w:r>
      <w:bookmarkEnd w:id="239"/>
      <w:bookmarkEnd w:id="240"/>
      <w:bookmarkEnd w:id="241"/>
      <w:bookmarkEnd w:id="242"/>
      <w:bookmarkEnd w:id="243"/>
      <w:bookmarkEnd w:id="244"/>
      <w:bookmarkEnd w:id="245"/>
      <w:bookmarkEnd w:id="246"/>
      <w:bookmarkEnd w:id="247"/>
    </w:p>
    <w:p w14:paraId="7395FD8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19.1响应文件递交截止时间：</w:t>
      </w:r>
      <w:r>
        <w:rPr>
          <w:rFonts w:hint="eastAsia" w:ascii="宋体" w:hAnsi="宋体" w:eastAsia="宋体" w:cs="宋体"/>
          <w:bCs/>
          <w:color w:val="000000" w:themeColor="text1"/>
          <w:sz w:val="15"/>
          <w:szCs w:val="15"/>
          <w:highlight w:val="none"/>
          <w14:textFill>
            <w14:solidFill>
              <w14:schemeClr w14:val="tx1"/>
            </w14:solidFill>
          </w14:textFill>
        </w:rPr>
        <w:t>详见《供应商须知前附表》第9条</w:t>
      </w:r>
      <w:r>
        <w:rPr>
          <w:rFonts w:hint="eastAsia" w:ascii="宋体" w:hAnsi="宋体" w:eastAsia="宋体" w:cs="宋体"/>
          <w:color w:val="000000" w:themeColor="text1"/>
          <w:sz w:val="15"/>
          <w:szCs w:val="15"/>
          <w:highlight w:val="none"/>
          <w14:textFill>
            <w14:solidFill>
              <w14:schemeClr w14:val="tx1"/>
            </w14:solidFill>
          </w14:textFill>
        </w:rPr>
        <w:t>。</w:t>
      </w:r>
    </w:p>
    <w:p w14:paraId="1E4B102B">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19.2响应文件解密时间：</w:t>
      </w:r>
      <w:r>
        <w:rPr>
          <w:rFonts w:hint="eastAsia" w:ascii="宋体" w:hAnsi="宋体" w:eastAsia="宋体" w:cs="宋体"/>
          <w:bCs/>
          <w:color w:val="000000" w:themeColor="text1"/>
          <w:sz w:val="15"/>
          <w:szCs w:val="15"/>
          <w:highlight w:val="none"/>
          <w14:textFill>
            <w14:solidFill>
              <w14:schemeClr w14:val="tx1"/>
            </w14:solidFill>
          </w14:textFill>
        </w:rPr>
        <w:t>详见《供应商须知前附表》第10条。</w:t>
      </w:r>
    </w:p>
    <w:p w14:paraId="68AD235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19.3除采购文件另有规定外，供应商所递交的响应文件不予退还。</w:t>
      </w:r>
    </w:p>
    <w:p w14:paraId="4604E582">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19.4</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的相关说明</w:t>
      </w:r>
    </w:p>
    <w:p w14:paraId="720F8465">
      <w:pPr>
        <w:keepNext w:val="0"/>
        <w:keepLines w:val="0"/>
        <w:pageBreakBefore w:val="0"/>
        <w:kinsoku/>
        <w:wordWrap/>
        <w:overflowPunct/>
        <w:topLinePunct w:val="0"/>
        <w:bidi w:val="0"/>
        <w:spacing w:line="240" w:lineRule="auto"/>
        <w:ind w:firstLine="300" w:firstLineChars="200"/>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cs="宋体"/>
          <w:color w:val="000000" w:themeColor="text1"/>
          <w:sz w:val="15"/>
          <w:szCs w:val="15"/>
          <w:highlight w:val="none"/>
          <w:lang w:val="en-US" w:eastAsia="zh-CN"/>
          <w14:textFill>
            <w14:solidFill>
              <w14:schemeClr w14:val="tx1"/>
            </w14:solidFill>
          </w14:textFill>
        </w:rPr>
        <w:t>见磋商公告第七条</w:t>
      </w:r>
    </w:p>
    <w:p w14:paraId="1E493A1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（2）如有特殊情况，</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延长截止时间和开标时间，</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和供应商的权利和义务将受到新的截止时间和开标时间的约束。</w:t>
      </w:r>
    </w:p>
    <w:p w14:paraId="33675CD4">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248" w:name="_Toc16916"/>
      <w:bookmarkStart w:id="249" w:name="_Toc15422"/>
      <w:bookmarkStart w:id="250" w:name="_Toc27866"/>
      <w:bookmarkStart w:id="251" w:name="_Toc307"/>
      <w:bookmarkStart w:id="252" w:name="_Toc15658"/>
      <w:bookmarkStart w:id="253" w:name="_Toc1327"/>
      <w:bookmarkStart w:id="254" w:name="_Toc9336"/>
      <w:bookmarkStart w:id="255" w:name="_Toc11101"/>
      <w:bookmarkStart w:id="256" w:name="_Toc28414"/>
      <w:bookmarkStart w:id="257" w:name="_Toc495841757"/>
      <w:r>
        <w:rPr>
          <w:rFonts w:hint="eastAsia" w:ascii="宋体" w:hAnsi="宋体" w:eastAsia="宋体" w:cs="宋体"/>
          <w:b/>
          <w:color w:val="000000" w:themeColor="text1"/>
          <w:sz w:val="15"/>
          <w:szCs w:val="15"/>
          <w:highlight w:val="none"/>
          <w14:textFill>
            <w14:solidFill>
              <w14:schemeClr w14:val="tx1"/>
            </w14:solidFill>
          </w14:textFill>
        </w:rPr>
        <w:t>四、开标</w:t>
      </w:r>
      <w:bookmarkEnd w:id="248"/>
      <w:bookmarkEnd w:id="249"/>
      <w:bookmarkEnd w:id="250"/>
      <w:bookmarkEnd w:id="251"/>
      <w:bookmarkEnd w:id="252"/>
      <w:bookmarkEnd w:id="253"/>
      <w:bookmarkEnd w:id="254"/>
      <w:bookmarkEnd w:id="255"/>
      <w:bookmarkEnd w:id="256"/>
      <w:bookmarkEnd w:id="257"/>
    </w:p>
    <w:p w14:paraId="0C0C1F44">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58" w:name="_Toc29865"/>
      <w:bookmarkStart w:id="259" w:name="_Toc26511"/>
      <w:bookmarkStart w:id="260" w:name="_Toc17938"/>
      <w:bookmarkStart w:id="261" w:name="_Toc19384"/>
      <w:bookmarkStart w:id="262" w:name="_Toc17568"/>
      <w:bookmarkStart w:id="263" w:name="_Toc17073"/>
      <w:bookmarkStart w:id="264" w:name="_Toc12561"/>
      <w:bookmarkStart w:id="265" w:name="_Toc9558"/>
      <w:bookmarkStart w:id="266" w:name="_Toc25198"/>
      <w:bookmarkStart w:id="267" w:name="_Toc18990"/>
      <w:bookmarkStart w:id="268" w:name="_Toc5291"/>
      <w:bookmarkStart w:id="269" w:name="_Toc13013"/>
      <w:bookmarkStart w:id="270" w:name="_Toc495841758"/>
      <w:r>
        <w:rPr>
          <w:rFonts w:hint="eastAsia" w:ascii="宋体" w:hAnsi="宋体" w:eastAsia="宋体" w:cs="宋体"/>
          <w:b/>
          <w:color w:val="000000" w:themeColor="text1"/>
          <w:sz w:val="15"/>
          <w:szCs w:val="15"/>
          <w:highlight w:val="none"/>
          <w14:textFill>
            <w14:solidFill>
              <w14:schemeClr w14:val="tx1"/>
            </w14:solidFill>
          </w14:textFill>
        </w:rPr>
        <w:t>20.开标时间及地点</w:t>
      </w:r>
      <w:bookmarkEnd w:id="258"/>
      <w:bookmarkEnd w:id="259"/>
      <w:bookmarkEnd w:id="260"/>
      <w:bookmarkEnd w:id="261"/>
      <w:bookmarkEnd w:id="262"/>
      <w:bookmarkEnd w:id="263"/>
      <w:bookmarkEnd w:id="264"/>
      <w:bookmarkEnd w:id="265"/>
      <w:bookmarkEnd w:id="266"/>
      <w:bookmarkEnd w:id="267"/>
      <w:bookmarkEnd w:id="268"/>
    </w:p>
    <w:p w14:paraId="4456C00A">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20.1开标时间及地点：</w:t>
      </w:r>
    </w:p>
    <w:p w14:paraId="581CF8E1">
      <w:pPr>
        <w:keepNext w:val="0"/>
        <w:keepLines w:val="0"/>
        <w:pageBreakBefore w:val="0"/>
        <w:kinsoku/>
        <w:wordWrap/>
        <w:overflowPunct/>
        <w:topLinePunct w:val="0"/>
        <w:bidi w:val="0"/>
        <w:spacing w:line="240" w:lineRule="auto"/>
        <w:ind w:firstLine="450" w:firstLineChars="3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开标时间：详见《供应商须知前附表》。</w:t>
      </w:r>
    </w:p>
    <w:p w14:paraId="1C1674C2">
      <w:pPr>
        <w:keepNext w:val="0"/>
        <w:keepLines w:val="0"/>
        <w:pageBreakBefore w:val="0"/>
        <w:kinsoku/>
        <w:wordWrap/>
        <w:overflowPunct/>
        <w:topLinePunct w:val="0"/>
        <w:bidi w:val="0"/>
        <w:spacing w:line="240" w:lineRule="auto"/>
        <w:ind w:firstLine="450" w:firstLineChars="300"/>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地点：</w:t>
      </w:r>
      <w:r>
        <w:rPr>
          <w:rFonts w:hint="eastAsia" w:ascii="宋体" w:hAnsi="宋体" w:cs="宋体"/>
          <w:color w:val="000000" w:themeColor="text1"/>
          <w:sz w:val="15"/>
          <w:szCs w:val="15"/>
          <w:highlight w:val="none"/>
          <w:shd w:val="clear" w:color="auto" w:fill="FFFFFF"/>
          <w:lang w:val="en-US" w:eastAsia="zh-CN"/>
          <w14:textFill>
            <w14:solidFill>
              <w14:schemeClr w14:val="tx1"/>
            </w14:solidFill>
          </w14:textFill>
        </w:rPr>
        <w:t>采购人指定地点</w:t>
      </w:r>
    </w:p>
    <w:p w14:paraId="44AEDF44">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20.2供应商不足3家的，不得开标，采购人或者</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应当重新组织采购。</w:t>
      </w:r>
    </w:p>
    <w:p w14:paraId="56DCE1A9">
      <w:pPr>
        <w:keepNext w:val="0"/>
        <w:keepLines w:val="0"/>
        <w:pageBreakBefore w:val="0"/>
        <w:kinsoku/>
        <w:wordWrap/>
        <w:overflowPunct/>
        <w:topLinePunct w:val="0"/>
        <w:bidi w:val="0"/>
        <w:spacing w:line="240" w:lineRule="auto"/>
        <w:rPr>
          <w:rFonts w:hint="eastAsia" w:ascii="宋体" w:hAnsi="宋体" w:eastAsia="宋体" w:cs="宋体"/>
          <w:b/>
          <w:bCs/>
          <w:color w:val="000000" w:themeColor="text1"/>
          <w:sz w:val="15"/>
          <w:szCs w:val="15"/>
          <w:highlight w:val="none"/>
          <w14:textFill>
            <w14:solidFill>
              <w14:schemeClr w14:val="tx1"/>
            </w14:solidFill>
          </w14:textFill>
        </w:rPr>
      </w:pPr>
      <w:bookmarkStart w:id="271" w:name="_Toc8462"/>
      <w:bookmarkStart w:id="272" w:name="_Toc15515"/>
      <w:bookmarkStart w:id="273" w:name="_Toc11217"/>
      <w:r>
        <w:rPr>
          <w:rFonts w:hint="eastAsia" w:ascii="宋体" w:hAnsi="宋体" w:eastAsia="宋体" w:cs="宋体"/>
          <w:b/>
          <w:bCs/>
          <w:color w:val="000000" w:themeColor="text1"/>
          <w:sz w:val="15"/>
          <w:szCs w:val="15"/>
          <w:highlight w:val="none"/>
          <w14:textFill>
            <w14:solidFill>
              <w14:schemeClr w14:val="tx1"/>
            </w14:solidFill>
          </w14:textFill>
        </w:rPr>
        <w:t>21.开标程序</w:t>
      </w:r>
      <w:bookmarkEnd w:id="271"/>
      <w:bookmarkEnd w:id="272"/>
      <w:bookmarkEnd w:id="273"/>
    </w:p>
    <w:p w14:paraId="65DA7C94">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21.1开标准备</w:t>
      </w:r>
    </w:p>
    <w:p w14:paraId="7F6B509D">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21.1.1.开标的准备工作由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负责落实；</w:t>
      </w:r>
    </w:p>
    <w:p w14:paraId="6FF34F2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21.1.2.</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将按照竞争性磋商规定的时间组织开标、开启响应文件，所有供应商均应当准时参加。供应商如不参加开标会的，视同认可开标结果，事后不得对采购相关人员、开标过程和开标结果提出异议，一切后果由供应商自己承担。</w:t>
      </w:r>
    </w:p>
    <w:p w14:paraId="42F8BE0A">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22.1开标程序</w:t>
      </w:r>
    </w:p>
    <w:p w14:paraId="6C21798F">
      <w:pPr>
        <w:keepNext w:val="0"/>
        <w:keepLines w:val="0"/>
        <w:pageBreakBefore w:val="0"/>
        <w:kinsoku/>
        <w:wordWrap/>
        <w:overflowPunct/>
        <w:topLinePunct w:val="0"/>
        <w:bidi w:val="0"/>
        <w:spacing w:line="240" w:lineRule="auto"/>
        <w:ind w:firstLine="300"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由采购人按竞争性磋商程序进行开标</w:t>
      </w:r>
      <w:r>
        <w:rPr>
          <w:rFonts w:hint="eastAsia" w:ascii="宋体" w:hAnsi="宋体" w:eastAsia="宋体" w:cs="宋体"/>
          <w:b/>
          <w:bCs/>
          <w:color w:val="000000" w:themeColor="text1"/>
          <w:sz w:val="15"/>
          <w:szCs w:val="15"/>
          <w:highlight w:val="none"/>
          <w14:textFill>
            <w14:solidFill>
              <w14:schemeClr w14:val="tx1"/>
            </w14:solidFill>
          </w14:textFill>
        </w:rPr>
        <w:t>。</w:t>
      </w:r>
    </w:p>
    <w:p w14:paraId="15E86C26">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274" w:name="_Toc1563"/>
      <w:bookmarkStart w:id="275" w:name="_Toc30016"/>
      <w:bookmarkStart w:id="276" w:name="_Toc31385"/>
      <w:bookmarkStart w:id="277" w:name="_Toc27381"/>
      <w:bookmarkStart w:id="278" w:name="_Toc19671"/>
      <w:bookmarkStart w:id="279" w:name="_Toc19819"/>
      <w:bookmarkStart w:id="280" w:name="_Toc21248"/>
      <w:bookmarkStart w:id="281" w:name="_Toc30458"/>
      <w:r>
        <w:rPr>
          <w:rFonts w:hint="eastAsia" w:ascii="宋体" w:hAnsi="宋体" w:eastAsia="宋体" w:cs="宋体"/>
          <w:b/>
          <w:color w:val="000000" w:themeColor="text1"/>
          <w:sz w:val="15"/>
          <w:szCs w:val="15"/>
          <w:highlight w:val="none"/>
          <w14:textFill>
            <w14:solidFill>
              <w14:schemeClr w14:val="tx1"/>
            </w14:solidFill>
          </w14:textFill>
        </w:rPr>
        <w:t>五、</w:t>
      </w:r>
      <w:bookmarkEnd w:id="269"/>
      <w:bookmarkEnd w:id="270"/>
      <w:bookmarkEnd w:id="274"/>
      <w:bookmarkEnd w:id="275"/>
      <w:bookmarkEnd w:id="276"/>
      <w:bookmarkEnd w:id="277"/>
      <w:bookmarkEnd w:id="278"/>
      <w:bookmarkEnd w:id="279"/>
      <w:bookmarkEnd w:id="280"/>
      <w:bookmarkEnd w:id="281"/>
      <w:bookmarkStart w:id="282" w:name="_Toc31543"/>
      <w:bookmarkStart w:id="283" w:name="_Toc495841760"/>
      <w:r>
        <w:rPr>
          <w:rFonts w:hint="eastAsia" w:ascii="宋体" w:hAnsi="宋体" w:eastAsia="宋体" w:cs="宋体"/>
          <w:b/>
          <w:color w:val="000000" w:themeColor="text1"/>
          <w:sz w:val="15"/>
          <w:szCs w:val="15"/>
          <w:highlight w:val="none"/>
          <w14:textFill>
            <w14:solidFill>
              <w14:schemeClr w14:val="tx1"/>
            </w14:solidFill>
          </w14:textFill>
        </w:rPr>
        <w:t>竞争性磋商（简称磋商）与评审</w:t>
      </w:r>
    </w:p>
    <w:p w14:paraId="67747630">
      <w:pPr>
        <w:keepNext w:val="0"/>
        <w:keepLines w:val="0"/>
        <w:pageBreakBefore w:val="0"/>
        <w:tabs>
          <w:tab w:val="center" w:pos="4411"/>
          <w:tab w:val="left" w:pos="5475"/>
        </w:tabs>
        <w:kinsoku/>
        <w:wordWrap/>
        <w:overflowPunct/>
        <w:topLinePunct w:val="0"/>
        <w:bidi w:val="0"/>
        <w:spacing w:line="240" w:lineRule="auto"/>
        <w:jc w:val="left"/>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23.磋商小组组成及磋商时间、地点、人员</w:t>
      </w:r>
    </w:p>
    <w:p w14:paraId="40D24CDB">
      <w:pPr>
        <w:keepNext w:val="0"/>
        <w:keepLines w:val="0"/>
        <w:pageBreakBefore w:val="0"/>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23.1磋商小组组成：</w:t>
      </w:r>
    </w:p>
    <w:p w14:paraId="51A8BBA8">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磋商及评审工作由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负责组织，具体磋商、评审工作由依法组建的磋商小组负责，磋商小组由采购人有关方面的专家组成。磋商小组的构成：</w:t>
      </w:r>
      <w:r>
        <w:rPr>
          <w:rFonts w:hint="eastAsia" w:ascii="宋体" w:hAnsi="宋体" w:eastAsia="宋体" w:cs="宋体"/>
          <w:color w:val="000000" w:themeColor="text1"/>
          <w:sz w:val="15"/>
          <w:szCs w:val="15"/>
          <w:highlight w:val="none"/>
          <w:u w:val="single"/>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人</w:t>
      </w:r>
      <w:r>
        <w:rPr>
          <w:rFonts w:hint="eastAsia" w:ascii="宋体" w:hAnsi="宋体" w:cs="宋体"/>
          <w:color w:val="000000" w:themeColor="text1"/>
          <w:sz w:val="15"/>
          <w:szCs w:val="15"/>
          <w:highlight w:val="none"/>
          <w:lang w:val="en-US" w:eastAsia="zh-CN"/>
          <w14:textFill>
            <w14:solidFill>
              <w14:schemeClr w14:val="tx1"/>
            </w14:solidFill>
          </w14:textFill>
        </w:rPr>
        <w:t>或以上单数</w:t>
      </w:r>
      <w:r>
        <w:rPr>
          <w:rFonts w:hint="eastAsia" w:ascii="宋体" w:hAnsi="宋体" w:eastAsia="宋体" w:cs="宋体"/>
          <w:color w:val="000000" w:themeColor="text1"/>
          <w:sz w:val="15"/>
          <w:szCs w:val="15"/>
          <w:highlight w:val="none"/>
          <w14:textFill>
            <w14:solidFill>
              <w14:schemeClr w14:val="tx1"/>
            </w14:solidFill>
          </w14:textFill>
        </w:rPr>
        <w:t>，专家确定方式：</w:t>
      </w:r>
      <w:r>
        <w:rPr>
          <w:rFonts w:hint="eastAsia" w:ascii="宋体" w:hAnsi="宋体" w:eastAsia="宋体" w:cs="宋体"/>
          <w:color w:val="000000" w:themeColor="text1"/>
          <w:sz w:val="15"/>
          <w:szCs w:val="15"/>
          <w:highlight w:val="none"/>
          <w:u w:val="single"/>
          <w14:textFill>
            <w14:solidFill>
              <w14:schemeClr w14:val="tx1"/>
            </w14:solidFill>
          </w14:textFill>
        </w:rPr>
        <w:t>由</w:t>
      </w:r>
      <w:r>
        <w:rPr>
          <w:rFonts w:hint="eastAsia" w:ascii="宋体" w:hAnsi="宋体" w:cs="宋体"/>
          <w:color w:val="000000" w:themeColor="text1"/>
          <w:sz w:val="15"/>
          <w:szCs w:val="15"/>
          <w:highlight w:val="none"/>
          <w:u w:val="single"/>
          <w:lang w:eastAsia="zh-CN"/>
          <w14:textFill>
            <w14:solidFill>
              <w14:schemeClr w14:val="tx1"/>
            </w14:solidFill>
          </w14:textFill>
        </w:rPr>
        <w:t>采购人</w:t>
      </w:r>
      <w:r>
        <w:rPr>
          <w:rFonts w:hint="eastAsia" w:ascii="宋体" w:hAnsi="宋体" w:eastAsia="宋体" w:cs="宋体"/>
          <w:color w:val="000000" w:themeColor="text1"/>
          <w:sz w:val="15"/>
          <w:szCs w:val="15"/>
          <w:highlight w:val="none"/>
          <w:u w:val="single"/>
          <w14:textFill>
            <w14:solidFill>
              <w14:schemeClr w14:val="tx1"/>
            </w14:solidFill>
          </w14:textFill>
        </w:rPr>
        <w:t>从</w:t>
      </w:r>
      <w:r>
        <w:rPr>
          <w:rFonts w:hint="eastAsia" w:ascii="宋体" w:hAnsi="宋体" w:cs="宋体"/>
          <w:color w:val="000000" w:themeColor="text1"/>
          <w:sz w:val="15"/>
          <w:szCs w:val="15"/>
          <w:highlight w:val="none"/>
          <w:u w:val="single"/>
          <w:lang w:val="en-US" w:eastAsia="zh-CN"/>
          <w14:textFill>
            <w14:solidFill>
              <w14:schemeClr w14:val="tx1"/>
            </w14:solidFill>
          </w14:textFill>
        </w:rPr>
        <w:t>院内评审</w:t>
      </w:r>
      <w:r>
        <w:rPr>
          <w:rFonts w:hint="eastAsia" w:ascii="宋体" w:hAnsi="宋体" w:eastAsia="宋体" w:cs="宋体"/>
          <w:color w:val="000000" w:themeColor="text1"/>
          <w:sz w:val="15"/>
          <w:szCs w:val="15"/>
          <w:highlight w:val="none"/>
          <w:u w:val="single"/>
          <w14:textFill>
            <w14:solidFill>
              <w14:schemeClr w14:val="tx1"/>
            </w14:solidFill>
          </w14:textFill>
        </w:rPr>
        <w:t>专家库中通过电脑随机抽取</w:t>
      </w:r>
      <w:r>
        <w:rPr>
          <w:rFonts w:hint="eastAsia" w:ascii="宋体" w:hAnsi="宋体" w:eastAsia="宋体" w:cs="宋体"/>
          <w:color w:val="000000" w:themeColor="text1"/>
          <w:sz w:val="15"/>
          <w:szCs w:val="15"/>
          <w:highlight w:val="none"/>
          <w14:textFill>
            <w14:solidFill>
              <w14:schemeClr w14:val="tx1"/>
            </w14:solidFill>
          </w14:textFill>
        </w:rPr>
        <w:t>。</w:t>
      </w:r>
    </w:p>
    <w:p w14:paraId="392BB84A">
      <w:pPr>
        <w:keepNext w:val="0"/>
        <w:keepLines w:val="0"/>
        <w:pageBreakBefore w:val="0"/>
        <w:tabs>
          <w:tab w:val="left" w:pos="1140"/>
        </w:tabs>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23.2磋商时间、地点、人员：</w:t>
      </w:r>
    </w:p>
    <w:p w14:paraId="2CC37D3F">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23.2.1磋商时间：响应文件递交截止时间后。</w:t>
      </w:r>
    </w:p>
    <w:p w14:paraId="43273E8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23.2.2磋商地点：详见供应商须知前附表。</w:t>
      </w:r>
    </w:p>
    <w:p w14:paraId="39B7B678">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23.2.3磋商参加人员：详见供应商须知前附表</w:t>
      </w:r>
      <w:r>
        <w:rPr>
          <w:rFonts w:hint="eastAsia" w:ascii="宋体" w:hAnsi="宋体" w:eastAsia="宋体" w:cs="宋体"/>
          <w:b/>
          <w:color w:val="000000" w:themeColor="text1"/>
          <w:sz w:val="15"/>
          <w:szCs w:val="15"/>
          <w:highlight w:val="none"/>
          <w14:textFill>
            <w14:solidFill>
              <w14:schemeClr w14:val="tx1"/>
            </w14:solidFill>
          </w14:textFill>
        </w:rPr>
        <w:t>。</w:t>
      </w:r>
    </w:p>
    <w:p w14:paraId="59DFCB4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position w:val="-2"/>
          <w:sz w:val="15"/>
          <w:szCs w:val="15"/>
          <w:highlight w:val="none"/>
          <w14:textFill>
            <w14:solidFill>
              <w14:schemeClr w14:val="tx1"/>
            </w14:solidFill>
          </w14:textFill>
        </w:rPr>
        <w:t>23.2.4</w:t>
      </w:r>
      <w:r>
        <w:rPr>
          <w:rFonts w:hint="eastAsia" w:ascii="宋体" w:hAnsi="宋体" w:eastAsia="宋体" w:cs="宋体"/>
          <w:bCs/>
          <w:color w:val="000000" w:themeColor="text1"/>
          <w:sz w:val="15"/>
          <w:szCs w:val="15"/>
          <w:highlight w:val="none"/>
          <w14:textFill>
            <w14:solidFill>
              <w14:schemeClr w14:val="tx1"/>
            </w14:solidFill>
          </w14:textFill>
        </w:rPr>
        <w:t>响应文件递交截止时间后，由磋商小组在评标室内开启响应文件。</w:t>
      </w:r>
    </w:p>
    <w:p w14:paraId="1EE346B9">
      <w:pPr>
        <w:keepNext w:val="0"/>
        <w:keepLines w:val="0"/>
        <w:pageBreakBefore w:val="0"/>
        <w:tabs>
          <w:tab w:val="left" w:pos="1140"/>
        </w:tabs>
        <w:kinsoku/>
        <w:wordWrap/>
        <w:overflowPunct/>
        <w:topLinePunct w:val="0"/>
        <w:bidi w:val="0"/>
        <w:spacing w:line="240" w:lineRule="auto"/>
        <w:ind w:left="59" w:hanging="42" w:hangingChars="28"/>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24.评审原则和评审办法</w:t>
      </w:r>
    </w:p>
    <w:p w14:paraId="4C8F123A">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24.1磋商小组必须坚持公平、公正、科学和择优的原则。</w:t>
      </w:r>
    </w:p>
    <w:p w14:paraId="0D12D85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24.2评审办法：具体详见第</w:t>
      </w:r>
      <w:r>
        <w:rPr>
          <w:rFonts w:hint="eastAsia" w:ascii="宋体" w:hAnsi="宋体" w:cs="宋体"/>
          <w:color w:val="000000" w:themeColor="text1"/>
          <w:sz w:val="15"/>
          <w:szCs w:val="15"/>
          <w:highlight w:val="none"/>
          <w:lang w:val="en-US" w:eastAsia="zh-CN"/>
          <w14:textFill>
            <w14:solidFill>
              <w14:schemeClr w14:val="tx1"/>
            </w14:solidFill>
          </w14:textFill>
        </w:rPr>
        <w:t>四</w:t>
      </w:r>
      <w:r>
        <w:rPr>
          <w:rFonts w:hint="eastAsia" w:ascii="宋体" w:hAnsi="宋体" w:eastAsia="宋体" w:cs="宋体"/>
          <w:color w:val="000000" w:themeColor="text1"/>
          <w:sz w:val="15"/>
          <w:szCs w:val="15"/>
          <w:highlight w:val="none"/>
          <w14:textFill>
            <w14:solidFill>
              <w14:schemeClr w14:val="tx1"/>
            </w14:solidFill>
          </w14:textFill>
        </w:rPr>
        <w:t>章评审办法。</w:t>
      </w:r>
    </w:p>
    <w:p w14:paraId="4868B543">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24.3磋商小组应按磋商文件进行评审，不得擅自更改评审办法。</w:t>
      </w:r>
    </w:p>
    <w:p w14:paraId="783E45F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24.4在评审过程中，磋商小组任何人不得对某个供应商发表任何倾向性意见，不得向其他磋商小组成员明示或者暗示自己的评审意见。</w:t>
      </w:r>
    </w:p>
    <w:p w14:paraId="7C89F29D">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24.5磋商小组成员对需要共同认定的事项存在争议的，按照少数服从多数的原则作出结论。持不同意见的磋商小组成员应当在评审报告上签署不同意见并说明理由，否则视为同意。</w:t>
      </w:r>
    </w:p>
    <w:p w14:paraId="619AE730">
      <w:pPr>
        <w:keepNext w:val="0"/>
        <w:keepLines w:val="0"/>
        <w:pageBreakBefore w:val="0"/>
        <w:tabs>
          <w:tab w:val="left" w:pos="1140"/>
        </w:tabs>
        <w:kinsoku/>
        <w:wordWrap/>
        <w:overflowPunct/>
        <w:topLinePunct w:val="0"/>
        <w:bidi w:val="0"/>
        <w:spacing w:line="240" w:lineRule="auto"/>
        <w:ind w:left="59" w:hanging="42" w:hangingChars="28"/>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25.评审程序及磋商要求</w:t>
      </w:r>
    </w:p>
    <w:p w14:paraId="2E7383E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核实磋商小组成员身份，告知回避要求，宣布评审工作纪律和程序，统一保管通讯工具或相关设备，推选磋商小组组长。</w:t>
      </w:r>
    </w:p>
    <w:p w14:paraId="693959B8">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25.2磋商小组应当对发布公告的竞争性磋商文件（简称磋商文件）进行确认，审查供应商的响应文件并作出评价；要求供应商解释或者澄清其响应文件；编写评审报告；告知</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在评审过程中发现的供应商的违法违规行为。</w:t>
      </w:r>
    </w:p>
    <w:p w14:paraId="3380EA4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25.3磋商小组依据法律法规和竞争性磋商文件的规定，首先对响应文件中的资格证明等进行资格性审查，以确定供应商是否具备本项目供应商资格；</w:t>
      </w:r>
    </w:p>
    <w:p w14:paraId="29AB85C3">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eastAsia="宋体" w:cs="宋体"/>
          <w:b/>
          <w:bCs/>
          <w:color w:val="000000" w:themeColor="text1"/>
          <w:kern w:val="0"/>
          <w:sz w:val="15"/>
          <w:szCs w:val="15"/>
          <w:highlight w:val="none"/>
          <w14:textFill>
            <w14:solidFill>
              <w14:schemeClr w14:val="tx1"/>
            </w14:solidFill>
          </w14:textFill>
        </w:rPr>
        <w:t>在进行资格性审查时，磋商小组将进入《国家企业信用信息公示系统》对企业股东及出资等信息进行查询，对存在《中华人民共和国政府采购法实施条例》第十八条第一款情形的，其响应文件将被视为无效文件。</w:t>
      </w:r>
    </w:p>
    <w:p w14:paraId="2536894E">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eastAsia="宋体" w:cs="宋体"/>
          <w:b/>
          <w:bCs/>
          <w:color w:val="000000" w:themeColor="text1"/>
          <w:kern w:val="0"/>
          <w:sz w:val="15"/>
          <w:szCs w:val="15"/>
          <w:highlight w:val="none"/>
          <w14:textFill>
            <w14:solidFill>
              <w14:schemeClr w14:val="tx1"/>
            </w14:solidFill>
          </w14:textFill>
        </w:rPr>
        <w:t>审查流程</w:t>
      </w:r>
    </w:p>
    <w:p w14:paraId="1DEC8050">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1.</w:t>
      </w:r>
      <w:r>
        <w:rPr>
          <w:rFonts w:hint="eastAsia" w:ascii="宋体" w:hAnsi="宋体" w:eastAsia="宋体" w:cs="宋体"/>
          <w:b/>
          <w:bCs/>
          <w:color w:val="000000" w:themeColor="text1"/>
          <w:kern w:val="0"/>
          <w:sz w:val="15"/>
          <w:szCs w:val="15"/>
          <w:highlight w:val="none"/>
          <w14:textFill>
            <w14:solidFill>
              <w14:schemeClr w14:val="tx1"/>
            </w14:solidFill>
          </w14:textFill>
        </w:rPr>
        <w:t>进入《国家企业信用信息公示系统》（网址：http://www.gsxt.gov.cn/index.html），输入企业名称，进入企业信息主页面。</w:t>
      </w:r>
    </w:p>
    <w:p w14:paraId="33ACF811">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2.</w:t>
      </w:r>
      <w:r>
        <w:rPr>
          <w:rFonts w:hint="eastAsia" w:ascii="宋体" w:hAnsi="宋体" w:eastAsia="宋体" w:cs="宋体"/>
          <w:b/>
          <w:bCs/>
          <w:color w:val="000000" w:themeColor="text1"/>
          <w:kern w:val="0"/>
          <w:sz w:val="15"/>
          <w:szCs w:val="15"/>
          <w:highlight w:val="none"/>
          <w14:textFill>
            <w14:solidFill>
              <w14:schemeClr w14:val="tx1"/>
            </w14:solidFill>
          </w14:textFill>
        </w:rPr>
        <w:t>查看主页“股东及出资信息”栏，或年报中的“股东及出资信息”栏信息。</w:t>
      </w:r>
    </w:p>
    <w:p w14:paraId="42A19726">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3.</w:t>
      </w:r>
      <w:r>
        <w:rPr>
          <w:rFonts w:hint="eastAsia" w:ascii="宋体" w:hAnsi="宋体" w:eastAsia="宋体" w:cs="宋体"/>
          <w:b/>
          <w:bCs/>
          <w:color w:val="000000" w:themeColor="text1"/>
          <w:kern w:val="0"/>
          <w:sz w:val="15"/>
          <w:szCs w:val="15"/>
          <w:highlight w:val="none"/>
          <w14:textFill>
            <w14:solidFill>
              <w14:schemeClr w14:val="tx1"/>
            </w14:solidFill>
          </w14:textFill>
        </w:rPr>
        <w:t>将各供应商的股东及出资信息进行比对，如发现存在单位负责人为同一人或者存在直接控股、管理关系的不同供应商参加同一合同项下的政府采购活动，按无效处理。</w:t>
      </w:r>
    </w:p>
    <w:p w14:paraId="3CD2683F">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4.</w:t>
      </w:r>
      <w:r>
        <w:rPr>
          <w:rFonts w:hint="eastAsia" w:ascii="宋体" w:hAnsi="宋体" w:eastAsia="宋体" w:cs="宋体"/>
          <w:b/>
          <w:bCs/>
          <w:color w:val="000000" w:themeColor="text1"/>
          <w:kern w:val="0"/>
          <w:sz w:val="15"/>
          <w:szCs w:val="15"/>
          <w:highlight w:val="none"/>
          <w14:textFill>
            <w14:solidFill>
              <w14:schemeClr w14:val="tx1"/>
            </w14:solidFill>
          </w14:textFill>
        </w:rPr>
        <w:t>将相关资料打印存档。</w:t>
      </w:r>
    </w:p>
    <w:p w14:paraId="76168A8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再对通过资格性审查的供应商响应文件的有效性、完整性和对磋商文件的响应程度进行符合性审查，以确定是否对磋商文件的实质性要求做出响应。</w:t>
      </w:r>
    </w:p>
    <w:p w14:paraId="5F8EBF90">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25.4磋商小组如发现供应商提供采购需求要求的证明文件不齐全或不符合规定格式的，应一次性告知供应商，供应商应在规定的时间内当场补正或更正。</w:t>
      </w:r>
    </w:p>
    <w:p w14:paraId="1C65119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负责人或相应的授权委托代表签字或者加盖供应商公章。</w:t>
      </w:r>
    </w:p>
    <w:p w14:paraId="7559A3CB">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根据磋商文件规定的程序、评定成交的标准等事项与实质性响应竞争性磋商文件要求的供应商进行磋商。未实质性响应磋商文件</w:t>
      </w:r>
      <w:r>
        <w:rPr>
          <w:rFonts w:hint="eastAsia" w:ascii="宋体" w:hAnsi="宋体" w:cs="宋体"/>
          <w:color w:val="000000" w:themeColor="text1"/>
          <w:sz w:val="15"/>
          <w:szCs w:val="15"/>
          <w:highlight w:val="none"/>
          <w:lang w:val="en-US" w:eastAsia="zh-CN"/>
          <w14:textFill>
            <w14:solidFill>
              <w14:schemeClr w14:val="tx1"/>
            </w14:solidFill>
          </w14:textFill>
        </w:rPr>
        <w:t>或未按规定格式要求编制</w:t>
      </w:r>
      <w:r>
        <w:rPr>
          <w:rFonts w:hint="eastAsia" w:ascii="宋体" w:hAnsi="宋体" w:eastAsia="宋体" w:cs="宋体"/>
          <w:color w:val="000000" w:themeColor="text1"/>
          <w:sz w:val="15"/>
          <w:szCs w:val="15"/>
          <w:highlight w:val="none"/>
          <w14:textFill>
            <w14:solidFill>
              <w14:schemeClr w14:val="tx1"/>
            </w14:solidFill>
          </w14:textFill>
        </w:rPr>
        <w:t>的响应文件按无效处理，磋商小组应当告知有关供应商。</w:t>
      </w:r>
    </w:p>
    <w:p w14:paraId="5E7AF19E">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磋商小组所有成员应当按已确定的磋商顺序集中与单一供应商分别进行磋商，并给予所有实质性响应竞争性磋商文件要求的供应商平等的磋商机会。</w:t>
      </w:r>
    </w:p>
    <w:p w14:paraId="009192D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磋商中，磋商小组不得透露与磋商有关的其他供应商的技术资料、价格和其他信息。</w:t>
      </w:r>
    </w:p>
    <w:p w14:paraId="4248FAD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对磋商过程和重要磋商内容进行记录，磋商双方在记录上签字确认。</w:t>
      </w:r>
    </w:p>
    <w:p w14:paraId="282CF65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25.6在磋商过程中，磋商小组可以根据磋商文件和磋商情况实质性变动项目需求中的技术、服务要求以及合同草案条款，但不得变动磋商文件中的其他内容。实质性变动的内容，须经采购人代表确认。</w:t>
      </w:r>
    </w:p>
    <w:p w14:paraId="750DB65E">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对磋商文件作出的实质性变动是磋商文件的有效组成部分，磋商小组应当及时以书面形式同时通知所有参加磋商的供应商。</w:t>
      </w:r>
    </w:p>
    <w:p w14:paraId="15736587">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供应商应当按照磋商文件的变动情况和磋商小组的要求重新提交响应文件，并由其法定代表人、负责人或相应的授权委托代表签字或者加盖供应商公章。逾时不交的，视同放弃磋商。</w:t>
      </w:r>
    </w:p>
    <w:p w14:paraId="0B6F7DE9">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25.8最后报价</w:t>
      </w:r>
    </w:p>
    <w:p w14:paraId="5B13253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25.8.1磋商文件能够详细列明采购标的的技术、服务要求的，磋商结束后，磋商小组应当要求所有继续参加磋商的供应商在规定时间内密封提交最后报价，提交最后报价的供应商不得少于3家。</w:t>
      </w:r>
    </w:p>
    <w:p w14:paraId="49C890D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25.8.2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密封提交最后报价。</w:t>
      </w:r>
    </w:p>
    <w:p w14:paraId="6F48F83F">
      <w:pPr>
        <w:pStyle w:val="15"/>
        <w:spacing w:line="240" w:lineRule="auto"/>
        <w:ind w:firstLine="300" w:firstLineChars="200"/>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pPr>
      <w:r>
        <w:rPr>
          <w:rFonts w:hint="eastAsia" w:ascii="宋体" w:hAnsi="宋体" w:cs="宋体"/>
          <w:color w:val="000000" w:themeColor="text1"/>
          <w:kern w:val="2"/>
          <w:sz w:val="15"/>
          <w:szCs w:val="15"/>
          <w:highlight w:val="none"/>
          <w:lang w:val="en-US" w:eastAsia="zh-CN" w:bidi="ar-SA"/>
          <w14:textFill>
            <w14:solidFill>
              <w14:schemeClr w14:val="tx1"/>
            </w14:solidFill>
          </w14:textFill>
        </w:rPr>
        <w:t>25.8.3</w:t>
      </w:r>
      <w:r>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t xml:space="preserve">根据《财政部关于政府采购竞争性磋商采购方式管理暂行办法有关问题的补充通知》(财库〔2014〕214 号)的规定，如采购项目为政府购买服务项目（含政府和社会资本合作项目），在采购过程中符合要求的供应商（社会资本）只有 2 家的，竞争性磋商采购活动可以继续进行，并要求其在规定时间内线上提交最后报价；采购过程中符合要求的供应商（社会资本）只有 1 家的，采购人或者采购人应当终止竞争性磋商采购活动，发布项目终止公告并说明原因，重新开展采购活动。 </w:t>
      </w:r>
    </w:p>
    <w:p w14:paraId="4CD2D5EF">
      <w:pPr>
        <w:pStyle w:val="15"/>
        <w:spacing w:line="240" w:lineRule="auto"/>
        <w:ind w:firstLine="300" w:firstLineChars="200"/>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pPr>
      <w:r>
        <w:rPr>
          <w:rFonts w:hint="eastAsia" w:ascii="宋体" w:hAnsi="宋体" w:cs="宋体"/>
          <w:color w:val="000000" w:themeColor="text1"/>
          <w:kern w:val="2"/>
          <w:sz w:val="15"/>
          <w:szCs w:val="15"/>
          <w:highlight w:val="none"/>
          <w:lang w:val="en-US" w:eastAsia="zh-CN" w:bidi="ar-SA"/>
          <w14:textFill>
            <w14:solidFill>
              <w14:schemeClr w14:val="tx1"/>
            </w14:solidFill>
          </w14:textFill>
        </w:rPr>
        <w:t>25.8.4</w:t>
      </w:r>
      <w:r>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t>根据《政府采购竞争性磋商采购方式管理暂行办法》(财库〔2014〕214 号)的规定：最后报价是供应商响应文件的有效组成部分。 符合本办法(财库〔2014〕214号文)第三条第四项情形的，提交最后报价的供应商可以为2家。</w:t>
      </w:r>
    </w:p>
    <w:p w14:paraId="58B7D17C">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w:t>
      </w:r>
      <w:r>
        <w:rPr>
          <w:rFonts w:hint="eastAsia" w:ascii="宋体" w:hAnsi="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最后报价是供应商响应文件的有效组成部分。</w:t>
      </w:r>
    </w:p>
    <w:p w14:paraId="3424727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25.9已提交响应文件的供应商，在提交最后报价之前，可以根据磋商情况书面退出磋商。</w:t>
      </w:r>
    </w:p>
    <w:p w14:paraId="126EC8B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未书面退出磋商的供应商在规定时间内密封提交最后报价，其最后报价超过预算金额导致已通过评审的响应文件无效的，按供应商在提交响应文件截止时间后撤销响应文件处理。</w:t>
      </w:r>
    </w:p>
    <w:p w14:paraId="08BBCCDE">
      <w:pPr>
        <w:keepNext w:val="0"/>
        <w:keepLines w:val="0"/>
        <w:pageBreakBefore w:val="0"/>
        <w:widowControl/>
        <w:tabs>
          <w:tab w:val="left" w:pos="540"/>
        </w:tabs>
        <w:kinsoku/>
        <w:wordWrap/>
        <w:overflowPunct/>
        <w:topLinePunct w:val="0"/>
        <w:bidi w:val="0"/>
        <w:spacing w:line="240" w:lineRule="auto"/>
        <w:ind w:firstLine="300" w:firstLineChars="200"/>
        <w:jc w:val="left"/>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25.10评审报告</w:t>
      </w:r>
    </w:p>
    <w:p w14:paraId="6767FE5A">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磋商小组应当从质量和服务均能满足磋商文件全部实质性响应要求的供应商中，按照最后综合得分由高到低的顺序提出3名以上（含3名）成交候选人，并编写评审报告。</w:t>
      </w:r>
    </w:p>
    <w:p w14:paraId="715936C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发现磋商小组有明显的违规倾向或歧视现象，或不按评审办法进行，或其他不正常行为的，应当及时制止。如制止无效，应及时向采购监督管理机构报告。</w:t>
      </w:r>
    </w:p>
    <w:p w14:paraId="5E6CA159">
      <w:pPr>
        <w:pStyle w:val="20"/>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26.确定成交供应商</w:t>
      </w:r>
    </w:p>
    <w:p w14:paraId="19BC306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（1）磋商小组应当根据综合得分由高到低排列次序，若得分相同时，以最后报价由低到高顺序排列；若仍相同的，依次按</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服务方案</w:t>
      </w:r>
      <w:r>
        <w:rPr>
          <w:rFonts w:hint="eastAsia" w:ascii="宋体" w:hAnsi="宋体" w:eastAsia="宋体" w:cs="宋体"/>
          <w:color w:val="000000" w:themeColor="text1"/>
          <w:kern w:val="0"/>
          <w:sz w:val="15"/>
          <w:szCs w:val="15"/>
          <w:highlight w:val="none"/>
          <w14:textFill>
            <w14:solidFill>
              <w14:schemeClr w14:val="tx1"/>
            </w14:solidFill>
          </w14:textFill>
        </w:rPr>
        <w:t>分、服务承诺分、企业实力分由高到低顺序排列并推荐成交候选供应商。</w:t>
      </w:r>
    </w:p>
    <w:p w14:paraId="19028B5D">
      <w:pPr>
        <w:keepNext w:val="0"/>
        <w:keepLines w:val="0"/>
        <w:pageBreakBefore w:val="0"/>
        <w:tabs>
          <w:tab w:val="left" w:pos="4214"/>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（2）磋商小组可推荐前三名为中标候选人，采购人应当确定磋商小组推荐排名第一的中标候选人为成交供应商。</w:t>
      </w:r>
    </w:p>
    <w:p w14:paraId="5FE8E834">
      <w:pPr>
        <w:keepNext w:val="0"/>
        <w:keepLines w:val="0"/>
        <w:pageBreakBefore w:val="0"/>
        <w:kinsoku/>
        <w:wordWrap/>
        <w:overflowPunct/>
        <w:topLinePunct w:val="0"/>
        <w:bidi w:val="0"/>
        <w:snapToGrid w:val="0"/>
        <w:spacing w:line="240" w:lineRule="auto"/>
        <w:ind w:firstLine="300" w:firstLineChars="200"/>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t>
      </w:r>
    </w:p>
    <w:p w14:paraId="13735048">
      <w:pPr>
        <w:keepNext w:val="0"/>
        <w:keepLines w:val="0"/>
        <w:pageBreakBefore w:val="0"/>
        <w:widowControl/>
        <w:shd w:val="clear" w:color="auto" w:fill="FFFFFF"/>
        <w:kinsoku/>
        <w:wordWrap/>
        <w:overflowPunct/>
        <w:topLinePunct w:val="0"/>
        <w:bidi w:val="0"/>
        <w:spacing w:line="240" w:lineRule="auto"/>
        <w:jc w:val="left"/>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27.</w:t>
      </w:r>
      <w:r>
        <w:rPr>
          <w:rFonts w:hint="eastAsia" w:ascii="宋体" w:hAnsi="宋体" w:eastAsia="宋体" w:cs="宋体"/>
          <w:b/>
          <w:color w:val="000000" w:themeColor="text1"/>
          <w:sz w:val="15"/>
          <w:szCs w:val="15"/>
          <w:highlight w:val="none"/>
          <w14:textFill>
            <w14:solidFill>
              <w14:schemeClr w14:val="tx1"/>
            </w14:solidFill>
          </w14:textFill>
        </w:rPr>
        <w:t>属于下列情况之一者，响应文件无效：</w:t>
      </w:r>
    </w:p>
    <w:p w14:paraId="4090150F">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（1）未按磋商文件规定完整线上提交响应文件或未按规定要求线上签字、签章的；</w:t>
      </w:r>
    </w:p>
    <w:p w14:paraId="2D647E7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（2）不具备磋商文件规定的资格要求的；</w:t>
      </w:r>
    </w:p>
    <w:p w14:paraId="4B22C8F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（3）响应文件未按磋商文件的内容和要求编制，或提供虚假材料的；</w:t>
      </w:r>
    </w:p>
    <w:p w14:paraId="653811A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（4）供应商未就“项目要求”中的所有内容作完整唯一报价的，或报价超过上限控制价的；</w:t>
      </w:r>
    </w:p>
    <w:p w14:paraId="7FCA2F2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（5）未在磋商小组规定的时间内提交响应文件(包括最后报价)的；</w:t>
      </w:r>
    </w:p>
    <w:p w14:paraId="2747664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（6）超越了按照法律法规规定必须获得行政许可或者行政审批的经营范围的；</w:t>
      </w:r>
    </w:p>
    <w:p w14:paraId="5C829EBA">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（7）未满足磋商文件实质性要求的或者响应文件有采购人不能接受的附加条件的；</w:t>
      </w:r>
    </w:p>
    <w:p w14:paraId="538A036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（8）响应文件实质性要求未</w:t>
      </w:r>
      <w:r>
        <w:rPr>
          <w:rFonts w:hint="eastAsia" w:ascii="宋体" w:hAnsi="宋体" w:cs="宋体"/>
          <w:color w:val="000000" w:themeColor="text1"/>
          <w:sz w:val="15"/>
          <w:szCs w:val="15"/>
          <w:highlight w:val="none"/>
          <w:lang w:eastAsia="zh-CN"/>
          <w14:textFill>
            <w14:solidFill>
              <w14:schemeClr w14:val="tx1"/>
            </w14:solidFill>
          </w14:textFill>
        </w:rPr>
        <w:t>作变动</w:t>
      </w:r>
      <w:r>
        <w:rPr>
          <w:rFonts w:hint="eastAsia" w:ascii="宋体" w:hAnsi="宋体" w:eastAsia="宋体" w:cs="宋体"/>
          <w:color w:val="000000" w:themeColor="text1"/>
          <w:sz w:val="15"/>
          <w:szCs w:val="15"/>
          <w:highlight w:val="none"/>
          <w14:textFill>
            <w14:solidFill>
              <w14:schemeClr w14:val="tx1"/>
            </w14:solidFill>
          </w14:textFill>
        </w:rPr>
        <w:t>，供应商最后报价高于第一次报价的；</w:t>
      </w:r>
    </w:p>
    <w:p w14:paraId="16847BC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（9）不符合</w:t>
      </w:r>
      <w:r>
        <w:rPr>
          <w:rFonts w:hint="eastAsia" w:ascii="宋体" w:hAnsi="宋体" w:cs="宋体"/>
          <w:color w:val="000000" w:themeColor="text1"/>
          <w:sz w:val="15"/>
          <w:szCs w:val="15"/>
          <w:highlight w:val="none"/>
          <w:lang w:eastAsia="zh-CN"/>
          <w14:textFill>
            <w14:solidFill>
              <w14:schemeClr w14:val="tx1"/>
            </w14:solidFill>
          </w14:textFill>
        </w:rPr>
        <w:t>法律法规</w:t>
      </w:r>
      <w:r>
        <w:rPr>
          <w:rFonts w:hint="eastAsia" w:ascii="宋体" w:hAnsi="宋体" w:eastAsia="宋体" w:cs="宋体"/>
          <w:color w:val="000000" w:themeColor="text1"/>
          <w:sz w:val="15"/>
          <w:szCs w:val="15"/>
          <w:highlight w:val="none"/>
          <w14:textFill>
            <w14:solidFill>
              <w14:schemeClr w14:val="tx1"/>
            </w14:solidFill>
          </w14:textFill>
        </w:rPr>
        <w:t>和磋商文件规定的其他实质性要求和条件的。</w:t>
      </w:r>
    </w:p>
    <w:p w14:paraId="10C955D1">
      <w:pPr>
        <w:keepNext w:val="0"/>
        <w:keepLines w:val="0"/>
        <w:pageBreakBefore w:val="0"/>
        <w:kinsoku/>
        <w:wordWrap/>
        <w:overflowPunct/>
        <w:topLinePunct w:val="0"/>
        <w:bidi w:val="0"/>
        <w:snapToGrid w:val="0"/>
        <w:spacing w:line="240" w:lineRule="auto"/>
        <w:ind w:firstLine="375" w:firstLineChars="249"/>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供应商有下列情形之一的，视为串通磋商，关联供应商响应文件将全部被视为无效：</w:t>
      </w:r>
    </w:p>
    <w:p w14:paraId="5BFAEA1F">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（1）不同供应商的响应文件由同一单位或者个人编制；或不同供应商报名的地址一致的；</w:t>
      </w:r>
    </w:p>
    <w:p w14:paraId="0AC19A4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（2）不同供应商委托同一单位或者个人办理磋商事宜；</w:t>
      </w:r>
    </w:p>
    <w:p w14:paraId="782E58DC">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（3）不同的供应商的响应文件载明的项目管理员为同一个人；</w:t>
      </w:r>
    </w:p>
    <w:p w14:paraId="0D803A4D">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（4）不同供应商的响应文件异常一致或磋商报价呈规律性差异；</w:t>
      </w:r>
    </w:p>
    <w:p w14:paraId="0C5989B9">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（5）不同供应商的响应文件相互混装；</w:t>
      </w:r>
    </w:p>
    <w:p w14:paraId="034120C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（6）响应文件实质性要求未</w:t>
      </w:r>
      <w:r>
        <w:rPr>
          <w:rFonts w:hint="eastAsia" w:ascii="宋体" w:hAnsi="宋体" w:cs="宋体"/>
          <w:color w:val="000000" w:themeColor="text1"/>
          <w:sz w:val="15"/>
          <w:szCs w:val="15"/>
          <w:highlight w:val="none"/>
          <w:lang w:eastAsia="zh-CN"/>
          <w14:textFill>
            <w14:solidFill>
              <w14:schemeClr w14:val="tx1"/>
            </w14:solidFill>
          </w14:textFill>
        </w:rPr>
        <w:t>作变动</w:t>
      </w:r>
      <w:r>
        <w:rPr>
          <w:rFonts w:hint="eastAsia" w:ascii="宋体" w:hAnsi="宋体" w:eastAsia="宋体" w:cs="宋体"/>
          <w:color w:val="000000" w:themeColor="text1"/>
          <w:sz w:val="15"/>
          <w:szCs w:val="15"/>
          <w:highlight w:val="none"/>
          <w14:textFill>
            <w14:solidFill>
              <w14:schemeClr w14:val="tx1"/>
            </w14:solidFill>
          </w14:textFill>
        </w:rPr>
        <w:t>，供应商最终报价高于第一次报价的。</w:t>
      </w:r>
    </w:p>
    <w:p w14:paraId="268826D9">
      <w:pPr>
        <w:keepNext w:val="0"/>
        <w:keepLines w:val="0"/>
        <w:pageBreakBefore w:val="0"/>
        <w:kinsoku/>
        <w:wordWrap/>
        <w:overflowPunct/>
        <w:topLinePunct w:val="0"/>
        <w:bidi w:val="0"/>
        <w:snapToGrid w:val="0"/>
        <w:spacing w:line="240" w:lineRule="auto"/>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28.出现下列情形之一的，采购人或者</w:t>
      </w:r>
      <w:r>
        <w:rPr>
          <w:rFonts w:hint="eastAsia" w:ascii="宋体" w:hAnsi="宋体" w:cs="宋体"/>
          <w:b/>
          <w:color w:val="000000" w:themeColor="text1"/>
          <w:sz w:val="15"/>
          <w:szCs w:val="15"/>
          <w:highlight w:val="none"/>
          <w:lang w:eastAsia="zh-CN"/>
          <w14:textFill>
            <w14:solidFill>
              <w14:schemeClr w14:val="tx1"/>
            </w14:solidFill>
          </w14:textFill>
        </w:rPr>
        <w:t>采购人</w:t>
      </w:r>
      <w:r>
        <w:rPr>
          <w:rFonts w:hint="eastAsia" w:ascii="宋体" w:hAnsi="宋体" w:eastAsia="宋体" w:cs="宋体"/>
          <w:b/>
          <w:color w:val="000000" w:themeColor="text1"/>
          <w:sz w:val="15"/>
          <w:szCs w:val="15"/>
          <w:highlight w:val="none"/>
          <w14:textFill>
            <w14:solidFill>
              <w14:schemeClr w14:val="tx1"/>
            </w14:solidFill>
          </w14:textFill>
        </w:rPr>
        <w:t>应当终止竞争性磋商采购活动，发布项目终止公告并说明原因，重新开展采购活动：</w:t>
      </w:r>
    </w:p>
    <w:p w14:paraId="4F65099E">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（1）因情况变化，不再符合规定的竞争性磋商采购方式适用情形的；</w:t>
      </w:r>
    </w:p>
    <w:p w14:paraId="6D7372B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（2）出现影响采购公正的违法、违规行为的；</w:t>
      </w:r>
    </w:p>
    <w:p w14:paraId="641A82CB">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（3）在采购过程中符合竞争要求的供应商或者报价未超过采购预算的供应商不足3家的。</w:t>
      </w:r>
    </w:p>
    <w:p w14:paraId="0AD98263">
      <w:pPr>
        <w:keepNext w:val="0"/>
        <w:keepLines w:val="0"/>
        <w:pageBreakBefore w:val="0"/>
        <w:kinsoku/>
        <w:wordWrap/>
        <w:overflowPunct/>
        <w:topLinePunct w:val="0"/>
        <w:bidi w:val="0"/>
        <w:snapToGrid w:val="0"/>
        <w:spacing w:line="240" w:lineRule="auto"/>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29.磋商过程的监控</w:t>
      </w:r>
    </w:p>
    <w:p w14:paraId="0CB7CEA5">
      <w:pPr>
        <w:pStyle w:val="20"/>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本项目磋商过程实行全程录音、录像监控，供应商在磋商过程中所进行的试图影响磋商结果的不公正活动，可能导致其磋商被拒绝。</w:t>
      </w:r>
    </w:p>
    <w:p w14:paraId="381905A9">
      <w:pPr>
        <w:pStyle w:val="20"/>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30.成交公告及成交通知书</w:t>
      </w:r>
    </w:p>
    <w:p w14:paraId="4A9DE87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cs="宋体"/>
          <w:color w:val="000000" w:themeColor="text1"/>
          <w:sz w:val="15"/>
          <w:szCs w:val="15"/>
          <w:highlight w:val="none"/>
          <w:lang w:val="en-US" w:eastAsia="zh-CN"/>
          <w14:textFill>
            <w14:solidFill>
              <w14:schemeClr w14:val="tx1"/>
            </w14:solidFill>
          </w14:textFill>
        </w:rPr>
        <w:t>按</w:t>
      </w:r>
      <w:r>
        <w:rPr>
          <w:rFonts w:hint="eastAsia" w:ascii="宋体" w:hAnsi="宋体" w:eastAsia="宋体" w:cs="宋体"/>
          <w:color w:val="000000" w:themeColor="text1"/>
          <w:sz w:val="15"/>
          <w:szCs w:val="15"/>
          <w:highlight w:val="none"/>
          <w14:textFill>
            <w14:solidFill>
              <w14:schemeClr w14:val="tx1"/>
            </w14:solidFill>
          </w14:textFill>
        </w:rPr>
        <w:t>评审报告推荐的成交候选人中按顺序确定成交供应商，</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在成交供应商确定之日起两个工作日内在指定媒体上公告成交信息。</w:t>
      </w:r>
    </w:p>
    <w:p w14:paraId="4E2FF184">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25.2</w:t>
      </w:r>
      <w:r>
        <w:rPr>
          <w:rFonts w:hint="eastAsia" w:ascii="宋体" w:hAnsi="宋体" w:cs="宋体"/>
          <w:color w:val="000000" w:themeColor="text1"/>
          <w:sz w:val="15"/>
          <w:szCs w:val="15"/>
          <w:highlight w:val="none"/>
          <w:lang w:val="en-US" w:eastAsia="zh-CN"/>
          <w14:textFill>
            <w14:solidFill>
              <w14:schemeClr w14:val="tx1"/>
            </w14:solidFill>
          </w14:textFill>
        </w:rPr>
        <w:t>采购结果采用公开公告方式，不再向中标人发送纸质通知</w:t>
      </w:r>
      <w:r>
        <w:rPr>
          <w:rFonts w:hint="eastAsia" w:ascii="宋体" w:hAnsi="宋体" w:eastAsia="宋体" w:cs="宋体"/>
          <w:color w:val="000000" w:themeColor="text1"/>
          <w:sz w:val="15"/>
          <w:szCs w:val="15"/>
          <w:highlight w:val="none"/>
          <w14:textFill>
            <w14:solidFill>
              <w14:schemeClr w14:val="tx1"/>
            </w14:solidFill>
          </w14:textFill>
        </w:rPr>
        <w:t>。</w:t>
      </w:r>
    </w:p>
    <w:p w14:paraId="2BD9A815">
      <w:pPr>
        <w:pStyle w:val="20"/>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25.3</w:t>
      </w:r>
      <w:r>
        <w:rPr>
          <w:rFonts w:hint="eastAsia"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无义务向未成交的供应商解释未成交原因和退还响应文件。</w:t>
      </w:r>
    </w:p>
    <w:p w14:paraId="111D0CD2">
      <w:pPr>
        <w:pStyle w:val="20"/>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31.信用查询</w:t>
      </w:r>
    </w:p>
    <w:p w14:paraId="2F2F2B45">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对第一成交候选人进行信用查询：</w:t>
      </w:r>
    </w:p>
    <w:p w14:paraId="704A2DB1">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⑴查询渠道：“信用中国”网站(www.creditchina.gov.cn)等；</w:t>
      </w:r>
    </w:p>
    <w:p w14:paraId="0D553079">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⑵查询截止时点：成交通知书发出前；</w:t>
      </w:r>
    </w:p>
    <w:p w14:paraId="604CAAD5">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⑶信用信息查询记录和证据留存方式：在查询网站中直接打印查询记录，打印材料作为采购活动资料保存。</w:t>
      </w:r>
    </w:p>
    <w:p w14:paraId="53831B75">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⑷信用信息使用规则：对在“信用中国”网站(www.creditchina.gov.cn)等渠道列入失信被执行人、重大税收违法案件当事人名单、政府采购严重违法失信行为记录名单及其他不符合《中华人民共和国政府采购法》第二十二条规定条件的供应商，取消其成交候选人资格。</w:t>
      </w:r>
    </w:p>
    <w:p w14:paraId="1CBA1EC9">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84" w:name="_Toc28208"/>
      <w:bookmarkStart w:id="285" w:name="_Toc2338"/>
      <w:bookmarkStart w:id="286" w:name="_Toc25576"/>
      <w:bookmarkStart w:id="287" w:name="_Toc27551"/>
      <w:bookmarkStart w:id="288" w:name="_Toc28418"/>
      <w:bookmarkStart w:id="289" w:name="_Toc5190"/>
      <w:bookmarkStart w:id="290" w:name="_Toc30671"/>
      <w:bookmarkStart w:id="291" w:name="_Toc2554"/>
      <w:r>
        <w:rPr>
          <w:rFonts w:hint="eastAsia" w:ascii="宋体" w:hAnsi="宋体" w:eastAsia="宋体" w:cs="宋体"/>
          <w:b/>
          <w:color w:val="000000" w:themeColor="text1"/>
          <w:sz w:val="15"/>
          <w:szCs w:val="15"/>
          <w:highlight w:val="none"/>
          <w14:textFill>
            <w14:solidFill>
              <w14:schemeClr w14:val="tx1"/>
            </w14:solidFill>
          </w14:textFill>
        </w:rPr>
        <w:t>32.成交公告及成交通知书</w:t>
      </w:r>
    </w:p>
    <w:p w14:paraId="6D2FCE46">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cs="宋体"/>
          <w:color w:val="000000" w:themeColor="text1"/>
          <w:sz w:val="15"/>
          <w:szCs w:val="15"/>
          <w:highlight w:val="none"/>
          <w:lang w:val="en-US" w:eastAsia="zh-CN"/>
          <w14:textFill>
            <w14:solidFill>
              <w14:schemeClr w14:val="tx1"/>
            </w14:solidFill>
          </w14:textFill>
        </w:rPr>
        <w:t>按</w:t>
      </w:r>
      <w:r>
        <w:rPr>
          <w:rFonts w:hint="eastAsia" w:ascii="宋体" w:hAnsi="宋体" w:eastAsia="宋体" w:cs="宋体"/>
          <w:color w:val="000000" w:themeColor="text1"/>
          <w:sz w:val="15"/>
          <w:szCs w:val="15"/>
          <w:highlight w:val="none"/>
          <w14:textFill>
            <w14:solidFill>
              <w14:schemeClr w14:val="tx1"/>
            </w14:solidFill>
          </w14:textFill>
        </w:rPr>
        <w:t>评审报告推荐的成交候选人中按顺序确定成交供应商，</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在成交供应商确定之日起两个工作日内在指定媒体上公告成交信息。</w:t>
      </w:r>
      <w:r>
        <w:rPr>
          <w:rFonts w:hint="eastAsia" w:ascii="宋体" w:hAnsi="宋体" w:cs="宋体"/>
          <w:color w:val="000000" w:themeColor="text1"/>
          <w:sz w:val="15"/>
          <w:szCs w:val="15"/>
          <w:highlight w:val="none"/>
          <w:lang w:val="en-US" w:eastAsia="zh-CN"/>
          <w14:textFill>
            <w14:solidFill>
              <w14:schemeClr w14:val="tx1"/>
            </w14:solidFill>
          </w14:textFill>
        </w:rPr>
        <w:t>采购结果采用公开公告方式，不再向中标人发送纸质通知</w:t>
      </w:r>
      <w:r>
        <w:rPr>
          <w:rFonts w:hint="eastAsia" w:ascii="宋体" w:hAnsi="宋体" w:eastAsia="宋体" w:cs="宋体"/>
          <w:color w:val="000000" w:themeColor="text1"/>
          <w:sz w:val="15"/>
          <w:szCs w:val="15"/>
          <w:highlight w:val="none"/>
          <w14:textFill>
            <w14:solidFill>
              <w14:schemeClr w14:val="tx1"/>
            </w14:solidFill>
          </w14:textFill>
        </w:rPr>
        <w:t>。</w:t>
      </w:r>
    </w:p>
    <w:p w14:paraId="3D20591D">
      <w:pPr>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32.2中小企业在政府采购活动过程中，请根据自己的真实情况出具《中小企业声明函》。采购人在公告成交结果时，同时公告其《中小企业声明函》，接受社会监督。</w:t>
      </w:r>
    </w:p>
    <w:p w14:paraId="5D0CE63A">
      <w:pPr>
        <w:keepNext w:val="0"/>
        <w:keepLines w:val="0"/>
        <w:pageBreakBefore w:val="0"/>
        <w:kinsoku/>
        <w:wordWrap/>
        <w:overflowPunct/>
        <w:topLinePunct w:val="0"/>
        <w:bidi w:val="0"/>
        <w:spacing w:line="240" w:lineRule="auto"/>
        <w:ind w:firstLine="300"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32.3</w:t>
      </w:r>
      <w:r>
        <w:rPr>
          <w:rFonts w:hint="eastAsia" w:ascii="宋体" w:hAnsi="宋体" w:cs="宋体"/>
          <w:bCs/>
          <w:color w:val="000000" w:themeColor="text1"/>
          <w:sz w:val="15"/>
          <w:szCs w:val="15"/>
          <w:highlight w:val="none"/>
          <w:lang w:eastAsia="zh-CN"/>
          <w14:textFill>
            <w14:solidFill>
              <w14:schemeClr w14:val="tx1"/>
            </w14:solidFill>
          </w14:textFill>
        </w:rPr>
        <w:t>采购人</w:t>
      </w:r>
      <w:r>
        <w:rPr>
          <w:rFonts w:hint="eastAsia" w:ascii="宋体" w:hAnsi="宋体" w:eastAsia="宋体" w:cs="宋体"/>
          <w:bCs/>
          <w:color w:val="000000" w:themeColor="text1"/>
          <w:sz w:val="15"/>
          <w:szCs w:val="15"/>
          <w:highlight w:val="none"/>
          <w14:textFill>
            <w14:solidFill>
              <w14:schemeClr w14:val="tx1"/>
            </w14:solidFill>
          </w14:textFill>
        </w:rPr>
        <w:t>无义务向未成交的供应商解释未成交原因和退还响应文件。</w:t>
      </w:r>
    </w:p>
    <w:p w14:paraId="486A14D1">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六、履约保证金及签订合同</w:t>
      </w:r>
      <w:bookmarkEnd w:id="282"/>
      <w:bookmarkEnd w:id="283"/>
      <w:bookmarkEnd w:id="284"/>
      <w:bookmarkEnd w:id="285"/>
      <w:bookmarkEnd w:id="286"/>
      <w:bookmarkEnd w:id="287"/>
      <w:bookmarkEnd w:id="288"/>
      <w:bookmarkEnd w:id="289"/>
      <w:bookmarkEnd w:id="290"/>
      <w:bookmarkEnd w:id="291"/>
    </w:p>
    <w:p w14:paraId="1B8D93FA">
      <w:pPr>
        <w:keepNext w:val="0"/>
        <w:keepLines w:val="0"/>
        <w:pageBreakBefore w:val="0"/>
        <w:kinsoku/>
        <w:wordWrap/>
        <w:overflowPunct/>
        <w:topLinePunct w:val="0"/>
        <w:bidi w:val="0"/>
        <w:spacing w:line="240" w:lineRule="auto"/>
        <w:rPr>
          <w:rFonts w:hint="eastAsia" w:ascii="宋体" w:hAnsi="宋体" w:eastAsia="宋体" w:cs="宋体"/>
          <w:color w:val="000000" w:themeColor="text1"/>
          <w:sz w:val="15"/>
          <w:szCs w:val="15"/>
          <w:highlight w:val="none"/>
          <w14:textFill>
            <w14:solidFill>
              <w14:schemeClr w14:val="tx1"/>
            </w14:solidFill>
          </w14:textFill>
        </w:rPr>
      </w:pPr>
      <w:bookmarkStart w:id="292" w:name="_Toc23694"/>
      <w:bookmarkStart w:id="293" w:name="_Toc6994"/>
      <w:bookmarkStart w:id="294" w:name="_Toc18671"/>
      <w:bookmarkStart w:id="295" w:name="_Toc25841"/>
      <w:bookmarkStart w:id="296" w:name="_Toc6419"/>
      <w:bookmarkStart w:id="297" w:name="_Toc75"/>
      <w:bookmarkStart w:id="298" w:name="_Toc12652"/>
      <w:bookmarkStart w:id="299" w:name="_Toc19555"/>
      <w:bookmarkStart w:id="300" w:name="_Toc30853"/>
      <w:r>
        <w:rPr>
          <w:rFonts w:hint="eastAsia" w:ascii="宋体" w:hAnsi="宋体" w:eastAsia="宋体" w:cs="宋体"/>
          <w:b/>
          <w:color w:val="000000" w:themeColor="text1"/>
          <w:sz w:val="15"/>
          <w:szCs w:val="15"/>
          <w:highlight w:val="none"/>
          <w14:textFill>
            <w14:solidFill>
              <w14:schemeClr w14:val="tx1"/>
            </w14:solidFill>
          </w14:textFill>
        </w:rPr>
        <w:t>33.履约保证金</w:t>
      </w:r>
      <w:bookmarkEnd w:id="292"/>
      <w:bookmarkEnd w:id="293"/>
      <w:bookmarkEnd w:id="294"/>
      <w:bookmarkEnd w:id="295"/>
      <w:bookmarkEnd w:id="296"/>
      <w:bookmarkEnd w:id="297"/>
      <w:bookmarkEnd w:id="298"/>
      <w:bookmarkEnd w:id="299"/>
      <w:bookmarkEnd w:id="300"/>
      <w:r>
        <w:rPr>
          <w:rFonts w:hint="eastAsia" w:ascii="宋体" w:hAnsi="宋体" w:eastAsia="宋体" w:cs="宋体"/>
          <w:b/>
          <w:color w:val="000000" w:themeColor="text1"/>
          <w:sz w:val="15"/>
          <w:szCs w:val="15"/>
          <w:highlight w:val="none"/>
          <w14:textFill>
            <w14:solidFill>
              <w14:schemeClr w14:val="tx1"/>
            </w14:solidFill>
          </w14:textFill>
        </w:rPr>
        <w:t>：“无”</w:t>
      </w:r>
    </w:p>
    <w:p w14:paraId="1E1927DC">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301" w:name="_Toc7195"/>
      <w:bookmarkStart w:id="302" w:name="_Toc26689"/>
      <w:bookmarkStart w:id="303" w:name="_Toc1860"/>
      <w:bookmarkStart w:id="304" w:name="_Toc29802"/>
      <w:bookmarkStart w:id="305" w:name="_Toc19699"/>
      <w:bookmarkStart w:id="306" w:name="_Toc18160"/>
      <w:bookmarkStart w:id="307" w:name="_Toc11201"/>
      <w:bookmarkStart w:id="308" w:name="_Toc15903"/>
      <w:bookmarkStart w:id="309" w:name="_Toc7237"/>
      <w:r>
        <w:rPr>
          <w:rFonts w:hint="eastAsia" w:ascii="宋体" w:hAnsi="宋体" w:eastAsia="宋体" w:cs="宋体"/>
          <w:b/>
          <w:color w:val="000000" w:themeColor="text1"/>
          <w:sz w:val="15"/>
          <w:szCs w:val="15"/>
          <w:highlight w:val="none"/>
          <w14:textFill>
            <w14:solidFill>
              <w14:schemeClr w14:val="tx1"/>
            </w14:solidFill>
          </w14:textFill>
        </w:rPr>
        <w:t>34.签订合同</w:t>
      </w:r>
      <w:bookmarkEnd w:id="301"/>
      <w:bookmarkEnd w:id="302"/>
      <w:bookmarkEnd w:id="303"/>
      <w:bookmarkEnd w:id="304"/>
      <w:bookmarkEnd w:id="305"/>
      <w:bookmarkEnd w:id="306"/>
      <w:bookmarkEnd w:id="307"/>
      <w:bookmarkEnd w:id="308"/>
      <w:bookmarkEnd w:id="309"/>
    </w:p>
    <w:p w14:paraId="5FFB4E2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34.1签订合同时间：成交通知书发出之日起</w:t>
      </w:r>
      <w:r>
        <w:rPr>
          <w:rFonts w:hint="eastAsia" w:ascii="宋体" w:hAnsi="宋体" w:cs="宋体"/>
          <w:color w:val="000000" w:themeColor="text1"/>
          <w:sz w:val="15"/>
          <w:szCs w:val="15"/>
          <w:highlight w:val="none"/>
          <w:lang w:val="en-US" w:eastAsia="zh-CN"/>
          <w14:textFill>
            <w14:solidFill>
              <w14:schemeClr w14:val="tx1"/>
            </w14:solidFill>
          </w14:textFill>
        </w:rPr>
        <w:t>15</w:t>
      </w:r>
      <w:r>
        <w:rPr>
          <w:rFonts w:hint="eastAsia" w:ascii="宋体" w:hAnsi="宋体" w:eastAsia="宋体" w:cs="宋体"/>
          <w:color w:val="000000" w:themeColor="text1"/>
          <w:sz w:val="15"/>
          <w:szCs w:val="15"/>
          <w:highlight w:val="none"/>
          <w:lang w:eastAsia="zh-CN"/>
          <w14:textFill>
            <w14:solidFill>
              <w14:schemeClr w14:val="tx1"/>
            </w14:solidFill>
          </w14:textFill>
        </w:rPr>
        <w:t>日内</w:t>
      </w:r>
      <w:r>
        <w:rPr>
          <w:rFonts w:hint="eastAsia" w:ascii="宋体" w:hAnsi="宋体" w:eastAsia="宋体" w:cs="宋体"/>
          <w:color w:val="000000" w:themeColor="text1"/>
          <w:sz w:val="15"/>
          <w:szCs w:val="15"/>
          <w:highlight w:val="none"/>
          <w14:textFill>
            <w14:solidFill>
              <w14:schemeClr w14:val="tx1"/>
            </w14:solidFill>
          </w14:textFill>
        </w:rPr>
        <w:t>。成交供应商应按规定与采购人签订合同。</w:t>
      </w:r>
    </w:p>
    <w:p w14:paraId="64153D4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34.2如中标供应商有下列情形之一的，情节严重的，由财政部门将其列入不良行为记录名单，在一至三年内禁止参加政府采购活动，并予以通报。采购人可从磋商小组推荐的中标候选供应商中按顺序重新确定中标供应商或重新组织磋商。</w:t>
      </w:r>
    </w:p>
    <w:p w14:paraId="7252F7DC">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（1）中标后不与采购人签订合同的（不可抗力除外）；</w:t>
      </w:r>
    </w:p>
    <w:p w14:paraId="2959F304">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（2）将中标项目转让给他人，或者在响应文件中未说明，且未经采购人同意，将中标项目分包给他人的；</w:t>
      </w:r>
    </w:p>
    <w:p w14:paraId="020E28B6">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（3）拒绝履行合同义务的。</w:t>
      </w:r>
    </w:p>
    <w:p w14:paraId="058FEFC9">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34.3合同备案存档：</w:t>
      </w:r>
      <w:r>
        <w:rPr>
          <w:rFonts w:hint="eastAsia" w:ascii="宋体" w:hAnsi="宋体" w:cs="宋体"/>
          <w:color w:val="000000" w:themeColor="text1"/>
          <w:sz w:val="15"/>
          <w:szCs w:val="15"/>
          <w:highlight w:val="none"/>
          <w:lang w:val="en-US" w:eastAsia="zh-CN"/>
          <w14:textFill>
            <w14:solidFill>
              <w14:schemeClr w14:val="tx1"/>
            </w14:solidFill>
          </w14:textFill>
        </w:rPr>
        <w:t>无</w:t>
      </w:r>
      <w:r>
        <w:rPr>
          <w:rFonts w:hint="eastAsia" w:ascii="宋体" w:hAnsi="宋体" w:eastAsia="宋体" w:cs="宋体"/>
          <w:color w:val="000000" w:themeColor="text1"/>
          <w:sz w:val="15"/>
          <w:szCs w:val="15"/>
          <w:highlight w:val="none"/>
          <w14:textFill>
            <w14:solidFill>
              <w14:schemeClr w14:val="tx1"/>
            </w14:solidFill>
          </w14:textFill>
        </w:rPr>
        <w:t>。</w:t>
      </w:r>
    </w:p>
    <w:p w14:paraId="3D96E5A9">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310" w:name="_Toc12109"/>
      <w:bookmarkStart w:id="311" w:name="_Toc19724"/>
      <w:bookmarkStart w:id="312" w:name="_Toc5916"/>
      <w:bookmarkStart w:id="313" w:name="_Toc15739"/>
      <w:bookmarkStart w:id="314" w:name="_Toc23824"/>
      <w:bookmarkStart w:id="315" w:name="_Toc16119"/>
      <w:bookmarkStart w:id="316" w:name="_Toc1909"/>
      <w:bookmarkStart w:id="317" w:name="_Toc495841761"/>
      <w:bookmarkStart w:id="318" w:name="_Toc10925"/>
      <w:bookmarkStart w:id="319" w:name="_Toc5538"/>
      <w:r>
        <w:rPr>
          <w:rFonts w:hint="eastAsia" w:ascii="宋体" w:hAnsi="宋体" w:eastAsia="宋体" w:cs="宋体"/>
          <w:b/>
          <w:color w:val="000000" w:themeColor="text1"/>
          <w:sz w:val="15"/>
          <w:szCs w:val="15"/>
          <w:highlight w:val="none"/>
          <w14:textFill>
            <w14:solidFill>
              <w14:schemeClr w14:val="tx1"/>
            </w14:solidFill>
          </w14:textFill>
        </w:rPr>
        <w:t>七、其他事项</w:t>
      </w:r>
      <w:bookmarkEnd w:id="310"/>
      <w:bookmarkEnd w:id="311"/>
      <w:bookmarkEnd w:id="312"/>
      <w:bookmarkEnd w:id="313"/>
      <w:bookmarkEnd w:id="314"/>
      <w:bookmarkEnd w:id="315"/>
      <w:bookmarkEnd w:id="316"/>
      <w:bookmarkEnd w:id="317"/>
      <w:bookmarkEnd w:id="318"/>
      <w:bookmarkEnd w:id="319"/>
    </w:p>
    <w:p w14:paraId="14CD069B">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320" w:name="_Toc16252"/>
      <w:bookmarkStart w:id="321" w:name="_Toc1652"/>
      <w:bookmarkStart w:id="322" w:name="_Toc21456"/>
      <w:bookmarkStart w:id="323" w:name="_Toc27055"/>
      <w:bookmarkStart w:id="324" w:name="_Toc8239"/>
      <w:bookmarkStart w:id="325" w:name="_Toc5655"/>
      <w:bookmarkStart w:id="326" w:name="_Toc2437"/>
      <w:bookmarkStart w:id="327" w:name="_Toc17643"/>
      <w:bookmarkStart w:id="328" w:name="_Toc4309"/>
      <w:bookmarkStart w:id="329" w:name="_Toc19503"/>
      <w:bookmarkStart w:id="330" w:name="_Toc319"/>
      <w:bookmarkStart w:id="331" w:name="_Toc8046"/>
      <w:bookmarkStart w:id="332" w:name="_Toc32243"/>
      <w:r>
        <w:rPr>
          <w:rFonts w:hint="eastAsia" w:ascii="宋体" w:hAnsi="宋体" w:eastAsia="宋体" w:cs="宋体"/>
          <w:b/>
          <w:color w:val="000000" w:themeColor="text1"/>
          <w:sz w:val="15"/>
          <w:szCs w:val="15"/>
          <w:highlight w:val="none"/>
          <w14:textFill>
            <w14:solidFill>
              <w14:schemeClr w14:val="tx1"/>
            </w14:solidFill>
          </w14:textFill>
        </w:rPr>
        <w:t>35.采购代理服务费</w:t>
      </w:r>
      <w:bookmarkEnd w:id="320"/>
      <w:bookmarkEnd w:id="321"/>
      <w:bookmarkEnd w:id="322"/>
      <w:bookmarkEnd w:id="323"/>
      <w:bookmarkEnd w:id="324"/>
      <w:bookmarkEnd w:id="325"/>
      <w:bookmarkEnd w:id="326"/>
      <w:bookmarkEnd w:id="327"/>
      <w:bookmarkEnd w:id="328"/>
      <w:bookmarkEnd w:id="329"/>
      <w:bookmarkEnd w:id="330"/>
      <w:bookmarkEnd w:id="331"/>
    </w:p>
    <w:p w14:paraId="2C301F8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lang w:val="en-US" w:eastAsia="zh-CN"/>
          <w14:textFill>
            <w14:solidFill>
              <w14:schemeClr w14:val="tx1"/>
            </w14:solidFill>
          </w14:textFill>
        </w:rPr>
      </w:pPr>
      <w:bookmarkStart w:id="333" w:name="_Toc13720"/>
      <w:bookmarkStart w:id="334" w:name="_Toc27278"/>
      <w:bookmarkStart w:id="335" w:name="_Toc31960"/>
      <w:bookmarkStart w:id="336" w:name="_Toc2754"/>
      <w:bookmarkStart w:id="337" w:name="_Toc293"/>
      <w:bookmarkStart w:id="338" w:name="_Toc19529"/>
      <w:bookmarkStart w:id="339" w:name="_Toc25183"/>
      <w:bookmarkStart w:id="340" w:name="_Toc11469"/>
      <w:r>
        <w:rPr>
          <w:rFonts w:hint="eastAsia" w:ascii="宋体" w:hAnsi="宋体" w:eastAsia="宋体" w:cs="宋体"/>
          <w:color w:val="000000" w:themeColor="text1"/>
          <w:sz w:val="15"/>
          <w:szCs w:val="15"/>
          <w:highlight w:val="none"/>
          <w:lang w:val="en-US" w:eastAsia="zh-CN"/>
          <w14:textFill>
            <w14:solidFill>
              <w14:schemeClr w14:val="tx1"/>
            </w14:solidFill>
          </w14:textFill>
        </w:rPr>
        <w:t>无</w:t>
      </w:r>
    </w:p>
    <w:p w14:paraId="73FD62DA">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36.解释权</w:t>
      </w:r>
      <w:bookmarkEnd w:id="333"/>
      <w:bookmarkEnd w:id="334"/>
      <w:bookmarkEnd w:id="335"/>
      <w:bookmarkEnd w:id="336"/>
      <w:bookmarkEnd w:id="337"/>
      <w:bookmarkEnd w:id="338"/>
      <w:bookmarkEnd w:id="339"/>
      <w:bookmarkEnd w:id="340"/>
    </w:p>
    <w:p w14:paraId="73F4CCAF">
      <w:pPr>
        <w:keepNext w:val="0"/>
        <w:keepLines w:val="0"/>
        <w:pageBreakBefore w:val="0"/>
        <w:kinsoku/>
        <w:wordWrap/>
        <w:overflowPunct/>
        <w:topLinePunct w:val="0"/>
        <w:bidi w:val="0"/>
        <w:snapToGrid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本竞争性磋商文件是根据《中华人民共和国政府采购法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中华人民共和国政府采购法实施条例</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政府采购非招标采购方式管理办法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政府采购竞争性磋商采购方式管理暂行办法》和政府采购管理有关规定编制，本竞争性磋商文件的解释权属于</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w:t>
      </w:r>
      <w:bookmarkEnd w:id="332"/>
    </w:p>
    <w:p w14:paraId="60045F7C">
      <w:pPr>
        <w:pStyle w:val="2"/>
        <w:rPr>
          <w:rFonts w:hint="eastAsia" w:ascii="宋体" w:hAnsi="宋体" w:cs="宋体"/>
          <w:color w:val="000000" w:themeColor="text1"/>
          <w:highlight w:val="none"/>
          <w14:textFill>
            <w14:solidFill>
              <w14:schemeClr w14:val="tx1"/>
            </w14:solidFill>
          </w14:textFill>
        </w:rPr>
      </w:pPr>
      <w:bookmarkStart w:id="341" w:name="_Toc17907"/>
      <w:bookmarkStart w:id="342" w:name="_Toc23297"/>
      <w:r>
        <w:rPr>
          <w:rStyle w:val="53"/>
          <w:b w:val="0"/>
          <w:bCs w:val="0"/>
          <w:color w:val="000000" w:themeColor="text1"/>
          <w:highlight w:val="none"/>
          <w14:textFill>
            <w14:solidFill>
              <w14:schemeClr w14:val="tx1"/>
            </w14:solidFill>
          </w14:textFill>
        </w:rPr>
        <w:br w:type="page"/>
      </w:r>
      <w:bookmarkEnd w:id="341"/>
      <w:bookmarkStart w:id="343" w:name="_Toc88"/>
      <w:r>
        <w:rPr>
          <w:rFonts w:hint="eastAsia" w:ascii="宋体" w:hAnsi="宋体" w:cs="宋体"/>
          <w:color w:val="000000" w:themeColor="text1"/>
          <w:highlight w:val="none"/>
          <w14:textFill>
            <w14:solidFill>
              <w14:schemeClr w14:val="tx1"/>
            </w14:solidFill>
          </w14:textFill>
        </w:rPr>
        <w:t>第三章  采购需求</w:t>
      </w:r>
      <w:bookmarkEnd w:id="343"/>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07192945">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2.供应商应根据自身实际情况如实响应竞争性磋商文件</w:t>
      </w:r>
      <w:r>
        <w:rPr>
          <w:rFonts w:hint="eastAsia" w:ascii="宋体" w:hAnsi="宋体" w:cs="宋体"/>
          <w:color w:val="000000" w:themeColor="text1"/>
          <w:sz w:val="18"/>
          <w:szCs w:val="18"/>
          <w:lang w:val="en-US" w:eastAsia="zh-CN"/>
          <w14:textFill>
            <w14:solidFill>
              <w14:schemeClr w14:val="tx1"/>
            </w14:solidFill>
          </w14:textFill>
        </w:rPr>
        <w:t>中技术（服务）和商务需求参数</w:t>
      </w:r>
      <w:r>
        <w:rPr>
          <w:rFonts w:hint="eastAsia" w:ascii="宋体" w:hAnsi="宋体" w:eastAsia="宋体" w:cs="宋体"/>
          <w:color w:val="000000" w:themeColor="text1"/>
          <w:sz w:val="18"/>
          <w:szCs w:val="18"/>
          <w14:textFill>
            <w14:solidFill>
              <w14:schemeClr w14:val="tx1"/>
            </w14:solidFill>
          </w14:textFill>
        </w:rPr>
        <w:t>。</w:t>
      </w:r>
    </w:p>
    <w:p w14:paraId="5D8D4020">
      <w:pPr>
        <w:keepNext w:val="0"/>
        <w:keepLines w:val="0"/>
        <w:pageBreakBefore w:val="0"/>
        <w:widowControl/>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3.供应商必须自行为其竞标产品（或服务）侵犯他人的知识产权或者专利成果的行为承担相应法律责任。</w:t>
      </w:r>
    </w:p>
    <w:tbl>
      <w:tblPr>
        <w:tblStyle w:val="36"/>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1"/>
        <w:gridCol w:w="3145"/>
        <w:gridCol w:w="1575"/>
        <w:gridCol w:w="3695"/>
      </w:tblGrid>
      <w:tr w14:paraId="7E1ED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2" w:hRule="atLeast"/>
          <w:jc w:val="center"/>
        </w:trPr>
        <w:tc>
          <w:tcPr>
            <w:tcW w:w="1991" w:type="dxa"/>
            <w:tcBorders>
              <w:top w:val="single" w:color="auto" w:sz="4" w:space="0"/>
              <w:left w:val="single" w:color="auto" w:sz="4" w:space="0"/>
              <w:bottom w:val="single" w:color="auto" w:sz="4" w:space="0"/>
            </w:tcBorders>
            <w:noWrap w:val="0"/>
            <w:vAlign w:val="center"/>
          </w:tcPr>
          <w:p w14:paraId="4CE73B43">
            <w:pPr>
              <w:tabs>
                <w:tab w:val="left" w:pos="180"/>
                <w:tab w:val="left" w:pos="1620"/>
              </w:tabs>
              <w:spacing w:line="320" w:lineRule="exact"/>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项目名称</w:t>
            </w:r>
          </w:p>
        </w:tc>
        <w:tc>
          <w:tcPr>
            <w:tcW w:w="8415" w:type="dxa"/>
            <w:gridSpan w:val="3"/>
            <w:tcBorders>
              <w:top w:val="single" w:color="auto" w:sz="4" w:space="0"/>
              <w:bottom w:val="single" w:color="auto" w:sz="4" w:space="0"/>
              <w:right w:val="single" w:color="auto" w:sz="4" w:space="0"/>
            </w:tcBorders>
            <w:noWrap w:val="0"/>
            <w:vAlign w:val="center"/>
          </w:tcPr>
          <w:p w14:paraId="001922A3">
            <w:pPr>
              <w:tabs>
                <w:tab w:val="left" w:pos="180"/>
                <w:tab w:val="left" w:pos="1620"/>
              </w:tabs>
              <w:spacing w:line="320" w:lineRule="exact"/>
              <w:jc w:val="center"/>
              <w:rPr>
                <w:rFonts w:hint="eastAsia" w:ascii="宋体" w:hAnsi="宋体"/>
                <w:sz w:val="21"/>
                <w:szCs w:val="21"/>
                <w:highlight w:val="none"/>
              </w:rPr>
            </w:pPr>
            <w:r>
              <w:rPr>
                <w:rFonts w:hint="eastAsia" w:ascii="仿宋_GB2312" w:hAnsi="仿宋_GB2312" w:eastAsia="仿宋_GB2312" w:cs="仿宋_GB2312"/>
                <w:sz w:val="21"/>
                <w:szCs w:val="21"/>
                <w:lang w:val="en-US" w:eastAsia="zh-CN"/>
              </w:rPr>
              <w:t>广西骨伤</w:t>
            </w:r>
            <w:r>
              <w:rPr>
                <w:rFonts w:hint="eastAsia" w:ascii="仿宋_GB2312" w:hAnsi="仿宋_GB2312" w:eastAsia="仿宋_GB2312" w:cs="仿宋_GB2312"/>
                <w:sz w:val="21"/>
                <w:szCs w:val="21"/>
              </w:rPr>
              <w:t>医院</w:t>
            </w:r>
            <w:r>
              <w:rPr>
                <w:rFonts w:hint="eastAsia" w:ascii="仿宋_GB2312" w:hAnsi="仿宋_GB2312" w:eastAsia="仿宋_GB2312" w:cs="仿宋_GB2312"/>
                <w:sz w:val="21"/>
                <w:szCs w:val="21"/>
                <w:lang w:val="en-US"/>
              </w:rPr>
              <w:t>202</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val="en-US" w:eastAsia="zh-CN"/>
              </w:rPr>
              <w:t>度</w:t>
            </w:r>
            <w:r>
              <w:rPr>
                <w:rFonts w:hint="eastAsia" w:ascii="仿宋_GB2312" w:hAnsi="仿宋_GB2312" w:eastAsia="仿宋_GB2312" w:cs="仿宋_GB2312"/>
                <w:sz w:val="21"/>
                <w:szCs w:val="21"/>
              </w:rPr>
              <w:t>医疗责任保险服务采购项目</w:t>
            </w:r>
          </w:p>
        </w:tc>
      </w:tr>
      <w:tr w14:paraId="7CF28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1" w:type="dxa"/>
            <w:tcBorders>
              <w:top w:val="single" w:color="auto" w:sz="4" w:space="0"/>
              <w:left w:val="single" w:color="auto" w:sz="4" w:space="0"/>
              <w:bottom w:val="single" w:color="auto" w:sz="4" w:space="0"/>
            </w:tcBorders>
            <w:noWrap w:val="0"/>
            <w:vAlign w:val="center"/>
          </w:tcPr>
          <w:p w14:paraId="242D7864">
            <w:pPr>
              <w:tabs>
                <w:tab w:val="left" w:pos="180"/>
                <w:tab w:val="left" w:pos="1620"/>
              </w:tabs>
              <w:spacing w:line="320" w:lineRule="exact"/>
              <w:jc w:val="center"/>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采购数量</w:t>
            </w:r>
          </w:p>
        </w:tc>
        <w:tc>
          <w:tcPr>
            <w:tcW w:w="3145" w:type="dxa"/>
            <w:tcBorders>
              <w:top w:val="single" w:color="auto" w:sz="4" w:space="0"/>
              <w:bottom w:val="single" w:color="auto" w:sz="4" w:space="0"/>
              <w:right w:val="single" w:color="auto" w:sz="4" w:space="0"/>
            </w:tcBorders>
            <w:noWrap w:val="0"/>
            <w:vAlign w:val="center"/>
          </w:tcPr>
          <w:p w14:paraId="7BFA743F">
            <w:pPr>
              <w:tabs>
                <w:tab w:val="left" w:pos="180"/>
                <w:tab w:val="left" w:pos="1620"/>
              </w:tabs>
              <w:spacing w:line="320" w:lineRule="exact"/>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 xml:space="preserve">      1      </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042FFD0">
            <w:pPr>
              <w:tabs>
                <w:tab w:val="left" w:pos="180"/>
                <w:tab w:val="left" w:pos="1620"/>
              </w:tabs>
              <w:spacing w:line="320" w:lineRule="exact"/>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上控价（元）</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1CA771B">
            <w:pPr>
              <w:tabs>
                <w:tab w:val="left" w:pos="180"/>
                <w:tab w:val="left" w:pos="1620"/>
              </w:tabs>
              <w:spacing w:line="320" w:lineRule="exact"/>
              <w:jc w:val="center"/>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 xml:space="preserve">250000.00                </w:t>
            </w:r>
          </w:p>
        </w:tc>
      </w:tr>
      <w:tr w14:paraId="4D5A6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0A23C1D4">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sz w:val="21"/>
                <w:szCs w:val="21"/>
              </w:rPr>
            </w:pPr>
            <w:r>
              <w:rPr>
                <w:rFonts w:hint="eastAsia" w:ascii="黑体" w:hAnsi="黑体" w:eastAsia="黑体" w:cs="黑体"/>
                <w:sz w:val="21"/>
                <w:szCs w:val="21"/>
                <w:highlight w:val="none"/>
              </w:rPr>
              <w:t>技术</w:t>
            </w:r>
            <w:r>
              <w:rPr>
                <w:rFonts w:hint="eastAsia" w:ascii="黑体" w:hAnsi="黑体" w:eastAsia="黑体" w:cs="黑体"/>
                <w:sz w:val="21"/>
                <w:szCs w:val="21"/>
                <w:highlight w:val="none"/>
                <w:lang w:val="en-US" w:eastAsia="zh-CN"/>
              </w:rPr>
              <w:t>需求参数</w:t>
            </w:r>
          </w:p>
        </w:tc>
      </w:tr>
      <w:tr w14:paraId="491A1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6CEC2763">
            <w:pPr>
              <w:widowControl/>
              <w:adjustRightInd w:val="0"/>
              <w:snapToGrid w:val="0"/>
              <w:spacing w:line="400" w:lineRule="exact"/>
              <w:ind w:firstLine="422" w:firstLineChars="200"/>
              <w:jc w:val="left"/>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一</w:t>
            </w:r>
            <w:r>
              <w:rPr>
                <w:rFonts w:hint="eastAsia" w:ascii="黑体" w:hAnsi="黑体" w:eastAsia="黑体" w:cs="黑体"/>
                <w:b/>
                <w:bCs/>
                <w:sz w:val="21"/>
                <w:szCs w:val="21"/>
                <w:highlight w:val="none"/>
              </w:rPr>
              <w:t>、</w:t>
            </w:r>
            <w:r>
              <w:rPr>
                <w:rFonts w:hint="eastAsia" w:ascii="黑体" w:hAnsi="黑体" w:eastAsia="黑体" w:cs="黑体"/>
                <w:b/>
                <w:bCs/>
                <w:sz w:val="21"/>
                <w:szCs w:val="21"/>
                <w:highlight w:val="none"/>
                <w:lang w:val="en-US" w:eastAsia="zh-CN"/>
              </w:rPr>
              <w:t>服务内容</w:t>
            </w:r>
          </w:p>
          <w:p w14:paraId="08839FEA">
            <w:pPr>
              <w:widowControl/>
              <w:adjustRightInd w:val="0"/>
              <w:snapToGrid w:val="0"/>
              <w:spacing w:line="400" w:lineRule="exact"/>
              <w:ind w:firstLine="420" w:firstLineChars="200"/>
              <w:jc w:val="left"/>
              <w:rPr>
                <w:rFonts w:hint="eastAsia" w:ascii="方正仿宋_GB2312" w:hAnsi="方正仿宋_GB2312" w:eastAsia="方正仿宋_GB2312" w:cs="方正仿宋_GB2312"/>
                <w:b w:val="0"/>
                <w:bCs w:val="0"/>
                <w:sz w:val="21"/>
                <w:szCs w:val="21"/>
                <w:highlight w:val="none"/>
                <w:lang w:val="en-US" w:eastAsia="zh-CN"/>
              </w:rPr>
            </w:pPr>
            <w:r>
              <w:rPr>
                <w:rFonts w:hint="eastAsia" w:ascii="方正仿宋_GB2312" w:hAnsi="方正仿宋_GB2312" w:eastAsia="方正仿宋_GB2312" w:cs="方正仿宋_GB2312"/>
                <w:b w:val="0"/>
                <w:bCs w:val="0"/>
                <w:sz w:val="21"/>
                <w:szCs w:val="21"/>
                <w:highlight w:val="none"/>
                <w:lang w:val="en-US" w:eastAsia="zh-CN"/>
              </w:rPr>
              <w:t>1.广西骨伤医院2026年度医疗责任保险</w:t>
            </w:r>
          </w:p>
          <w:p w14:paraId="58C9F9B2">
            <w:pPr>
              <w:widowControl/>
              <w:adjustRightInd w:val="0"/>
              <w:snapToGrid w:val="0"/>
              <w:spacing w:line="400" w:lineRule="exact"/>
              <w:ind w:firstLine="422" w:firstLineChars="200"/>
              <w:jc w:val="left"/>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二</w:t>
            </w:r>
            <w:r>
              <w:rPr>
                <w:rFonts w:hint="eastAsia" w:ascii="黑体" w:hAnsi="黑体" w:eastAsia="黑体" w:cs="黑体"/>
                <w:b/>
                <w:bCs/>
                <w:sz w:val="21"/>
                <w:szCs w:val="21"/>
                <w:highlight w:val="none"/>
              </w:rPr>
              <w:t>、服务要求</w:t>
            </w:r>
          </w:p>
          <w:p w14:paraId="1DEE1998">
            <w:pPr>
              <w:widowControl/>
              <w:adjustRightInd w:val="0"/>
              <w:snapToGrid w:val="0"/>
              <w:spacing w:line="400" w:lineRule="exact"/>
              <w:ind w:firstLine="420" w:firstLineChars="200"/>
              <w:jc w:val="left"/>
              <w:rPr>
                <w:rFonts w:hint="default"/>
                <w:sz w:val="21"/>
                <w:szCs w:val="21"/>
                <w:highlight w:val="none"/>
                <w:lang w:val="en-US"/>
              </w:rPr>
            </w:pPr>
            <w:r>
              <w:rPr>
                <w:rFonts w:hint="eastAsia"/>
                <w:sz w:val="21"/>
                <w:szCs w:val="21"/>
                <w:highlight w:val="none"/>
                <w:lang w:val="en-US" w:eastAsia="zh-CN"/>
              </w:rPr>
              <w:t>2.</w:t>
            </w:r>
            <w:r>
              <w:rPr>
                <w:rFonts w:hint="eastAsia"/>
                <w:b/>
                <w:bCs/>
                <w:sz w:val="21"/>
                <w:szCs w:val="21"/>
                <w:highlight w:val="none"/>
                <w:lang w:val="en-US" w:eastAsia="zh-CN"/>
              </w:rPr>
              <w:t>人员配置及技术要求</w:t>
            </w:r>
            <w:r>
              <w:rPr>
                <w:rFonts w:hint="eastAsia"/>
                <w:sz w:val="21"/>
                <w:szCs w:val="21"/>
                <w:highlight w:val="none"/>
                <w:lang w:val="en-US" w:eastAsia="zh-CN"/>
              </w:rPr>
              <w:t>：</w:t>
            </w:r>
            <w:r>
              <w:rPr>
                <w:rFonts w:hint="eastAsia" w:ascii="方正仿宋_GB2312" w:hAnsi="方正仿宋_GB2312" w:eastAsia="方正仿宋_GB2312" w:cs="方正仿宋_GB2312"/>
                <w:sz w:val="21"/>
                <w:szCs w:val="21"/>
                <w:highlight w:val="none"/>
                <w:lang w:val="en-US" w:eastAsia="zh-CN"/>
              </w:rPr>
              <w:t>要求有专职对接人员，业务熟练且对医院相关流程熟悉。</w:t>
            </w:r>
          </w:p>
          <w:p w14:paraId="339D08F7">
            <w:pPr>
              <w:widowControl/>
              <w:adjustRightInd w:val="0"/>
              <w:snapToGrid w:val="0"/>
              <w:spacing w:line="400" w:lineRule="exact"/>
              <w:ind w:firstLine="420" w:firstLineChars="200"/>
              <w:jc w:val="left"/>
              <w:rPr>
                <w:rFonts w:hint="default"/>
                <w:sz w:val="21"/>
                <w:szCs w:val="21"/>
                <w:highlight w:val="none"/>
                <w:lang w:val="en-US"/>
              </w:rPr>
            </w:pPr>
            <w:r>
              <w:rPr>
                <w:rFonts w:hint="eastAsia"/>
                <w:sz w:val="21"/>
                <w:szCs w:val="21"/>
                <w:highlight w:val="none"/>
                <w:lang w:val="en-US" w:eastAsia="zh-CN"/>
              </w:rPr>
              <w:t>3.</w:t>
            </w:r>
            <w:r>
              <w:rPr>
                <w:rFonts w:hint="eastAsia"/>
                <w:b/>
                <w:bCs/>
                <w:sz w:val="21"/>
                <w:szCs w:val="21"/>
                <w:highlight w:val="none"/>
                <w:lang w:val="en-US" w:eastAsia="zh-CN"/>
              </w:rPr>
              <w:t>服务响应时间要求</w:t>
            </w:r>
            <w:r>
              <w:rPr>
                <w:rFonts w:hint="eastAsia"/>
                <w:sz w:val="21"/>
                <w:szCs w:val="21"/>
                <w:highlight w:val="none"/>
                <w:lang w:val="en-US" w:eastAsia="zh-CN"/>
              </w:rPr>
              <w:t>：</w:t>
            </w:r>
            <w:r>
              <w:rPr>
                <w:rFonts w:hint="eastAsia" w:ascii="方正仿宋_GB2312" w:hAnsi="方正仿宋_GB2312" w:eastAsia="方正仿宋_GB2312" w:cs="方正仿宋_GB2312"/>
                <w:sz w:val="21"/>
                <w:szCs w:val="21"/>
                <w:highlight w:val="none"/>
                <w:lang w:val="en-US" w:eastAsia="zh-CN"/>
              </w:rPr>
              <w:t>保险期限1年（</w:t>
            </w:r>
            <w:r>
              <w:rPr>
                <w:rFonts w:hint="eastAsia" w:ascii="方正仿宋_GB2312" w:hAnsi="方正仿宋_GB2312" w:eastAsia="方正仿宋_GB2312" w:cs="方正仿宋_GB2312"/>
                <w:sz w:val="21"/>
                <w:szCs w:val="21"/>
                <w:highlight w:val="yellow"/>
                <w:lang w:val="en-US" w:eastAsia="zh-CN"/>
              </w:rPr>
              <w:t>以保单实际生效日期为准</w:t>
            </w:r>
            <w:r>
              <w:rPr>
                <w:rFonts w:hint="eastAsia" w:ascii="方正仿宋_GB2312" w:hAnsi="方正仿宋_GB2312" w:eastAsia="方正仿宋_GB2312" w:cs="方正仿宋_GB2312"/>
                <w:sz w:val="21"/>
                <w:szCs w:val="21"/>
                <w:highlight w:val="none"/>
                <w:lang w:val="en-US" w:eastAsia="zh-CN"/>
              </w:rPr>
              <w:t>），向前追溯期3年。</w:t>
            </w:r>
          </w:p>
          <w:p w14:paraId="1B6D5A78">
            <w:pPr>
              <w:widowControl/>
              <w:adjustRightInd w:val="0"/>
              <w:snapToGrid w:val="0"/>
              <w:spacing w:line="400" w:lineRule="exact"/>
              <w:ind w:firstLine="422" w:firstLineChars="200"/>
              <w:jc w:val="left"/>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三</w:t>
            </w:r>
            <w:r>
              <w:rPr>
                <w:rFonts w:hint="eastAsia" w:ascii="黑体" w:hAnsi="黑体" w:eastAsia="黑体" w:cs="黑体"/>
                <w:b/>
                <w:bCs/>
                <w:sz w:val="21"/>
                <w:szCs w:val="21"/>
                <w:highlight w:val="none"/>
              </w:rPr>
              <w:t>、其他要求</w:t>
            </w:r>
          </w:p>
          <w:p w14:paraId="274E9E6D">
            <w:pPr>
              <w:spacing w:line="360" w:lineRule="exact"/>
              <w:ind w:firstLine="420" w:firstLineChars="200"/>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highlight w:val="yellow"/>
                <w:lang w:val="en-US" w:eastAsia="zh-CN" w:bidi="ar-SA"/>
              </w:rPr>
              <w:t>1.</w:t>
            </w:r>
            <w:r>
              <w:rPr>
                <w:rFonts w:hint="eastAsia" w:ascii="仿宋_GB2312" w:hAnsi="仿宋_GB2312" w:eastAsia="仿宋_GB2312" w:cs="仿宋_GB2312"/>
                <w:color w:val="000000"/>
                <w:kern w:val="2"/>
                <w:sz w:val="21"/>
                <w:szCs w:val="21"/>
                <w:highlight w:val="yellow"/>
                <w:lang w:val="zh-CN" w:eastAsia="zh-CN" w:bidi="ar-SA"/>
              </w:rPr>
              <w:t>保险公司响应保险条款需向银保监会报备，符合银保监规定。</w:t>
            </w:r>
          </w:p>
          <w:p w14:paraId="1A0F7883">
            <w:pPr>
              <w:spacing w:line="360" w:lineRule="exact"/>
              <w:ind w:firstLine="420" w:firstLineChars="200"/>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en-US" w:eastAsia="zh-CN" w:bidi="ar-SA"/>
              </w:rPr>
              <w:t>2.</w:t>
            </w:r>
            <w:r>
              <w:rPr>
                <w:rFonts w:hint="eastAsia" w:ascii="仿宋_GB2312" w:hAnsi="仿宋_GB2312" w:eastAsia="仿宋_GB2312" w:cs="仿宋_GB2312"/>
                <w:color w:val="000000"/>
                <w:kern w:val="2"/>
                <w:sz w:val="21"/>
                <w:szCs w:val="21"/>
                <w:lang w:val="zh-CN" w:eastAsia="zh-CN" w:bidi="ar-SA"/>
              </w:rPr>
              <w:t>保险期限1年。</w:t>
            </w:r>
          </w:p>
          <w:p w14:paraId="33DB165F">
            <w:pPr>
              <w:spacing w:line="360" w:lineRule="exact"/>
              <w:ind w:left="420" w:leftChars="200" w:firstLine="0" w:firstLineChars="0"/>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en-US" w:eastAsia="zh-CN" w:bidi="ar-SA"/>
              </w:rPr>
              <w:t>3.</w:t>
            </w:r>
            <w:r>
              <w:rPr>
                <w:rFonts w:hint="eastAsia" w:ascii="仿宋_GB2312" w:hAnsi="仿宋_GB2312" w:eastAsia="仿宋_GB2312" w:cs="仿宋_GB2312"/>
                <w:color w:val="000000"/>
                <w:kern w:val="2"/>
                <w:sz w:val="21"/>
                <w:szCs w:val="21"/>
                <w:lang w:val="zh-CN" w:eastAsia="zh-CN" w:bidi="ar-SA"/>
              </w:rPr>
              <w:t>医院2026年度医疗责任保险，每人赔偿限额系数，每人赔偿限额50万元，年累计限额150万元；方园、长虹社区卫生服务中心2026年度医疗责任保险，每人每次限额20万元，年累计限额100万元。</w:t>
            </w:r>
          </w:p>
          <w:p w14:paraId="3B4B35FB">
            <w:pPr>
              <w:spacing w:line="360" w:lineRule="exact"/>
              <w:ind w:left="420" w:leftChars="200" w:firstLine="0" w:firstLineChars="0"/>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en-US" w:eastAsia="zh-CN" w:bidi="ar-SA"/>
              </w:rPr>
              <w:t>4.</w:t>
            </w:r>
            <w:r>
              <w:rPr>
                <w:rFonts w:hint="eastAsia" w:ascii="仿宋_GB2312" w:hAnsi="仿宋_GB2312" w:eastAsia="仿宋_GB2312" w:cs="仿宋_GB2312"/>
                <w:color w:val="000000"/>
                <w:kern w:val="2"/>
                <w:sz w:val="21"/>
                <w:szCs w:val="21"/>
                <w:lang w:val="zh-CN" w:eastAsia="zh-CN" w:bidi="ar-SA"/>
              </w:rPr>
              <w:t>附加险：（</w:t>
            </w:r>
            <w:r>
              <w:rPr>
                <w:rFonts w:hint="eastAsia" w:ascii="仿宋_GB2312" w:hAnsi="仿宋_GB2312" w:eastAsia="仿宋_GB2312" w:cs="仿宋_GB2312"/>
                <w:color w:val="000000"/>
                <w:kern w:val="2"/>
                <w:sz w:val="21"/>
                <w:szCs w:val="21"/>
                <w:lang w:val="en-US" w:eastAsia="zh-CN" w:bidi="ar-SA"/>
              </w:rPr>
              <w:t>1）</w:t>
            </w:r>
            <w:r>
              <w:rPr>
                <w:rFonts w:hint="eastAsia" w:ascii="仿宋_GB2312" w:hAnsi="仿宋_GB2312" w:eastAsia="仿宋_GB2312" w:cs="仿宋_GB2312"/>
                <w:color w:val="000000"/>
                <w:kern w:val="2"/>
                <w:sz w:val="21"/>
                <w:szCs w:val="21"/>
                <w:lang w:val="zh-CN" w:eastAsia="zh-CN" w:bidi="ar-SA"/>
              </w:rPr>
              <w:t>医疗机构工作人员遭受伤害责任保险（</w:t>
            </w:r>
            <w:r>
              <w:rPr>
                <w:rFonts w:hint="eastAsia" w:ascii="仿宋_GB2312" w:hAnsi="仿宋_GB2312" w:eastAsia="仿宋_GB2312" w:cs="仿宋_GB2312"/>
                <w:color w:val="000000"/>
                <w:kern w:val="2"/>
                <w:sz w:val="21"/>
                <w:szCs w:val="21"/>
                <w:lang w:val="en-US" w:eastAsia="zh-CN" w:bidi="ar-SA"/>
              </w:rPr>
              <w:t>2）</w:t>
            </w:r>
            <w:r>
              <w:rPr>
                <w:rFonts w:hint="eastAsia" w:ascii="仿宋_GB2312" w:hAnsi="仿宋_GB2312" w:eastAsia="仿宋_GB2312" w:cs="仿宋_GB2312"/>
                <w:color w:val="000000"/>
                <w:kern w:val="2"/>
                <w:sz w:val="21"/>
                <w:szCs w:val="21"/>
                <w:lang w:val="zh-CN" w:eastAsia="zh-CN" w:bidi="ar-SA"/>
              </w:rPr>
              <w:t>医疗机构场所责任保险（</w:t>
            </w:r>
            <w:r>
              <w:rPr>
                <w:rFonts w:hint="eastAsia" w:ascii="仿宋_GB2312" w:hAnsi="仿宋_GB2312" w:eastAsia="仿宋_GB2312" w:cs="仿宋_GB2312"/>
                <w:color w:val="000000"/>
                <w:kern w:val="2"/>
                <w:sz w:val="21"/>
                <w:szCs w:val="21"/>
                <w:lang w:val="en-US" w:eastAsia="zh-CN" w:bidi="ar-SA"/>
              </w:rPr>
              <w:t>3）</w:t>
            </w:r>
            <w:r>
              <w:rPr>
                <w:rFonts w:hint="eastAsia" w:ascii="仿宋_GB2312" w:hAnsi="仿宋_GB2312" w:eastAsia="仿宋_GB2312" w:cs="仿宋_GB2312"/>
                <w:color w:val="000000"/>
                <w:kern w:val="2"/>
                <w:sz w:val="21"/>
                <w:szCs w:val="21"/>
                <w:lang w:val="zh-CN" w:eastAsia="zh-CN" w:bidi="ar-SA"/>
              </w:rPr>
              <w:t>医务人员法定传染病责任保险。</w:t>
            </w:r>
          </w:p>
          <w:p w14:paraId="11BD39AF">
            <w:pPr>
              <w:spacing w:line="360" w:lineRule="exact"/>
              <w:ind w:left="420" w:leftChars="200" w:firstLine="0" w:firstLineChars="0"/>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zh-CN" w:eastAsia="zh-CN" w:bidi="ar-SA"/>
              </w:rPr>
              <w:t>我院数据资料：我院编制床位303张，2025年手术量3812人次，2025年我院住院门急诊人次数为127792人次，入院人次数7339人次。方园社区卫生服务中心202</w:t>
            </w: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zh-CN" w:eastAsia="zh-CN" w:bidi="ar-SA"/>
              </w:rPr>
              <w:t>全年门诊就诊人次4</w:t>
            </w:r>
            <w:r>
              <w:rPr>
                <w:rFonts w:hint="eastAsia" w:ascii="仿宋_GB2312" w:hAnsi="仿宋_GB2312" w:eastAsia="仿宋_GB2312" w:cs="仿宋_GB2312"/>
                <w:color w:val="000000"/>
                <w:kern w:val="2"/>
                <w:sz w:val="21"/>
                <w:szCs w:val="21"/>
                <w:lang w:val="en-US" w:eastAsia="zh-CN" w:bidi="ar-SA"/>
              </w:rPr>
              <w:t>1262</w:t>
            </w:r>
            <w:r>
              <w:rPr>
                <w:rFonts w:hint="eastAsia" w:ascii="仿宋_GB2312" w:hAnsi="仿宋_GB2312" w:eastAsia="仿宋_GB2312" w:cs="仿宋_GB2312"/>
                <w:color w:val="000000"/>
                <w:kern w:val="2"/>
                <w:sz w:val="21"/>
                <w:szCs w:val="21"/>
                <w:lang w:val="zh-CN" w:eastAsia="zh-CN" w:bidi="ar-SA"/>
              </w:rPr>
              <w:t>人，长虹社区卫生服务中心202</w:t>
            </w: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zh-CN" w:eastAsia="zh-CN" w:bidi="ar-SA"/>
              </w:rPr>
              <w:t>全年门诊就诊人次</w:t>
            </w:r>
            <w:r>
              <w:rPr>
                <w:rFonts w:hint="eastAsia" w:ascii="仿宋_GB2312" w:hAnsi="仿宋_GB2312" w:eastAsia="仿宋_GB2312" w:cs="仿宋_GB2312"/>
                <w:color w:val="000000"/>
                <w:kern w:val="2"/>
                <w:sz w:val="21"/>
                <w:szCs w:val="21"/>
                <w:lang w:val="en-US" w:eastAsia="zh-CN" w:bidi="ar-SA"/>
              </w:rPr>
              <w:t>60420</w:t>
            </w:r>
            <w:r>
              <w:rPr>
                <w:rFonts w:hint="eastAsia" w:ascii="仿宋_GB2312" w:hAnsi="仿宋_GB2312" w:eastAsia="仿宋_GB2312" w:cs="仿宋_GB2312"/>
                <w:color w:val="000000"/>
                <w:kern w:val="2"/>
                <w:sz w:val="21"/>
                <w:szCs w:val="21"/>
                <w:lang w:val="zh-CN" w:eastAsia="zh-CN" w:bidi="ar-SA"/>
              </w:rPr>
              <w:t>人次。2026年度符合投保条件的医务人员人数为413人（其中医院331人，长虹社区卫生服务中心43人，方园社区卫生服务中心39人）。</w:t>
            </w:r>
          </w:p>
          <w:p w14:paraId="53AB8FF6">
            <w:pPr>
              <w:spacing w:line="360" w:lineRule="exact"/>
              <w:ind w:left="420" w:leftChars="200" w:firstLine="0" w:firstLineChars="0"/>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2"/>
                <w:sz w:val="21"/>
                <w:szCs w:val="21"/>
                <w:highlight w:val="yellow"/>
                <w:lang w:val="en-US" w:eastAsia="zh-CN" w:bidi="ar-SA"/>
              </w:rPr>
              <w:t>6.明确法律费用概念：事先经保险人书面同意的法律费用，包括事故鉴定费、查勘费、取证费、尸体解剖费、封存药品检验费、仲裁或诉讼费、案件受理费、律师费等，</w:t>
            </w:r>
            <w:r>
              <w:rPr>
                <w:rFonts w:hint="eastAsia" w:ascii="仿宋_GB2312" w:hAnsi="仿宋_GB2312" w:eastAsia="仿宋_GB2312" w:cs="仿宋_GB2312"/>
                <w:color w:val="000000"/>
                <w:szCs w:val="21"/>
                <w:highlight w:val="yellow"/>
              </w:rPr>
              <w:t>还包含诉讼保全保险费、各种鉴定费用（包含但不限于医疗损害司法鉴定、过错鉴定、伤残、护理依赖鉴定等涉及的相关鉴定类型）、医院代理人（包含律师）在诉讼案件中产生的差旅费、鉴定人出庭产生的误工、差旅等费用等</w:t>
            </w:r>
            <w:r>
              <w:rPr>
                <w:rFonts w:hint="eastAsia" w:ascii="仿宋_GB2312" w:hAnsi="仿宋_GB2312" w:eastAsia="仿宋_GB2312" w:cs="仿宋_GB2312"/>
                <w:color w:val="000000"/>
                <w:szCs w:val="21"/>
                <w:highlight w:val="yellow"/>
                <w:lang w:eastAsia="zh-CN"/>
              </w:rPr>
              <w:t>，</w:t>
            </w:r>
            <w:r>
              <w:rPr>
                <w:rFonts w:hint="eastAsia" w:ascii="仿宋_GB2312" w:hAnsi="仿宋_GB2312" w:eastAsia="仿宋_GB2312" w:cs="仿宋_GB2312"/>
                <w:color w:val="000000"/>
                <w:kern w:val="2"/>
                <w:sz w:val="21"/>
                <w:szCs w:val="21"/>
                <w:highlight w:val="yellow"/>
                <w:lang w:val="en-US" w:eastAsia="zh-CN" w:bidi="ar-SA"/>
              </w:rPr>
              <w:t>保险人按照本保险合同的约定也负责赔偿</w:t>
            </w:r>
            <w:r>
              <w:rPr>
                <w:rFonts w:hint="eastAsia" w:ascii="仿宋_GB2312" w:hAnsi="仿宋_GB2312" w:eastAsia="仿宋_GB2312" w:cs="仿宋_GB2312"/>
                <w:color w:val="000000"/>
                <w:sz w:val="21"/>
                <w:szCs w:val="21"/>
                <w:highlight w:val="yellow"/>
              </w:rPr>
              <w:t>。</w:t>
            </w:r>
          </w:p>
          <w:p w14:paraId="2E724BE1">
            <w:pPr>
              <w:spacing w:line="360" w:lineRule="exact"/>
              <w:ind w:firstLine="420" w:firstLineChars="200"/>
              <w:rPr>
                <w:rFonts w:hint="eastAsia" w:ascii="仿宋_GB2312" w:hAnsi="仿宋_GB2312" w:eastAsia="仿宋_GB2312" w:cs="仿宋_GB2312"/>
                <w:color w:val="000000"/>
                <w:sz w:val="21"/>
                <w:szCs w:val="21"/>
                <w:highlight w:val="yellow"/>
                <w:lang w:val="en-US" w:eastAsia="zh-CN"/>
              </w:rPr>
            </w:pPr>
            <w:r>
              <w:rPr>
                <w:rFonts w:hint="eastAsia" w:ascii="仿宋_GB2312" w:hAnsi="仿宋_GB2312" w:eastAsia="仿宋_GB2312" w:cs="仿宋_GB2312"/>
                <w:color w:val="000000"/>
                <w:sz w:val="21"/>
                <w:szCs w:val="21"/>
                <w:highlight w:val="yellow"/>
                <w:lang w:val="en-US" w:eastAsia="zh-CN"/>
              </w:rPr>
              <w:t>7.赔偿限额中包含精神损害抚慰金。</w:t>
            </w:r>
          </w:p>
          <w:p w14:paraId="710B7879">
            <w:pPr>
              <w:widowControl/>
              <w:adjustRightInd w:val="0"/>
              <w:snapToGrid w:val="0"/>
              <w:spacing w:line="400" w:lineRule="exact"/>
              <w:ind w:left="420" w:leftChars="200" w:firstLine="0" w:firstLineChars="0"/>
              <w:rPr>
                <w:rFonts w:hint="eastAsia"/>
                <w:sz w:val="21"/>
                <w:szCs w:val="21"/>
                <w:highlight w:val="none"/>
              </w:rPr>
            </w:pPr>
            <w:r>
              <w:rPr>
                <w:rFonts w:hint="eastAsia" w:ascii="仿宋_GB2312" w:hAnsi="仿宋_GB2312" w:eastAsia="仿宋_GB2312" w:cs="仿宋_GB2312"/>
                <w:color w:val="000000"/>
                <w:sz w:val="21"/>
                <w:szCs w:val="21"/>
                <w:highlight w:val="yellow"/>
                <w:lang w:val="en-US" w:eastAsia="zh-CN"/>
              </w:rPr>
              <w:t>8.</w:t>
            </w:r>
            <w:r>
              <w:rPr>
                <w:rFonts w:hint="eastAsia" w:ascii="仿宋_GB2312" w:hAnsi="仿宋_GB2312" w:eastAsia="仿宋_GB2312" w:cs="仿宋_GB2312"/>
                <w:color w:val="000000"/>
                <w:sz w:val="21"/>
                <w:szCs w:val="21"/>
                <w:highlight w:val="yellow"/>
              </w:rPr>
              <w:t>如个案医院过错责任明确，保险公司理赔人员可协助医院进行责任认定，</w:t>
            </w:r>
            <w:r>
              <w:rPr>
                <w:rFonts w:hint="eastAsia" w:ascii="仿宋_GB2312" w:hAnsi="仿宋_GB2312" w:eastAsia="仿宋_GB2312" w:cs="仿宋_GB2312"/>
                <w:color w:val="000000"/>
                <w:sz w:val="21"/>
                <w:szCs w:val="21"/>
                <w:highlight w:val="yellow"/>
                <w:lang w:val="en-US" w:eastAsia="zh-CN"/>
              </w:rPr>
              <w:t>医院</w:t>
            </w:r>
            <w:r>
              <w:rPr>
                <w:rFonts w:hint="eastAsia" w:ascii="仿宋_GB2312" w:hAnsi="仿宋_GB2312" w:eastAsia="仿宋_GB2312" w:cs="仿宋_GB2312"/>
                <w:color w:val="000000"/>
                <w:sz w:val="21"/>
                <w:szCs w:val="21"/>
                <w:highlight w:val="yellow"/>
              </w:rPr>
              <w:t>组织相关专家形成的评议意见可作为调解与赔付的参考依据。</w:t>
            </w:r>
          </w:p>
        </w:tc>
      </w:tr>
      <w:tr w14:paraId="3DE7B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A4BF598">
            <w:pPr>
              <w:tabs>
                <w:tab w:val="left" w:pos="180"/>
                <w:tab w:val="left" w:pos="1620"/>
              </w:tabs>
              <w:spacing w:line="240" w:lineRule="auto"/>
              <w:jc w:val="center"/>
              <w:rPr>
                <w:sz w:val="21"/>
                <w:szCs w:val="21"/>
              </w:rPr>
            </w:pPr>
            <w:r>
              <w:rPr>
                <w:rFonts w:hint="eastAsia" w:ascii="黑体" w:hAnsi="黑体" w:eastAsia="黑体" w:cs="黑体"/>
                <w:sz w:val="21"/>
                <w:szCs w:val="21"/>
                <w:highlight w:val="none"/>
                <w:lang w:val="en-US" w:eastAsia="zh-CN"/>
              </w:rPr>
              <w:t>商务要求参数</w:t>
            </w:r>
          </w:p>
        </w:tc>
      </w:tr>
      <w:tr w14:paraId="51F68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1" w:type="dxa"/>
            <w:tcBorders>
              <w:top w:val="single" w:color="auto" w:sz="4" w:space="0"/>
              <w:left w:val="single" w:color="auto" w:sz="4" w:space="0"/>
              <w:bottom w:val="single" w:color="auto" w:sz="4" w:space="0"/>
              <w:right w:val="single" w:color="auto" w:sz="4" w:space="0"/>
            </w:tcBorders>
            <w:noWrap w:val="0"/>
            <w:vAlign w:val="center"/>
          </w:tcPr>
          <w:p w14:paraId="58689879">
            <w:pPr>
              <w:spacing w:line="400" w:lineRule="exact"/>
              <w:jc w:val="center"/>
              <w:rPr>
                <w:rFonts w:hint="default" w:ascii="宋体" w:hAnsi="宋体" w:eastAsia="宋体"/>
                <w:b/>
                <w:bCs/>
                <w:color w:val="000000"/>
                <w:sz w:val="21"/>
                <w:szCs w:val="21"/>
                <w:highlight w:val="none"/>
                <w:lang w:val="en-US" w:eastAsia="zh-CN"/>
              </w:rPr>
            </w:pPr>
            <w:r>
              <w:rPr>
                <w:rFonts w:hint="eastAsia" w:ascii="宋体" w:hAnsi="宋体" w:cs="宋体"/>
                <w:b/>
                <w:bCs/>
                <w:color w:val="000000"/>
                <w:sz w:val="21"/>
                <w:szCs w:val="21"/>
                <w:highlight w:val="none"/>
                <w:lang w:val="en-US" w:eastAsia="zh-CN"/>
              </w:rPr>
              <w:t>供应商资质</w:t>
            </w:r>
          </w:p>
        </w:tc>
        <w:tc>
          <w:tcPr>
            <w:tcW w:w="8415" w:type="dxa"/>
            <w:gridSpan w:val="3"/>
            <w:tcBorders>
              <w:top w:val="single" w:color="auto" w:sz="4" w:space="0"/>
              <w:left w:val="single" w:color="auto" w:sz="4" w:space="0"/>
              <w:bottom w:val="single" w:color="auto" w:sz="4" w:space="0"/>
              <w:right w:val="single" w:color="auto" w:sz="4" w:space="0"/>
            </w:tcBorders>
            <w:noWrap w:val="0"/>
            <w:vAlign w:val="center"/>
          </w:tcPr>
          <w:p w14:paraId="0DFC800C">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（一）具有独立承担民事责任的能力；</w:t>
            </w:r>
          </w:p>
          <w:p w14:paraId="6CA66A71">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（二）具有良好的商业信誉和健全的财务会计制度；</w:t>
            </w:r>
          </w:p>
          <w:p w14:paraId="2ED967B0">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（三）具有履行合同所必需的设备和专业技术能力；</w:t>
            </w:r>
          </w:p>
          <w:p w14:paraId="79003973">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（四）有依法缴纳税收和社会保障资金的良好记录；</w:t>
            </w:r>
          </w:p>
          <w:p w14:paraId="5FC4CB7E">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（五）参加本次采购活动前，在经营活动中没有重大违法记录；</w:t>
            </w:r>
          </w:p>
          <w:p w14:paraId="7692B124">
            <w:pPr>
              <w:pStyle w:val="172"/>
              <w:spacing w:before="0" w:beforeAutospacing="0" w:after="0" w:afterAutospacing="0" w:line="460" w:lineRule="atLeast"/>
              <w:rPr>
                <w:rFonts w:hint="eastAsia" w:ascii="宋体" w:hAnsi="宋体"/>
                <w:b/>
                <w:color w:val="000000"/>
                <w:sz w:val="21"/>
                <w:szCs w:val="21"/>
                <w:highlight w:val="none"/>
              </w:rPr>
            </w:pPr>
            <w:r>
              <w:rPr>
                <w:rFonts w:hint="eastAsia" w:ascii="仿宋_GB2312" w:hAnsi="仿宋_GB2312" w:eastAsia="仿宋_GB2312" w:cs="仿宋_GB2312"/>
                <w:color w:val="000000"/>
                <w:kern w:val="2"/>
                <w:sz w:val="21"/>
                <w:szCs w:val="21"/>
                <w:lang w:val="en-US" w:eastAsia="zh-CN" w:bidi="ar-SA"/>
              </w:rPr>
              <w:t>（六）法律、行政法规规定的其他条件。</w:t>
            </w:r>
          </w:p>
        </w:tc>
      </w:tr>
      <w:tr w14:paraId="796FD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1" w:type="dxa"/>
            <w:tcBorders>
              <w:top w:val="single" w:color="auto" w:sz="4" w:space="0"/>
              <w:left w:val="single" w:color="auto" w:sz="4" w:space="0"/>
              <w:bottom w:val="single" w:color="auto" w:sz="4" w:space="0"/>
              <w:right w:val="single" w:color="auto" w:sz="4" w:space="0"/>
            </w:tcBorders>
            <w:noWrap w:val="0"/>
            <w:vAlign w:val="center"/>
          </w:tcPr>
          <w:p w14:paraId="6D522C9C">
            <w:pPr>
              <w:spacing w:line="400" w:lineRule="exact"/>
              <w:jc w:val="center"/>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lang w:val="en-US" w:eastAsia="zh-CN"/>
              </w:rPr>
              <w:t>服务</w:t>
            </w:r>
            <w:r>
              <w:rPr>
                <w:rFonts w:hint="eastAsia" w:ascii="宋体" w:hAnsi="宋体" w:cs="宋体"/>
                <w:b/>
                <w:bCs/>
                <w:color w:val="000000"/>
                <w:sz w:val="21"/>
                <w:szCs w:val="21"/>
                <w:highlight w:val="none"/>
              </w:rPr>
              <w:t>期限和地点</w:t>
            </w:r>
          </w:p>
        </w:tc>
        <w:tc>
          <w:tcPr>
            <w:tcW w:w="8415" w:type="dxa"/>
            <w:gridSpan w:val="3"/>
            <w:tcBorders>
              <w:top w:val="single" w:color="auto" w:sz="4" w:space="0"/>
              <w:left w:val="single" w:color="auto" w:sz="4" w:space="0"/>
              <w:bottom w:val="single" w:color="auto" w:sz="4" w:space="0"/>
              <w:right w:val="single" w:color="auto" w:sz="4" w:space="0"/>
            </w:tcBorders>
            <w:noWrap w:val="0"/>
            <w:vAlign w:val="center"/>
          </w:tcPr>
          <w:p w14:paraId="45584C36">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1.服务期限：</w:t>
            </w:r>
            <w:r>
              <w:rPr>
                <w:rFonts w:hint="eastAsia" w:ascii="仿宋_GB2312" w:hAnsi="仿宋_GB2312" w:eastAsia="仿宋_GB2312" w:cs="仿宋_GB2312"/>
                <w:color w:val="000000"/>
                <w:kern w:val="2"/>
                <w:sz w:val="21"/>
                <w:szCs w:val="21"/>
                <w:u w:val="single"/>
                <w:lang w:val="en-US" w:eastAsia="zh-CN" w:bidi="ar-SA"/>
              </w:rPr>
              <w:t xml:space="preserve">1 </w:t>
            </w:r>
            <w:r>
              <w:rPr>
                <w:rFonts w:hint="eastAsia" w:ascii="仿宋_GB2312" w:hAnsi="仿宋_GB2312" w:eastAsia="仿宋_GB2312" w:cs="仿宋_GB2312"/>
                <w:color w:val="000000"/>
                <w:kern w:val="2"/>
                <w:sz w:val="21"/>
                <w:szCs w:val="21"/>
                <w:lang w:val="en-US" w:eastAsia="zh-CN" w:bidi="ar-SA"/>
              </w:rPr>
              <w:t>年。</w:t>
            </w:r>
          </w:p>
          <w:p w14:paraId="7988897D">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2.服务地点：</w:t>
            </w:r>
            <w:r>
              <w:rPr>
                <w:rFonts w:hint="eastAsia" w:ascii="仿宋_GB2312" w:hAnsi="仿宋_GB2312" w:eastAsia="仿宋_GB2312" w:cs="仿宋_GB2312"/>
                <w:color w:val="000000"/>
                <w:kern w:val="2"/>
                <w:sz w:val="21"/>
                <w:szCs w:val="21"/>
                <w:u w:val="single"/>
                <w:lang w:val="en-US" w:eastAsia="zh-CN" w:bidi="ar-SA"/>
              </w:rPr>
              <w:t xml:space="preserve">  采购人指定地点</w:t>
            </w:r>
            <w:r>
              <w:rPr>
                <w:rFonts w:hint="eastAsia" w:ascii="仿宋_GB2312" w:hAnsi="仿宋_GB2312" w:eastAsia="仿宋_GB2312" w:cs="仿宋_GB2312"/>
                <w:color w:val="000000"/>
                <w:kern w:val="2"/>
                <w:sz w:val="21"/>
                <w:szCs w:val="21"/>
                <w:lang w:val="en-US" w:eastAsia="zh-CN" w:bidi="ar-SA"/>
              </w:rPr>
              <w:t xml:space="preserve">              。</w:t>
            </w:r>
          </w:p>
        </w:tc>
      </w:tr>
      <w:tr w14:paraId="3850A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1" w:type="dxa"/>
            <w:tcBorders>
              <w:top w:val="single" w:color="auto" w:sz="4" w:space="0"/>
              <w:left w:val="single" w:color="auto" w:sz="4" w:space="0"/>
              <w:bottom w:val="single" w:color="auto" w:sz="4" w:space="0"/>
              <w:right w:val="single" w:color="auto" w:sz="4" w:space="0"/>
            </w:tcBorders>
            <w:noWrap w:val="0"/>
            <w:vAlign w:val="center"/>
          </w:tcPr>
          <w:p w14:paraId="6A4BEFF6">
            <w:pPr>
              <w:spacing w:line="400" w:lineRule="exact"/>
              <w:jc w:val="center"/>
              <w:rPr>
                <w:rFonts w:hint="default" w:ascii="宋体" w:hAnsi="宋体" w:eastAsia="宋体" w:cs="宋体"/>
                <w:b/>
                <w:bCs/>
                <w:color w:val="000000"/>
                <w:sz w:val="21"/>
                <w:szCs w:val="21"/>
                <w:highlight w:val="none"/>
                <w:lang w:val="en-US" w:eastAsia="zh-CN"/>
              </w:rPr>
            </w:pPr>
            <w:r>
              <w:rPr>
                <w:rFonts w:hint="eastAsia" w:ascii="宋体" w:hAnsi="宋体" w:cs="宋体"/>
                <w:b/>
                <w:bCs/>
                <w:color w:val="000000"/>
                <w:sz w:val="21"/>
                <w:szCs w:val="21"/>
                <w:highlight w:val="none"/>
                <w:lang w:val="en-US" w:eastAsia="zh-CN"/>
              </w:rPr>
              <w:t>合同签订期限</w:t>
            </w:r>
          </w:p>
        </w:tc>
        <w:tc>
          <w:tcPr>
            <w:tcW w:w="8415" w:type="dxa"/>
            <w:gridSpan w:val="3"/>
            <w:tcBorders>
              <w:top w:val="single" w:color="auto" w:sz="4" w:space="0"/>
              <w:left w:val="single" w:color="auto" w:sz="4" w:space="0"/>
              <w:bottom w:val="single" w:color="auto" w:sz="4" w:space="0"/>
              <w:right w:val="single" w:color="auto" w:sz="4" w:space="0"/>
            </w:tcBorders>
            <w:noWrap w:val="0"/>
            <w:vAlign w:val="center"/>
          </w:tcPr>
          <w:p w14:paraId="35D6B84F">
            <w:pPr>
              <w:spacing w:line="360" w:lineRule="exact"/>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自成交通知书发出之日起10个工作日</w:t>
            </w:r>
          </w:p>
        </w:tc>
      </w:tr>
      <w:tr w14:paraId="16D7BB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1" w:type="dxa"/>
            <w:tcBorders>
              <w:top w:val="single" w:color="auto" w:sz="4" w:space="0"/>
              <w:left w:val="single" w:color="auto" w:sz="4" w:space="0"/>
              <w:bottom w:val="single" w:color="auto" w:sz="4" w:space="0"/>
              <w:right w:val="single" w:color="auto" w:sz="4" w:space="0"/>
            </w:tcBorders>
            <w:noWrap w:val="0"/>
            <w:vAlign w:val="center"/>
          </w:tcPr>
          <w:p w14:paraId="777F7BFA">
            <w:pPr>
              <w:spacing w:line="400" w:lineRule="exact"/>
              <w:jc w:val="center"/>
              <w:rPr>
                <w:b/>
                <w:bCs/>
                <w:color w:val="000000"/>
                <w:sz w:val="21"/>
                <w:szCs w:val="21"/>
                <w:highlight w:val="none"/>
              </w:rPr>
            </w:pPr>
            <w:r>
              <w:rPr>
                <w:rFonts w:hint="eastAsia" w:ascii="宋体" w:hAnsi="宋体" w:eastAsia="宋体" w:cs="宋体"/>
                <w:b/>
                <w:bCs/>
                <w:color w:val="000000"/>
                <w:sz w:val="21"/>
                <w:szCs w:val="21"/>
                <w:highlight w:val="none"/>
                <w:lang w:val="en-US" w:eastAsia="zh-CN"/>
              </w:rPr>
              <w:t>报价要求</w:t>
            </w:r>
          </w:p>
        </w:tc>
        <w:tc>
          <w:tcPr>
            <w:tcW w:w="8415" w:type="dxa"/>
            <w:gridSpan w:val="3"/>
            <w:tcBorders>
              <w:top w:val="single" w:color="auto" w:sz="4" w:space="0"/>
              <w:left w:val="single" w:color="auto" w:sz="4" w:space="0"/>
              <w:bottom w:val="single" w:color="auto" w:sz="4" w:space="0"/>
              <w:right w:val="single" w:color="auto" w:sz="4" w:space="0"/>
            </w:tcBorders>
            <w:noWrap w:val="0"/>
            <w:vAlign w:val="center"/>
          </w:tcPr>
          <w:p w14:paraId="45B8E878">
            <w:pPr>
              <w:pStyle w:val="172"/>
              <w:spacing w:before="0" w:beforeAutospacing="0" w:after="0" w:afterAutospacing="0" w:line="240" w:lineRule="auto"/>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1.报价方式：本项目采用全包总价报价方式：即投标人按完成项目全包价进行报价。</w:t>
            </w:r>
          </w:p>
          <w:p w14:paraId="6A90C128">
            <w:pPr>
              <w:pStyle w:val="172"/>
              <w:spacing w:before="0" w:beforeAutospacing="0" w:after="0" w:afterAutospacing="0" w:line="240" w:lineRule="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2.报价必须含以下部分，包括：</w:t>
            </w:r>
          </w:p>
          <w:p w14:paraId="3901A6D4">
            <w:pPr>
              <w:pStyle w:val="172"/>
              <w:spacing w:before="0" w:beforeAutospacing="0" w:after="0" w:afterAutospacing="0" w:line="240" w:lineRule="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（1）满足本项目全部采购需求，包含投标服务、货物、工程的成本、运输（含保险）、安装（如有）、调试、检验、技术服务、培训等所有费用。</w:t>
            </w:r>
          </w:p>
          <w:p w14:paraId="399BE733">
            <w:pPr>
              <w:pStyle w:val="172"/>
              <w:spacing w:before="0" w:beforeAutospacing="0" w:after="0" w:afterAutospacing="0" w:line="240" w:lineRule="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（2）必要的保险费用和各项税金；</w:t>
            </w:r>
          </w:p>
        </w:tc>
      </w:tr>
      <w:tr w14:paraId="3A493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1991" w:type="dxa"/>
            <w:tcBorders>
              <w:top w:val="single" w:color="auto" w:sz="4" w:space="0"/>
              <w:left w:val="single" w:color="auto" w:sz="4" w:space="0"/>
              <w:bottom w:val="single" w:color="auto" w:sz="4" w:space="0"/>
              <w:right w:val="single" w:color="auto" w:sz="4" w:space="0"/>
            </w:tcBorders>
            <w:noWrap w:val="0"/>
            <w:vAlign w:val="center"/>
          </w:tcPr>
          <w:p w14:paraId="481EDF9B">
            <w:pPr>
              <w:wordWrap w:val="0"/>
              <w:topLinePunct/>
              <w:snapToGrid w:val="0"/>
              <w:jc w:val="center"/>
              <w:rPr>
                <w:color w:val="000000"/>
                <w:sz w:val="21"/>
                <w:szCs w:val="21"/>
                <w:highlight w:val="none"/>
              </w:rPr>
            </w:pPr>
            <w:r>
              <w:rPr>
                <w:rFonts w:hint="eastAsia" w:ascii="宋体" w:hAnsi="宋体" w:cs="宋体"/>
                <w:b/>
                <w:sz w:val="21"/>
                <w:szCs w:val="21"/>
                <w:highlight w:val="none"/>
              </w:rPr>
              <w:t>验收标准</w:t>
            </w:r>
          </w:p>
        </w:tc>
        <w:tc>
          <w:tcPr>
            <w:tcW w:w="8415" w:type="dxa"/>
            <w:gridSpan w:val="3"/>
            <w:tcBorders>
              <w:top w:val="single" w:color="auto" w:sz="4" w:space="0"/>
              <w:left w:val="single" w:color="auto" w:sz="4" w:space="0"/>
              <w:bottom w:val="single" w:color="auto" w:sz="4" w:space="0"/>
              <w:right w:val="single" w:color="auto" w:sz="4" w:space="0"/>
            </w:tcBorders>
            <w:noWrap w:val="0"/>
            <w:vAlign w:val="center"/>
          </w:tcPr>
          <w:p w14:paraId="5431EAD2">
            <w:pPr>
              <w:pStyle w:val="172"/>
              <w:spacing w:before="0" w:beforeAutospacing="0" w:after="0" w:afterAutospacing="0" w:line="240" w:lineRule="auto"/>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1.国家强制性标准及有关规定。
</w:t>
            </w:r>
            <w:r>
              <w:rPr>
                <w:rFonts w:hint="eastAsia" w:ascii="仿宋_GB2312" w:hAnsi="仿宋_GB2312" w:eastAsia="仿宋_GB2312" w:cs="仿宋_GB2312"/>
                <w:color w:val="000000"/>
                <w:kern w:val="2"/>
                <w:sz w:val="21"/>
                <w:szCs w:val="21"/>
                <w:lang w:val="en-US" w:eastAsia="zh-CN" w:bidi="ar-SA"/>
              </w:rPr>
              <w:br w:type="textWrapping"/>
            </w:r>
            <w:r>
              <w:rPr>
                <w:rFonts w:hint="eastAsia" w:ascii="仿宋_GB2312" w:hAnsi="仿宋_GB2312" w:eastAsia="仿宋_GB2312" w:cs="仿宋_GB2312"/>
                <w:color w:val="000000"/>
                <w:kern w:val="2"/>
                <w:sz w:val="21"/>
                <w:szCs w:val="21"/>
                <w:lang w:val="en-US" w:eastAsia="zh-CN" w:bidi="ar-SA"/>
              </w:rPr>
              <w:t>2.采购文件的采购需求及成交供应商响应文件响应的事项。</w:t>
            </w:r>
          </w:p>
        </w:tc>
      </w:tr>
      <w:tr w14:paraId="1C1F0F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1991" w:type="dxa"/>
            <w:tcBorders>
              <w:top w:val="single" w:color="auto" w:sz="4" w:space="0"/>
              <w:left w:val="single" w:color="auto" w:sz="4" w:space="0"/>
              <w:bottom w:val="single" w:color="auto" w:sz="4" w:space="0"/>
              <w:right w:val="single" w:color="auto" w:sz="4" w:space="0"/>
            </w:tcBorders>
            <w:noWrap w:val="0"/>
            <w:vAlign w:val="center"/>
          </w:tcPr>
          <w:p w14:paraId="1CB8CF68">
            <w:pPr>
              <w:wordWrap w:val="0"/>
              <w:topLinePunct/>
              <w:snapToGrid w:val="0"/>
              <w:jc w:val="center"/>
              <w:rPr>
                <w:color w:val="000000"/>
                <w:sz w:val="21"/>
                <w:szCs w:val="21"/>
                <w:highlight w:val="none"/>
              </w:rPr>
            </w:pPr>
            <w:r>
              <w:rPr>
                <w:rFonts w:hint="eastAsia" w:ascii="宋体" w:hAnsi="宋体" w:cs="宋体"/>
                <w:b/>
                <w:sz w:val="21"/>
                <w:szCs w:val="21"/>
                <w:highlight w:val="none"/>
              </w:rPr>
              <w:t>付款条件</w:t>
            </w:r>
          </w:p>
        </w:tc>
        <w:tc>
          <w:tcPr>
            <w:tcW w:w="8415" w:type="dxa"/>
            <w:gridSpan w:val="3"/>
            <w:tcBorders>
              <w:top w:val="single" w:color="auto" w:sz="4" w:space="0"/>
              <w:left w:val="single" w:color="auto" w:sz="4" w:space="0"/>
              <w:bottom w:val="single" w:color="auto" w:sz="4" w:space="0"/>
              <w:right w:val="single" w:color="auto" w:sz="4" w:space="0"/>
            </w:tcBorders>
            <w:noWrap w:val="0"/>
            <w:vAlign w:val="center"/>
          </w:tcPr>
          <w:p w14:paraId="247B5057">
            <w:pPr>
              <w:pStyle w:val="172"/>
              <w:spacing w:before="0" w:beforeAutospacing="0" w:after="0" w:afterAutospacing="0" w:line="240" w:lineRule="auto"/>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按国家投保要求流程签订保单及支付保费。</w:t>
            </w:r>
          </w:p>
        </w:tc>
      </w:tr>
      <w:tr w14:paraId="4510C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1" w:type="dxa"/>
            <w:tcBorders>
              <w:top w:val="single" w:color="auto" w:sz="4" w:space="0"/>
              <w:left w:val="single" w:color="auto" w:sz="4" w:space="0"/>
              <w:bottom w:val="single" w:color="auto" w:sz="4" w:space="0"/>
              <w:right w:val="single" w:color="auto" w:sz="4" w:space="0"/>
            </w:tcBorders>
            <w:noWrap w:val="0"/>
            <w:vAlign w:val="center"/>
          </w:tcPr>
          <w:p w14:paraId="7DEEC5B6">
            <w:pPr>
              <w:snapToGrid w:val="0"/>
              <w:spacing w:line="360" w:lineRule="auto"/>
              <w:jc w:val="center"/>
              <w:rPr>
                <w:rFonts w:hint="eastAsia" w:ascii="宋体" w:hAnsi="宋体" w:cs="宋体"/>
                <w:b/>
                <w:sz w:val="21"/>
                <w:szCs w:val="21"/>
                <w:highlight w:val="none"/>
              </w:rPr>
            </w:pPr>
            <w:r>
              <w:rPr>
                <w:rFonts w:hint="eastAsia" w:ascii="宋体" w:hAnsi="宋体" w:cs="宋体"/>
                <w:b/>
                <w:sz w:val="21"/>
                <w:szCs w:val="21"/>
                <w:highlight w:val="none"/>
              </w:rPr>
              <w:t>保密要求</w:t>
            </w:r>
          </w:p>
        </w:tc>
        <w:tc>
          <w:tcPr>
            <w:tcW w:w="8415" w:type="dxa"/>
            <w:gridSpan w:val="3"/>
            <w:tcBorders>
              <w:top w:val="single" w:color="auto" w:sz="4" w:space="0"/>
              <w:left w:val="single" w:color="auto" w:sz="4" w:space="0"/>
              <w:bottom w:val="single" w:color="auto" w:sz="4" w:space="0"/>
              <w:right w:val="single" w:color="auto" w:sz="4" w:space="0"/>
            </w:tcBorders>
            <w:noWrap w:val="0"/>
            <w:vAlign w:val="center"/>
          </w:tcPr>
          <w:p w14:paraId="4F51D74F">
            <w:pPr>
              <w:pStyle w:val="172"/>
              <w:spacing w:before="0" w:beforeAutospacing="0" w:after="0" w:afterAutospacing="0" w:line="240" w:lineRule="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投标人应承诺遵守采购信息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bl>
    <w:p w14:paraId="78E7C2D4">
      <w:pPr>
        <w:rPr>
          <w:color w:val="000000" w:themeColor="text1"/>
          <w:sz w:val="15"/>
          <w:szCs w:val="15"/>
          <w:highlight w:val="none"/>
          <w14:textFill>
            <w14:solidFill>
              <w14:schemeClr w14:val="tx1"/>
            </w14:solidFill>
          </w14:textFill>
        </w:rPr>
      </w:pPr>
    </w:p>
    <w:p w14:paraId="4EEB2F73">
      <w:pPr>
        <w:pStyle w:val="2"/>
        <w:jc w:val="center"/>
        <w:rPr>
          <w:rStyle w:val="53"/>
          <w:rFonts w:hint="eastAsia"/>
          <w:b/>
          <w:bCs/>
          <w:color w:val="000000" w:themeColor="text1"/>
          <w:highlight w:val="none"/>
          <w14:textFill>
            <w14:solidFill>
              <w14:schemeClr w14:val="tx1"/>
            </w14:solidFill>
          </w14:textFill>
        </w:rPr>
      </w:pPr>
      <w:bookmarkStart w:id="344" w:name="_Toc7344"/>
      <w:r>
        <w:rPr>
          <w:rStyle w:val="53"/>
          <w:rFonts w:hint="eastAsia"/>
          <w:b/>
          <w:bCs/>
          <w:color w:val="000000" w:themeColor="text1"/>
          <w:highlight w:val="none"/>
          <w14:textFill>
            <w14:solidFill>
              <w14:schemeClr w14:val="tx1"/>
            </w14:solidFill>
          </w14:textFill>
        </w:rPr>
        <w:br w:type="page"/>
      </w:r>
      <w:r>
        <w:rPr>
          <w:rStyle w:val="53"/>
          <w:rFonts w:hint="eastAsia"/>
          <w:b/>
          <w:bCs/>
          <w:color w:val="000000" w:themeColor="text1"/>
          <w:highlight w:val="none"/>
          <w14:textFill>
            <w14:solidFill>
              <w14:schemeClr w14:val="tx1"/>
            </w14:solidFill>
          </w14:textFill>
        </w:rPr>
        <w:t>第四章  评审办法</w:t>
      </w:r>
      <w:bookmarkEnd w:id="344"/>
    </w:p>
    <w:p w14:paraId="745EE473">
      <w:pPr>
        <w:pStyle w:val="57"/>
        <w:widowControl w:val="0"/>
        <w:wordWrap/>
        <w:spacing w:line="240" w:lineRule="auto"/>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w:t>
      </w:r>
      <w:r>
        <w:rPr>
          <w:rFonts w:hint="eastAsia" w:ascii="宋体" w:hAnsi="宋体" w:eastAsia="宋体" w:cs="宋体"/>
          <w:b/>
          <w:bCs/>
          <w:color w:val="000000" w:themeColor="text1"/>
          <w:sz w:val="15"/>
          <w:szCs w:val="15"/>
          <w:highlight w:val="none"/>
          <w14:textFill>
            <w14:solidFill>
              <w14:schemeClr w14:val="tx1"/>
            </w14:solidFill>
          </w14:textFill>
        </w:rPr>
        <w:t>评审依据及方式</w:t>
      </w:r>
    </w:p>
    <w:p w14:paraId="135259E0">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 磋商小组构成：本采购项目的评委分别由依法组成的专家共 3 人</w:t>
      </w:r>
      <w:r>
        <w:rPr>
          <w:rFonts w:hint="eastAsia" w:ascii="宋体" w:hAnsi="宋体" w:eastAsia="宋体" w:cs="宋体"/>
          <w:color w:val="000000" w:themeColor="text1"/>
          <w:sz w:val="15"/>
          <w:szCs w:val="15"/>
          <w:highlight w:val="none"/>
          <w:lang w:val="en-US" w:eastAsia="zh-CN"/>
          <w14:textFill>
            <w14:solidFill>
              <w14:schemeClr w14:val="tx1"/>
            </w14:solidFill>
          </w14:textFill>
        </w:rPr>
        <w:t>或以上单数</w:t>
      </w:r>
      <w:r>
        <w:rPr>
          <w:rFonts w:hint="eastAsia" w:ascii="宋体" w:hAnsi="宋体" w:eastAsia="宋体" w:cs="宋体"/>
          <w:color w:val="000000" w:themeColor="text1"/>
          <w:sz w:val="15"/>
          <w:szCs w:val="15"/>
          <w:highlight w:val="none"/>
          <w14:textFill>
            <w14:solidFill>
              <w14:schemeClr w14:val="tx1"/>
            </w14:solidFill>
          </w14:textFill>
        </w:rPr>
        <w:t>构成。</w:t>
      </w:r>
    </w:p>
    <w:p w14:paraId="5286AE2D">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（二）评标方式：以封闭方式进行。</w:t>
      </w:r>
    </w:p>
    <w:p w14:paraId="20EB718C">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（三）采购人和</w:t>
      </w:r>
      <w:r>
        <w:rPr>
          <w:rFonts w:hint="eastAsia" w:ascii="宋体" w:hAnsi="宋体" w:eastAsia="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、磋商小组成员要严格遵守相关法律制度，依法履行各自职责，公正、客观、审慎地组织和参与评审工作。</w:t>
      </w:r>
    </w:p>
    <w:p w14:paraId="64DDABB4">
      <w:pPr>
        <w:pStyle w:val="57"/>
        <w:widowControl w:val="0"/>
        <w:wordWrap/>
        <w:spacing w:line="240" w:lineRule="auto"/>
        <w:textAlignment w:val="auto"/>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二、评定方法</w:t>
      </w:r>
    </w:p>
    <w:p w14:paraId="707D8DBC">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（一）对进入详评的，采用百分制综合评分法。</w:t>
      </w:r>
    </w:p>
    <w:p w14:paraId="319A6441">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（二）计分办法（按四舍五入取至百分位）：</w:t>
      </w:r>
    </w:p>
    <w:p w14:paraId="7A2C1A03">
      <w:pPr>
        <w:pStyle w:val="57"/>
        <w:widowControl w:val="0"/>
        <w:wordWrap/>
        <w:spacing w:line="240" w:lineRule="auto"/>
        <w:textAlignment w:val="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三</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b/>
          <w:bCs/>
          <w:color w:val="000000" w:themeColor="text1"/>
          <w:sz w:val="15"/>
          <w:szCs w:val="15"/>
          <w:highlight w:val="none"/>
          <w14:textFill>
            <w14:solidFill>
              <w14:schemeClr w14:val="tx1"/>
            </w14:solidFill>
          </w14:textFill>
        </w:rPr>
        <w:t>评审</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因素及分值</w:t>
      </w:r>
    </w:p>
    <w:tbl>
      <w:tblPr>
        <w:tblStyle w:val="36"/>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155"/>
        <w:gridCol w:w="5721"/>
        <w:gridCol w:w="845"/>
      </w:tblGrid>
      <w:tr w14:paraId="482C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0F1137E2">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序号</w:t>
            </w:r>
          </w:p>
        </w:tc>
        <w:tc>
          <w:tcPr>
            <w:tcW w:w="2155" w:type="dxa"/>
            <w:noWrap w:val="0"/>
            <w:vAlign w:val="center"/>
          </w:tcPr>
          <w:p w14:paraId="2721821C">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w:t>
            </w:r>
          </w:p>
        </w:tc>
        <w:tc>
          <w:tcPr>
            <w:tcW w:w="5721" w:type="dxa"/>
            <w:noWrap w:val="0"/>
            <w:vAlign w:val="center"/>
          </w:tcPr>
          <w:p w14:paraId="70E1257D">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评审因素具体内容</w:t>
            </w:r>
          </w:p>
        </w:tc>
        <w:tc>
          <w:tcPr>
            <w:tcW w:w="845" w:type="dxa"/>
            <w:noWrap w:val="0"/>
            <w:vAlign w:val="center"/>
          </w:tcPr>
          <w:p w14:paraId="6DE06656">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分值</w:t>
            </w:r>
          </w:p>
        </w:tc>
      </w:tr>
      <w:tr w14:paraId="244D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D517CBE">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1</w:t>
            </w:r>
          </w:p>
        </w:tc>
        <w:tc>
          <w:tcPr>
            <w:tcW w:w="2155" w:type="dxa"/>
            <w:noWrap w:val="0"/>
            <w:vAlign w:val="center"/>
          </w:tcPr>
          <w:p w14:paraId="35F251D1">
            <w:pPr>
              <w:widowControl/>
              <w:spacing w:line="240" w:lineRule="auto"/>
              <w:jc w:val="center"/>
              <w:rPr>
                <w:rFonts w:hint="default" w:ascii="宋体" w:hAnsi="宋体" w:eastAsia="宋体" w:cs="宋体"/>
                <w:b/>
                <w:bCs/>
                <w:color w:val="000000" w:themeColor="text1"/>
                <w:kern w:val="0"/>
                <w:sz w:val="15"/>
                <w:szCs w:val="15"/>
                <w:lang w:val="en-US" w:eastAsia="zh-CN"/>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价格分</w:t>
            </w:r>
            <w:r>
              <w:rPr>
                <w:rFonts w:hint="eastAsia" w:ascii="宋体" w:hAnsi="宋体" w:cs="宋体"/>
                <w:b/>
                <w:color w:val="000000" w:themeColor="text1"/>
                <w:kern w:val="0"/>
                <w:sz w:val="15"/>
                <w:szCs w:val="15"/>
                <w:lang w:val="en-US" w:eastAsia="zh-CN"/>
                <w14:textFill>
                  <w14:solidFill>
                    <w14:schemeClr w14:val="tx1"/>
                  </w14:solidFill>
                </w14:textFill>
              </w:rPr>
              <w:t>40分</w:t>
            </w:r>
          </w:p>
        </w:tc>
        <w:tc>
          <w:tcPr>
            <w:tcW w:w="5721" w:type="dxa"/>
            <w:noWrap w:val="0"/>
            <w:vAlign w:val="top"/>
          </w:tcPr>
          <w:p w14:paraId="4E4E45B2">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评审因素</w:t>
            </w:r>
          </w:p>
        </w:tc>
        <w:tc>
          <w:tcPr>
            <w:tcW w:w="845" w:type="dxa"/>
            <w:noWrap w:val="0"/>
            <w:vAlign w:val="top"/>
          </w:tcPr>
          <w:p w14:paraId="72E7CB1A">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分值</w:t>
            </w:r>
          </w:p>
        </w:tc>
      </w:tr>
      <w:tr w14:paraId="0783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7B83DD3">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1.1</w:t>
            </w:r>
          </w:p>
        </w:tc>
        <w:tc>
          <w:tcPr>
            <w:tcW w:w="2155" w:type="dxa"/>
            <w:noWrap w:val="0"/>
            <w:vAlign w:val="center"/>
          </w:tcPr>
          <w:p w14:paraId="62C6ED8C">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价格分</w:t>
            </w:r>
          </w:p>
        </w:tc>
        <w:tc>
          <w:tcPr>
            <w:tcW w:w="5721" w:type="dxa"/>
            <w:noWrap w:val="0"/>
            <w:vAlign w:val="top"/>
          </w:tcPr>
          <w:p w14:paraId="7BDB7E17">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（1）评标价为供应商的磋商报价进行政策性扣除后的价格，评标价只是作为评标时使用。最终成交供应商的成交价＝磋商报价。</w:t>
            </w:r>
          </w:p>
          <w:p w14:paraId="0D4B71EC">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w:t>
            </w:r>
            <w:r>
              <w:rPr>
                <w:rFonts w:hint="eastAsia" w:ascii="宋体" w:hAnsi="宋体" w:eastAsia="宋体" w:cs="宋体"/>
                <w:color w:val="000000" w:themeColor="text1"/>
                <w:sz w:val="15"/>
                <w:szCs w:val="15"/>
                <w:highlight w:val="none"/>
                <w14:textFill>
                  <w14:solidFill>
                    <w14:schemeClr w14:val="tx1"/>
                  </w14:solidFill>
                </w14:textFill>
              </w:rPr>
              <w:t>供应商为大中型企业与小型、微型企业组成联合体参与</w:t>
            </w:r>
            <w:r>
              <w:rPr>
                <w:rFonts w:hint="eastAsia" w:ascii="宋体" w:hAnsi="宋体" w:eastAsia="宋体" w:cs="宋体"/>
                <w:color w:val="000000" w:themeColor="text1"/>
                <w:sz w:val="15"/>
                <w:szCs w:val="15"/>
                <w:highlight w:val="none"/>
                <w:lang w:val="en-US" w:eastAsia="zh-CN"/>
                <w14:textFill>
                  <w14:solidFill>
                    <w14:schemeClr w14:val="tx1"/>
                  </w14:solidFill>
                </w14:textFill>
              </w:rPr>
              <w:t>投标</w:t>
            </w:r>
            <w:r>
              <w:rPr>
                <w:rFonts w:hint="eastAsia" w:ascii="宋体" w:hAnsi="宋体" w:eastAsia="宋体" w:cs="宋体"/>
                <w:color w:val="000000" w:themeColor="text1"/>
                <w:sz w:val="15"/>
                <w:szCs w:val="15"/>
                <w:highlight w:val="none"/>
                <w14:textFill>
                  <w14:solidFill>
                    <w14:schemeClr w14:val="tx1"/>
                  </w14:solidFill>
                </w14:textFill>
              </w:rPr>
              <w:t>，其中小型、微型企业的协议合同金额占到联合体协议合同总金额 30%以上（供应商须于《联合体协议书》中明确约定小型、微型企业的协议合同金额及所占比例，该金额应与谈判报价表所报金额对应一致），联合体供应商最后报价给予2%的价格扣除，扣除后的价格为评审报价，即评审报价=最后报价×（1-2%）</w:t>
            </w:r>
          </w:p>
          <w:p w14:paraId="76F4528A">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lang w:eastAsia="zh-CN"/>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3</w:t>
            </w:r>
            <w:r>
              <w:rPr>
                <w:rFonts w:hint="eastAsia" w:ascii="宋体" w:hAnsi="宋体" w:eastAsia="宋体" w:cs="宋体"/>
                <w:bCs/>
                <w:color w:val="000000" w:themeColor="text1"/>
                <w:sz w:val="15"/>
                <w:szCs w:val="15"/>
                <w:highlight w:val="none"/>
                <w:lang w:eastAsia="zh-CN"/>
                <w14:textFill>
                  <w14:solidFill>
                    <w14:schemeClr w14:val="tx1"/>
                  </w14:solidFill>
                </w14:textFill>
              </w:rPr>
              <w:t>）</w:t>
            </w:r>
            <w:r>
              <w:rPr>
                <w:rFonts w:hint="eastAsia" w:ascii="宋体" w:hAnsi="宋体" w:eastAsia="宋体" w:cs="宋体"/>
                <w:bCs/>
                <w:color w:val="000000" w:themeColor="text1"/>
                <w:sz w:val="15"/>
                <w:szCs w:val="15"/>
                <w:highlight w:val="none"/>
                <w14:textFill>
                  <w14:solidFill>
                    <w14:schemeClr w14:val="tx1"/>
                  </w14:solidFill>
                </w14:textFill>
              </w:rPr>
              <w:t>按照《政府采购促进中小企业发展管理办法》（财库〔2020〕46号）的规定，磋商供应商认定为小型和微型企业的（以响应文件提供《中小企业声明函》为准），对磋商报价给予20%的扣除，扣除后的价格为评标价，即评标价=磋商报价×（1-20%）；除上述情况外，评标价=磋商报价。</w:t>
            </w:r>
          </w:p>
          <w:p w14:paraId="7DCC7FE8">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sz w:val="15"/>
                <w:szCs w:val="15"/>
                <w:highlight w:val="none"/>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3828D6A4">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5</w:t>
            </w:r>
            <w:r>
              <w:rPr>
                <w:rFonts w:hint="eastAsia" w:ascii="宋体" w:hAnsi="宋体" w:eastAsia="宋体" w:cs="宋体"/>
                <w:bCs/>
                <w:color w:val="000000" w:themeColor="text1"/>
                <w:sz w:val="15"/>
                <w:szCs w:val="15"/>
                <w:highlight w:val="none"/>
                <w14:textFill>
                  <w14:solidFill>
                    <w14:schemeClr w14:val="tx1"/>
                  </w14:solidFill>
                </w14:textFill>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6F09860">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6</w:t>
            </w:r>
            <w:r>
              <w:rPr>
                <w:rFonts w:hint="eastAsia" w:ascii="宋体" w:hAnsi="宋体" w:eastAsia="宋体" w:cs="宋体"/>
                <w:bCs/>
                <w:color w:val="000000" w:themeColor="text1"/>
                <w:sz w:val="15"/>
                <w:szCs w:val="15"/>
                <w:highlight w:val="none"/>
                <w14:textFill>
                  <w14:solidFill>
                    <w14:schemeClr w14:val="tx1"/>
                  </w14:solidFill>
                </w14:textFill>
              </w:rPr>
              <w:t>）以进入综合评分环节的最低的评标价为基准价，基准价报价得分为</w:t>
            </w:r>
            <w:r>
              <w:rPr>
                <w:rFonts w:hint="eastAsia" w:hAnsi="宋体" w:cs="宋体"/>
                <w:bCs/>
                <w:color w:val="000000" w:themeColor="text1"/>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sz w:val="15"/>
                <w:szCs w:val="15"/>
                <w:highlight w:val="none"/>
                <w14:textFill>
                  <w14:solidFill>
                    <w14:schemeClr w14:val="tx1"/>
                  </w14:solidFill>
                </w14:textFill>
              </w:rPr>
              <w:t>0分。</w:t>
            </w:r>
          </w:p>
          <w:p w14:paraId="603E7E85">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7</w:t>
            </w:r>
            <w:r>
              <w:rPr>
                <w:rFonts w:hint="eastAsia" w:ascii="宋体" w:hAnsi="宋体" w:eastAsia="宋体" w:cs="宋体"/>
                <w:bCs/>
                <w:color w:val="000000" w:themeColor="text1"/>
                <w:sz w:val="15"/>
                <w:szCs w:val="15"/>
                <w:highlight w:val="none"/>
                <w14:textFill>
                  <w14:solidFill>
                    <w14:schemeClr w14:val="tx1"/>
                  </w14:solidFill>
                </w14:textFill>
              </w:rPr>
              <w:t>）价格分计算公式：</w:t>
            </w:r>
          </w:p>
          <w:p w14:paraId="343070A9">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某供应商价格分=基准价/某供应商评标价×</w:t>
            </w:r>
            <w:r>
              <w:rPr>
                <w:rFonts w:hint="eastAsia" w:hAnsi="宋体" w:cs="宋体"/>
                <w:bCs/>
                <w:color w:val="000000" w:themeColor="text1"/>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sz w:val="15"/>
                <w:szCs w:val="15"/>
                <w:highlight w:val="none"/>
                <w14:textFill>
                  <w14:solidFill>
                    <w14:schemeClr w14:val="tx1"/>
                  </w14:solidFill>
                </w14:textFill>
              </w:rPr>
              <w:t>0分</w:t>
            </w:r>
          </w:p>
          <w:p w14:paraId="1DE3B26F">
            <w:pPr>
              <w:pStyle w:val="20"/>
              <w:widowControl w:val="0"/>
              <w:wordWrap/>
              <w:spacing w:line="240" w:lineRule="auto"/>
              <w:ind w:firstLine="300" w:firstLineChars="200"/>
              <w:textAlignment w:val="auto"/>
              <w:rPr>
                <w:rFonts w:hint="eastAsia"/>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注：（1）评标价为供应商的磋商报价进行政策性扣除后的价格，评标价只是作为评标时使用。最终成交价＝磋商报价。</w:t>
            </w:r>
          </w:p>
        </w:tc>
        <w:tc>
          <w:tcPr>
            <w:tcW w:w="845" w:type="dxa"/>
            <w:noWrap w:val="0"/>
            <w:vAlign w:val="center"/>
          </w:tcPr>
          <w:p w14:paraId="22604A0F">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40</w:t>
            </w:r>
            <w:r>
              <w:rPr>
                <w:rFonts w:hint="eastAsia" w:ascii="宋体" w:hAnsi="宋体" w:eastAsia="宋体" w:cs="宋体"/>
                <w:color w:val="000000" w:themeColor="text1"/>
                <w:kern w:val="0"/>
                <w:sz w:val="15"/>
                <w:szCs w:val="15"/>
                <w14:textFill>
                  <w14:solidFill>
                    <w14:schemeClr w14:val="tx1"/>
                  </w14:solidFill>
                </w14:textFill>
              </w:rPr>
              <w:t>分</w:t>
            </w:r>
          </w:p>
        </w:tc>
      </w:tr>
      <w:tr w14:paraId="1BA9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AE91CCC">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2</w:t>
            </w:r>
          </w:p>
        </w:tc>
        <w:tc>
          <w:tcPr>
            <w:tcW w:w="2155" w:type="dxa"/>
            <w:noWrap w:val="0"/>
            <w:vAlign w:val="center"/>
          </w:tcPr>
          <w:p w14:paraId="34D9FCE4">
            <w:pPr>
              <w:widowControl/>
              <w:spacing w:line="240" w:lineRule="auto"/>
              <w:jc w:val="center"/>
              <w:rPr>
                <w:rFonts w:hint="default" w:ascii="宋体" w:hAnsi="宋体" w:eastAsia="宋体" w:cs="宋体"/>
                <w:b/>
                <w:color w:val="000000" w:themeColor="text1"/>
                <w:kern w:val="0"/>
                <w:sz w:val="15"/>
                <w:szCs w:val="15"/>
                <w:lang w:val="en-US" w:eastAsia="zh-CN"/>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技术分</w:t>
            </w:r>
            <w:r>
              <w:rPr>
                <w:rFonts w:hint="eastAsia" w:ascii="宋体" w:hAnsi="宋体" w:cs="宋体"/>
                <w:b/>
                <w:color w:val="000000" w:themeColor="text1"/>
                <w:kern w:val="0"/>
                <w:sz w:val="15"/>
                <w:szCs w:val="15"/>
                <w:lang w:val="en-US" w:eastAsia="zh-CN"/>
                <w14:textFill>
                  <w14:solidFill>
                    <w14:schemeClr w14:val="tx1"/>
                  </w14:solidFill>
                </w14:textFill>
              </w:rPr>
              <w:t>37分</w:t>
            </w:r>
          </w:p>
        </w:tc>
        <w:tc>
          <w:tcPr>
            <w:tcW w:w="5721" w:type="dxa"/>
            <w:noWrap w:val="0"/>
            <w:vAlign w:val="top"/>
          </w:tcPr>
          <w:p w14:paraId="5EB7F741">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评审因素</w:t>
            </w:r>
          </w:p>
        </w:tc>
        <w:tc>
          <w:tcPr>
            <w:tcW w:w="845" w:type="dxa"/>
            <w:noWrap w:val="0"/>
            <w:vAlign w:val="top"/>
          </w:tcPr>
          <w:p w14:paraId="722B7BD5">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分值</w:t>
            </w:r>
          </w:p>
        </w:tc>
      </w:tr>
      <w:tr w14:paraId="40E9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272397A9">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2.1</w:t>
            </w:r>
          </w:p>
        </w:tc>
        <w:tc>
          <w:tcPr>
            <w:tcW w:w="2155" w:type="dxa"/>
            <w:noWrap w:val="0"/>
            <w:vAlign w:val="center"/>
          </w:tcPr>
          <w:p w14:paraId="5A2AE536">
            <w:pPr>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服务方案分</w:t>
            </w:r>
          </w:p>
        </w:tc>
        <w:tc>
          <w:tcPr>
            <w:tcW w:w="5721" w:type="dxa"/>
            <w:noWrap w:val="0"/>
            <w:vAlign w:val="center"/>
          </w:tcPr>
          <w:p w14:paraId="53C3C3AA">
            <w:pPr>
              <w:widowControl/>
              <w:spacing w:line="240" w:lineRule="auto"/>
              <w:ind w:firstLine="300" w:firstLineChars="200"/>
              <w:jc w:val="left"/>
              <w:rPr>
                <w:sz w:val="15"/>
                <w:szCs w:val="15"/>
              </w:rPr>
            </w:pPr>
            <w:r>
              <w:rPr>
                <w:sz w:val="15"/>
                <w:szCs w:val="15"/>
              </w:rPr>
              <w:t>供应商针对本项目服务范围及用户需求的理解，制定保险服务方案，对其中内容进行专项、透彻的分析，包括但不限于： ①对项目重点、难点的分析、应对； ②服务团队人员稳定性； ③现场响应便捷性； ④质量控制措施； ⑤特殊情况处理措施等方面。</w:t>
            </w:r>
          </w:p>
          <w:p w14:paraId="422CB358">
            <w:pPr>
              <w:widowControl/>
              <w:spacing w:line="240" w:lineRule="auto"/>
              <w:ind w:firstLine="300" w:firstLineChars="200"/>
              <w:jc w:val="left"/>
              <w:rPr>
                <w:sz w:val="15"/>
                <w:szCs w:val="15"/>
              </w:rPr>
            </w:pPr>
            <w:r>
              <w:rPr>
                <w:rFonts w:hint="eastAsia"/>
                <w:sz w:val="15"/>
                <w:szCs w:val="15"/>
                <w:lang w:eastAsia="zh-CN"/>
              </w:rPr>
              <w:t>1.</w:t>
            </w:r>
            <w:r>
              <w:rPr>
                <w:sz w:val="15"/>
                <w:szCs w:val="15"/>
              </w:rPr>
              <w:t>方案完整全面（包含上述5方面），对项目服务范围及用户需求理解深刻，对重点、难点分析透彻且应对措施科学可行；服务团队人员配置合理、稳定性强；现场响应机制完善、便捷高效；质量控制措施严密有效；特殊情况处理预案周全。思路清晰，可操作性强，满足或优于采购要求的得1</w:t>
            </w:r>
            <w:r>
              <w:rPr>
                <w:rFonts w:hint="eastAsia"/>
                <w:sz w:val="15"/>
                <w:szCs w:val="15"/>
                <w:lang w:val="en-US" w:eastAsia="zh-CN"/>
              </w:rPr>
              <w:t>0</w:t>
            </w:r>
            <w:r>
              <w:rPr>
                <w:sz w:val="15"/>
                <w:szCs w:val="15"/>
              </w:rPr>
              <w:t>分。</w:t>
            </w:r>
          </w:p>
          <w:p w14:paraId="15BEF970">
            <w:pPr>
              <w:widowControl/>
              <w:spacing w:line="240" w:lineRule="auto"/>
              <w:ind w:firstLine="300" w:firstLineChars="200"/>
              <w:jc w:val="left"/>
              <w:rPr>
                <w:sz w:val="15"/>
                <w:szCs w:val="15"/>
              </w:rPr>
            </w:pPr>
            <w:r>
              <w:rPr>
                <w:rFonts w:hint="eastAsia"/>
                <w:sz w:val="15"/>
                <w:szCs w:val="15"/>
                <w:lang w:eastAsia="zh-CN"/>
              </w:rPr>
              <w:t>2.</w:t>
            </w:r>
            <w:r>
              <w:rPr>
                <w:sz w:val="15"/>
                <w:szCs w:val="15"/>
              </w:rPr>
              <w:t>方案基本完善（包含上述5方面），对项目服务范围及用户需求理解较为准确，对重点、难点分析较为全面且应对措施基本可行；服务团队人员配置基本合理、稳定性较好；现场响应机制基本完善、具备便捷性；质量控制措施基本有效；特殊情况处理预案基本周全。思路基本清晰，具备可操作性，基本满足采购要求的得</w:t>
            </w:r>
            <w:r>
              <w:rPr>
                <w:rFonts w:hint="eastAsia"/>
                <w:sz w:val="15"/>
                <w:szCs w:val="15"/>
                <w:lang w:val="en-US" w:eastAsia="zh-CN"/>
              </w:rPr>
              <w:t>6</w:t>
            </w:r>
            <w:r>
              <w:rPr>
                <w:sz w:val="15"/>
                <w:szCs w:val="15"/>
              </w:rPr>
              <w:t>分。</w:t>
            </w:r>
          </w:p>
          <w:p w14:paraId="255989D4">
            <w:pPr>
              <w:widowControl/>
              <w:spacing w:line="240" w:lineRule="auto"/>
              <w:ind w:firstLine="300" w:firstLineChars="200"/>
              <w:jc w:val="left"/>
              <w:rPr>
                <w:sz w:val="15"/>
                <w:szCs w:val="15"/>
              </w:rPr>
            </w:pPr>
            <w:r>
              <w:rPr>
                <w:rFonts w:hint="eastAsia"/>
                <w:sz w:val="15"/>
                <w:szCs w:val="15"/>
                <w:lang w:eastAsia="zh-CN"/>
              </w:rPr>
              <w:t>3.</w:t>
            </w:r>
            <w:r>
              <w:rPr>
                <w:sz w:val="15"/>
                <w:szCs w:val="15"/>
              </w:rPr>
              <w:t>方案内容未能完整涵盖上述5方面或对项目服务范围及用户需求理解存在一定偏差，对重点、难点分析不够深入或应对措施针对性不强；服务团队人员配置合理性一般或稳定性一般；现场响应机制不够完善、便捷性不足；质量控制措施不够严密；特殊情况处理预案不够周全。思路基本清晰，可操作性一般，部分内容不能满足采购要求的得</w:t>
            </w:r>
            <w:r>
              <w:rPr>
                <w:rFonts w:hint="eastAsia"/>
                <w:sz w:val="15"/>
                <w:szCs w:val="15"/>
                <w:lang w:val="en-US" w:eastAsia="zh-CN"/>
              </w:rPr>
              <w:t>2</w:t>
            </w:r>
            <w:r>
              <w:rPr>
                <w:sz w:val="15"/>
                <w:szCs w:val="15"/>
              </w:rPr>
              <w:t>分。</w:t>
            </w:r>
          </w:p>
          <w:p w14:paraId="1720027D">
            <w:pPr>
              <w:widowControl/>
              <w:spacing w:line="240" w:lineRule="auto"/>
              <w:ind w:firstLine="300" w:firstLineChars="200"/>
              <w:jc w:val="left"/>
              <w:rPr>
                <w:rFonts w:hint="eastAsia" w:ascii="宋体" w:hAnsi="宋体" w:eastAsia="宋体" w:cs="宋体"/>
                <w:color w:val="000000" w:themeColor="text1"/>
                <w:sz w:val="15"/>
                <w:szCs w:val="15"/>
                <w14:textFill>
                  <w14:solidFill>
                    <w14:schemeClr w14:val="tx1"/>
                  </w14:solidFill>
                </w14:textFill>
              </w:rPr>
            </w:pPr>
            <w:r>
              <w:rPr>
                <w:rFonts w:hint="eastAsia"/>
                <w:sz w:val="15"/>
                <w:szCs w:val="15"/>
                <w:lang w:eastAsia="zh-CN"/>
              </w:rPr>
              <w:t>4.</w:t>
            </w:r>
            <w:r>
              <w:rPr>
                <w:sz w:val="15"/>
                <w:szCs w:val="15"/>
              </w:rPr>
              <w:t>未提供方案说明得0分。</w:t>
            </w:r>
          </w:p>
        </w:tc>
        <w:tc>
          <w:tcPr>
            <w:tcW w:w="845" w:type="dxa"/>
            <w:noWrap w:val="0"/>
            <w:vAlign w:val="center"/>
          </w:tcPr>
          <w:p w14:paraId="0BF801F7">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10</w:t>
            </w:r>
            <w:r>
              <w:rPr>
                <w:rFonts w:hint="eastAsia" w:ascii="宋体" w:hAnsi="宋体" w:eastAsia="宋体" w:cs="宋体"/>
                <w:color w:val="000000" w:themeColor="text1"/>
                <w:sz w:val="15"/>
                <w:szCs w:val="15"/>
                <w14:textFill>
                  <w14:solidFill>
                    <w14:schemeClr w14:val="tx1"/>
                  </w14:solidFill>
                </w14:textFill>
              </w:rPr>
              <w:t>分</w:t>
            </w:r>
          </w:p>
        </w:tc>
      </w:tr>
      <w:tr w14:paraId="228C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766C3304">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2.2</w:t>
            </w:r>
          </w:p>
        </w:tc>
        <w:tc>
          <w:tcPr>
            <w:tcW w:w="2155" w:type="dxa"/>
            <w:noWrap w:val="0"/>
            <w:vAlign w:val="center"/>
          </w:tcPr>
          <w:p w14:paraId="07E66FB9">
            <w:pPr>
              <w:widowControl/>
              <w:spacing w:line="240" w:lineRule="auto"/>
              <w:jc w:val="center"/>
              <w:rPr>
                <w:rFonts w:hint="eastAsia" w:ascii="宋体" w:hAnsi="宋体" w:eastAsia="宋体" w:cs="宋体"/>
                <w:color w:val="000000" w:themeColor="text1"/>
                <w:sz w:val="15"/>
                <w:szCs w:val="15"/>
                <w14:textFill>
                  <w14:solidFill>
                    <w14:schemeClr w14:val="tx1"/>
                  </w14:solidFill>
                </w14:textFill>
              </w:rPr>
            </w:pPr>
            <w:r>
              <w:rPr>
                <w:sz w:val="15"/>
                <w:szCs w:val="15"/>
              </w:rPr>
              <w:t>医疗纠纷调解能力</w:t>
            </w:r>
          </w:p>
        </w:tc>
        <w:tc>
          <w:tcPr>
            <w:tcW w:w="5721" w:type="dxa"/>
            <w:noWrap w:val="0"/>
            <w:vAlign w:val="center"/>
          </w:tcPr>
          <w:p w14:paraId="320F1F38">
            <w:pPr>
              <w:widowControl/>
              <w:spacing w:line="240" w:lineRule="auto"/>
              <w:jc w:val="both"/>
              <w:rPr>
                <w:rFonts w:hint="eastAsia" w:ascii="宋体" w:hAnsi="宋体" w:eastAsia="宋体" w:cs="宋体"/>
                <w:color w:val="000000" w:themeColor="text1"/>
                <w:sz w:val="15"/>
                <w:szCs w:val="15"/>
                <w14:textFill>
                  <w14:solidFill>
                    <w14:schemeClr w14:val="tx1"/>
                  </w14:solidFill>
                </w14:textFill>
              </w:rPr>
            </w:pPr>
            <w:r>
              <w:rPr>
                <w:rFonts w:ascii="Times New Roman" w:hAnsi="Times New Roman" w:eastAsia="宋体" w:cs="Times New Roman"/>
                <w:sz w:val="15"/>
                <w:szCs w:val="15"/>
              </w:rPr>
              <w:t>提供通过第三方医疗纠纷调解机构达成赔偿协议后，直接赔付患方的调解案例。每提供一个案例得1分，最高得5分。 注：投标文件中需提供上述案例的调解协议书、划款凭证、保单（合同）或服务协议。如果投标人为保险经纪公司或其分支机构的，还应附作为保险经纪人的证明材料。</w:t>
            </w:r>
          </w:p>
        </w:tc>
        <w:tc>
          <w:tcPr>
            <w:tcW w:w="845" w:type="dxa"/>
            <w:noWrap w:val="0"/>
            <w:vAlign w:val="center"/>
          </w:tcPr>
          <w:p w14:paraId="1A2839A9">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5分</w:t>
            </w:r>
          </w:p>
        </w:tc>
      </w:tr>
      <w:tr w14:paraId="2BEB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5337128F">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lang w:eastAsia="zh-CN"/>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w:t>
            </w:r>
            <w:r>
              <w:rPr>
                <w:rFonts w:hint="eastAsia" w:ascii="宋体" w:hAnsi="宋体" w:cs="宋体"/>
                <w:bCs/>
                <w:color w:val="000000" w:themeColor="text1"/>
                <w:kern w:val="0"/>
                <w:sz w:val="15"/>
                <w:szCs w:val="15"/>
                <w:lang w:val="en-US" w:eastAsia="zh-CN"/>
                <w14:textFill>
                  <w14:solidFill>
                    <w14:schemeClr w14:val="tx1"/>
                  </w14:solidFill>
                </w14:textFill>
              </w:rPr>
              <w:t>3</w:t>
            </w:r>
          </w:p>
        </w:tc>
        <w:tc>
          <w:tcPr>
            <w:tcW w:w="2155" w:type="dxa"/>
            <w:noWrap w:val="0"/>
            <w:vAlign w:val="center"/>
          </w:tcPr>
          <w:p w14:paraId="5E8BB070">
            <w:pPr>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sz w:val="15"/>
                <w:szCs w:val="15"/>
              </w:rPr>
              <w:t>理赔服务方案</w:t>
            </w:r>
          </w:p>
        </w:tc>
        <w:tc>
          <w:tcPr>
            <w:tcW w:w="5721" w:type="dxa"/>
            <w:noWrap w:val="0"/>
            <w:vAlign w:val="center"/>
          </w:tcPr>
          <w:p w14:paraId="75B54CE8">
            <w:pPr>
              <w:adjustRightInd w:val="0"/>
              <w:spacing w:line="240" w:lineRule="auto"/>
              <w:jc w:val="both"/>
              <w:textAlignment w:val="baseline"/>
              <w:rPr>
                <w:rFonts w:ascii="Times New Roman" w:hAnsi="Times New Roman" w:eastAsia="宋体" w:cs="Times New Roman"/>
                <w:sz w:val="15"/>
                <w:szCs w:val="15"/>
              </w:rPr>
            </w:pPr>
            <w:r>
              <w:rPr>
                <w:rFonts w:ascii="Times New Roman" w:hAnsi="Times New Roman" w:eastAsia="宋体" w:cs="Times New Roman"/>
                <w:sz w:val="15"/>
                <w:szCs w:val="15"/>
              </w:rPr>
              <w:t>供应商针对本项目服务范围及用户需求的理解，制定理赔服务方案，对其中内容进行专项、透彻的分析，包括但不限于： ①理赔时效； ②快速通道； ③理赔单证； ④认可调解及鉴定结果的保障措施； ⑤认可调解及鉴定结果的承诺等方面。 1、方案完整全面（包含上述5方面），对项目服务范围及用户需求理解深刻，理赔时效承诺明确且高效；快速通道机制完善、流转顺畅；理赔单证要求清晰、简便易行；认可调解及鉴定结果的保障措施严密有效，承诺明确具体。思路清晰，可操作性强，满足或优于采购要求的得</w:t>
            </w:r>
            <w:r>
              <w:rPr>
                <w:rFonts w:hint="eastAsia" w:ascii="Times New Roman" w:hAnsi="Times New Roman" w:eastAsia="宋体" w:cs="Times New Roman"/>
                <w:sz w:val="15"/>
                <w:szCs w:val="15"/>
                <w:lang w:val="en-US" w:eastAsia="zh-CN"/>
              </w:rPr>
              <w:t>10</w:t>
            </w:r>
            <w:r>
              <w:rPr>
                <w:rFonts w:ascii="Times New Roman" w:hAnsi="Times New Roman" w:eastAsia="宋体" w:cs="Times New Roman"/>
                <w:sz w:val="15"/>
                <w:szCs w:val="15"/>
              </w:rPr>
              <w:t>分。</w:t>
            </w:r>
          </w:p>
          <w:p w14:paraId="4091DFCE">
            <w:pPr>
              <w:adjustRightInd w:val="0"/>
              <w:spacing w:line="240" w:lineRule="auto"/>
              <w:jc w:val="both"/>
              <w:textAlignment w:val="baseline"/>
              <w:rPr>
                <w:rFonts w:ascii="Times New Roman" w:hAnsi="Times New Roman" w:eastAsia="宋体" w:cs="Times New Roman"/>
                <w:sz w:val="15"/>
                <w:szCs w:val="15"/>
              </w:rPr>
            </w:pPr>
            <w:r>
              <w:rPr>
                <w:rFonts w:hint="eastAsia" w:cs="Times New Roman"/>
                <w:sz w:val="15"/>
                <w:szCs w:val="15"/>
                <w:lang w:eastAsia="zh-CN"/>
              </w:rPr>
              <w:t>2.</w:t>
            </w:r>
            <w:r>
              <w:rPr>
                <w:rFonts w:ascii="Times New Roman" w:hAnsi="Times New Roman" w:eastAsia="宋体" w:cs="Times New Roman"/>
                <w:sz w:val="15"/>
                <w:szCs w:val="15"/>
              </w:rPr>
              <w:t>方案基本完善（包含上述5方面），对项目服务范围及用户需求理解较为准确，理赔时效承诺合理；快速通道机制基本完善、可正常流转；理赔单证要求基本清晰、无明显繁琐之处；认可调解及鉴定结果的保障措施基本有效，承诺基本明确。思路基本清晰，具备可操作性，基本满足采购要求的得</w:t>
            </w:r>
            <w:r>
              <w:rPr>
                <w:rFonts w:hint="eastAsia" w:ascii="Times New Roman" w:hAnsi="Times New Roman" w:eastAsia="宋体" w:cs="Times New Roman"/>
                <w:sz w:val="15"/>
                <w:szCs w:val="15"/>
                <w:lang w:val="en-US" w:eastAsia="zh-CN"/>
              </w:rPr>
              <w:t>6</w:t>
            </w:r>
            <w:r>
              <w:rPr>
                <w:rFonts w:ascii="Times New Roman" w:hAnsi="Times New Roman" w:eastAsia="宋体" w:cs="Times New Roman"/>
                <w:sz w:val="15"/>
                <w:szCs w:val="15"/>
              </w:rPr>
              <w:t>分。</w:t>
            </w:r>
          </w:p>
          <w:p w14:paraId="29B2DD20">
            <w:pPr>
              <w:adjustRightInd w:val="0"/>
              <w:spacing w:line="240" w:lineRule="auto"/>
              <w:jc w:val="both"/>
              <w:textAlignment w:val="baseline"/>
              <w:rPr>
                <w:rFonts w:ascii="Times New Roman" w:hAnsi="Times New Roman" w:eastAsia="宋体" w:cs="Times New Roman"/>
                <w:sz w:val="15"/>
                <w:szCs w:val="15"/>
              </w:rPr>
            </w:pPr>
            <w:r>
              <w:rPr>
                <w:rFonts w:ascii="Times New Roman" w:hAnsi="Times New Roman" w:eastAsia="宋体" w:cs="Times New Roman"/>
                <w:sz w:val="15"/>
                <w:szCs w:val="15"/>
              </w:rPr>
              <w:t>3. 方案内容未能完整涵盖上述5方面或对项目服务范围及用户需求理解存在一定偏差，理赔时效承诺不够明确或合理性不足；快速通道机制不够完善、流转效率一般；理赔单证要求不够清晰或较为繁琐；认可调解及鉴定结果的保障措施针对性不强，承诺不够具体。思路基本清晰，可操作性一般，部分内容不能满足采购要求的得</w:t>
            </w:r>
            <w:r>
              <w:rPr>
                <w:rFonts w:hint="eastAsia" w:ascii="Times New Roman" w:hAnsi="Times New Roman" w:eastAsia="宋体" w:cs="Times New Roman"/>
                <w:sz w:val="15"/>
                <w:szCs w:val="15"/>
                <w:lang w:val="en-US" w:eastAsia="zh-CN"/>
              </w:rPr>
              <w:t>2</w:t>
            </w:r>
            <w:r>
              <w:rPr>
                <w:rFonts w:ascii="Times New Roman" w:hAnsi="Times New Roman" w:eastAsia="宋体" w:cs="Times New Roman"/>
                <w:sz w:val="15"/>
                <w:szCs w:val="15"/>
              </w:rPr>
              <w:t>分。</w:t>
            </w:r>
          </w:p>
          <w:p w14:paraId="68A11A32">
            <w:pPr>
              <w:adjustRightInd w:val="0"/>
              <w:spacing w:line="240" w:lineRule="auto"/>
              <w:jc w:val="both"/>
              <w:textAlignment w:val="baseline"/>
              <w:rPr>
                <w:rFonts w:hint="eastAsia" w:ascii="宋体" w:hAnsi="宋体" w:eastAsia="宋体" w:cs="宋体"/>
                <w:color w:val="000000" w:themeColor="text1"/>
                <w:sz w:val="15"/>
                <w:szCs w:val="15"/>
                <w14:textFill>
                  <w14:solidFill>
                    <w14:schemeClr w14:val="tx1"/>
                  </w14:solidFill>
                </w14:textFill>
              </w:rPr>
            </w:pPr>
            <w:r>
              <w:rPr>
                <w:rFonts w:hint="eastAsia" w:cs="Times New Roman"/>
                <w:sz w:val="15"/>
                <w:szCs w:val="15"/>
                <w:lang w:eastAsia="zh-CN"/>
              </w:rPr>
              <w:t>4.</w:t>
            </w:r>
            <w:r>
              <w:rPr>
                <w:rFonts w:ascii="Times New Roman" w:hAnsi="Times New Roman" w:eastAsia="宋体" w:cs="Times New Roman"/>
                <w:sz w:val="15"/>
                <w:szCs w:val="15"/>
              </w:rPr>
              <w:t>未提供方案说明得0分。</w:t>
            </w:r>
          </w:p>
        </w:tc>
        <w:tc>
          <w:tcPr>
            <w:tcW w:w="845" w:type="dxa"/>
            <w:noWrap w:val="0"/>
            <w:vAlign w:val="center"/>
          </w:tcPr>
          <w:p w14:paraId="7F16D04C">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10分</w:t>
            </w:r>
          </w:p>
        </w:tc>
      </w:tr>
      <w:tr w14:paraId="06B0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7F11B7F5">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lang w:eastAsia="zh-CN"/>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w:t>
            </w:r>
            <w:r>
              <w:rPr>
                <w:rFonts w:hint="eastAsia" w:ascii="宋体" w:hAnsi="宋体" w:cs="宋体"/>
                <w:bCs/>
                <w:color w:val="000000" w:themeColor="text1"/>
                <w:kern w:val="0"/>
                <w:sz w:val="15"/>
                <w:szCs w:val="15"/>
                <w:lang w:val="en-US" w:eastAsia="zh-CN"/>
                <w14:textFill>
                  <w14:solidFill>
                    <w14:schemeClr w14:val="tx1"/>
                  </w14:solidFill>
                </w14:textFill>
              </w:rPr>
              <w:t>4</w:t>
            </w:r>
          </w:p>
        </w:tc>
        <w:tc>
          <w:tcPr>
            <w:tcW w:w="2155" w:type="dxa"/>
            <w:noWrap w:val="0"/>
            <w:vAlign w:val="center"/>
          </w:tcPr>
          <w:p w14:paraId="0DC523D0">
            <w:pPr>
              <w:widowControl/>
              <w:spacing w:line="240" w:lineRule="auto"/>
              <w:jc w:val="center"/>
              <w:rPr>
                <w:rFonts w:hint="default" w:ascii="宋体" w:hAnsi="宋体" w:eastAsia="宋体" w:cs="宋体"/>
                <w:bCs w:val="0"/>
                <w:color w:val="000000" w:themeColor="text1"/>
                <w:sz w:val="15"/>
                <w:szCs w:val="15"/>
                <w:highlight w:val="none"/>
                <w:lang w:val="en-US" w:eastAsia="zh-CN"/>
                <w14:textFill>
                  <w14:solidFill>
                    <w14:schemeClr w14:val="tx1"/>
                  </w14:solidFill>
                </w14:textFill>
              </w:rPr>
            </w:pPr>
            <w:r>
              <w:rPr>
                <w:sz w:val="15"/>
                <w:szCs w:val="15"/>
              </w:rPr>
              <w:t>人员配备</w:t>
            </w:r>
          </w:p>
        </w:tc>
        <w:tc>
          <w:tcPr>
            <w:tcW w:w="5721" w:type="dxa"/>
            <w:noWrap w:val="0"/>
            <w:vAlign w:val="center"/>
          </w:tcPr>
          <w:p w14:paraId="039B7DB2">
            <w:pPr>
              <w:widowControl/>
              <w:spacing w:line="240" w:lineRule="auto"/>
              <w:ind w:firstLine="420"/>
              <w:rPr>
                <w:sz w:val="15"/>
                <w:szCs w:val="15"/>
              </w:rPr>
            </w:pPr>
            <w:r>
              <w:rPr>
                <w:sz w:val="15"/>
                <w:szCs w:val="15"/>
              </w:rPr>
              <w:t>供应商拟投入本项目的服务人员：</w:t>
            </w:r>
          </w:p>
          <w:p w14:paraId="40DDAA8E">
            <w:pPr>
              <w:keepNext w:val="0"/>
              <w:keepLines w:val="0"/>
              <w:pageBreakBefore w:val="0"/>
              <w:widowControl/>
              <w:kinsoku/>
              <w:wordWrap/>
              <w:overflowPunct/>
              <w:topLinePunct w:val="0"/>
              <w:autoSpaceDE/>
              <w:autoSpaceDN/>
              <w:bidi w:val="0"/>
              <w:adjustRightInd/>
              <w:snapToGrid/>
              <w:spacing w:line="240" w:lineRule="auto"/>
              <w:ind w:firstLine="0"/>
              <w:textAlignment w:val="auto"/>
              <w:rPr>
                <w:sz w:val="15"/>
                <w:szCs w:val="15"/>
              </w:rPr>
            </w:pPr>
            <w:r>
              <w:rPr>
                <w:sz w:val="15"/>
                <w:szCs w:val="15"/>
              </w:rPr>
              <w:t>（1）具有医学相关专业本科或以上学历，每人得1分；具有医学相关专业大专学历，每人得0.5分；本小项累计最高</w:t>
            </w:r>
            <w:r>
              <w:rPr>
                <w:rFonts w:hint="eastAsia"/>
                <w:sz w:val="15"/>
                <w:szCs w:val="15"/>
                <w:lang w:val="en-US" w:eastAsia="zh-CN"/>
              </w:rPr>
              <w:t>3</w:t>
            </w:r>
            <w:r>
              <w:rPr>
                <w:sz w:val="15"/>
                <w:szCs w:val="15"/>
              </w:rPr>
              <w:t>分。</w:t>
            </w:r>
          </w:p>
          <w:p w14:paraId="60E72185">
            <w:pPr>
              <w:keepNext w:val="0"/>
              <w:keepLines w:val="0"/>
              <w:pageBreakBefore w:val="0"/>
              <w:widowControl/>
              <w:kinsoku/>
              <w:wordWrap/>
              <w:overflowPunct/>
              <w:topLinePunct w:val="0"/>
              <w:autoSpaceDE/>
              <w:autoSpaceDN/>
              <w:bidi w:val="0"/>
              <w:adjustRightInd/>
              <w:snapToGrid/>
              <w:spacing w:line="240" w:lineRule="auto"/>
              <w:ind w:firstLine="0"/>
              <w:textAlignment w:val="auto"/>
              <w:rPr>
                <w:sz w:val="15"/>
                <w:szCs w:val="15"/>
              </w:rPr>
            </w:pPr>
            <w:r>
              <w:rPr>
                <w:sz w:val="15"/>
                <w:szCs w:val="15"/>
              </w:rPr>
              <w:t>（2）具有保险相关专业本科或以上学历，每人得1分；具有保险相关专业大专学历，每人得0.5分；本小项累计最高</w:t>
            </w:r>
            <w:r>
              <w:rPr>
                <w:rFonts w:hint="eastAsia"/>
                <w:sz w:val="15"/>
                <w:szCs w:val="15"/>
                <w:lang w:val="en-US" w:eastAsia="zh-CN"/>
              </w:rPr>
              <w:t>3</w:t>
            </w:r>
            <w:r>
              <w:rPr>
                <w:sz w:val="15"/>
                <w:szCs w:val="15"/>
              </w:rPr>
              <w:t>分。</w:t>
            </w:r>
          </w:p>
          <w:p w14:paraId="4F153838">
            <w:pPr>
              <w:keepNext w:val="0"/>
              <w:keepLines w:val="0"/>
              <w:pageBreakBefore w:val="0"/>
              <w:widowControl/>
              <w:kinsoku/>
              <w:wordWrap/>
              <w:overflowPunct/>
              <w:topLinePunct w:val="0"/>
              <w:autoSpaceDE/>
              <w:autoSpaceDN/>
              <w:bidi w:val="0"/>
              <w:adjustRightInd/>
              <w:snapToGrid/>
              <w:spacing w:line="240" w:lineRule="auto"/>
              <w:ind w:firstLine="0"/>
              <w:textAlignment w:val="auto"/>
              <w:rPr>
                <w:sz w:val="15"/>
                <w:szCs w:val="15"/>
              </w:rPr>
            </w:pPr>
            <w:r>
              <w:rPr>
                <w:sz w:val="15"/>
                <w:szCs w:val="15"/>
              </w:rPr>
              <w:t>（3）具有法律相关专业本科或以上学历，每人得1分；具有法律相关专业大专学历，每人得0.5分；本小项累计最高</w:t>
            </w:r>
            <w:r>
              <w:rPr>
                <w:rFonts w:hint="eastAsia"/>
                <w:sz w:val="15"/>
                <w:szCs w:val="15"/>
                <w:lang w:val="en-US" w:eastAsia="zh-CN"/>
              </w:rPr>
              <w:t>3</w:t>
            </w:r>
            <w:r>
              <w:rPr>
                <w:sz w:val="15"/>
                <w:szCs w:val="15"/>
              </w:rPr>
              <w:t>分。</w:t>
            </w:r>
          </w:p>
          <w:p w14:paraId="1A981F57">
            <w:pPr>
              <w:widowControl/>
              <w:spacing w:line="240" w:lineRule="auto"/>
              <w:ind w:firstLine="420"/>
              <w:rPr>
                <w:rFonts w:hint="eastAsia" w:ascii="宋体" w:hAnsi="宋体" w:eastAsia="宋体" w:cs="宋体"/>
                <w:bCs w:val="0"/>
                <w:color w:val="000000" w:themeColor="text1"/>
                <w:sz w:val="15"/>
                <w:szCs w:val="15"/>
                <w:highlight w:val="none"/>
                <w14:textFill>
                  <w14:solidFill>
                    <w14:schemeClr w14:val="tx1"/>
                  </w14:solidFill>
                </w14:textFill>
              </w:rPr>
            </w:pPr>
            <w:r>
              <w:rPr>
                <w:b/>
                <w:bCs/>
                <w:sz w:val="15"/>
                <w:szCs w:val="15"/>
              </w:rPr>
              <w:t>注：投标文件中提供上述拟投入人员相关证明材料以及投标截止之日前近6个月内任意1个月的在投标人或其法人单位缴纳社保证明，作为评分依据。如果投标人为保险经纪公司或其分支机构的，以投标人或其法人单位的服务人员为准</w:t>
            </w:r>
            <w:r>
              <w:rPr>
                <w:rFonts w:hint="eastAsia" w:ascii="宋体" w:hAnsi="宋体" w:eastAsia="宋体" w:cs="宋体"/>
                <w:b/>
                <w:bCs/>
                <w:color w:val="000000" w:themeColor="text1"/>
                <w:sz w:val="15"/>
                <w:szCs w:val="15"/>
                <w:highlight w:val="none"/>
                <w14:textFill>
                  <w14:solidFill>
                    <w14:schemeClr w14:val="tx1"/>
                  </w14:solidFill>
                </w14:textFill>
              </w:rPr>
              <w:t>。</w:t>
            </w:r>
          </w:p>
        </w:tc>
        <w:tc>
          <w:tcPr>
            <w:tcW w:w="845" w:type="dxa"/>
            <w:noWrap w:val="0"/>
            <w:vAlign w:val="center"/>
          </w:tcPr>
          <w:p w14:paraId="7EDE3A23">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9</w:t>
            </w:r>
            <w:r>
              <w:rPr>
                <w:rFonts w:hint="eastAsia" w:ascii="宋体" w:hAnsi="宋体" w:eastAsia="宋体" w:cs="宋体"/>
                <w:color w:val="000000" w:themeColor="text1"/>
                <w:sz w:val="15"/>
                <w:szCs w:val="15"/>
                <w14:textFill>
                  <w14:solidFill>
                    <w14:schemeClr w14:val="tx1"/>
                  </w14:solidFill>
                </w14:textFill>
              </w:rPr>
              <w:t>分</w:t>
            </w:r>
          </w:p>
        </w:tc>
      </w:tr>
      <w:tr w14:paraId="54D1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47F67414">
            <w:pPr>
              <w:adjustRightInd w:val="0"/>
              <w:spacing w:line="240" w:lineRule="auto"/>
              <w:ind w:left="-105" w:leftChars="-50" w:right="-105" w:rightChars="-50"/>
              <w:jc w:val="center"/>
              <w:textAlignment w:val="baseline"/>
              <w:rPr>
                <w:rFonts w:hint="default" w:ascii="宋体" w:hAnsi="宋体" w:eastAsia="宋体" w:cs="宋体"/>
                <w:bCs/>
                <w:color w:val="000000" w:themeColor="text1"/>
                <w:kern w:val="0"/>
                <w:sz w:val="15"/>
                <w:szCs w:val="15"/>
                <w:lang w:val="en-US" w:eastAsia="zh-CN"/>
                <w14:textFill>
                  <w14:solidFill>
                    <w14:schemeClr w14:val="tx1"/>
                  </w14:solidFill>
                </w14:textFill>
              </w:rPr>
            </w:pPr>
            <w:r>
              <w:rPr>
                <w:rFonts w:hint="eastAsia" w:ascii="宋体" w:hAnsi="宋体" w:cs="宋体"/>
                <w:bCs/>
                <w:color w:val="000000" w:themeColor="text1"/>
                <w:kern w:val="0"/>
                <w:sz w:val="15"/>
                <w:szCs w:val="15"/>
                <w:lang w:val="en-US" w:eastAsia="zh-CN"/>
                <w14:textFill>
                  <w14:solidFill>
                    <w14:schemeClr w14:val="tx1"/>
                  </w14:solidFill>
                </w14:textFill>
              </w:rPr>
              <w:t>2.5</w:t>
            </w:r>
          </w:p>
        </w:tc>
        <w:tc>
          <w:tcPr>
            <w:tcW w:w="2155" w:type="dxa"/>
            <w:noWrap w:val="0"/>
            <w:vAlign w:val="center"/>
          </w:tcPr>
          <w:p w14:paraId="790FC8C7">
            <w:pPr>
              <w:widowControl/>
              <w:spacing w:line="240" w:lineRule="auto"/>
              <w:ind w:firstLine="420"/>
              <w:jc w:val="both"/>
              <w:rPr>
                <w:rFonts w:hint="default" w:eastAsia="宋体"/>
                <w:sz w:val="15"/>
                <w:szCs w:val="15"/>
                <w:lang w:val="en-US" w:eastAsia="zh-CN"/>
              </w:rPr>
            </w:pPr>
            <w:r>
              <w:rPr>
                <w:rFonts w:hint="eastAsia" w:ascii="Times New Roman" w:hAnsi="Times New Roman" w:eastAsia="宋体" w:cs="Times New Roman"/>
                <w:sz w:val="15"/>
                <w:szCs w:val="15"/>
                <w:lang w:val="en-US" w:eastAsia="zh-CN"/>
              </w:rPr>
              <w:t>增值服务分</w:t>
            </w:r>
          </w:p>
        </w:tc>
        <w:tc>
          <w:tcPr>
            <w:tcW w:w="5721" w:type="dxa"/>
            <w:noWrap w:val="0"/>
            <w:vAlign w:val="top"/>
          </w:tcPr>
          <w:p w14:paraId="0AF71EF2">
            <w:pPr>
              <w:widowControl/>
              <w:spacing w:line="240" w:lineRule="auto"/>
              <w:rPr>
                <w:sz w:val="15"/>
                <w:szCs w:val="15"/>
              </w:rPr>
            </w:pPr>
            <w:r>
              <w:rPr>
                <w:rFonts w:hint="eastAsia" w:ascii="Times New Roman" w:hAnsi="Times New Roman" w:eastAsia="宋体" w:cs="Times New Roman"/>
                <w:sz w:val="15"/>
                <w:szCs w:val="15"/>
                <w:lang w:val="en-US" w:eastAsia="zh-CN"/>
              </w:rPr>
              <w:t>在满足招标采购需求的基础上，供应商可</w:t>
            </w:r>
            <w:r>
              <w:rPr>
                <w:rFonts w:hint="eastAsia" w:ascii="Times New Roman" w:hAnsi="Times New Roman" w:eastAsia="宋体" w:cs="Times New Roman"/>
                <w:sz w:val="15"/>
                <w:szCs w:val="15"/>
              </w:rPr>
              <w:t>提供</w:t>
            </w:r>
            <w:r>
              <w:rPr>
                <w:rFonts w:hint="eastAsia" w:ascii="Times New Roman" w:hAnsi="Times New Roman" w:eastAsia="宋体" w:cs="Times New Roman"/>
                <w:sz w:val="15"/>
                <w:szCs w:val="15"/>
                <w:lang w:val="en-US" w:eastAsia="zh-CN"/>
              </w:rPr>
              <w:t>有利于采购人增值服务并被评审小组认可，包括不限于额外险种附加、人员培训等，每项得1分，最高3分，未提供不得分</w:t>
            </w:r>
            <w:r>
              <w:rPr>
                <w:rFonts w:hint="eastAsia" w:ascii="Times New Roman" w:hAnsi="Times New Roman" w:eastAsia="宋体" w:cs="Times New Roman"/>
                <w:sz w:val="15"/>
                <w:szCs w:val="15"/>
                <w:lang w:eastAsia="zh-CN"/>
              </w:rPr>
              <w:t>。</w:t>
            </w:r>
          </w:p>
        </w:tc>
        <w:tc>
          <w:tcPr>
            <w:tcW w:w="845" w:type="dxa"/>
            <w:noWrap w:val="0"/>
            <w:vAlign w:val="center"/>
          </w:tcPr>
          <w:p w14:paraId="5AC4627A">
            <w:pPr>
              <w:spacing w:line="240" w:lineRule="auto"/>
              <w:jc w:val="center"/>
              <w:rPr>
                <w:rFonts w:hint="default" w:ascii="宋体" w:hAnsi="宋体" w:cs="宋体"/>
                <w:color w:val="000000" w:themeColor="text1"/>
                <w:sz w:val="15"/>
                <w:szCs w:val="15"/>
                <w:lang w:val="en-US" w:eastAsia="zh-CN"/>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3分</w:t>
            </w:r>
          </w:p>
        </w:tc>
      </w:tr>
      <w:tr w14:paraId="24E8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1" w:type="dxa"/>
            <w:noWrap w:val="0"/>
            <w:vAlign w:val="center"/>
          </w:tcPr>
          <w:p w14:paraId="63F0977A">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3</w:t>
            </w:r>
          </w:p>
        </w:tc>
        <w:tc>
          <w:tcPr>
            <w:tcW w:w="2155" w:type="dxa"/>
            <w:noWrap w:val="0"/>
            <w:vAlign w:val="center"/>
          </w:tcPr>
          <w:p w14:paraId="57F41BB6">
            <w:pPr>
              <w:widowControl/>
              <w:spacing w:line="240" w:lineRule="auto"/>
              <w:jc w:val="center"/>
              <w:rPr>
                <w:rFonts w:hint="default" w:ascii="宋体" w:hAnsi="宋体" w:eastAsia="宋体" w:cs="宋体"/>
                <w:b/>
                <w:bCs/>
                <w:color w:val="000000" w:themeColor="text1"/>
                <w:sz w:val="15"/>
                <w:szCs w:val="15"/>
                <w:lang w:val="en-US" w:eastAsia="zh-CN"/>
                <w14:textFill>
                  <w14:solidFill>
                    <w14:schemeClr w14:val="tx1"/>
                  </w14:solidFill>
                </w14:textFill>
              </w:rPr>
            </w:pPr>
            <w:r>
              <w:rPr>
                <w:rFonts w:hint="eastAsia" w:ascii="宋体" w:hAnsi="宋体" w:eastAsia="宋体" w:cs="宋体"/>
                <w:b/>
                <w:bCs/>
                <w:color w:val="000000" w:themeColor="text1"/>
                <w:sz w:val="15"/>
                <w:szCs w:val="15"/>
                <w14:textFill>
                  <w14:solidFill>
                    <w14:schemeClr w14:val="tx1"/>
                  </w14:solidFill>
                </w14:textFill>
              </w:rPr>
              <w:t>商务分</w:t>
            </w:r>
            <w:r>
              <w:rPr>
                <w:rFonts w:hint="eastAsia" w:ascii="宋体" w:hAnsi="宋体" w:cs="宋体"/>
                <w:b/>
                <w:bCs/>
                <w:color w:val="000000" w:themeColor="text1"/>
                <w:sz w:val="15"/>
                <w:szCs w:val="15"/>
                <w:lang w:val="en-US" w:eastAsia="zh-CN"/>
                <w14:textFill>
                  <w14:solidFill>
                    <w14:schemeClr w14:val="tx1"/>
                  </w14:solidFill>
                </w14:textFill>
              </w:rPr>
              <w:t>23分</w:t>
            </w:r>
          </w:p>
        </w:tc>
        <w:tc>
          <w:tcPr>
            <w:tcW w:w="5721" w:type="dxa"/>
            <w:noWrap w:val="0"/>
            <w:vAlign w:val="center"/>
          </w:tcPr>
          <w:p w14:paraId="26C4F356">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w:t>
            </w:r>
          </w:p>
        </w:tc>
        <w:tc>
          <w:tcPr>
            <w:tcW w:w="845" w:type="dxa"/>
            <w:noWrap w:val="0"/>
            <w:vAlign w:val="center"/>
          </w:tcPr>
          <w:p w14:paraId="6EBBA6AF">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分值</w:t>
            </w:r>
          </w:p>
        </w:tc>
      </w:tr>
      <w:tr w14:paraId="6342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41" w:type="dxa"/>
            <w:noWrap w:val="0"/>
            <w:vAlign w:val="center"/>
          </w:tcPr>
          <w:p w14:paraId="094B4A23">
            <w:pPr>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3.1</w:t>
            </w:r>
          </w:p>
        </w:tc>
        <w:tc>
          <w:tcPr>
            <w:tcW w:w="2155" w:type="dxa"/>
            <w:noWrap w:val="0"/>
            <w:vAlign w:val="center"/>
          </w:tcPr>
          <w:p w14:paraId="3FF98F34">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业绩分</w:t>
            </w:r>
          </w:p>
        </w:tc>
        <w:tc>
          <w:tcPr>
            <w:tcW w:w="5721" w:type="dxa"/>
            <w:noWrap w:val="0"/>
            <w:vAlign w:val="top"/>
          </w:tcPr>
          <w:p w14:paraId="01199983">
            <w:pPr>
              <w:pStyle w:val="57"/>
              <w:keepNext w:val="0"/>
              <w:keepLines w:val="0"/>
              <w:pageBreakBefore w:val="0"/>
              <w:widowControl w:val="0"/>
              <w:kinsoku/>
              <w:wordWrap/>
              <w:overflowPunct/>
              <w:topLinePunct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供应商自202</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年1月1日至本项目投标截止之日止，承接或完成过类似业绩的每一项得</w:t>
            </w:r>
            <w:r>
              <w:rPr>
                <w:rFonts w:hint="eastAsia" w:ascii="宋体" w:hAnsi="宋体" w:eastAsia="宋体" w:cs="宋体"/>
                <w:color w:val="000000" w:themeColor="text1"/>
                <w:sz w:val="15"/>
                <w:szCs w:val="15"/>
                <w:highlight w:val="none"/>
                <w:lang w:val="en-US" w:eastAsia="zh-CN"/>
                <w14:textFill>
                  <w14:solidFill>
                    <w14:schemeClr w14:val="tx1"/>
                  </w14:solidFill>
                </w14:textFill>
              </w:rPr>
              <w:t>2</w:t>
            </w:r>
            <w:r>
              <w:rPr>
                <w:rFonts w:hint="eastAsia" w:ascii="宋体" w:hAnsi="宋体" w:eastAsia="宋体" w:cs="宋体"/>
                <w:color w:val="000000" w:themeColor="text1"/>
                <w:sz w:val="15"/>
                <w:szCs w:val="15"/>
                <w:highlight w:val="none"/>
                <w14:textFill>
                  <w14:solidFill>
                    <w14:schemeClr w14:val="tx1"/>
                  </w14:solidFill>
                </w14:textFill>
              </w:rPr>
              <w:t>分。</w:t>
            </w:r>
          </w:p>
          <w:p w14:paraId="2A6D7BC9">
            <w:pPr>
              <w:pStyle w:val="57"/>
              <w:keepNext w:val="0"/>
              <w:keepLines w:val="0"/>
              <w:pageBreakBefore w:val="0"/>
              <w:widowControl w:val="0"/>
              <w:kinsoku/>
              <w:wordWrap/>
              <w:overflowPunct/>
              <w:topLinePunct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注：类似业绩是指：医院相关医疗保险服务业绩；</w:t>
            </w:r>
            <w:r>
              <w:rPr>
                <w:rFonts w:hint="eastAsia" w:ascii="宋体" w:hAnsi="宋体" w:eastAsia="宋体" w:cs="宋体"/>
                <w:b/>
                <w:bCs/>
                <w:color w:val="000000" w:themeColor="text1"/>
                <w:sz w:val="15"/>
                <w:szCs w:val="15"/>
                <w:highlight w:val="none"/>
                <w14:textFill>
                  <w14:solidFill>
                    <w14:schemeClr w14:val="tx1"/>
                  </w14:solidFill>
                </w14:textFill>
              </w:rPr>
              <w:t>需提供中标</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成交</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14:textFill>
                  <w14:solidFill>
                    <w14:schemeClr w14:val="tx1"/>
                  </w14:solidFill>
                </w14:textFill>
              </w:rPr>
              <w:t>通知书或合同协议书</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或保险单抄件</w:t>
            </w:r>
            <w:r>
              <w:rPr>
                <w:rFonts w:hint="eastAsia" w:ascii="宋体" w:hAnsi="宋体" w:eastAsia="宋体" w:cs="宋体"/>
                <w:b/>
                <w:bCs/>
                <w:color w:val="000000" w:themeColor="text1"/>
                <w:sz w:val="15"/>
                <w:szCs w:val="15"/>
                <w:highlight w:val="none"/>
                <w14:textFill>
                  <w14:solidFill>
                    <w14:schemeClr w14:val="tx1"/>
                  </w14:solidFill>
                </w14:textFill>
              </w:rPr>
              <w:t>，以中标</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成交</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14:textFill>
                  <w14:solidFill>
                    <w14:schemeClr w14:val="tx1"/>
                  </w14:solidFill>
                </w14:textFill>
              </w:rPr>
              <w:t>通知书或合同协议书日期</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或保险单抄件生效日期</w:t>
            </w:r>
            <w:r>
              <w:rPr>
                <w:rFonts w:hint="eastAsia" w:ascii="宋体" w:hAnsi="宋体" w:eastAsia="宋体" w:cs="宋体"/>
                <w:b/>
                <w:bCs/>
                <w:color w:val="000000" w:themeColor="text1"/>
                <w:sz w:val="15"/>
                <w:szCs w:val="15"/>
                <w:highlight w:val="none"/>
                <w14:textFill>
                  <w14:solidFill>
                    <w14:schemeClr w14:val="tx1"/>
                  </w14:solidFill>
                </w14:textFill>
              </w:rPr>
              <w:t>为准。</w:t>
            </w:r>
          </w:p>
        </w:tc>
        <w:tc>
          <w:tcPr>
            <w:tcW w:w="845" w:type="dxa"/>
            <w:noWrap w:val="0"/>
            <w:vAlign w:val="center"/>
          </w:tcPr>
          <w:p w14:paraId="0E9D89DC">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8</w:t>
            </w:r>
            <w:r>
              <w:rPr>
                <w:rFonts w:hint="eastAsia" w:ascii="宋体" w:hAnsi="宋体" w:eastAsia="宋体" w:cs="宋体"/>
                <w:color w:val="000000" w:themeColor="text1"/>
                <w:kern w:val="0"/>
                <w:sz w:val="15"/>
                <w:szCs w:val="15"/>
                <w14:textFill>
                  <w14:solidFill>
                    <w14:schemeClr w14:val="tx1"/>
                  </w14:solidFill>
                </w14:textFill>
              </w:rPr>
              <w:t>分</w:t>
            </w:r>
          </w:p>
        </w:tc>
      </w:tr>
      <w:tr w14:paraId="5BBD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41" w:type="dxa"/>
            <w:noWrap w:val="0"/>
            <w:vAlign w:val="center"/>
          </w:tcPr>
          <w:p w14:paraId="5AE7A1DE">
            <w:pPr>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3.2</w:t>
            </w:r>
          </w:p>
        </w:tc>
        <w:tc>
          <w:tcPr>
            <w:tcW w:w="2155" w:type="dxa"/>
            <w:noWrap w:val="0"/>
            <w:vAlign w:val="center"/>
          </w:tcPr>
          <w:p w14:paraId="086002C8">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cs="宋体"/>
                <w:bCs/>
                <w:color w:val="000000" w:themeColor="text1"/>
                <w:sz w:val="15"/>
                <w:szCs w:val="15"/>
                <w:lang w:val="en-US" w:eastAsia="zh-CN"/>
                <w14:textFill>
                  <w14:solidFill>
                    <w14:schemeClr w14:val="tx1"/>
                  </w14:solidFill>
                </w14:textFill>
              </w:rPr>
              <w:t>荣誉</w:t>
            </w:r>
            <w:r>
              <w:rPr>
                <w:rFonts w:hint="eastAsia" w:ascii="宋体" w:hAnsi="宋体" w:eastAsia="宋体" w:cs="宋体"/>
                <w:bCs/>
                <w:color w:val="000000" w:themeColor="text1"/>
                <w:sz w:val="15"/>
                <w:szCs w:val="15"/>
                <w14:textFill>
                  <w14:solidFill>
                    <w14:schemeClr w14:val="tx1"/>
                  </w14:solidFill>
                </w14:textFill>
              </w:rPr>
              <w:t>分</w:t>
            </w:r>
          </w:p>
        </w:tc>
        <w:tc>
          <w:tcPr>
            <w:tcW w:w="5721" w:type="dxa"/>
            <w:noWrap w:val="0"/>
            <w:vAlign w:val="top"/>
          </w:tcPr>
          <w:p w14:paraId="42E377A9">
            <w:pPr>
              <w:pStyle w:val="57"/>
              <w:keepNext w:val="0"/>
              <w:keepLines w:val="0"/>
              <w:pageBreakBefore w:val="0"/>
              <w:widowControl w:val="0"/>
              <w:kinsoku/>
              <w:wordWrap/>
              <w:overflowPunct/>
              <w:topLinePunct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（1）供应商或其总公司2023年1月以来获得有关评级机构颁发的保险财务实力评级A1级证书，提供证书复印件，并加盖供应商公章，每个得3分，满分3分。</w:t>
            </w:r>
          </w:p>
          <w:p w14:paraId="46276B5B">
            <w:pPr>
              <w:pStyle w:val="83"/>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（2）供应商或其总公司2023年1月1日以来获得政府部门颁奖或表彰的每个得2分，满分4分。</w:t>
            </w:r>
          </w:p>
        </w:tc>
        <w:tc>
          <w:tcPr>
            <w:tcW w:w="845" w:type="dxa"/>
            <w:noWrap w:val="0"/>
            <w:vAlign w:val="center"/>
          </w:tcPr>
          <w:p w14:paraId="20525666">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7</w:t>
            </w:r>
            <w:r>
              <w:rPr>
                <w:rFonts w:hint="eastAsia" w:ascii="宋体" w:hAnsi="宋体" w:eastAsia="宋体" w:cs="宋体"/>
                <w:color w:val="000000" w:themeColor="text1"/>
                <w:kern w:val="0"/>
                <w:sz w:val="15"/>
                <w:szCs w:val="15"/>
                <w14:textFill>
                  <w14:solidFill>
                    <w14:schemeClr w14:val="tx1"/>
                  </w14:solidFill>
                </w14:textFill>
              </w:rPr>
              <w:t>分</w:t>
            </w:r>
          </w:p>
        </w:tc>
      </w:tr>
      <w:tr w14:paraId="7FC0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41" w:type="dxa"/>
            <w:noWrap w:val="0"/>
            <w:vAlign w:val="center"/>
          </w:tcPr>
          <w:p w14:paraId="15D59336">
            <w:pPr>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3.3</w:t>
            </w:r>
          </w:p>
        </w:tc>
        <w:tc>
          <w:tcPr>
            <w:tcW w:w="2155" w:type="dxa"/>
            <w:noWrap w:val="0"/>
            <w:vAlign w:val="center"/>
          </w:tcPr>
          <w:p w14:paraId="390AE477">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综合偿付能力分</w:t>
            </w:r>
          </w:p>
        </w:tc>
        <w:tc>
          <w:tcPr>
            <w:tcW w:w="5721" w:type="dxa"/>
            <w:noWrap w:val="0"/>
            <w:vAlign w:val="top"/>
          </w:tcPr>
          <w:p w14:paraId="5CDEDAB5">
            <w:pPr>
              <w:pStyle w:val="57"/>
              <w:keepNext w:val="0"/>
              <w:keepLines w:val="0"/>
              <w:pageBreakBefore w:val="0"/>
              <w:widowControl w:val="0"/>
              <w:kinsoku/>
              <w:wordWrap/>
              <w:overflowPunct/>
              <w:topLinePunct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（1）2024年第四季度综合偿付能力充足率大于等于230%的，得8分；</w:t>
            </w:r>
          </w:p>
          <w:p w14:paraId="5B0753EE">
            <w:pPr>
              <w:pStyle w:val="57"/>
              <w:keepNext w:val="0"/>
              <w:keepLines w:val="0"/>
              <w:pageBreakBefore w:val="0"/>
              <w:widowControl w:val="0"/>
              <w:kinsoku/>
              <w:wordWrap/>
              <w:overflowPunct/>
              <w:topLinePunct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（2）大于等于150%小于230%的，得4分；</w:t>
            </w:r>
          </w:p>
          <w:p w14:paraId="15FBA300">
            <w:pPr>
              <w:pStyle w:val="57"/>
              <w:keepNext w:val="0"/>
              <w:keepLines w:val="0"/>
              <w:pageBreakBefore w:val="0"/>
              <w:widowControl w:val="0"/>
              <w:kinsoku/>
              <w:wordWrap/>
              <w:overflowPunct/>
              <w:topLinePunct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（3）小于100%或不提供的不得分。</w:t>
            </w:r>
          </w:p>
          <w:p w14:paraId="74EC2AE5">
            <w:pPr>
              <w:pStyle w:val="57"/>
              <w:keepNext w:val="0"/>
              <w:keepLines w:val="0"/>
              <w:pageBreakBefore w:val="0"/>
              <w:widowControl w:val="0"/>
              <w:kinsoku/>
              <w:wordWrap/>
              <w:overflowPunct/>
              <w:topLinePunct w:val="0"/>
              <w:bidi w:val="0"/>
              <w:adjustRightInd w:val="0"/>
              <w:snapToGrid/>
              <w:spacing w:line="240" w:lineRule="auto"/>
              <w:ind w:firstLine="0" w:firstLineChars="0"/>
              <w:jc w:val="both"/>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注：提供经审计的年度偿付能力报告复印件或官方网站上公布的数据截图并加盖公章；</w:t>
            </w:r>
          </w:p>
        </w:tc>
        <w:tc>
          <w:tcPr>
            <w:tcW w:w="845" w:type="dxa"/>
            <w:noWrap w:val="0"/>
            <w:vAlign w:val="center"/>
          </w:tcPr>
          <w:p w14:paraId="53B5F7F6">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8分</w:t>
            </w:r>
          </w:p>
        </w:tc>
      </w:tr>
      <w:tr w14:paraId="2B22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62" w:type="dxa"/>
            <w:gridSpan w:val="4"/>
            <w:noWrap w:val="0"/>
            <w:vAlign w:val="top"/>
          </w:tcPr>
          <w:p w14:paraId="112891A0">
            <w:pPr>
              <w:widowControl/>
              <w:spacing w:line="240" w:lineRule="auto"/>
              <w:jc w:val="left"/>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b/>
                <w:color w:val="000000" w:themeColor="text1"/>
                <w:sz w:val="15"/>
                <w:szCs w:val="15"/>
                <w14:textFill>
                  <w14:solidFill>
                    <w14:schemeClr w14:val="tx1"/>
                  </w14:solidFill>
                </w14:textFill>
              </w:rPr>
              <w:t>总得分＝1＋2+3</w:t>
            </w:r>
          </w:p>
        </w:tc>
      </w:tr>
    </w:tbl>
    <w:p w14:paraId="57575B91">
      <w:pPr>
        <w:pStyle w:val="20"/>
        <w:widowControl w:val="0"/>
        <w:tabs>
          <w:tab w:val="left" w:pos="4214"/>
        </w:tabs>
        <w:wordWrap/>
        <w:spacing w:line="440" w:lineRule="exact"/>
        <w:textAlignment w:val="auto"/>
        <w:rPr>
          <w:rFonts w:hint="eastAsia" w:ascii="宋体" w:hAnsi="宋体" w:eastAsia="宋体" w:cs="宋体"/>
          <w:b/>
          <w:color w:val="000000" w:themeColor="text1"/>
          <w:sz w:val="15"/>
          <w:szCs w:val="15"/>
          <w:highlight w:val="none"/>
          <w14:textFill>
            <w14:solidFill>
              <w14:schemeClr w14:val="tx1"/>
            </w14:solidFill>
          </w14:textFill>
        </w:rPr>
      </w:pPr>
    </w:p>
    <w:p w14:paraId="4053A6F2">
      <w:pPr>
        <w:pStyle w:val="20"/>
        <w:widowControl w:val="0"/>
        <w:tabs>
          <w:tab w:val="left" w:pos="4214"/>
        </w:tabs>
        <w:wordWrap/>
        <w:spacing w:line="440" w:lineRule="exact"/>
        <w:textAlignment w:val="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hAnsi="宋体" w:cs="宋体"/>
          <w:b/>
          <w:color w:val="000000" w:themeColor="text1"/>
          <w:sz w:val="15"/>
          <w:szCs w:val="15"/>
          <w:highlight w:val="none"/>
          <w:lang w:val="en-US" w:eastAsia="zh-CN"/>
          <w14:textFill>
            <w14:solidFill>
              <w14:schemeClr w14:val="tx1"/>
            </w14:solidFill>
          </w14:textFill>
        </w:rPr>
        <w:t>四</w:t>
      </w:r>
      <w:r>
        <w:rPr>
          <w:rFonts w:hint="eastAsia" w:ascii="宋体" w:hAnsi="宋体" w:eastAsia="宋体" w:cs="宋体"/>
          <w:b/>
          <w:color w:val="000000" w:themeColor="text1"/>
          <w:sz w:val="15"/>
          <w:szCs w:val="15"/>
          <w:highlight w:val="none"/>
          <w14:textFill>
            <w14:solidFill>
              <w14:schemeClr w14:val="tx1"/>
            </w14:solidFill>
          </w14:textFill>
        </w:rPr>
        <w:t>、推荐及确定成交候选人原则</w:t>
      </w:r>
    </w:p>
    <w:p w14:paraId="41326226">
      <w:pPr>
        <w:widowControl w:val="0"/>
        <w:wordWrap/>
        <w:spacing w:line="440" w:lineRule="exact"/>
        <w:ind w:firstLine="300" w:firstLineChars="200"/>
        <w:textAlignment w:val="auto"/>
        <w:rPr>
          <w:rFonts w:hint="default" w:ascii="宋体" w:hAnsi="宋体" w:eastAsia="宋体" w:cs="宋体"/>
          <w:color w:val="000000" w:themeColor="text1"/>
          <w:kern w:val="0"/>
          <w:sz w:val="15"/>
          <w:szCs w:val="15"/>
          <w:highlight w:val="none"/>
          <w:lang w:val="en-US" w:eastAsia="zh-CN"/>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（1）磋商小组应当根据综合得分由高到低排列次序，若得分相同时，以最后报价由低到高顺序排列；若仍相同的，按</w:t>
      </w:r>
      <w:r>
        <w:rPr>
          <w:rFonts w:hint="eastAsia" w:ascii="宋体" w:hAnsi="宋体" w:cs="宋体"/>
          <w:color w:val="000000" w:themeColor="text1"/>
          <w:kern w:val="0"/>
          <w:sz w:val="15"/>
          <w:szCs w:val="15"/>
          <w:highlight w:val="none"/>
          <w:lang w:val="en-US" w:eastAsia="zh-CN"/>
          <w14:textFill>
            <w14:solidFill>
              <w14:schemeClr w14:val="tx1"/>
            </w14:solidFill>
          </w14:textFill>
        </w:rPr>
        <w:t>技术</w:t>
      </w:r>
      <w:r>
        <w:rPr>
          <w:rFonts w:hint="eastAsia" w:ascii="宋体" w:hAnsi="宋体" w:eastAsia="宋体" w:cs="宋体"/>
          <w:color w:val="000000" w:themeColor="text1"/>
          <w:kern w:val="0"/>
          <w:sz w:val="15"/>
          <w:szCs w:val="15"/>
          <w:highlight w:val="none"/>
          <w14:textFill>
            <w14:solidFill>
              <w14:schemeClr w14:val="tx1"/>
            </w14:solidFill>
          </w14:textFill>
        </w:rPr>
        <w:t>分高到低顺序排列并推荐成交候选供应商</w:t>
      </w:r>
      <w:r>
        <w:rPr>
          <w:rFonts w:hint="eastAsia" w:ascii="宋体" w:hAnsi="宋体" w:cs="宋体"/>
          <w:color w:val="000000" w:themeColor="text1"/>
          <w:kern w:val="0"/>
          <w:sz w:val="15"/>
          <w:szCs w:val="15"/>
          <w:highlight w:val="none"/>
          <w:lang w:eastAsia="zh-CN"/>
          <w14:textFill>
            <w14:solidFill>
              <w14:schemeClr w14:val="tx1"/>
            </w14:solidFill>
          </w14:textFill>
        </w:rPr>
        <w:t>，</w:t>
      </w:r>
      <w:r>
        <w:rPr>
          <w:rFonts w:hint="eastAsia" w:ascii="宋体" w:hAnsi="宋体" w:cs="宋体"/>
          <w:color w:val="000000" w:themeColor="text1"/>
          <w:kern w:val="0"/>
          <w:sz w:val="15"/>
          <w:szCs w:val="15"/>
          <w:highlight w:val="none"/>
          <w:lang w:val="en-US" w:eastAsia="zh-CN"/>
          <w14:textFill>
            <w14:solidFill>
              <w14:schemeClr w14:val="tx1"/>
            </w14:solidFill>
          </w14:textFill>
        </w:rPr>
        <w:t>技术分仍相同的由磋商小组随机抽取推荐；</w:t>
      </w:r>
    </w:p>
    <w:p w14:paraId="2CBCCF1E">
      <w:pPr>
        <w:widowControl w:val="0"/>
        <w:tabs>
          <w:tab w:val="left" w:pos="4214"/>
        </w:tabs>
        <w:wordWrap/>
        <w:spacing w:line="440" w:lineRule="exact"/>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（2）磋商小组可推荐前三名为中标候选人，采购人应当确定磋商小组推荐排名第一的中标候选人为成交供应商。</w:t>
      </w:r>
    </w:p>
    <w:p w14:paraId="3FC46A2C">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t>
      </w:r>
    </w:p>
    <w:p w14:paraId="021796F7">
      <w:pPr>
        <w:widowControl w:val="0"/>
        <w:wordWrap/>
        <w:snapToGrid w:val="0"/>
        <w:spacing w:line="440" w:lineRule="exact"/>
        <w:ind w:firstLine="301"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lang w:eastAsia="zh-CN"/>
          <w14:textFill>
            <w14:solidFill>
              <w14:schemeClr w14:val="tx1"/>
            </w14:solidFill>
          </w14:textFill>
        </w:rPr>
        <w:t>（</w:t>
      </w:r>
      <w:r>
        <w:rPr>
          <w:rFonts w:hint="eastAsia" w:ascii="宋体" w:hAnsi="宋体" w:cs="宋体"/>
          <w:b/>
          <w:bCs/>
          <w:color w:val="000000" w:themeColor="text1"/>
          <w:sz w:val="15"/>
          <w:szCs w:val="15"/>
          <w:highlight w:val="none"/>
          <w:lang w:val="en-US" w:eastAsia="zh-CN"/>
          <w14:textFill>
            <w14:solidFill>
              <w14:schemeClr w14:val="tx1"/>
            </w14:solidFill>
          </w14:textFill>
        </w:rPr>
        <w:t>4</w:t>
      </w:r>
      <w:r>
        <w:rPr>
          <w:rFonts w:hint="eastAsia" w:ascii="宋体" w:hAnsi="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采购评审中出现下列情形之一的，评审委员会应当启动异常低价投标（响应）审查程序： </w:t>
      </w:r>
    </w:p>
    <w:p w14:paraId="1087DAEC">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①</w:t>
      </w:r>
      <w:r>
        <w:rPr>
          <w:rFonts w:hint="eastAsia" w:ascii="宋体" w:hAnsi="宋体" w:eastAsia="宋体" w:cs="宋体"/>
          <w:color w:val="000000" w:themeColor="text1"/>
          <w:sz w:val="15"/>
          <w:szCs w:val="15"/>
          <w:highlight w:val="none"/>
          <w14:textFill>
            <w14:solidFill>
              <w14:schemeClr w14:val="tx1"/>
            </w14:solidFill>
          </w14:textFill>
        </w:rPr>
        <w:t>投标（响应）报价低于全部通过符合性审查供应商投标（响应）报价平均值50%的，即投标（响应）报价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全部通过符合性审查供应商投标（响应）报价平均值×50%； </w:t>
      </w:r>
    </w:p>
    <w:p w14:paraId="422546D6">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②</w:t>
      </w:r>
      <w:r>
        <w:rPr>
          <w:rFonts w:hint="eastAsia" w:ascii="宋体" w:hAnsi="宋体" w:eastAsia="宋体" w:cs="宋体"/>
          <w:color w:val="000000" w:themeColor="text1"/>
          <w:sz w:val="15"/>
          <w:szCs w:val="15"/>
          <w:highlight w:val="none"/>
          <w14:textFill>
            <w14:solidFill>
              <w14:schemeClr w14:val="tx1"/>
            </w14:solidFill>
          </w14:textFill>
        </w:rPr>
        <w:t>投标（响应）报价低于通过符合性审查的次低报价供应商投标（响应）报价50%的，即投标（响应）报价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通过符合性审查的次低报价供应商投标（响应）报价×50%； </w:t>
      </w:r>
    </w:p>
    <w:p w14:paraId="0935979E">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③</w:t>
      </w:r>
      <w:r>
        <w:rPr>
          <w:rFonts w:hint="eastAsia" w:ascii="宋体" w:hAnsi="宋体" w:eastAsia="宋体" w:cs="宋体"/>
          <w:color w:val="000000" w:themeColor="text1"/>
          <w:sz w:val="15"/>
          <w:szCs w:val="15"/>
          <w:highlight w:val="none"/>
          <w14:textFill>
            <w14:solidFill>
              <w14:schemeClr w14:val="tx1"/>
            </w14:solidFill>
          </w14:textFill>
        </w:rPr>
        <w:t>投标（响应）报价低于采购项目最高限价45%的，即投标（响应）报价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采购项目最高限价×45%； </w:t>
      </w:r>
    </w:p>
    <w:p w14:paraId="5B423675">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④</w:t>
      </w:r>
      <w:r>
        <w:rPr>
          <w:rFonts w:hint="eastAsia" w:ascii="宋体" w:hAnsi="宋体" w:eastAsia="宋体" w:cs="宋体"/>
          <w:color w:val="000000" w:themeColor="text1"/>
          <w:sz w:val="15"/>
          <w:szCs w:val="15"/>
          <w:highlight w:val="none"/>
          <w14:textFill>
            <w14:solidFill>
              <w14:schemeClr w14:val="tx1"/>
            </w14:solidFill>
          </w14:textFill>
        </w:rPr>
        <w:t>评审委员会基于专业判断，认为供应商报价过低，有可能影响产品质量或者不能诚信履约的其他情形。 </w:t>
      </w:r>
    </w:p>
    <w:p w14:paraId="647297EE">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31F1174">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6256EE2">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73B9396">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15B56EE5">
      <w:pPr>
        <w:widowControl w:val="0"/>
        <w:wordWrap/>
        <w:snapToGrid w:val="0"/>
        <w:spacing w:line="440" w:lineRule="exact"/>
        <w:ind w:firstLine="360" w:firstLineChars="200"/>
        <w:textAlignment w:val="auto"/>
        <w:outlineLvl w:val="4"/>
        <w:rPr>
          <w:rFonts w:hint="eastAsia" w:ascii="宋体" w:hAnsi="宋体" w:eastAsia="宋体" w:cs="宋体"/>
          <w:color w:val="000000" w:themeColor="text1"/>
          <w:sz w:val="18"/>
          <w:szCs w:val="18"/>
          <w:highlight w:val="none"/>
          <w:lang w:eastAsia="zh-CN"/>
          <w14:textFill>
            <w14:solidFill>
              <w14:schemeClr w14:val="tx1"/>
            </w14:solidFill>
          </w14:textFill>
        </w:rPr>
      </w:pPr>
    </w:p>
    <w:p w14:paraId="29C50914">
      <w:pPr>
        <w:widowControl w:val="0"/>
        <w:wordWrap/>
        <w:snapToGrid w:val="0"/>
        <w:spacing w:line="440" w:lineRule="exact"/>
        <w:ind w:firstLine="360" w:firstLineChars="200"/>
        <w:textAlignment w:val="auto"/>
        <w:outlineLvl w:val="4"/>
        <w:rPr>
          <w:rFonts w:hint="eastAsia" w:ascii="宋体" w:hAnsi="宋体" w:eastAsia="宋体" w:cs="宋体"/>
          <w:color w:val="000000" w:themeColor="text1"/>
          <w:sz w:val="18"/>
          <w:szCs w:val="18"/>
          <w:highlight w:val="none"/>
          <w14:textFill>
            <w14:solidFill>
              <w14:schemeClr w14:val="tx1"/>
            </w14:solidFill>
          </w14:textFill>
        </w:rPr>
      </w:pPr>
    </w:p>
    <w:bookmarkEnd w:id="342"/>
    <w:p w14:paraId="55F8EC9E">
      <w:pPr>
        <w:pStyle w:val="2"/>
        <w:rPr>
          <w:rFonts w:hint="eastAsia" w:ascii="宋体" w:hAnsi="宋体" w:cs="宋体"/>
          <w:color w:val="000000" w:themeColor="text1"/>
          <w:highlight w:val="none"/>
          <w14:textFill>
            <w14:solidFill>
              <w14:schemeClr w14:val="tx1"/>
            </w14:solidFill>
          </w14:textFill>
        </w:rPr>
      </w:pPr>
      <w:r>
        <w:rPr>
          <w:rFonts w:ascii="Arial" w:hAnsi="Arial" w:cs="Arial"/>
          <w:b w:val="0"/>
          <w:bCs w:val="0"/>
          <w:color w:val="000000" w:themeColor="text1"/>
          <w:highlight w:val="none"/>
          <w14:textFill>
            <w14:solidFill>
              <w14:schemeClr w14:val="tx1"/>
            </w14:solidFill>
          </w14:textFill>
        </w:rPr>
        <w:br w:type="page"/>
      </w:r>
      <w:bookmarkStart w:id="345" w:name="_Toc14595"/>
      <w:bookmarkStart w:id="346" w:name="_Toc25587"/>
      <w:r>
        <w:rPr>
          <w:rStyle w:val="53"/>
          <w:b/>
          <w:bCs/>
          <w:color w:val="000000" w:themeColor="text1"/>
          <w:highlight w:val="none"/>
          <w14:textFill>
            <w14:solidFill>
              <w14:schemeClr w14:val="tx1"/>
            </w14:solidFill>
          </w14:textFill>
        </w:rPr>
        <w:t>第</w:t>
      </w:r>
      <w:r>
        <w:rPr>
          <w:rStyle w:val="53"/>
          <w:rFonts w:hint="eastAsia"/>
          <w:b/>
          <w:bCs/>
          <w:color w:val="000000" w:themeColor="text1"/>
          <w:highlight w:val="none"/>
          <w14:textFill>
            <w14:solidFill>
              <w14:schemeClr w14:val="tx1"/>
            </w14:solidFill>
          </w14:textFill>
        </w:rPr>
        <w:t>五</w:t>
      </w:r>
      <w:r>
        <w:rPr>
          <w:rStyle w:val="53"/>
          <w:b/>
          <w:bCs/>
          <w:color w:val="000000" w:themeColor="text1"/>
          <w:highlight w:val="none"/>
          <w14:textFill>
            <w14:solidFill>
              <w14:schemeClr w14:val="tx1"/>
            </w14:solidFill>
          </w14:textFill>
        </w:rPr>
        <w:t xml:space="preserve">章  </w:t>
      </w:r>
      <w:bookmarkEnd w:id="345"/>
      <w:bookmarkStart w:id="347" w:name="_Toc24269"/>
      <w:r>
        <w:rPr>
          <w:rFonts w:hint="eastAsia" w:ascii="宋体" w:hAnsi="宋体" w:cs="宋体"/>
          <w:color w:val="000000" w:themeColor="text1"/>
          <w:highlight w:val="none"/>
          <w14:textFill>
            <w14:solidFill>
              <w14:schemeClr w14:val="tx1"/>
            </w14:solidFill>
          </w14:textFill>
        </w:rPr>
        <w:t>合同条款及格式</w:t>
      </w:r>
      <w:bookmarkEnd w:id="346"/>
    </w:p>
    <w:p w14:paraId="22F56B07">
      <w:pPr>
        <w:rPr>
          <w:rFonts w:hint="eastAsia" w:ascii="宋体" w:hAnsi="宋体" w:cs="宋体"/>
          <w:color w:val="000000" w:themeColor="text1"/>
          <w:highlight w:val="none"/>
          <w14:textFill>
            <w14:solidFill>
              <w14:schemeClr w14:val="tx1"/>
            </w14:solidFill>
          </w14:textFill>
        </w:rPr>
      </w:pPr>
    </w:p>
    <w:p w14:paraId="7E1A2378">
      <w:pPr>
        <w:rPr>
          <w:rFonts w:hint="eastAsia" w:ascii="宋体" w:hAnsi="宋体" w:cs="宋体"/>
          <w:color w:val="000000" w:themeColor="text1"/>
          <w:highlight w:val="none"/>
          <w:lang w:val="en-US" w:eastAsia="zh-CN"/>
          <w14:textFill>
            <w14:solidFill>
              <w14:schemeClr w14:val="tx1"/>
            </w14:solidFill>
          </w14:textFill>
        </w:rPr>
      </w:pPr>
    </w:p>
    <w:p w14:paraId="1D887E9E">
      <w:pPr>
        <w:jc w:val="cente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项目委托合同将以磋商文件以及响应文件约定服务内容为基础，经双方协商后签订符合医疗责任保险规范标准的保单</w:t>
      </w:r>
    </w:p>
    <w:p w14:paraId="49E5DE6C">
      <w:pP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bookmarkEnd w:id="347"/>
    <w:p w14:paraId="02B3BC0A">
      <w:pPr>
        <w:widowControl/>
        <w:jc w:val="center"/>
        <w:rPr>
          <w:rFonts w:ascii="仿宋" w:hAnsi="仿宋" w:eastAsia="仿宋"/>
          <w:b/>
          <w:bCs/>
          <w:color w:val="000000" w:themeColor="text1"/>
          <w:sz w:val="32"/>
          <w:szCs w:val="32"/>
          <w14:textFill>
            <w14:solidFill>
              <w14:schemeClr w14:val="tx1"/>
            </w14:solidFill>
          </w14:textFill>
        </w:rPr>
      </w:pPr>
      <w:bookmarkStart w:id="348" w:name="_Toc23685"/>
      <w:r>
        <w:rPr>
          <w:rFonts w:hint="eastAsia" w:ascii="宋体" w:hAnsi="宋体" w:cs="宋体"/>
          <w:b/>
          <w:bCs/>
          <w:color w:val="000000" w:themeColor="text1"/>
          <w:sz w:val="32"/>
          <w:szCs w:val="32"/>
          <w:highlight w:val="none"/>
          <w14:textFill>
            <w14:solidFill>
              <w14:schemeClr w14:val="tx1"/>
            </w14:solidFill>
          </w14:textFill>
        </w:rPr>
        <w:t>第六章  响应文件（格式）</w:t>
      </w:r>
      <w:bookmarkEnd w:id="348"/>
    </w:p>
    <w:p w14:paraId="2CDE9711">
      <w:pPr>
        <w:pStyle w:val="2"/>
        <w:rPr>
          <w:color w:val="000000" w:themeColor="text1"/>
          <w:highlight w:val="none"/>
          <w14:textFill>
            <w14:solidFill>
              <w14:schemeClr w14:val="tx1"/>
            </w14:solidFill>
          </w14:textFill>
        </w:rPr>
      </w:pPr>
    </w:p>
    <w:p w14:paraId="6BE5DC71">
      <w:pPr>
        <w:spacing w:line="360" w:lineRule="exact"/>
        <w:rPr>
          <w:rFonts w:ascii="Arial" w:hAnsi="Arial" w:cs="Arial"/>
          <w:b/>
          <w:bCs/>
          <w:color w:val="000000" w:themeColor="text1"/>
          <w:sz w:val="30"/>
          <w:szCs w:val="30"/>
          <w:highlight w:val="none"/>
          <w14:textFill>
            <w14:solidFill>
              <w14:schemeClr w14:val="tx1"/>
            </w14:solidFill>
          </w14:textFill>
        </w:rPr>
      </w:pPr>
      <w:bookmarkStart w:id="349" w:name="_Toc486867150"/>
      <w:bookmarkStart w:id="350" w:name="_Toc486695806"/>
      <w:bookmarkStart w:id="351" w:name="_Toc478137727"/>
      <w:bookmarkStart w:id="352" w:name="_Toc498698226"/>
      <w:bookmarkStart w:id="353" w:name="_Toc498627082"/>
      <w:bookmarkStart w:id="354" w:name="_Toc1762"/>
      <w:bookmarkStart w:id="355" w:name="_Toc31410"/>
      <w:r>
        <w:rPr>
          <w:rFonts w:ascii="Arial" w:hAnsi="Arial" w:cs="Arial"/>
          <w:b/>
          <w:bCs/>
          <w:color w:val="000000" w:themeColor="text1"/>
          <w:sz w:val="30"/>
          <w:szCs w:val="30"/>
          <w:highlight w:val="none"/>
          <w14:textFill>
            <w14:solidFill>
              <w14:schemeClr w14:val="tx1"/>
            </w14:solidFill>
          </w14:textFill>
        </w:rPr>
        <w:t>封面格式</w:t>
      </w:r>
      <w:bookmarkEnd w:id="349"/>
      <w:bookmarkEnd w:id="350"/>
      <w:bookmarkEnd w:id="351"/>
      <w:bookmarkEnd w:id="352"/>
      <w:bookmarkEnd w:id="353"/>
      <w:r>
        <w:rPr>
          <w:rFonts w:ascii="Arial" w:hAnsi="Arial" w:cs="Arial"/>
          <w:b/>
          <w:bCs/>
          <w:color w:val="000000" w:themeColor="text1"/>
          <w:sz w:val="30"/>
          <w:szCs w:val="30"/>
          <w:highlight w:val="none"/>
          <w14:textFill>
            <w14:solidFill>
              <w14:schemeClr w14:val="tx1"/>
            </w14:solidFill>
          </w14:textFill>
        </w:rPr>
        <w:t>：</w:t>
      </w:r>
      <w:bookmarkEnd w:id="354"/>
      <w:bookmarkEnd w:id="355"/>
    </w:p>
    <w:p w14:paraId="787B6643">
      <w:pPr>
        <w:adjustRightInd w:val="0"/>
        <w:snapToGrid w:val="0"/>
        <w:spacing w:line="360" w:lineRule="exact"/>
        <w:jc w:val="right"/>
        <w:rPr>
          <w:rFonts w:hint="eastAsia" w:ascii="Arial" w:hAnsi="Arial" w:eastAsia="宋体" w:cs="Arial"/>
          <w:b/>
          <w:color w:val="000000" w:themeColor="text1"/>
          <w:sz w:val="32"/>
          <w:szCs w:val="32"/>
          <w:highlight w:val="none"/>
          <w:lang w:eastAsia="zh-CN"/>
          <w14:textFill>
            <w14:solidFill>
              <w14:schemeClr w14:val="tx1"/>
            </w14:solidFill>
          </w14:textFill>
        </w:rPr>
      </w:pPr>
      <w:r>
        <w:rPr>
          <w:rFonts w:hint="eastAsia" w:ascii="Arial" w:hAnsi="Arial" w:cs="Arial"/>
          <w:b/>
          <w:color w:val="000000" w:themeColor="text1"/>
          <w:sz w:val="32"/>
          <w:szCs w:val="32"/>
          <w:highlight w:val="none"/>
          <w:lang w:eastAsia="zh-CN"/>
          <w14:textFill>
            <w14:solidFill>
              <w14:schemeClr w14:val="tx1"/>
            </w14:solidFill>
          </w14:textFill>
        </w:rPr>
        <w:t>（</w:t>
      </w:r>
      <w:r>
        <w:rPr>
          <w:rFonts w:hint="eastAsia" w:ascii="Arial" w:hAnsi="Arial" w:cs="Arial"/>
          <w:b/>
          <w:color w:val="000000" w:themeColor="text1"/>
          <w:sz w:val="32"/>
          <w:szCs w:val="32"/>
          <w:highlight w:val="none"/>
          <w:lang w:val="en-US" w:eastAsia="zh-CN"/>
          <w14:textFill>
            <w14:solidFill>
              <w14:schemeClr w14:val="tx1"/>
            </w14:solidFill>
          </w14:textFill>
        </w:rPr>
        <w:t>正/副本</w:t>
      </w:r>
      <w:r>
        <w:rPr>
          <w:rFonts w:hint="eastAsia" w:ascii="Arial" w:hAnsi="Arial" w:cs="Arial"/>
          <w:b/>
          <w:color w:val="000000" w:themeColor="text1"/>
          <w:sz w:val="32"/>
          <w:szCs w:val="32"/>
          <w:highlight w:val="none"/>
          <w:lang w:eastAsia="zh-CN"/>
          <w14:textFill>
            <w14:solidFill>
              <w14:schemeClr w14:val="tx1"/>
            </w14:solidFill>
          </w14:textFill>
        </w:rPr>
        <w:t>）</w:t>
      </w:r>
    </w:p>
    <w:p w14:paraId="1CF14304">
      <w:pPr>
        <w:adjustRightInd w:val="0"/>
        <w:snapToGrid w:val="0"/>
        <w:rPr>
          <w:rFonts w:ascii="Arial" w:hAnsi="Arial" w:cs="Arial"/>
          <w:b/>
          <w:color w:val="000000" w:themeColor="text1"/>
          <w:sz w:val="44"/>
          <w:szCs w:val="44"/>
          <w:highlight w:val="none"/>
          <w14:textFill>
            <w14:solidFill>
              <w14:schemeClr w14:val="tx1"/>
            </w14:solidFill>
          </w14:textFill>
        </w:rPr>
      </w:pPr>
    </w:p>
    <w:p w14:paraId="70B59CD7">
      <w:pPr>
        <w:adjustRightInd w:val="0"/>
        <w:snapToGrid w:val="0"/>
        <w:jc w:val="center"/>
        <w:rPr>
          <w:rFonts w:ascii="Arial" w:hAnsi="Arial" w:cs="Arial"/>
          <w:b/>
          <w:color w:val="000000" w:themeColor="text1"/>
          <w:sz w:val="44"/>
          <w:szCs w:val="44"/>
          <w:highlight w:val="none"/>
          <w14:textFill>
            <w14:solidFill>
              <w14:schemeClr w14:val="tx1"/>
            </w14:solidFill>
          </w14:textFill>
        </w:rPr>
      </w:pPr>
      <w:bookmarkStart w:id="356" w:name="_Toc3441_WPSOffice_Level1"/>
      <w:bookmarkStart w:id="357" w:name="_Toc13659_WPSOffice_Level1"/>
      <w:r>
        <w:rPr>
          <w:rFonts w:hint="eastAsia" w:ascii="Arial" w:hAnsi="Arial" w:cs="Arial"/>
          <w:bCs/>
          <w:color w:val="000000" w:themeColor="text1"/>
          <w:sz w:val="72"/>
          <w:szCs w:val="72"/>
          <w:highlight w:val="none"/>
          <w14:textFill>
            <w14:solidFill>
              <w14:schemeClr w14:val="tx1"/>
            </w14:solidFill>
          </w14:textFill>
        </w:rPr>
        <w:t>响应</w:t>
      </w:r>
      <w:r>
        <w:rPr>
          <w:rFonts w:ascii="Arial" w:hAnsi="Arial" w:cs="Arial"/>
          <w:bCs/>
          <w:color w:val="000000" w:themeColor="text1"/>
          <w:sz w:val="72"/>
          <w:szCs w:val="72"/>
          <w:highlight w:val="none"/>
          <w14:textFill>
            <w14:solidFill>
              <w14:schemeClr w14:val="tx1"/>
            </w14:solidFill>
          </w14:textFill>
        </w:rPr>
        <w:t>文件</w:t>
      </w:r>
      <w:bookmarkEnd w:id="356"/>
      <w:bookmarkEnd w:id="357"/>
    </w:p>
    <w:p w14:paraId="67B1A650">
      <w:pPr>
        <w:adjustRightInd w:val="0"/>
        <w:snapToGrid w:val="0"/>
        <w:spacing w:line="360" w:lineRule="exact"/>
        <w:rPr>
          <w:rFonts w:ascii="Arial" w:hAnsi="Arial" w:cs="Arial"/>
          <w:b/>
          <w:color w:val="000000" w:themeColor="text1"/>
          <w:sz w:val="44"/>
          <w:szCs w:val="44"/>
          <w:highlight w:val="none"/>
          <w14:textFill>
            <w14:solidFill>
              <w14:schemeClr w14:val="tx1"/>
            </w14:solidFill>
          </w14:textFill>
        </w:rPr>
      </w:pPr>
    </w:p>
    <w:p w14:paraId="5DC68755">
      <w:pPr>
        <w:adjustRightInd w:val="0"/>
        <w:snapToGrid w:val="0"/>
        <w:spacing w:line="360" w:lineRule="exact"/>
        <w:rPr>
          <w:rFonts w:ascii="Arial" w:hAnsi="Arial" w:cs="Arial"/>
          <w:b/>
          <w:color w:val="000000" w:themeColor="text1"/>
          <w:sz w:val="44"/>
          <w:szCs w:val="44"/>
          <w:highlight w:val="none"/>
          <w14:textFill>
            <w14:solidFill>
              <w14:schemeClr w14:val="tx1"/>
            </w14:solidFill>
          </w14:textFill>
        </w:rPr>
      </w:pPr>
    </w:p>
    <w:p w14:paraId="53131125">
      <w:pPr>
        <w:pStyle w:val="90"/>
        <w:ind w:firstLine="883"/>
        <w:rPr>
          <w:rFonts w:ascii="Arial" w:hAnsi="Arial" w:cs="Arial"/>
          <w:b/>
          <w:color w:val="000000" w:themeColor="text1"/>
          <w:sz w:val="44"/>
          <w:szCs w:val="44"/>
          <w:highlight w:val="none"/>
          <w14:textFill>
            <w14:solidFill>
              <w14:schemeClr w14:val="tx1"/>
            </w14:solidFill>
          </w14:textFill>
        </w:rPr>
      </w:pPr>
    </w:p>
    <w:p w14:paraId="6021C07E">
      <w:pPr>
        <w:spacing w:line="360" w:lineRule="auto"/>
        <w:ind w:firstLine="1500" w:firstLineChars="500"/>
        <w:rPr>
          <w:rFonts w:ascii="宋体" w:hAnsi="宋体" w:cs="宋体"/>
          <w:color w:val="000000" w:themeColor="text1"/>
          <w:sz w:val="30"/>
          <w:szCs w:val="30"/>
          <w:highlight w:val="none"/>
          <w14:textFill>
            <w14:solidFill>
              <w14:schemeClr w14:val="tx1"/>
            </w14:solidFill>
          </w14:textFill>
        </w:rPr>
      </w:pPr>
      <w:r>
        <w:rPr>
          <w:rFonts w:hint="eastAsia" w:ascii="宋体" w:hAnsi="宋体" w:cs="宋体"/>
          <w:bCs/>
          <w:color w:val="000000" w:themeColor="text1"/>
          <w:sz w:val="30"/>
          <w:szCs w:val="30"/>
          <w:highlight w:val="none"/>
          <w14:textFill>
            <w14:solidFill>
              <w14:schemeClr w14:val="tx1"/>
            </w14:solidFill>
          </w14:textFill>
        </w:rPr>
        <w:t>项目名称：</w:t>
      </w:r>
      <w:r>
        <w:rPr>
          <w:rFonts w:hint="eastAsia" w:ascii="宋体" w:hAnsi="宋体" w:cs="宋体"/>
          <w:bCs/>
          <w:color w:val="000000" w:themeColor="text1"/>
          <w:sz w:val="30"/>
          <w:szCs w:val="30"/>
          <w:highlight w:val="none"/>
          <w:u w:val="single"/>
          <w14:textFill>
            <w14:solidFill>
              <w14:schemeClr w14:val="tx1"/>
            </w14:solidFill>
          </w14:textFill>
        </w:rPr>
        <w:t xml:space="preserve">                         </w:t>
      </w:r>
    </w:p>
    <w:p w14:paraId="26C907DB">
      <w:pPr>
        <w:spacing w:line="360" w:lineRule="auto"/>
        <w:ind w:firstLine="1500" w:firstLineChars="500"/>
        <w:rPr>
          <w:rFonts w:hint="eastAsia" w:ascii="宋体" w:hAnsi="宋体" w:cs="宋体"/>
          <w:bCs/>
          <w:color w:val="000000" w:themeColor="text1"/>
          <w:sz w:val="30"/>
          <w:szCs w:val="30"/>
          <w:highlight w:val="none"/>
          <w14:textFill>
            <w14:solidFill>
              <w14:schemeClr w14:val="tx1"/>
            </w14:solidFill>
          </w14:textFill>
        </w:rPr>
      </w:pPr>
      <w:r>
        <w:rPr>
          <w:rFonts w:hint="eastAsia" w:ascii="宋体" w:hAnsi="宋体" w:cs="宋体"/>
          <w:bCs/>
          <w:color w:val="000000" w:themeColor="text1"/>
          <w:sz w:val="30"/>
          <w:szCs w:val="30"/>
          <w:highlight w:val="none"/>
          <w14:textFill>
            <w14:solidFill>
              <w14:schemeClr w14:val="tx1"/>
            </w14:solidFill>
          </w14:textFill>
        </w:rPr>
        <w:t>项目编号：</w:t>
      </w:r>
      <w:r>
        <w:rPr>
          <w:rFonts w:hint="eastAsia" w:ascii="宋体" w:hAnsi="宋体" w:cs="宋体"/>
          <w:bCs/>
          <w:color w:val="000000" w:themeColor="text1"/>
          <w:sz w:val="30"/>
          <w:szCs w:val="30"/>
          <w:highlight w:val="none"/>
          <w:u w:val="single"/>
          <w14:textFill>
            <w14:solidFill>
              <w14:schemeClr w14:val="tx1"/>
            </w14:solidFill>
          </w14:textFill>
        </w:rPr>
        <w:t xml:space="preserve">                         </w:t>
      </w:r>
    </w:p>
    <w:p w14:paraId="484A569C">
      <w:pPr>
        <w:pStyle w:val="16"/>
        <w:spacing w:line="360" w:lineRule="auto"/>
        <w:ind w:left="979" w:leftChars="466" w:firstLine="560" w:firstLineChars="200"/>
        <w:rPr>
          <w:rFonts w:ascii="Arial" w:hAnsi="Arial" w:cs="Arial"/>
          <w:bCs/>
          <w:color w:val="000000" w:themeColor="text1"/>
          <w:sz w:val="28"/>
          <w:szCs w:val="28"/>
          <w:highlight w:val="none"/>
          <w14:textFill>
            <w14:solidFill>
              <w14:schemeClr w14:val="tx1"/>
            </w14:solidFill>
          </w14:textFill>
        </w:rPr>
      </w:pPr>
      <w:bookmarkStart w:id="358" w:name="_Toc20319_WPSOffice_Level2"/>
      <w:bookmarkStart w:id="359" w:name="_Toc4932_WPSOffice_Level2"/>
      <w:r>
        <w:rPr>
          <w:rFonts w:hint="eastAsia" w:ascii="Arial" w:hAnsi="Arial" w:cs="Arial"/>
          <w:bCs/>
          <w:color w:val="000000" w:themeColor="text1"/>
          <w:sz w:val="28"/>
          <w:szCs w:val="28"/>
          <w:highlight w:val="none"/>
          <w14:textFill>
            <w14:solidFill>
              <w14:schemeClr w14:val="tx1"/>
            </w14:solidFill>
          </w14:textFill>
        </w:rPr>
        <w:t>供</w:t>
      </w:r>
      <w:r>
        <w:rPr>
          <w:rFonts w:hint="eastAsia" w:ascii="Arial" w:hAnsi="Arial" w:cs="Arial"/>
          <w:bCs/>
          <w:color w:val="000000" w:themeColor="text1"/>
          <w:sz w:val="28"/>
          <w:szCs w:val="28"/>
          <w:highlight w:val="none"/>
          <w:lang w:val="en-US" w:eastAsia="zh-CN"/>
          <w14:textFill>
            <w14:solidFill>
              <w14:schemeClr w14:val="tx1"/>
            </w14:solidFill>
          </w14:textFill>
        </w:rPr>
        <w:t xml:space="preserve"> </w:t>
      </w:r>
      <w:r>
        <w:rPr>
          <w:rFonts w:hint="eastAsia" w:ascii="Arial" w:hAnsi="Arial" w:cs="Arial"/>
          <w:bCs/>
          <w:color w:val="000000" w:themeColor="text1"/>
          <w:sz w:val="28"/>
          <w:szCs w:val="28"/>
          <w:highlight w:val="none"/>
          <w14:textFill>
            <w14:solidFill>
              <w14:schemeClr w14:val="tx1"/>
            </w14:solidFill>
          </w14:textFill>
        </w:rPr>
        <w:t>应</w:t>
      </w:r>
      <w:r>
        <w:rPr>
          <w:rFonts w:hint="eastAsia" w:ascii="Arial" w:hAnsi="Arial" w:cs="Arial"/>
          <w:bCs/>
          <w:color w:val="000000" w:themeColor="text1"/>
          <w:sz w:val="28"/>
          <w:szCs w:val="28"/>
          <w:highlight w:val="none"/>
          <w:lang w:val="en-US" w:eastAsia="zh-CN"/>
          <w14:textFill>
            <w14:solidFill>
              <w14:schemeClr w14:val="tx1"/>
            </w14:solidFill>
          </w14:textFill>
        </w:rPr>
        <w:t xml:space="preserve"> </w:t>
      </w:r>
      <w:r>
        <w:rPr>
          <w:rFonts w:hint="eastAsia" w:ascii="Arial" w:hAnsi="Arial" w:cs="Arial"/>
          <w:bCs/>
          <w:color w:val="000000" w:themeColor="text1"/>
          <w:sz w:val="28"/>
          <w:szCs w:val="28"/>
          <w:highlight w:val="none"/>
          <w14:textFill>
            <w14:solidFill>
              <w14:schemeClr w14:val="tx1"/>
            </w14:solidFill>
          </w14:textFill>
        </w:rPr>
        <w:t>商</w:t>
      </w:r>
      <w:r>
        <w:rPr>
          <w:rFonts w:hint="eastAsia" w:ascii="Arial" w:hAnsi="Arial" w:cs="Arial"/>
          <w:bCs/>
          <w:color w:val="000000" w:themeColor="text1"/>
          <w:sz w:val="28"/>
          <w:szCs w:val="28"/>
          <w:highlight w:val="none"/>
          <w:lang w:eastAsia="zh-CN"/>
          <w14:textFill>
            <w14:solidFill>
              <w14:schemeClr w14:val="tx1"/>
            </w14:solidFill>
          </w14:textFill>
        </w:rPr>
        <w:t>：</w:t>
      </w:r>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bookmarkEnd w:id="358"/>
      <w:bookmarkEnd w:id="359"/>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p>
    <w:p w14:paraId="08A2CA45">
      <w:pPr>
        <w:pStyle w:val="16"/>
        <w:spacing w:line="360" w:lineRule="auto"/>
        <w:ind w:left="979" w:leftChars="466" w:firstLine="560" w:firstLineChars="200"/>
        <w:rPr>
          <w:rFonts w:ascii="Arial" w:hAnsi="Arial" w:cs="Arial"/>
          <w:bCs/>
          <w:color w:val="000000" w:themeColor="text1"/>
          <w:sz w:val="28"/>
          <w:szCs w:val="28"/>
          <w:highlight w:val="none"/>
          <w:u w:val="single"/>
          <w14:textFill>
            <w14:solidFill>
              <w14:schemeClr w14:val="tx1"/>
            </w14:solidFill>
          </w14:textFill>
        </w:rPr>
      </w:pPr>
      <w:bookmarkStart w:id="360" w:name="_Toc32056_WPSOffice_Level2"/>
      <w:bookmarkStart w:id="361" w:name="_Toc9622_WPSOffice_Level2"/>
      <w:r>
        <w:rPr>
          <w:rFonts w:ascii="Arial" w:hAnsi="Arial" w:cs="Arial"/>
          <w:bCs/>
          <w:color w:val="000000" w:themeColor="text1"/>
          <w:sz w:val="28"/>
          <w:szCs w:val="28"/>
          <w:highlight w:val="none"/>
          <w14:textFill>
            <w14:solidFill>
              <w14:schemeClr w14:val="tx1"/>
            </w14:solidFill>
          </w14:textFill>
        </w:rPr>
        <w:t>联系</w:t>
      </w:r>
      <w:r>
        <w:rPr>
          <w:rFonts w:hint="eastAsia" w:ascii="Arial" w:hAnsi="Arial" w:cs="Arial"/>
          <w:bCs/>
          <w:color w:val="000000" w:themeColor="text1"/>
          <w:sz w:val="28"/>
          <w:szCs w:val="28"/>
          <w:highlight w:val="none"/>
          <w:lang w:val="en-US" w:eastAsia="zh-CN"/>
          <w14:textFill>
            <w14:solidFill>
              <w14:schemeClr w14:val="tx1"/>
            </w14:solidFill>
          </w14:textFill>
        </w:rPr>
        <w:t>人及</w:t>
      </w:r>
      <w:r>
        <w:rPr>
          <w:rFonts w:ascii="Arial" w:hAnsi="Arial" w:cs="Arial"/>
          <w:bCs/>
          <w:color w:val="000000" w:themeColor="text1"/>
          <w:sz w:val="28"/>
          <w:szCs w:val="28"/>
          <w:highlight w:val="none"/>
          <w14:textFill>
            <w14:solidFill>
              <w14:schemeClr w14:val="tx1"/>
            </w14:solidFill>
          </w14:textFill>
        </w:rPr>
        <w:t>电话：</w:t>
      </w:r>
      <w:bookmarkEnd w:id="360"/>
      <w:bookmarkEnd w:id="361"/>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p>
    <w:p w14:paraId="1F97A27A">
      <w:pPr>
        <w:pStyle w:val="16"/>
        <w:spacing w:line="360" w:lineRule="auto"/>
        <w:ind w:firstLine="1120" w:firstLineChars="400"/>
        <w:rPr>
          <w:rFonts w:ascii="Arial" w:hAnsi="Arial" w:cs="Arial"/>
          <w:b/>
          <w:color w:val="000000" w:themeColor="text1"/>
          <w:sz w:val="32"/>
          <w:szCs w:val="32"/>
          <w:highlight w:val="none"/>
          <w14:textFill>
            <w14:solidFill>
              <w14:schemeClr w14:val="tx1"/>
            </w14:solidFill>
          </w14:textFill>
        </w:rPr>
      </w:pPr>
      <w:bookmarkStart w:id="362" w:name="_Toc26465_WPSOffice_Level2"/>
      <w:bookmarkStart w:id="363" w:name="_Toc15933_WPSOffice_Level2"/>
      <w:r>
        <w:rPr>
          <w:rFonts w:ascii="Arial" w:hAnsi="Arial" w:cs="Arial"/>
          <w:bCs/>
          <w:color w:val="000000" w:themeColor="text1"/>
          <w:sz w:val="28"/>
          <w:szCs w:val="28"/>
          <w:highlight w:val="none"/>
          <w14:textFill>
            <w14:solidFill>
              <w14:schemeClr w14:val="tx1"/>
            </w14:solidFill>
          </w14:textFill>
        </w:rPr>
        <w:t>日期：</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年</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月</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日</w:t>
      </w:r>
      <w:bookmarkEnd w:id="362"/>
      <w:bookmarkEnd w:id="363"/>
    </w:p>
    <w:p w14:paraId="27EABD02">
      <w:pPr>
        <w:spacing w:line="440" w:lineRule="exact"/>
        <w:rPr>
          <w:rFonts w:ascii="Arial" w:hAnsi="Arial" w:cs="Arial"/>
          <w:b/>
          <w:bCs/>
          <w:color w:val="000000" w:themeColor="text1"/>
          <w:sz w:val="32"/>
          <w:szCs w:val="32"/>
          <w:highlight w:val="none"/>
          <w14:textFill>
            <w14:solidFill>
              <w14:schemeClr w14:val="tx1"/>
            </w14:solidFill>
          </w14:textFill>
        </w:rPr>
      </w:pPr>
      <w:r>
        <w:rPr>
          <w:rFonts w:ascii="Arial" w:hAnsi="Arial" w:cs="Arial"/>
          <w:b/>
          <w:bCs/>
          <w:color w:val="000000" w:themeColor="text1"/>
          <w:sz w:val="32"/>
          <w:szCs w:val="32"/>
          <w:highlight w:val="none"/>
          <w14:textFill>
            <w14:solidFill>
              <w14:schemeClr w14:val="tx1"/>
            </w14:solidFill>
          </w14:textFill>
        </w:rPr>
        <w:br w:type="page"/>
      </w:r>
      <w:bookmarkStart w:id="364" w:name="_Toc495841787"/>
      <w:bookmarkStart w:id="365" w:name="_Toc27290"/>
    </w:p>
    <w:p w14:paraId="48FBA8D9">
      <w:pPr>
        <w:spacing w:line="440" w:lineRule="exact"/>
        <w:jc w:val="center"/>
        <w:rPr>
          <w:rFonts w:hint="eastAsia" w:ascii="Arial" w:hAnsi="Arial" w:eastAsia="宋体" w:cs="Arial"/>
          <w:b/>
          <w:bCs/>
          <w:color w:val="000000" w:themeColor="text1"/>
          <w:sz w:val="32"/>
          <w:szCs w:val="32"/>
          <w:highlight w:val="none"/>
          <w:lang w:val="en-US" w:eastAsia="zh-CN"/>
          <w14:textFill>
            <w14:solidFill>
              <w14:schemeClr w14:val="tx1"/>
            </w14:solidFill>
          </w14:textFill>
        </w:rPr>
      </w:pPr>
      <w:r>
        <w:rPr>
          <w:rFonts w:hint="eastAsia" w:ascii="Arial" w:hAnsi="Arial" w:cs="Arial"/>
          <w:b/>
          <w:bCs/>
          <w:color w:val="000000" w:themeColor="text1"/>
          <w:sz w:val="32"/>
          <w:szCs w:val="32"/>
          <w:highlight w:val="none"/>
          <w:lang w:val="en-US" w:eastAsia="zh-CN"/>
          <w14:textFill>
            <w14:solidFill>
              <w14:schemeClr w14:val="tx1"/>
            </w14:solidFill>
          </w14:textFill>
        </w:rPr>
        <w:t>目 录</w:t>
      </w:r>
    </w:p>
    <w:p w14:paraId="40A537A1">
      <w:pPr>
        <w:pStyle w:val="16"/>
        <w:keepNext w:val="0"/>
        <w:keepLines w:val="0"/>
        <w:pageBreakBefore w:val="0"/>
        <w:widowControl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default" w:ascii="黑体" w:hAnsi="黑体" w:eastAsia="黑体" w:cs="黑体"/>
          <w:b/>
          <w:bCs/>
          <w:color w:val="000000" w:themeColor="text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一、报价表</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54054898">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eastAsia" w:ascii="黑体" w:hAnsi="黑体" w:eastAsia="黑体" w:cs="黑体"/>
          <w:b/>
          <w:bCs/>
          <w:color w:val="000000" w:themeColor="text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二</w:t>
      </w:r>
      <w:r>
        <w:rPr>
          <w:rFonts w:hint="eastAsia" w:ascii="黑体" w:hAnsi="黑体" w:eastAsia="黑体" w:cs="黑体"/>
          <w:b/>
          <w:bCs/>
          <w:color w:val="000000" w:themeColor="text1"/>
          <w:szCs w:val="21"/>
          <w:highlight w:val="none"/>
          <w14:textFill>
            <w14:solidFill>
              <w14:schemeClr w14:val="tx1"/>
            </w14:solidFill>
          </w14:textFill>
        </w:rPr>
        <w:t>、资格性响应证明材料</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1F617760">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1.供应商相应的法定代表人身份证正反两面复印件（必须提供）</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57F7CCD1">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2.供应商的授权委托书原件、委托代理人身份证正反面复印件（委托代理时必须提供）</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46BE5A2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3</w:t>
      </w:r>
      <w:r>
        <w:rPr>
          <w:rFonts w:hint="eastAsia" w:ascii="宋体" w:hAnsi="宋体" w:cs="宋体"/>
          <w:b w:val="0"/>
          <w:bCs w:val="0"/>
          <w:color w:val="000000" w:themeColor="text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Cs w:val="21"/>
          <w:highlight w:val="none"/>
          <w14:textFill>
            <w14:solidFill>
              <w14:schemeClr w14:val="tx1"/>
            </w14:solidFill>
          </w14:textFill>
        </w:rPr>
        <w:t>供应商营业执照副本复印件（必须提供）；</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57E8FE22">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.2025年度任意连续3个月纳税记录或完税证明；</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50D68C3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.2025年度任意连续3个月纳税社保证明；</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0F195B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.202</w:t>
      </w:r>
      <w:r>
        <w:rPr>
          <w:rFonts w:hint="eastAsia" w:ascii="宋体" w:hAnsi="宋体" w:cs="宋体"/>
          <w:b w:val="0"/>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年度财务审计报告或开户银行资信证明；</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1D315D9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7</w:t>
      </w:r>
      <w:r>
        <w:rPr>
          <w:rFonts w:hint="eastAsia" w:ascii="宋体" w:hAnsi="宋体" w:eastAsia="宋体" w:cs="宋体"/>
          <w:b w:val="0"/>
          <w:bCs w:val="0"/>
          <w:color w:val="000000" w:themeColor="text1"/>
          <w:szCs w:val="21"/>
          <w:highlight w:val="none"/>
          <w14:textFill>
            <w14:solidFill>
              <w14:schemeClr w14:val="tx1"/>
            </w14:solidFill>
          </w14:textFill>
        </w:rPr>
        <w:t>.供应商参加本项目无围标串标行为的承诺函（必须提供）</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5EEE5AAF">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szCs w:val="21"/>
          <w:highlight w:val="none"/>
          <w14:textFill>
            <w14:solidFill>
              <w14:schemeClr w14:val="tx1"/>
            </w14:solidFill>
          </w14:textFill>
        </w:rPr>
        <w:t>.供应商可结合本项目的评审办法视自身情况自行提交相关资格审查证明材料。（如有，请提供）</w:t>
      </w:r>
    </w:p>
    <w:p w14:paraId="61C062A0">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default" w:ascii="宋体" w:hAnsi="宋体" w:eastAsia="黑体" w:cs="宋体"/>
          <w:b/>
          <w:bCs/>
          <w:color w:val="000000" w:themeColor="text1"/>
          <w:sz w:val="2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三</w:t>
      </w:r>
      <w:r>
        <w:rPr>
          <w:rFonts w:hint="eastAsia" w:ascii="黑体" w:hAnsi="黑体" w:eastAsia="黑体" w:cs="黑体"/>
          <w:b/>
          <w:bCs/>
          <w:color w:val="000000" w:themeColor="text1"/>
          <w:szCs w:val="21"/>
          <w:highlight w:val="none"/>
          <w14:textFill>
            <w14:solidFill>
              <w14:schemeClr w14:val="tx1"/>
            </w14:solidFill>
          </w14:textFill>
        </w:rPr>
        <w:t>、商务、技术性响应证明材料</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4CF8B5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1.响应函（必须提供）</w:t>
      </w:r>
      <w:r>
        <w:rPr>
          <w:rFonts w:hint="eastAsia" w:ascii="宋体" w:hAnsi="宋体" w:cs="宋体"/>
          <w:b w:val="0"/>
          <w:bCs w:val="0"/>
          <w:color w:val="000000" w:themeColor="text1"/>
          <w:szCs w:val="21"/>
          <w:highlight w:val="none"/>
          <w:lang w:val="en-US" w:eastAsia="zh-CN"/>
          <w14:textFill>
            <w14:solidFill>
              <w14:schemeClr w14:val="tx1"/>
            </w14:solidFill>
          </w14:textFill>
        </w:rPr>
        <w:tab/>
      </w:r>
      <w:r>
        <w:rPr>
          <w:rFonts w:hint="eastAsia" w:ascii="宋体" w:hAnsi="宋体" w:cs="宋体"/>
          <w:b w:val="0"/>
          <w:bCs w:val="0"/>
          <w:color w:val="000000" w:themeColor="text1"/>
          <w:szCs w:val="21"/>
          <w:highlight w:val="none"/>
          <w:lang w:val="en-US" w:eastAsia="zh-CN"/>
          <w14:textFill>
            <w14:solidFill>
              <w14:schemeClr w14:val="tx1"/>
            </w14:solidFill>
          </w14:textFill>
        </w:rPr>
        <w:tab/>
      </w:r>
    </w:p>
    <w:p w14:paraId="39724A95">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2.服务需求响应表（必须提供）；</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2924F20D">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3</w:t>
      </w:r>
      <w:r>
        <w:rPr>
          <w:rFonts w:hint="eastAsia"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lang w:eastAsia="zh-CN"/>
          <w14:textFill>
            <w14:solidFill>
              <w14:schemeClr w14:val="tx1"/>
            </w14:solidFill>
          </w14:textFill>
        </w:rPr>
        <w:t>拟投入服务团队</w:t>
      </w:r>
      <w:r>
        <w:rPr>
          <w:rFonts w:hint="eastAsia" w:ascii="宋体" w:hAnsi="宋体" w:cs="宋体"/>
          <w:b w:val="0"/>
          <w:bCs w:val="0"/>
          <w:color w:val="000000" w:themeColor="text1"/>
          <w:szCs w:val="21"/>
          <w:highlight w:val="none"/>
          <w14:textFill>
            <w14:solidFill>
              <w14:schemeClr w14:val="tx1"/>
            </w14:solidFill>
          </w14:textFill>
        </w:rPr>
        <w:t>（如有，请提供）；</w:t>
      </w:r>
      <w:r>
        <w:rPr>
          <w:rFonts w:hint="eastAsia" w:ascii="宋体" w:hAnsi="宋体" w:cs="宋体"/>
          <w:b w:val="0"/>
          <w:bCs w:val="0"/>
          <w:color w:val="000000" w:themeColor="text1"/>
          <w:szCs w:val="21"/>
          <w:highlight w:val="none"/>
          <w:lang w:val="en-US" w:eastAsia="zh-CN"/>
          <w14:textFill>
            <w14:solidFill>
              <w14:schemeClr w14:val="tx1"/>
            </w14:solidFill>
          </w14:textFill>
        </w:rPr>
        <w:tab/>
      </w:r>
      <w:r>
        <w:rPr>
          <w:rFonts w:hint="eastAsia" w:ascii="宋体" w:hAnsi="宋体" w:cs="宋体"/>
          <w:b w:val="0"/>
          <w:bCs w:val="0"/>
          <w:color w:val="000000" w:themeColor="text1"/>
          <w:szCs w:val="21"/>
          <w:highlight w:val="none"/>
          <w:lang w:val="en-US" w:eastAsia="zh-CN"/>
          <w14:textFill>
            <w14:solidFill>
              <w14:schemeClr w14:val="tx1"/>
            </w14:solidFill>
          </w14:textFill>
        </w:rPr>
        <w:tab/>
      </w:r>
    </w:p>
    <w:p w14:paraId="60208523">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保险</w:t>
      </w:r>
      <w:r>
        <w:rPr>
          <w:rFonts w:hint="eastAsia" w:ascii="宋体" w:hAnsi="宋体" w:eastAsia="宋体" w:cs="宋体"/>
          <w:b w:val="0"/>
          <w:bCs w:val="0"/>
          <w:color w:val="000000" w:themeColor="text1"/>
          <w:szCs w:val="21"/>
          <w:highlight w:val="none"/>
          <w:lang w:eastAsia="zh-CN"/>
          <w14:textFill>
            <w14:solidFill>
              <w14:schemeClr w14:val="tx1"/>
            </w14:solidFill>
          </w14:textFill>
        </w:rPr>
        <w:t>服务方案</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72EBEF3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Cs w:val="21"/>
          <w:highlight w:val="none"/>
          <w:lang w:eastAsia="zh-CN"/>
          <w14:textFill>
            <w14:solidFill>
              <w14:schemeClr w14:val="tx1"/>
            </w14:solidFill>
          </w14:textFill>
        </w:rPr>
        <w:t>理赔服务方案</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787CC015">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增值服务方案</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76EB394D">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7.医疗纠纷调解赔付案例</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2ED7CC28">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8.业绩材料</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002F8471">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9.经审计的年度偿付能力报告复印件或官方网站上公布的数据截图；</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ab/>
      </w:r>
    </w:p>
    <w:p w14:paraId="2EE73B7D">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Cs w:val="21"/>
          <w:highlight w:val="none"/>
          <w:lang w:eastAsia="zh-CN"/>
          <w14:textFill>
            <w14:solidFill>
              <w14:schemeClr w14:val="tx1"/>
            </w14:solidFill>
          </w14:textFill>
        </w:rPr>
        <w:t>《中小企业声明函》</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或</w:t>
      </w:r>
      <w:r>
        <w:rPr>
          <w:rFonts w:hint="eastAsia" w:ascii="宋体" w:hAnsi="宋体" w:eastAsia="宋体" w:cs="宋体"/>
          <w:b w:val="0"/>
          <w:bCs w:val="0"/>
          <w:color w:val="000000" w:themeColor="text1"/>
          <w:szCs w:val="21"/>
          <w:highlight w:val="none"/>
          <w:lang w:eastAsia="zh-CN"/>
          <w14:textFill>
            <w14:solidFill>
              <w14:schemeClr w14:val="tx1"/>
            </w14:solidFill>
          </w14:textFill>
        </w:rPr>
        <w:t>《残疾人福利性单位声明函》</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或</w:t>
      </w:r>
      <w:r>
        <w:rPr>
          <w:rFonts w:hint="eastAsia" w:ascii="宋体" w:hAnsi="宋体" w:eastAsia="宋体" w:cs="宋体"/>
          <w:b w:val="0"/>
          <w:bCs w:val="0"/>
          <w:color w:val="000000" w:themeColor="text1"/>
          <w:szCs w:val="21"/>
          <w:highlight w:val="none"/>
          <w:lang w:eastAsia="zh-CN"/>
          <w14:textFill>
            <w14:solidFill>
              <w14:schemeClr w14:val="tx1"/>
            </w14:solidFill>
          </w14:textFill>
        </w:rPr>
        <w:t>属于监狱企业的证明文件（</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如有，请</w:t>
      </w:r>
      <w:r>
        <w:rPr>
          <w:rFonts w:hint="eastAsia" w:ascii="宋体" w:hAnsi="宋体" w:eastAsia="宋体" w:cs="宋体"/>
          <w:b w:val="0"/>
          <w:bCs w:val="0"/>
          <w:color w:val="000000" w:themeColor="text1"/>
          <w:szCs w:val="21"/>
          <w:highlight w:val="none"/>
          <w:lang w:eastAsia="zh-CN"/>
          <w14:textFill>
            <w14:solidFill>
              <w14:schemeClr w14:val="tx1"/>
            </w14:solidFill>
          </w14:textFill>
        </w:rPr>
        <w:t>提供）</w:t>
      </w:r>
    </w:p>
    <w:p w14:paraId="1380D922">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11.</w:t>
      </w:r>
      <w:r>
        <w:rPr>
          <w:rFonts w:hint="eastAsia" w:ascii="宋体" w:hAnsi="宋体" w:cs="宋体"/>
          <w:b w:val="0"/>
          <w:bCs w:val="0"/>
          <w:color w:val="000000" w:themeColor="text1"/>
          <w:szCs w:val="21"/>
          <w:highlight w:val="none"/>
          <w14:textFill>
            <w14:solidFill>
              <w14:schemeClr w14:val="tx1"/>
            </w14:solidFill>
          </w14:textFill>
        </w:rPr>
        <w:t>供应商相关获奖证书、认证证书等复印件（如有请提供）</w:t>
      </w:r>
      <w:r>
        <w:rPr>
          <w:rFonts w:hint="eastAsia" w:ascii="宋体" w:hAnsi="宋体" w:cs="宋体"/>
          <w:b w:val="0"/>
          <w:bCs w:val="0"/>
          <w:color w:val="000000" w:themeColor="text1"/>
          <w:szCs w:val="21"/>
          <w:highlight w:val="none"/>
          <w:lang w:val="en-US" w:eastAsia="zh-CN"/>
          <w14:textFill>
            <w14:solidFill>
              <w14:schemeClr w14:val="tx1"/>
            </w14:solidFill>
          </w14:textFill>
        </w:rPr>
        <w:tab/>
      </w:r>
      <w:r>
        <w:rPr>
          <w:rFonts w:hint="eastAsia" w:ascii="宋体" w:hAnsi="宋体" w:cs="宋体"/>
          <w:b w:val="0"/>
          <w:bCs w:val="0"/>
          <w:color w:val="000000" w:themeColor="text1"/>
          <w:szCs w:val="21"/>
          <w:highlight w:val="none"/>
          <w:lang w:val="en-US" w:eastAsia="zh-CN"/>
          <w14:textFill>
            <w14:solidFill>
              <w14:schemeClr w14:val="tx1"/>
            </w14:solidFill>
          </w14:textFill>
        </w:rPr>
        <w:tab/>
      </w:r>
    </w:p>
    <w:p w14:paraId="06E6293F">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12</w:t>
      </w:r>
      <w:r>
        <w:rPr>
          <w:rFonts w:hint="eastAsia" w:ascii="宋体" w:hAnsi="宋体" w:cs="宋体"/>
          <w:b w:val="0"/>
          <w:bCs w:val="0"/>
          <w:color w:val="000000" w:themeColor="text1"/>
          <w:szCs w:val="21"/>
          <w:highlight w:val="none"/>
          <w14:textFill>
            <w14:solidFill>
              <w14:schemeClr w14:val="tx1"/>
            </w14:solidFill>
          </w14:textFill>
        </w:rPr>
        <w:t>.供应商认为有必要提供的其他资料（如有，请提供）</w:t>
      </w:r>
      <w:r>
        <w:rPr>
          <w:rFonts w:hint="eastAsia" w:ascii="宋体" w:hAnsi="宋体" w:cs="宋体"/>
          <w:b w:val="0"/>
          <w:bCs w:val="0"/>
          <w:color w:val="000000" w:themeColor="text1"/>
          <w:szCs w:val="21"/>
          <w:highlight w:val="none"/>
          <w:lang w:val="en-US" w:eastAsia="zh-CN"/>
          <w14:textFill>
            <w14:solidFill>
              <w14:schemeClr w14:val="tx1"/>
            </w14:solidFill>
          </w14:textFill>
        </w:rPr>
        <w:tab/>
      </w:r>
      <w:r>
        <w:rPr>
          <w:rFonts w:hint="eastAsia" w:ascii="宋体" w:hAnsi="宋体" w:cs="宋体"/>
          <w:b w:val="0"/>
          <w:bCs w:val="0"/>
          <w:color w:val="000000" w:themeColor="text1"/>
          <w:szCs w:val="21"/>
          <w:highlight w:val="none"/>
          <w:lang w:val="en-US" w:eastAsia="zh-CN"/>
          <w14:textFill>
            <w14:solidFill>
              <w14:schemeClr w14:val="tx1"/>
            </w14:solidFill>
          </w14:textFill>
        </w:rPr>
        <w:tab/>
      </w:r>
    </w:p>
    <w:p w14:paraId="432897B7">
      <w:pPr>
        <w:spacing w:line="440" w:lineRule="exact"/>
        <w:rPr>
          <w:rFonts w:ascii="Arial" w:hAnsi="Arial" w:cs="Arial"/>
          <w:b/>
          <w:bCs/>
          <w:color w:val="000000" w:themeColor="text1"/>
          <w:sz w:val="32"/>
          <w:szCs w:val="32"/>
          <w:highlight w:val="none"/>
          <w14:textFill>
            <w14:solidFill>
              <w14:schemeClr w14:val="tx1"/>
            </w14:solidFill>
          </w14:textFill>
        </w:rPr>
      </w:pPr>
      <w:r>
        <w:rPr>
          <w:rFonts w:ascii="Arial" w:hAnsi="Arial" w:cs="Arial"/>
          <w:b/>
          <w:bCs/>
          <w:color w:val="000000" w:themeColor="text1"/>
          <w:sz w:val="32"/>
          <w:szCs w:val="32"/>
          <w:highlight w:val="none"/>
          <w14:textFill>
            <w14:solidFill>
              <w14:schemeClr w14:val="tx1"/>
            </w14:solidFill>
          </w14:textFill>
        </w:rPr>
        <w:br w:type="page"/>
      </w:r>
    </w:p>
    <w:p w14:paraId="20558A5D">
      <w:pPr>
        <w:spacing w:line="440" w:lineRule="exact"/>
        <w:rPr>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sz w:val="32"/>
          <w:szCs w:val="32"/>
          <w:highlight w:val="none"/>
          <w:lang w:val="en-US" w:eastAsia="zh-CN"/>
          <w14:textFill>
            <w14:solidFill>
              <w14:schemeClr w14:val="tx1"/>
            </w14:solidFill>
          </w14:textFill>
        </w:rPr>
        <w:t>一、报价函（格式）</w:t>
      </w:r>
    </w:p>
    <w:p w14:paraId="5E1B8479">
      <w:pPr>
        <w:pStyle w:val="174"/>
        <w:ind w:firstLine="480"/>
      </w:pPr>
    </w:p>
    <w:p w14:paraId="1DB1756D">
      <w:pPr>
        <w:pStyle w:val="174"/>
        <w:ind w:firstLine="480"/>
        <w:jc w:val="center"/>
        <w:rPr>
          <w:rFonts w:hint="eastAsia" w:ascii="Arial Unicode MS" w:hAnsi="Arial Unicode MS" w:eastAsia="Arial Unicode MS" w:cs="Arial Unicode MS"/>
        </w:rPr>
      </w:pPr>
      <w:r>
        <w:rPr>
          <w:rFonts w:hint="eastAsia" w:ascii="Arial Unicode MS" w:hAnsi="Arial Unicode MS" w:eastAsia="Arial Unicode MS" w:cs="Arial Unicode MS"/>
          <w:b/>
          <w:bCs/>
          <w:color w:val="000000" w:themeColor="text1"/>
          <w:sz w:val="32"/>
          <w:szCs w:val="32"/>
          <w:highlight w:val="none"/>
          <w:lang w:val="en-US" w:eastAsia="zh-CN"/>
          <w14:textFill>
            <w14:solidFill>
              <w14:schemeClr w14:val="tx1"/>
            </w14:solidFill>
          </w14:textFill>
        </w:rPr>
        <w:t>竞 标 报 价 表</w:t>
      </w:r>
    </w:p>
    <w:p w14:paraId="523674A5">
      <w:pPr>
        <w:pStyle w:val="174"/>
        <w:ind w:firstLine="480"/>
      </w:pPr>
    </w:p>
    <w:p w14:paraId="5A97BB53">
      <w:pPr>
        <w:pStyle w:val="174"/>
        <w:ind w:firstLine="480"/>
      </w:pPr>
    </w:p>
    <w:p w14:paraId="058E4A18">
      <w:pPr>
        <w:pStyle w:val="174"/>
        <w:spacing w:line="360" w:lineRule="auto"/>
        <w:ind w:firstLine="480"/>
        <w:rPr>
          <w:rFonts w:hint="default" w:eastAsiaTheme="minorEastAsia"/>
          <w:u w:val="single"/>
          <w:lang w:val="en-US" w:eastAsia="zh-CN"/>
        </w:rPr>
      </w:pPr>
      <w:r>
        <w:t>项目编号：</w:t>
      </w:r>
      <w:r>
        <w:rPr>
          <w:rFonts w:hint="eastAsia"/>
          <w:u w:val="single"/>
          <w:lang w:val="en-US" w:eastAsia="zh-CN"/>
        </w:rPr>
        <w:t xml:space="preserve">                                       </w:t>
      </w:r>
    </w:p>
    <w:p w14:paraId="3DBE4359">
      <w:pPr>
        <w:pStyle w:val="174"/>
        <w:spacing w:line="360" w:lineRule="auto"/>
        <w:ind w:firstLine="480"/>
        <w:rPr>
          <w:rFonts w:hint="default" w:eastAsiaTheme="minorEastAsia"/>
          <w:lang w:val="en-US" w:eastAsia="zh-CN"/>
        </w:rPr>
      </w:pPr>
      <w:r>
        <w:t>项目名称：</w:t>
      </w:r>
      <w:r>
        <w:rPr>
          <w:rFonts w:hint="eastAsia"/>
          <w:u w:val="single"/>
          <w:lang w:val="en-US" w:eastAsia="zh-CN"/>
        </w:rPr>
        <w:t xml:space="preserve">                                       </w:t>
      </w:r>
    </w:p>
    <w:p w14:paraId="2B42C4D2">
      <w:pPr>
        <w:pStyle w:val="174"/>
        <w:ind w:firstLine="480"/>
      </w:pPr>
    </w:p>
    <w:tbl>
      <w:tblPr>
        <w:tblStyle w:val="3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4"/>
        <w:gridCol w:w="2448"/>
        <w:gridCol w:w="1879"/>
        <w:gridCol w:w="1131"/>
        <w:gridCol w:w="1500"/>
        <w:gridCol w:w="1684"/>
      </w:tblGrid>
      <w:tr w14:paraId="56665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4" w:type="dxa"/>
            <w:vAlign w:val="center"/>
          </w:tcPr>
          <w:p w14:paraId="0EF5FFEE">
            <w:pPr>
              <w:pStyle w:val="174"/>
              <w:jc w:val="both"/>
              <w:rPr>
                <w:b/>
                <w:bCs/>
              </w:rPr>
            </w:pPr>
            <w:r>
              <w:rPr>
                <w:b/>
                <w:bCs/>
              </w:rPr>
              <w:t>序号</w:t>
            </w:r>
          </w:p>
        </w:tc>
        <w:tc>
          <w:tcPr>
            <w:tcW w:w="2448" w:type="dxa"/>
            <w:vAlign w:val="center"/>
          </w:tcPr>
          <w:p w14:paraId="790ED2AE">
            <w:pPr>
              <w:pStyle w:val="174"/>
              <w:jc w:val="center"/>
              <w:rPr>
                <w:rFonts w:hint="default" w:eastAsiaTheme="minorEastAsia"/>
                <w:b/>
                <w:bCs/>
                <w:lang w:val="en-US" w:eastAsia="zh-CN"/>
              </w:rPr>
            </w:pPr>
            <w:r>
              <w:rPr>
                <w:rFonts w:hint="eastAsia"/>
                <w:b/>
                <w:bCs/>
                <w:lang w:val="en-US" w:eastAsia="zh-CN"/>
              </w:rPr>
              <w:t>标的名称</w:t>
            </w:r>
          </w:p>
        </w:tc>
        <w:tc>
          <w:tcPr>
            <w:tcW w:w="1879" w:type="dxa"/>
            <w:vAlign w:val="center"/>
          </w:tcPr>
          <w:p w14:paraId="31313E31">
            <w:pPr>
              <w:pStyle w:val="174"/>
              <w:jc w:val="center"/>
              <w:rPr>
                <w:b/>
                <w:bCs/>
              </w:rPr>
            </w:pPr>
            <w:r>
              <w:rPr>
                <w:rFonts w:hint="eastAsia"/>
                <w:b/>
                <w:bCs/>
                <w:lang w:val="en-US" w:eastAsia="zh-CN"/>
              </w:rPr>
              <w:t>单价</w:t>
            </w:r>
            <w:r>
              <w:rPr>
                <w:b/>
                <w:bCs/>
              </w:rPr>
              <w:t>（元）</w:t>
            </w:r>
          </w:p>
        </w:tc>
        <w:tc>
          <w:tcPr>
            <w:tcW w:w="1131" w:type="dxa"/>
            <w:vAlign w:val="center"/>
          </w:tcPr>
          <w:p w14:paraId="7AE37EB6">
            <w:pPr>
              <w:pStyle w:val="174"/>
              <w:jc w:val="center"/>
              <w:rPr>
                <w:rFonts w:hint="eastAsia" w:eastAsiaTheme="minorEastAsia"/>
                <w:b/>
                <w:bCs/>
                <w:lang w:eastAsia="zh-CN"/>
              </w:rPr>
            </w:pPr>
            <w:r>
              <w:rPr>
                <w:rFonts w:hint="eastAsia"/>
                <w:b/>
                <w:bCs/>
                <w:lang w:val="en-US" w:eastAsia="zh-CN"/>
              </w:rPr>
              <w:t>数量</w:t>
            </w:r>
          </w:p>
        </w:tc>
        <w:tc>
          <w:tcPr>
            <w:tcW w:w="1500" w:type="dxa"/>
            <w:vAlign w:val="center"/>
          </w:tcPr>
          <w:p w14:paraId="359DE56B">
            <w:pPr>
              <w:pStyle w:val="174"/>
              <w:jc w:val="both"/>
              <w:rPr>
                <w:rFonts w:hint="eastAsia" w:eastAsiaTheme="minorEastAsia"/>
                <w:b/>
                <w:bCs/>
                <w:lang w:eastAsia="zh-CN"/>
              </w:rPr>
            </w:pPr>
            <w:r>
              <w:rPr>
                <w:rFonts w:hint="eastAsia"/>
                <w:b/>
                <w:bCs/>
                <w:lang w:val="en-US" w:eastAsia="zh-CN"/>
              </w:rPr>
              <w:t>总价（元）</w:t>
            </w:r>
          </w:p>
        </w:tc>
        <w:tc>
          <w:tcPr>
            <w:tcW w:w="1684" w:type="dxa"/>
            <w:vAlign w:val="center"/>
          </w:tcPr>
          <w:p w14:paraId="2643E437">
            <w:pPr>
              <w:pStyle w:val="174"/>
              <w:jc w:val="both"/>
              <w:rPr>
                <w:rFonts w:hint="default"/>
                <w:b/>
                <w:bCs/>
                <w:lang w:val="en-US" w:eastAsia="zh-CN"/>
              </w:rPr>
            </w:pPr>
            <w:r>
              <w:rPr>
                <w:rFonts w:hint="eastAsia"/>
                <w:b/>
                <w:bCs/>
                <w:lang w:val="en-US" w:eastAsia="zh-CN"/>
              </w:rPr>
              <w:t>质保（服务）期</w:t>
            </w:r>
          </w:p>
        </w:tc>
      </w:tr>
      <w:tr w14:paraId="46562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1CFE134F">
            <w:pPr>
              <w:pStyle w:val="174"/>
              <w:jc w:val="center"/>
            </w:pPr>
            <w:r>
              <w:t>1</w:t>
            </w:r>
          </w:p>
        </w:tc>
        <w:tc>
          <w:tcPr>
            <w:tcW w:w="2448" w:type="dxa"/>
            <w:vAlign w:val="center"/>
          </w:tcPr>
          <w:p w14:paraId="7A65E279">
            <w:pPr>
              <w:jc w:val="center"/>
              <w:rPr>
                <w:rFonts w:hint="default" w:eastAsia="宋体"/>
                <w:lang w:val="en-US" w:eastAsia="zh-CN"/>
              </w:rPr>
            </w:pPr>
            <w:r>
              <w:rPr>
                <w:rFonts w:hint="eastAsia"/>
                <w:lang w:val="en-US" w:eastAsia="zh-CN"/>
              </w:rPr>
              <w:t>2026年度医疗责任保险</w:t>
            </w:r>
          </w:p>
        </w:tc>
        <w:tc>
          <w:tcPr>
            <w:tcW w:w="1879" w:type="dxa"/>
            <w:vAlign w:val="center"/>
          </w:tcPr>
          <w:p w14:paraId="7EE45A05">
            <w:pPr>
              <w:jc w:val="center"/>
            </w:pPr>
          </w:p>
        </w:tc>
        <w:tc>
          <w:tcPr>
            <w:tcW w:w="1131" w:type="dxa"/>
            <w:vAlign w:val="center"/>
          </w:tcPr>
          <w:p w14:paraId="641F64FC">
            <w:pPr>
              <w:jc w:val="center"/>
              <w:rPr>
                <w:rFonts w:hint="default" w:eastAsia="宋体"/>
                <w:lang w:val="en-US" w:eastAsia="zh-CN"/>
              </w:rPr>
            </w:pPr>
            <w:r>
              <w:rPr>
                <w:rFonts w:hint="eastAsia"/>
                <w:lang w:val="en-US" w:eastAsia="zh-CN"/>
              </w:rPr>
              <w:t>1项</w:t>
            </w:r>
          </w:p>
        </w:tc>
        <w:tc>
          <w:tcPr>
            <w:tcW w:w="1500" w:type="dxa"/>
            <w:vAlign w:val="center"/>
          </w:tcPr>
          <w:p w14:paraId="1A403AFD">
            <w:pPr>
              <w:jc w:val="center"/>
            </w:pPr>
          </w:p>
        </w:tc>
        <w:tc>
          <w:tcPr>
            <w:tcW w:w="1684" w:type="dxa"/>
            <w:vAlign w:val="center"/>
          </w:tcPr>
          <w:p w14:paraId="13B1F0CF">
            <w:pPr>
              <w:jc w:val="center"/>
            </w:pPr>
          </w:p>
        </w:tc>
      </w:tr>
      <w:tr w14:paraId="1CA14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0D0562E0">
            <w:pPr>
              <w:pStyle w:val="174"/>
              <w:jc w:val="center"/>
              <w:rPr>
                <w:rFonts w:hint="eastAsia" w:eastAsiaTheme="minorEastAsia"/>
                <w:lang w:val="en-US" w:eastAsia="zh-CN"/>
              </w:rPr>
            </w:pPr>
            <w:r>
              <w:rPr>
                <w:rFonts w:hint="eastAsia"/>
                <w:lang w:val="en-US" w:eastAsia="zh-CN"/>
              </w:rPr>
              <w:t>2</w:t>
            </w:r>
          </w:p>
        </w:tc>
        <w:tc>
          <w:tcPr>
            <w:tcW w:w="2448" w:type="dxa"/>
            <w:vAlign w:val="center"/>
          </w:tcPr>
          <w:p w14:paraId="2D97F2AA">
            <w:pPr>
              <w:jc w:val="center"/>
              <w:rPr>
                <w:rFonts w:hint="eastAsia"/>
                <w:lang w:val="en-US" w:eastAsia="zh-CN"/>
              </w:rPr>
            </w:pPr>
          </w:p>
        </w:tc>
        <w:tc>
          <w:tcPr>
            <w:tcW w:w="1879" w:type="dxa"/>
            <w:vAlign w:val="center"/>
          </w:tcPr>
          <w:p w14:paraId="56BFCCA8">
            <w:pPr>
              <w:jc w:val="center"/>
            </w:pPr>
          </w:p>
        </w:tc>
        <w:tc>
          <w:tcPr>
            <w:tcW w:w="1131" w:type="dxa"/>
            <w:vAlign w:val="center"/>
          </w:tcPr>
          <w:p w14:paraId="642498EB">
            <w:pPr>
              <w:jc w:val="center"/>
              <w:rPr>
                <w:rFonts w:hint="eastAsia"/>
                <w:lang w:val="en-US" w:eastAsia="zh-CN"/>
              </w:rPr>
            </w:pPr>
          </w:p>
        </w:tc>
        <w:tc>
          <w:tcPr>
            <w:tcW w:w="1500" w:type="dxa"/>
            <w:vAlign w:val="center"/>
          </w:tcPr>
          <w:p w14:paraId="005232A3">
            <w:pPr>
              <w:jc w:val="center"/>
            </w:pPr>
          </w:p>
        </w:tc>
        <w:tc>
          <w:tcPr>
            <w:tcW w:w="1684" w:type="dxa"/>
            <w:vAlign w:val="center"/>
          </w:tcPr>
          <w:p w14:paraId="0B8E23CA">
            <w:pPr>
              <w:jc w:val="center"/>
            </w:pPr>
          </w:p>
        </w:tc>
      </w:tr>
      <w:tr w14:paraId="002EE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291B344A">
            <w:pPr>
              <w:pStyle w:val="174"/>
              <w:jc w:val="center"/>
              <w:rPr>
                <w:rFonts w:hint="eastAsia"/>
                <w:lang w:val="en-US" w:eastAsia="zh-CN"/>
              </w:rPr>
            </w:pPr>
          </w:p>
        </w:tc>
        <w:tc>
          <w:tcPr>
            <w:tcW w:w="8642" w:type="dxa"/>
            <w:gridSpan w:val="5"/>
            <w:vAlign w:val="center"/>
          </w:tcPr>
          <w:p w14:paraId="690DF297">
            <w:pPr>
              <w:jc w:val="center"/>
              <w:rPr>
                <w:rFonts w:hint="default"/>
                <w:lang w:val="en-US"/>
              </w:rPr>
            </w:pPr>
            <w:r>
              <w:rPr>
                <w:rFonts w:hint="eastAsia"/>
                <w:lang w:val="en-US" w:eastAsia="zh-CN"/>
              </w:rPr>
              <w:t>合计：（大写）             （¥000,000.00）</w:t>
            </w:r>
          </w:p>
        </w:tc>
      </w:tr>
    </w:tbl>
    <w:p w14:paraId="43AAD231">
      <w:pPr>
        <w:pStyle w:val="174"/>
      </w:pPr>
    </w:p>
    <w:p w14:paraId="1D67EDF6">
      <w:pPr>
        <w:pStyle w:val="174"/>
        <w:spacing w:line="360" w:lineRule="auto"/>
        <w:jc w:val="right"/>
      </w:pPr>
      <w:r>
        <w:t>投标人</w:t>
      </w:r>
      <w:r>
        <w:rPr>
          <w:rFonts w:hint="eastAsia"/>
          <w:lang w:val="en-US" w:eastAsia="zh-CN"/>
        </w:rPr>
        <w:t>公章</w:t>
      </w:r>
      <w:r>
        <w:t>：__________________</w:t>
      </w:r>
    </w:p>
    <w:p w14:paraId="08E20861">
      <w:pPr>
        <w:pStyle w:val="174"/>
        <w:wordWrap w:val="0"/>
        <w:spacing w:line="360" w:lineRule="auto"/>
        <w:jc w:val="right"/>
        <w:rPr>
          <w:rFonts w:hint="default" w:eastAsiaTheme="minorEastAsia"/>
          <w:lang w:val="en-US" w:eastAsia="zh-CN"/>
        </w:rPr>
      </w:pPr>
      <w:r>
        <w:t>日期：</w:t>
      </w:r>
      <w:r>
        <w:rPr>
          <w:rFonts w:hint="eastAsia"/>
          <w:lang w:val="en-US" w:eastAsia="zh-CN"/>
        </w:rPr>
        <w:t xml:space="preserve">   </w:t>
      </w:r>
      <w:r>
        <w:t xml:space="preserve"> 年</w:t>
      </w:r>
      <w:r>
        <w:rPr>
          <w:rFonts w:hint="eastAsia"/>
          <w:lang w:val="en-US" w:eastAsia="zh-CN"/>
        </w:rPr>
        <w:t xml:space="preserve"> </w:t>
      </w:r>
      <w:r>
        <w:t xml:space="preserve"> 月</w:t>
      </w:r>
      <w:r>
        <w:rPr>
          <w:rFonts w:hint="eastAsia"/>
          <w:lang w:val="en-US" w:eastAsia="zh-CN"/>
        </w:rPr>
        <w:t xml:space="preserve"> </w:t>
      </w:r>
      <w:r>
        <w:t xml:space="preserve"> 日</w:t>
      </w:r>
      <w:r>
        <w:rPr>
          <w:rFonts w:hint="eastAsia"/>
          <w:lang w:val="en-US" w:eastAsia="zh-CN"/>
        </w:rPr>
        <w:t xml:space="preserve">    </w:t>
      </w:r>
    </w:p>
    <w:p w14:paraId="222AD9DC">
      <w:pPr>
        <w:spacing w:line="440" w:lineRule="exact"/>
        <w:rPr>
          <w:rFonts w:ascii="Arial" w:hAnsi="Arial" w:cs="Arial"/>
          <w:b/>
          <w:bCs/>
          <w:color w:val="000000" w:themeColor="text1"/>
          <w:sz w:val="32"/>
          <w:szCs w:val="32"/>
          <w:highlight w:val="none"/>
          <w14:textFill>
            <w14:solidFill>
              <w14:schemeClr w14:val="tx1"/>
            </w14:solidFill>
          </w14:textFill>
        </w:rPr>
      </w:pPr>
    </w:p>
    <w:p w14:paraId="572533CE">
      <w:pPr>
        <w:spacing w:line="440" w:lineRule="exact"/>
        <w:rPr>
          <w:rFonts w:ascii="Arial" w:hAnsi="Arial" w:cs="Arial"/>
          <w:b/>
          <w:bCs/>
          <w:color w:val="000000" w:themeColor="text1"/>
          <w:sz w:val="32"/>
          <w:szCs w:val="32"/>
          <w:highlight w:val="none"/>
          <w14:textFill>
            <w14:solidFill>
              <w14:schemeClr w14:val="tx1"/>
            </w14:solidFill>
          </w14:textFill>
        </w:rPr>
      </w:pPr>
    </w:p>
    <w:p w14:paraId="7BE2AA48">
      <w:pPr>
        <w:spacing w:line="440" w:lineRule="exact"/>
        <w:rPr>
          <w:rFonts w:ascii="Arial" w:hAnsi="Arial" w:cs="Arial"/>
          <w:b/>
          <w:bCs/>
          <w:color w:val="000000" w:themeColor="text1"/>
          <w:sz w:val="32"/>
          <w:szCs w:val="32"/>
          <w:highlight w:val="none"/>
          <w14:textFill>
            <w14:solidFill>
              <w14:schemeClr w14:val="tx1"/>
            </w14:solidFill>
          </w14:textFill>
        </w:rPr>
      </w:pPr>
    </w:p>
    <w:p w14:paraId="43F2EB9C">
      <w:pPr>
        <w:spacing w:line="440" w:lineRule="exact"/>
        <w:rPr>
          <w:rFonts w:ascii="Arial" w:hAnsi="Arial" w:cs="Arial"/>
          <w:b/>
          <w:bCs/>
          <w:color w:val="000000" w:themeColor="text1"/>
          <w:sz w:val="32"/>
          <w:szCs w:val="32"/>
          <w:highlight w:val="none"/>
          <w14:textFill>
            <w14:solidFill>
              <w14:schemeClr w14:val="tx1"/>
            </w14:solidFill>
          </w14:textFill>
        </w:rPr>
      </w:pPr>
    </w:p>
    <w:p w14:paraId="74BDA4CF">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二</w:t>
      </w:r>
      <w:r>
        <w:rPr>
          <w:rFonts w:hint="eastAsia" w:ascii="宋体" w:hAnsi="宋体" w:cs="宋体"/>
          <w:b/>
          <w:bCs/>
          <w:color w:val="000000" w:themeColor="text1"/>
          <w:szCs w:val="21"/>
          <w:highlight w:val="none"/>
          <w14:textFill>
            <w14:solidFill>
              <w14:schemeClr w14:val="tx1"/>
            </w14:solidFill>
          </w14:textFill>
        </w:rPr>
        <w:t>、资格性响应证明材料（格式）</w:t>
      </w:r>
      <w:bookmarkEnd w:id="364"/>
      <w:bookmarkEnd w:id="365"/>
    </w:p>
    <w:p w14:paraId="4733D655">
      <w:pPr>
        <w:spacing w:line="440" w:lineRule="exact"/>
        <w:rPr>
          <w:rFonts w:hint="eastAsia" w:ascii="宋体" w:hAnsi="宋体" w:cs="宋体"/>
          <w:b/>
          <w:bCs/>
          <w:color w:val="000000" w:themeColor="text1"/>
          <w:szCs w:val="21"/>
          <w:highlight w:val="none"/>
          <w14:textFill>
            <w14:solidFill>
              <w14:schemeClr w14:val="tx1"/>
            </w14:solidFill>
          </w14:textFill>
        </w:rPr>
      </w:pPr>
      <w:bookmarkStart w:id="366" w:name="_Toc495841788"/>
      <w:bookmarkStart w:id="367" w:name="_Toc11828"/>
      <w:r>
        <w:rPr>
          <w:rFonts w:hint="eastAsia" w:ascii="宋体" w:hAnsi="宋体" w:cs="宋体"/>
          <w:b/>
          <w:bCs/>
          <w:color w:val="000000" w:themeColor="text1"/>
          <w:szCs w:val="21"/>
          <w:highlight w:val="none"/>
          <w14:textFill>
            <w14:solidFill>
              <w14:schemeClr w14:val="tx1"/>
            </w14:solidFill>
          </w14:textFill>
        </w:rPr>
        <w:t>1.供应商相应的法定代表人身份证正反两面复印件（必须提供）；</w:t>
      </w:r>
    </w:p>
    <w:p w14:paraId="5770DEBB">
      <w:pPr>
        <w:pStyle w:val="57"/>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p>
    <w:p w14:paraId="5197E21B">
      <w:pPr>
        <w:pStyle w:val="57"/>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p>
    <w:p w14:paraId="68BBCBD3">
      <w:pPr>
        <w:pStyle w:val="57"/>
        <w:spacing w:line="440" w:lineRule="exac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2.供应商的授权委托书原件、委托代理人身份证正反面复印件</w:t>
      </w:r>
      <w:r>
        <w:rPr>
          <w:rFonts w:hint="eastAsia" w:ascii="宋体" w:hAnsi="宋体" w:eastAsia="宋体" w:cs="宋体"/>
          <w:b/>
          <w:color w:val="000000" w:themeColor="text1"/>
          <w:sz w:val="21"/>
          <w:szCs w:val="21"/>
          <w:highlight w:val="none"/>
          <w14:textFill>
            <w14:solidFill>
              <w14:schemeClr w14:val="tx1"/>
            </w14:solidFill>
          </w14:textFill>
        </w:rPr>
        <w:t>（委托代理时必须提供）；</w:t>
      </w:r>
    </w:p>
    <w:p w14:paraId="03578BB2">
      <w:pPr>
        <w:pStyle w:val="57"/>
        <w:spacing w:line="440" w:lineRule="exact"/>
        <w:rPr>
          <w:rFonts w:hint="eastAsia" w:ascii="宋体" w:hAnsi="宋体" w:eastAsia="宋体" w:cs="宋体"/>
          <w:b/>
          <w:color w:val="000000" w:themeColor="text1"/>
          <w:sz w:val="21"/>
          <w:szCs w:val="21"/>
          <w:highlight w:val="none"/>
          <w14:textFill>
            <w14:solidFill>
              <w14:schemeClr w14:val="tx1"/>
            </w14:solidFill>
          </w14:textFill>
        </w:rPr>
      </w:pPr>
    </w:p>
    <w:p w14:paraId="5F49ADEF">
      <w:pPr>
        <w:spacing w:line="44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Arial Unicode MS" w:hAnsi="Arial Unicode MS" w:eastAsia="Arial Unicode MS" w:cs="Arial Unicode MS"/>
          <w:b w:val="0"/>
          <w:bCs w:val="0"/>
          <w:color w:val="000000" w:themeColor="text1"/>
          <w:sz w:val="32"/>
          <w:szCs w:val="32"/>
          <w:highlight w:val="none"/>
          <w14:textFill>
            <w14:solidFill>
              <w14:schemeClr w14:val="tx1"/>
            </w14:solidFill>
          </w14:textFill>
        </w:rPr>
        <w:t>授权委托书</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r>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t>格式</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p>
    <w:p w14:paraId="594CF795">
      <w:pPr>
        <w:spacing w:line="44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本授权委托书声明：</w:t>
      </w:r>
      <w:r>
        <w:rPr>
          <w:rFonts w:hint="eastAsia" w:ascii="宋体" w:hAnsi="宋体" w:cs="宋体"/>
          <w:color w:val="000000" w:themeColor="text1"/>
          <w:szCs w:val="21"/>
          <w:highlight w:val="none"/>
          <w:u w:val="single"/>
          <w14:textFill>
            <w14:solidFill>
              <w14:schemeClr w14:val="tx1"/>
            </w14:solidFill>
          </w14:textFill>
        </w:rPr>
        <w:t>   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（供应商名称）的法定代表人，现授权委托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（单位名称）的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（姓名）为我公司签署</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项目的投标文件的法定代表人授权委托代理人，我承认代理人全权代表我所签署的本项目的投标文件的内容。</w:t>
      </w:r>
    </w:p>
    <w:p w14:paraId="0D2DDD24">
      <w:pPr>
        <w:spacing w:line="440" w:lineRule="exact"/>
        <w:ind w:firstLine="697"/>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代理人无转委托权，特此委托。</w:t>
      </w:r>
    </w:p>
    <w:p w14:paraId="58795CB7">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年龄：_______</w:t>
      </w:r>
    </w:p>
    <w:p w14:paraId="629B5C83">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38EFCED3">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（自然人除外）</w:t>
      </w:r>
    </w:p>
    <w:p w14:paraId="6AC07A6C">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single"/>
          <w14:textFill>
            <w14:solidFill>
              <w14:schemeClr w14:val="tx1"/>
            </w14:solidFill>
          </w14:textFill>
        </w:rPr>
        <w:t xml:space="preserve">              （签字或个人签章）</w:t>
      </w:r>
    </w:p>
    <w:p w14:paraId="772D966D">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授权委托日期：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45D850F7">
      <w:pPr>
        <w:pStyle w:val="58"/>
        <w:spacing w:line="440" w:lineRule="exact"/>
        <w:rPr>
          <w:rFonts w:hint="eastAsia" w:cs="宋体"/>
          <w:color w:val="000000" w:themeColor="text1"/>
          <w:highlight w:val="none"/>
          <w14:textFill>
            <w14:solidFill>
              <w14:schemeClr w14:val="tx1"/>
            </w14:solidFill>
          </w14:textFill>
        </w:rPr>
      </w:pPr>
    </w:p>
    <w:p w14:paraId="505DCF71">
      <w:pPr>
        <w:spacing w:line="440" w:lineRule="exact"/>
        <w:rPr>
          <w:rFonts w:hint="eastAsia" w:ascii="宋体" w:hAnsi="宋体" w:cs="宋体"/>
          <w:b/>
          <w:bCs/>
          <w:color w:val="000000" w:themeColor="text1"/>
          <w:szCs w:val="21"/>
          <w:highlight w:val="none"/>
          <w14:textFill>
            <w14:solidFill>
              <w14:schemeClr w14:val="tx1"/>
            </w14:solidFill>
          </w14:textFill>
        </w:rPr>
      </w:pPr>
    </w:p>
    <w:p w14:paraId="76D71C81">
      <w:pPr>
        <w:pStyle w:val="15"/>
        <w:spacing w:line="44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bookmarkEnd w:id="366"/>
      <w:bookmarkEnd w:id="367"/>
      <w:r>
        <w:rPr>
          <w:rFonts w:hint="eastAsia" w:ascii="宋体" w:hAnsi="宋体" w:cs="宋体"/>
          <w:b/>
          <w:bCs/>
          <w:color w:val="000000" w:themeColor="text1"/>
          <w:sz w:val="21"/>
          <w:szCs w:val="21"/>
          <w:highlight w:val="none"/>
          <w14:textFill>
            <w14:solidFill>
              <w14:schemeClr w14:val="tx1"/>
            </w14:solidFill>
          </w14:textFill>
        </w:rPr>
        <w:t>供应商营业执照副本复印件（必须提供）；</w:t>
      </w:r>
    </w:p>
    <w:p w14:paraId="7745EED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bookmarkStart w:id="368" w:name="_Toc26652"/>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eastAsia="宋体" w:cs="宋体"/>
          <w:b/>
          <w:bCs/>
          <w:color w:val="000000" w:themeColor="text1"/>
          <w:szCs w:val="21"/>
          <w:highlight w:val="none"/>
          <w:lang w:val="en-US" w:eastAsia="zh-CN"/>
          <w14:textFill>
            <w14:solidFill>
              <w14:schemeClr w14:val="tx1"/>
            </w14:solidFill>
          </w14:textFill>
        </w:rPr>
        <w:t>.2025年度任意连续3个月纳税记录或完税证明；</w:t>
      </w:r>
    </w:p>
    <w:p w14:paraId="076004F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eastAsia="宋体" w:cs="宋体"/>
          <w:b/>
          <w:bCs/>
          <w:color w:val="000000" w:themeColor="text1"/>
          <w:szCs w:val="21"/>
          <w:highlight w:val="none"/>
          <w:lang w:val="en-US" w:eastAsia="zh-CN"/>
          <w14:textFill>
            <w14:solidFill>
              <w14:schemeClr w14:val="tx1"/>
            </w14:solidFill>
          </w14:textFill>
        </w:rPr>
        <w:t>.2025年度任意连续3个月纳税社保证明；</w:t>
      </w:r>
    </w:p>
    <w:p w14:paraId="1984443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6</w:t>
      </w:r>
      <w:r>
        <w:rPr>
          <w:rFonts w:hint="eastAsia" w:ascii="宋体" w:hAnsi="宋体" w:eastAsia="宋体" w:cs="宋体"/>
          <w:b/>
          <w:bCs/>
          <w:color w:val="000000" w:themeColor="text1"/>
          <w:szCs w:val="21"/>
          <w:highlight w:val="none"/>
          <w:lang w:val="en-US" w:eastAsia="zh-CN"/>
          <w14:textFill>
            <w14:solidFill>
              <w14:schemeClr w14:val="tx1"/>
            </w14:solidFill>
          </w14:textFill>
        </w:rPr>
        <w:t>.202</w:t>
      </w: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eastAsia="宋体" w:cs="宋体"/>
          <w:b/>
          <w:bCs/>
          <w:color w:val="000000" w:themeColor="text1"/>
          <w:szCs w:val="21"/>
          <w:highlight w:val="none"/>
          <w:lang w:val="en-US" w:eastAsia="zh-CN"/>
          <w14:textFill>
            <w14:solidFill>
              <w14:schemeClr w14:val="tx1"/>
            </w14:solidFill>
          </w14:textFill>
        </w:rPr>
        <w:t>年度财务审计报告或开户银行资信证明；</w:t>
      </w:r>
    </w:p>
    <w:p w14:paraId="71424FB8">
      <w:pPr>
        <w:pStyle w:val="20"/>
        <w:spacing w:line="440" w:lineRule="exact"/>
        <w:rPr>
          <w:rFonts w:hint="eastAsia" w:hAnsi="宋体" w:cs="宋体"/>
          <w:b/>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lang w:val="en-US" w:eastAsia="zh-CN"/>
          <w14:textFill>
            <w14:solidFill>
              <w14:schemeClr w14:val="tx1"/>
            </w14:solidFill>
          </w14:textFill>
        </w:rPr>
        <w:t>7</w:t>
      </w:r>
      <w:r>
        <w:rPr>
          <w:rFonts w:hint="eastAsia" w:hAnsi="宋体" w:cs="宋体"/>
          <w:b/>
          <w:color w:val="000000" w:themeColor="text1"/>
          <w:szCs w:val="21"/>
          <w:highlight w:val="none"/>
          <w14:textFill>
            <w14:solidFill>
              <w14:schemeClr w14:val="tx1"/>
            </w14:solidFill>
          </w14:textFill>
        </w:rPr>
        <w:t>.供应商参加本项目无围标串标行为的承诺函（必须提供）</w:t>
      </w:r>
    </w:p>
    <w:p w14:paraId="43ED8544">
      <w:pPr>
        <w:pStyle w:val="20"/>
        <w:spacing w:line="440" w:lineRule="exact"/>
        <w:jc w:val="center"/>
        <w:rPr>
          <w:rFonts w:hint="eastAsia" w:hAnsi="宋体" w:cs="宋体"/>
          <w:b/>
          <w:color w:val="000000" w:themeColor="text1"/>
          <w:szCs w:val="21"/>
          <w:highlight w:val="none"/>
          <w14:textFill>
            <w14:solidFill>
              <w14:schemeClr w14:val="tx1"/>
            </w14:solidFill>
          </w14:textFill>
        </w:rPr>
      </w:pPr>
    </w:p>
    <w:p w14:paraId="253DA9CE">
      <w:pPr>
        <w:pStyle w:val="20"/>
        <w:spacing w:line="440" w:lineRule="exact"/>
        <w:jc w:val="center"/>
        <w:rPr>
          <w:rFonts w:hint="eastAsia"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供应商参加本项目无围标串标行为的承诺函（格式）</w:t>
      </w:r>
    </w:p>
    <w:p w14:paraId="6D5C0158">
      <w:pPr>
        <w:spacing w:line="440" w:lineRule="exact"/>
        <w:rPr>
          <w:rFonts w:hint="eastAsia" w:ascii="宋体" w:hAnsi="宋体" w:cs="宋体"/>
          <w:b/>
          <w:color w:val="000000" w:themeColor="text1"/>
          <w:szCs w:val="21"/>
          <w:highlight w:val="none"/>
          <w14:textFill>
            <w14:solidFill>
              <w14:schemeClr w14:val="tx1"/>
            </w14:solidFill>
          </w14:textFill>
        </w:rPr>
      </w:pPr>
    </w:p>
    <w:p w14:paraId="3149A42E">
      <w:pPr>
        <w:snapToGrid w:val="0"/>
        <w:spacing w:line="440" w:lineRule="exact"/>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一、我公司承诺无下列相互串通投标的情形：</w:t>
      </w:r>
    </w:p>
    <w:p w14:paraId="78AB007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1.不同供应商的投标文件由同一单位或者个人编制；</w:t>
      </w:r>
    </w:p>
    <w:p w14:paraId="170E0848">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2.不同供应商委托同一单位或者个人办理投标事宜；</w:t>
      </w:r>
    </w:p>
    <w:p w14:paraId="5D9FDEB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3.不同的供应商的投标文件载明的项目管理员为同一个人；</w:t>
      </w:r>
    </w:p>
    <w:p w14:paraId="7900F20B">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4.不同供应商的投标文件异常一致或投标报价呈规律性差异； </w:t>
      </w:r>
    </w:p>
    <w:p w14:paraId="7578846D">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5.不同供应商的投标文件相互混装。</w:t>
      </w:r>
    </w:p>
    <w:p w14:paraId="0F681921">
      <w:pPr>
        <w:snapToGrid w:val="0"/>
        <w:spacing w:line="440" w:lineRule="exact"/>
        <w:ind w:firstLine="422"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二、我公司承诺无下列恶意串通的情形：</w:t>
      </w:r>
    </w:p>
    <w:p w14:paraId="01DD10D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1.供应商直接或者间接从采购人或者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处获得其他供应商的相关信息并修改其投标文件或者投标文件；</w:t>
      </w:r>
    </w:p>
    <w:p w14:paraId="1B4119DC">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2.供应商按照采购人或者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的授意撤换、修改投标文件或者投标文件；</w:t>
      </w:r>
    </w:p>
    <w:p w14:paraId="2D9E057D">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3.供应商之间协商报价、技术方案等投标文件或者投标文件的实质性内容；</w:t>
      </w:r>
    </w:p>
    <w:p w14:paraId="6B0D1162">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6C63AF85">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5.供应商之间事先约定一致抬高或者压低投标报价</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或者在招标项目中事先约定轮流以高价位或者低价位中标</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或者事先约定由某一特定供应商中标</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然后再参加投标；</w:t>
      </w:r>
    </w:p>
    <w:p w14:paraId="574974F4">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6.供应商之间商定部分供应商放弃参加政府采购活动或者放弃中标；</w:t>
      </w:r>
    </w:p>
    <w:p w14:paraId="1F4883A0">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7.供应商与采购人或者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之间、供应商相互之间，为谋求特定供应商中标或者排斥其他供应商的其他串通行为。</w:t>
      </w:r>
    </w:p>
    <w:p w14:paraId="15D20EE8">
      <w:pPr>
        <w:snapToGrid w:val="0"/>
        <w:spacing w:line="44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以上情形一经核查属实，我方愿意承担一切后果，并不再寻求任何旨在减轻或免除法律责任的辩解。</w:t>
      </w:r>
    </w:p>
    <w:p w14:paraId="031809CC">
      <w:pPr>
        <w:snapToGrid w:val="0"/>
        <w:spacing w:line="440" w:lineRule="exact"/>
        <w:ind w:firstLine="1890" w:firstLineChars="900"/>
        <w:rPr>
          <w:rFonts w:hint="eastAsia" w:ascii="宋体" w:hAnsi="宋体" w:cs="宋体"/>
          <w:color w:val="000000" w:themeColor="text1"/>
          <w:szCs w:val="21"/>
          <w:highlight w:val="none"/>
          <w14:textFill>
            <w14:solidFill>
              <w14:schemeClr w14:val="tx1"/>
            </w14:solidFill>
          </w14:textFill>
        </w:rPr>
      </w:pPr>
    </w:p>
    <w:p w14:paraId="6ED1E4D2">
      <w:pPr>
        <w:snapToGrid w:val="0"/>
        <w:spacing w:line="440" w:lineRule="exact"/>
        <w:ind w:firstLine="2940" w:firstLineChars="14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u w:val="single"/>
          <w14:textFill>
            <w14:solidFill>
              <w14:schemeClr w14:val="tx1"/>
            </w14:solidFill>
          </w14:textFill>
        </w:rPr>
        <w:t xml:space="preserve">                                     </w:t>
      </w:r>
    </w:p>
    <w:p w14:paraId="54D30243">
      <w:pPr>
        <w:pStyle w:val="20"/>
        <w:spacing w:line="440" w:lineRule="exact"/>
        <w:ind w:firstLine="420"/>
        <w:jc w:val="center"/>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val="en-US"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或个人签章）：</w:t>
      </w:r>
      <w:r>
        <w:rPr>
          <w:rFonts w:hint="eastAsia" w:hAnsi="宋体" w:cs="宋体"/>
          <w:color w:val="000000" w:themeColor="text1"/>
          <w:szCs w:val="21"/>
          <w:highlight w:val="none"/>
          <w:u w:val="single"/>
          <w14:textFill>
            <w14:solidFill>
              <w14:schemeClr w14:val="tx1"/>
            </w14:solidFill>
          </w14:textFill>
        </w:rPr>
        <w:t xml:space="preserve">                         </w:t>
      </w:r>
    </w:p>
    <w:p w14:paraId="0344E2B1">
      <w:pPr>
        <w:pStyle w:val="20"/>
        <w:spacing w:line="440" w:lineRule="exact"/>
        <w:ind w:firstLine="420"/>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p>
    <w:p w14:paraId="6C3A8E84">
      <w:pPr>
        <w:rPr>
          <w:rFonts w:hint="eastAsia" w:ascii="宋体" w:hAnsi="宋体" w:cs="宋体"/>
          <w:b/>
          <w:bCs/>
          <w:color w:val="000000" w:themeColor="text1"/>
          <w:sz w:val="21"/>
          <w:szCs w:val="21"/>
          <w:highlight w:val="none"/>
          <w:lang w:val="en-US" w:eastAsia="zh-CN"/>
          <w14:textFill>
            <w14:solidFill>
              <w14:schemeClr w14:val="tx1"/>
            </w14:solidFill>
          </w14:textFill>
        </w:rPr>
      </w:pPr>
    </w:p>
    <w:p w14:paraId="64EA62AD">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8</w:t>
      </w:r>
      <w:r>
        <w:rPr>
          <w:rFonts w:hint="eastAsia" w:ascii="宋体" w:hAnsi="宋体" w:cs="宋体"/>
          <w:b/>
          <w:bCs/>
          <w:color w:val="000000" w:themeColor="text1"/>
          <w:sz w:val="21"/>
          <w:szCs w:val="21"/>
          <w:highlight w:val="none"/>
          <w14:textFill>
            <w14:solidFill>
              <w14:schemeClr w14:val="tx1"/>
            </w14:solidFill>
          </w14:textFill>
        </w:rPr>
        <w:t>.供应商可结合本项目的评审办法视自身情况自行提交相关资格审查证明材料。（</w:t>
      </w:r>
      <w:r>
        <w:rPr>
          <w:rFonts w:hint="eastAsia" w:ascii="宋体" w:hAnsi="宋体" w:cs="宋体"/>
          <w:b/>
          <w:color w:val="000000" w:themeColor="text1"/>
          <w:sz w:val="21"/>
          <w:szCs w:val="21"/>
          <w:highlight w:val="none"/>
          <w14:textFill>
            <w14:solidFill>
              <w14:schemeClr w14:val="tx1"/>
            </w14:solidFill>
          </w14:textFill>
        </w:rPr>
        <w:t>如有，请提供</w:t>
      </w:r>
      <w:r>
        <w:rPr>
          <w:rFonts w:hint="eastAsia" w:ascii="宋体" w:hAnsi="宋体" w:cs="宋体"/>
          <w:b/>
          <w:bCs/>
          <w:color w:val="000000" w:themeColor="text1"/>
          <w:sz w:val="21"/>
          <w:szCs w:val="21"/>
          <w:highlight w:val="none"/>
          <w14:textFill>
            <w14:solidFill>
              <w14:schemeClr w14:val="tx1"/>
            </w14:solidFill>
          </w14:textFill>
        </w:rPr>
        <w:t>）</w:t>
      </w:r>
    </w:p>
    <w:p w14:paraId="3E14ABF7">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br w:type="page"/>
      </w:r>
      <w:r>
        <w:rPr>
          <w:rFonts w:hint="eastAsia" w:ascii="宋体" w:hAnsi="宋体" w:cs="宋体"/>
          <w:b/>
          <w:bCs/>
          <w:color w:val="000000" w:themeColor="text1"/>
          <w:sz w:val="21"/>
          <w:szCs w:val="21"/>
          <w:highlight w:val="none"/>
          <w14:textFill>
            <w14:solidFill>
              <w14:schemeClr w14:val="tx1"/>
            </w14:solidFill>
          </w14:textFill>
        </w:rPr>
        <w:t>二、商务、技术性响应证明材料（格式）</w:t>
      </w:r>
      <w:bookmarkEnd w:id="368"/>
    </w:p>
    <w:p w14:paraId="0F7FA7E2">
      <w:pPr>
        <w:spacing w:line="440" w:lineRule="exact"/>
        <w:rPr>
          <w:rFonts w:hint="eastAsia" w:ascii="宋体" w:hAnsi="宋体" w:cs="宋体"/>
          <w:b/>
          <w:bCs/>
          <w:color w:val="000000" w:themeColor="text1"/>
          <w:szCs w:val="21"/>
          <w:highlight w:val="none"/>
          <w14:textFill>
            <w14:solidFill>
              <w14:schemeClr w14:val="tx1"/>
            </w14:solidFill>
          </w14:textFill>
        </w:rPr>
      </w:pPr>
      <w:bookmarkStart w:id="369" w:name="_Toc2409"/>
      <w:bookmarkStart w:id="370" w:name="_Toc495841795"/>
      <w:r>
        <w:rPr>
          <w:rFonts w:hint="eastAsia" w:ascii="宋体" w:hAnsi="宋体" w:cs="宋体"/>
          <w:b/>
          <w:bCs/>
          <w:color w:val="000000" w:themeColor="text1"/>
          <w:szCs w:val="21"/>
          <w:highlight w:val="none"/>
          <w14:textFill>
            <w14:solidFill>
              <w14:schemeClr w14:val="tx1"/>
            </w14:solidFill>
          </w14:textFill>
        </w:rPr>
        <w:t>1.响应函（必须提供）</w:t>
      </w:r>
    </w:p>
    <w:p w14:paraId="465C346F">
      <w:pPr>
        <w:tabs>
          <w:tab w:val="left" w:pos="0"/>
        </w:tabs>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投标</w:t>
      </w:r>
      <w:r>
        <w:rPr>
          <w:rFonts w:hint="eastAsia" w:ascii="宋体" w:hAnsi="宋体" w:cs="宋体"/>
          <w:b/>
          <w:color w:val="000000" w:themeColor="text1"/>
          <w:szCs w:val="21"/>
          <w:highlight w:val="none"/>
          <w14:textFill>
            <w14:solidFill>
              <w14:schemeClr w14:val="tx1"/>
            </w14:solidFill>
          </w14:textFill>
        </w:rPr>
        <w:t>响应函</w:t>
      </w:r>
    </w:p>
    <w:p w14:paraId="343D549E">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lang w:val="en-US" w:eastAsia="zh-CN"/>
          <w14:textFill>
            <w14:solidFill>
              <w14:schemeClr w14:val="tx1"/>
            </w14:solidFill>
          </w14:textFill>
        </w:rPr>
        <w:t xml:space="preserve">广西骨伤医院 </w:t>
      </w:r>
      <w:r>
        <w:rPr>
          <w:rFonts w:hint="eastAsia" w:ascii="宋体" w:hAnsi="宋体" w:cs="宋体"/>
          <w:color w:val="000000" w:themeColor="text1"/>
          <w:szCs w:val="21"/>
          <w:highlight w:val="none"/>
          <w14:textFill>
            <w14:solidFill>
              <w14:schemeClr w14:val="tx1"/>
            </w14:solidFill>
          </w14:textFill>
        </w:rPr>
        <w:t>：</w:t>
      </w:r>
    </w:p>
    <w:p w14:paraId="72E8784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根据贵方</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项目竞争性磋商文件，项目编号：</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，签字代表</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（姓名）经正式授权并代表供应商 </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供应商单位名称），提交</w:t>
      </w:r>
      <w:r>
        <w:rPr>
          <w:rFonts w:hint="eastAsia" w:hAnsi="宋体" w:cs="宋体"/>
          <w:color w:val="000000" w:themeColor="text1"/>
          <w:szCs w:val="21"/>
          <w:highlight w:val="none"/>
          <w:lang w:eastAsia="zh-CN"/>
          <w14:textFill>
            <w14:solidFill>
              <w14:schemeClr w14:val="tx1"/>
            </w14:solidFill>
          </w14:textFill>
        </w:rPr>
        <w:t>响应文件</w:t>
      </w:r>
      <w:r>
        <w:rPr>
          <w:rFonts w:hint="eastAsia" w:hAnsi="宋体" w:cs="宋体"/>
          <w:color w:val="000000" w:themeColor="text1"/>
          <w:szCs w:val="21"/>
          <w:highlight w:val="none"/>
          <w14:textFill>
            <w14:solidFill>
              <w14:schemeClr w14:val="tx1"/>
            </w14:solidFill>
          </w14:textFill>
        </w:rPr>
        <w:t>。</w:t>
      </w:r>
    </w:p>
    <w:p w14:paraId="2464DF2E">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据此函，签字代表宣布同意如下：</w:t>
      </w:r>
    </w:p>
    <w:p w14:paraId="6A6DC0DE">
      <w:pPr>
        <w:pStyle w:val="20"/>
        <w:spacing w:line="440" w:lineRule="exact"/>
        <w:ind w:firstLine="420"/>
        <w:rPr>
          <w:rFonts w:hint="eastAsia" w:hAnsi="宋体" w:eastAsia="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1.按磋商文件采购需求</w:t>
      </w:r>
      <w:r>
        <w:rPr>
          <w:rFonts w:hint="eastAsia" w:hAnsi="宋体" w:cs="宋体"/>
          <w:color w:val="000000" w:themeColor="text1"/>
          <w:szCs w:val="21"/>
          <w:highlight w:val="none"/>
          <w:lang w:val="en-US" w:eastAsia="zh-CN"/>
          <w14:textFill>
            <w14:solidFill>
              <w14:schemeClr w14:val="tx1"/>
            </w14:solidFill>
          </w14:textFill>
        </w:rPr>
        <w:t>进行</w:t>
      </w:r>
      <w:r>
        <w:rPr>
          <w:rFonts w:hint="eastAsia" w:hAnsi="宋体" w:cs="宋体"/>
          <w:color w:val="000000" w:themeColor="text1"/>
          <w:szCs w:val="21"/>
          <w:highlight w:val="none"/>
          <w14:textFill>
            <w14:solidFill>
              <w14:schemeClr w14:val="tx1"/>
            </w14:solidFill>
          </w14:textFill>
        </w:rPr>
        <w:t>磋商报价</w:t>
      </w:r>
      <w:r>
        <w:rPr>
          <w:rFonts w:hint="eastAsia" w:hAnsi="宋体" w:cs="宋体"/>
          <w:color w:val="000000" w:themeColor="text1"/>
          <w:szCs w:val="21"/>
          <w:highlight w:val="none"/>
          <w:lang w:eastAsia="zh-CN"/>
          <w14:textFill>
            <w14:solidFill>
              <w14:schemeClr w14:val="tx1"/>
            </w14:solidFill>
          </w14:textFill>
        </w:rPr>
        <w:t>。</w:t>
      </w:r>
    </w:p>
    <w:p w14:paraId="26205CAB">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2.我方承诺已具备磋商文件规定的供应商资格条件。</w:t>
      </w:r>
    </w:p>
    <w:p w14:paraId="4A899D73">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3.我方已详细审核磋商文件，包括修改文件（如有的话）和有关附件，将自行承担因对全部磋商文件理解不正确或误解而产生的相应后果。</w:t>
      </w:r>
    </w:p>
    <w:p w14:paraId="4D212E58">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4.响应文件有效期为响应文件递交截止时间之日起90天。</w:t>
      </w:r>
    </w:p>
    <w:p w14:paraId="3C73CCD5">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5.如我方成交：</w:t>
      </w:r>
    </w:p>
    <w:p w14:paraId="0657A772">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（1）我方承诺在收到成交通知书后，在成交通知书规定的期限内与采购人签订合同。</w:t>
      </w:r>
    </w:p>
    <w:p w14:paraId="150AD42D">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（2）我方承诺按照磋商文件规定递交履约担保。</w:t>
      </w:r>
    </w:p>
    <w:p w14:paraId="6DA33017">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（3）我方承诺本响应文件至本项目合同履行完毕止均保持有效，按磋商文件及政府采购</w:t>
      </w:r>
      <w:r>
        <w:rPr>
          <w:rFonts w:hint="eastAsia" w:hAnsi="宋体" w:cs="宋体"/>
          <w:color w:val="000000" w:themeColor="text1"/>
          <w:szCs w:val="21"/>
          <w:highlight w:val="none"/>
          <w:lang w:eastAsia="zh-CN"/>
          <w14:textFill>
            <w14:solidFill>
              <w14:schemeClr w14:val="tx1"/>
            </w14:solidFill>
          </w14:textFill>
        </w:rPr>
        <w:t>法律法规</w:t>
      </w:r>
      <w:r>
        <w:rPr>
          <w:rFonts w:hint="eastAsia" w:hAnsi="宋体" w:cs="宋体"/>
          <w:color w:val="000000" w:themeColor="text1"/>
          <w:szCs w:val="21"/>
          <w:highlight w:val="none"/>
          <w14:textFill>
            <w14:solidFill>
              <w14:schemeClr w14:val="tx1"/>
            </w14:solidFill>
          </w14:textFill>
        </w:rPr>
        <w:t>的规定履行合同责任和义务。</w:t>
      </w:r>
    </w:p>
    <w:p w14:paraId="03FA10C4">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与本项目有关的正式通讯地址为：</w:t>
      </w:r>
    </w:p>
    <w:p w14:paraId="53E06AFF">
      <w:pPr>
        <w:spacing w:line="440" w:lineRule="exact"/>
        <w:rPr>
          <w:rFonts w:hint="eastAsia" w:ascii="宋体" w:hAnsi="宋体" w:cs="宋体"/>
          <w:color w:val="000000" w:themeColor="text1"/>
          <w:szCs w:val="21"/>
          <w:highlight w:val="none"/>
          <w14:textFill>
            <w14:solidFill>
              <w14:schemeClr w14:val="tx1"/>
            </w14:solidFill>
          </w14:textFill>
        </w:rPr>
      </w:pPr>
    </w:p>
    <w:p w14:paraId="2A5A8DF5">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地址：</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 邮编：</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  电话、传真：</w:t>
      </w:r>
      <w:r>
        <w:rPr>
          <w:rFonts w:hint="eastAsia" w:hAnsi="宋体" w:cs="宋体"/>
          <w:color w:val="000000" w:themeColor="text1"/>
          <w:szCs w:val="21"/>
          <w:highlight w:val="none"/>
          <w:u w:val="single"/>
          <w14:textFill>
            <w14:solidFill>
              <w14:schemeClr w14:val="tx1"/>
            </w14:solidFill>
          </w14:textFill>
        </w:rPr>
        <w:t xml:space="preserve">            </w:t>
      </w:r>
    </w:p>
    <w:p w14:paraId="2D1177A7">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开户名称：</w:t>
      </w:r>
      <w:r>
        <w:rPr>
          <w:rFonts w:hint="eastAsia" w:hAnsi="宋体" w:cs="宋体"/>
          <w:color w:val="000000" w:themeColor="text1"/>
          <w:szCs w:val="21"/>
          <w:highlight w:val="none"/>
          <w:u w:val="single"/>
          <w14:textFill>
            <w14:solidFill>
              <w14:schemeClr w14:val="tx1"/>
            </w14:solidFill>
          </w14:textFill>
        </w:rPr>
        <w:t xml:space="preserve">                                        </w:t>
      </w:r>
    </w:p>
    <w:p w14:paraId="3475CCF6">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开户银行：</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 xml:space="preserve">       </w:t>
      </w:r>
    </w:p>
    <w:p w14:paraId="07CBBDAB">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账号：</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 xml:space="preserve">   </w:t>
      </w:r>
    </w:p>
    <w:p w14:paraId="7678AA94">
      <w:pPr>
        <w:pStyle w:val="20"/>
        <w:spacing w:line="440" w:lineRule="exact"/>
        <w:ind w:firstLine="420"/>
        <w:rPr>
          <w:rFonts w:hint="eastAsia"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14:textFill>
            <w14:solidFill>
              <w14:schemeClr w14:val="tx1"/>
            </w14:solidFill>
          </w14:textFill>
        </w:rPr>
        <w:t>：</w:t>
      </w:r>
      <w:r>
        <w:rPr>
          <w:rFonts w:hint="eastAsia" w:hAnsi="宋体" w:cs="宋体"/>
          <w:bCs/>
          <w:color w:val="000000" w:themeColor="text1"/>
          <w:szCs w:val="21"/>
          <w:highlight w:val="none"/>
          <w:u w:val="single"/>
          <w14:textFill>
            <w14:solidFill>
              <w14:schemeClr w14:val="tx1"/>
            </w14:solidFill>
          </w14:textFill>
        </w:rPr>
        <w:t xml:space="preserve">                              </w:t>
      </w:r>
    </w:p>
    <w:p w14:paraId="647A0F58">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法定代表人或委托代理人签字或个人签章：</w:t>
      </w:r>
      <w:r>
        <w:rPr>
          <w:rFonts w:hint="eastAsia" w:hAnsi="宋体" w:cs="宋体"/>
          <w:color w:val="000000" w:themeColor="text1"/>
          <w:szCs w:val="21"/>
          <w:highlight w:val="none"/>
          <w:u w:val="single"/>
          <w14:textFill>
            <w14:solidFill>
              <w14:schemeClr w14:val="tx1"/>
            </w14:solidFill>
          </w14:textFill>
        </w:rPr>
        <w:t xml:space="preserve">              </w:t>
      </w:r>
    </w:p>
    <w:p w14:paraId="37D9EFE1">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日期：</w:t>
      </w:r>
      <w:r>
        <w:rPr>
          <w:rFonts w:hint="eastAsia" w:hAnsi="宋体" w:cs="宋体"/>
          <w:color w:val="000000" w:themeColor="text1"/>
          <w:szCs w:val="21"/>
          <w:highlight w:val="none"/>
          <w:u w:val="single"/>
          <w14:textFill>
            <w14:solidFill>
              <w14:schemeClr w14:val="tx1"/>
            </w14:solidFill>
          </w14:textFill>
        </w:rPr>
        <w:t xml:space="preserve">                               </w:t>
      </w:r>
    </w:p>
    <w:p w14:paraId="5AA398E6">
      <w:pPr>
        <w:spacing w:line="440" w:lineRule="exact"/>
        <w:rPr>
          <w:rFonts w:hint="eastAsia" w:ascii="宋体" w:hAnsi="宋体" w:cs="宋体"/>
          <w:b/>
          <w:color w:val="000000" w:themeColor="text1"/>
          <w:szCs w:val="21"/>
          <w:highlight w:val="none"/>
          <w14:textFill>
            <w14:solidFill>
              <w14:schemeClr w14:val="tx1"/>
            </w14:solidFill>
          </w14:textFill>
        </w:rPr>
      </w:pPr>
    </w:p>
    <w:p w14:paraId="65F10DB3">
      <w:pPr>
        <w:widowControl/>
        <w:spacing w:line="440" w:lineRule="exact"/>
        <w:jc w:val="left"/>
        <w:rPr>
          <w:rFonts w:hint="eastAsia" w:ascii="宋体" w:hAnsi="宋体" w:cs="宋体"/>
          <w:b/>
          <w:bCs/>
          <w:color w:val="000000" w:themeColor="text1"/>
          <w:szCs w:val="21"/>
          <w:highlight w:val="none"/>
          <w14:textFill>
            <w14:solidFill>
              <w14:schemeClr w14:val="tx1"/>
            </w14:solidFill>
          </w14:textFill>
        </w:rPr>
      </w:pPr>
      <w:bookmarkStart w:id="371" w:name="_Toc21482"/>
      <w:r>
        <w:rPr>
          <w:rFonts w:hint="eastAsia" w:ascii="宋体" w:hAnsi="宋体" w:cs="宋体"/>
          <w:b/>
          <w:bCs/>
          <w:color w:val="000000" w:themeColor="text1"/>
          <w:szCs w:val="21"/>
          <w:highlight w:val="none"/>
          <w14:textFill>
            <w14:solidFill>
              <w14:schemeClr w14:val="tx1"/>
            </w14:solidFill>
          </w14:textFill>
        </w:rPr>
        <w:br w:type="page"/>
      </w:r>
    </w:p>
    <w:p w14:paraId="4D2A1619">
      <w:pPr>
        <w:widowControl/>
        <w:spacing w:line="440" w:lineRule="exact"/>
        <w:jc w:val="lef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2.服务需求响应表（必须提供）；</w:t>
      </w:r>
    </w:p>
    <w:p w14:paraId="25E3A00D">
      <w:pPr>
        <w:rPr>
          <w:rFonts w:hint="eastAsia" w:ascii="宋体" w:hAnsi="宋体" w:eastAsia="宋体" w:cs="宋体"/>
          <w:color w:val="000000" w:themeColor="text1"/>
          <w:highlight w:val="none"/>
          <w:lang w:val="en-US" w:eastAsia="zh-CN"/>
          <w14:textFill>
            <w14:solidFill>
              <w14:schemeClr w14:val="tx1"/>
            </w14:solidFill>
          </w14:textFill>
        </w:rPr>
      </w:pPr>
    </w:p>
    <w:p w14:paraId="48393F6B">
      <w:pPr>
        <w:jc w:val="center"/>
        <w:rPr>
          <w:rFonts w:ascii="宋体" w:hAnsi="宋体" w:cs="宋体"/>
          <w:b/>
          <w:bCs/>
          <w:color w:val="000000" w:themeColor="text1"/>
          <w:sz w:val="24"/>
          <w:szCs w:val="21"/>
          <w14:textFill>
            <w14:solidFill>
              <w14:schemeClr w14:val="tx1"/>
            </w14:solidFill>
          </w14:textFill>
        </w:rPr>
      </w:pPr>
      <w:r>
        <w:rPr>
          <w:rFonts w:hint="eastAsia" w:ascii="宋体" w:hAnsi="宋体" w:cs="宋体"/>
          <w:b/>
          <w:bCs/>
          <w:color w:val="000000" w:themeColor="text1"/>
          <w:sz w:val="24"/>
          <w:szCs w:val="21"/>
          <w14:textFill>
            <w14:solidFill>
              <w14:schemeClr w14:val="tx1"/>
            </w14:solidFill>
          </w14:textFill>
        </w:rPr>
        <w:t>服务</w:t>
      </w:r>
      <w:r>
        <w:rPr>
          <w:rFonts w:hint="eastAsia" w:ascii="宋体" w:hAnsi="宋体" w:cs="宋体"/>
          <w:b/>
          <w:bCs/>
          <w:color w:val="000000" w:themeColor="text1"/>
          <w:sz w:val="24"/>
          <w:szCs w:val="21"/>
          <w:lang w:val="en-US" w:eastAsia="zh-CN"/>
          <w14:textFill>
            <w14:solidFill>
              <w14:schemeClr w14:val="tx1"/>
            </w14:solidFill>
          </w14:textFill>
        </w:rPr>
        <w:t>需求</w:t>
      </w:r>
      <w:r>
        <w:rPr>
          <w:rFonts w:hint="eastAsia" w:ascii="宋体" w:hAnsi="宋体" w:cs="宋体"/>
          <w:b/>
          <w:bCs/>
          <w:color w:val="000000" w:themeColor="text1"/>
          <w:sz w:val="24"/>
          <w:szCs w:val="21"/>
          <w14:textFill>
            <w14:solidFill>
              <w14:schemeClr w14:val="tx1"/>
            </w14:solidFill>
          </w14:textFill>
        </w:rPr>
        <w:t>响应表（格式）</w:t>
      </w:r>
    </w:p>
    <w:tbl>
      <w:tblPr>
        <w:tblStyle w:val="36"/>
        <w:tblW w:w="7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tblGrid>
      <w:tr w14:paraId="270C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8DB3E2"/>
            <w:vAlign w:val="center"/>
          </w:tcPr>
          <w:p w14:paraId="645C443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8DB3E2"/>
            <w:vAlign w:val="center"/>
          </w:tcPr>
          <w:p w14:paraId="5DF95B4C">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w:t>
            </w:r>
            <w:r>
              <w:rPr>
                <w:rFonts w:hint="eastAsia" w:ascii="宋体" w:hAnsi="宋体"/>
                <w:b/>
                <w:bCs/>
                <w:color w:val="000000" w:themeColor="text1"/>
                <w:kern w:val="21"/>
                <w:szCs w:val="21"/>
                <w14:textFill>
                  <w14:solidFill>
                    <w14:schemeClr w14:val="tx1"/>
                  </w14:solidFill>
                </w14:textFill>
              </w:rPr>
              <w:t>服务内容及要求</w:t>
            </w:r>
          </w:p>
        </w:tc>
        <w:tc>
          <w:tcPr>
            <w:tcW w:w="2520" w:type="dxa"/>
            <w:shd w:val="clear" w:color="auto" w:fill="8DB3E2"/>
            <w:vAlign w:val="center"/>
          </w:tcPr>
          <w:p w14:paraId="7537F893">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响应文件的响应情况</w:t>
            </w:r>
          </w:p>
        </w:tc>
        <w:tc>
          <w:tcPr>
            <w:tcW w:w="2113" w:type="dxa"/>
            <w:shd w:val="clear" w:color="auto" w:fill="8DB3E2"/>
            <w:vAlign w:val="center"/>
          </w:tcPr>
          <w:p w14:paraId="26167887">
            <w:pPr>
              <w:spacing w:line="400" w:lineRule="exact"/>
              <w:jc w:val="center"/>
              <w:rPr>
                <w:rFonts w:ascii="宋体" w:hAnsi="宋体" w:cs="宋体"/>
                <w:b/>
                <w:color w:val="000000" w:themeColor="text1"/>
                <w14:textFill>
                  <w14:solidFill>
                    <w14:schemeClr w14:val="tx1"/>
                  </w14:solidFill>
                </w14:textFill>
              </w:rPr>
            </w:pPr>
            <w:bookmarkStart w:id="372" w:name="_Toc254970701"/>
            <w:bookmarkStart w:id="373" w:name="_Toc254970560"/>
            <w:r>
              <w:rPr>
                <w:rFonts w:hint="eastAsia" w:ascii="宋体" w:hAnsi="宋体" w:cs="宋体"/>
                <w:b/>
                <w:color w:val="000000" w:themeColor="text1"/>
                <w14:textFill>
                  <w14:solidFill>
                    <w14:schemeClr w14:val="tx1"/>
                  </w14:solidFill>
                </w14:textFill>
              </w:rPr>
              <w:t>偏离情况</w:t>
            </w:r>
            <w:bookmarkEnd w:id="372"/>
            <w:bookmarkEnd w:id="373"/>
            <w:r>
              <w:rPr>
                <w:rFonts w:hint="eastAsia" w:ascii="宋体" w:hAnsi="宋体" w:cs="宋体"/>
                <w:b/>
                <w:color w:val="000000" w:themeColor="text1"/>
                <w14:textFill>
                  <w14:solidFill>
                    <w14:schemeClr w14:val="tx1"/>
                  </w14:solidFill>
                </w14:textFill>
              </w:rPr>
              <w:t>说明</w:t>
            </w:r>
          </w:p>
        </w:tc>
      </w:tr>
      <w:tr w14:paraId="6CF2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82F4CA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4692F4F3">
            <w:pPr>
              <w:spacing w:line="400" w:lineRule="exact"/>
              <w:jc w:val="left"/>
              <w:rPr>
                <w:rFonts w:ascii="宋体" w:hAnsi="宋体" w:cs="宋体"/>
                <w:color w:val="000000" w:themeColor="text1"/>
                <w14:textFill>
                  <w14:solidFill>
                    <w14:schemeClr w14:val="tx1"/>
                  </w14:solidFill>
                </w14:textFill>
              </w:rPr>
            </w:pPr>
          </w:p>
        </w:tc>
        <w:tc>
          <w:tcPr>
            <w:tcW w:w="2520" w:type="dxa"/>
          </w:tcPr>
          <w:p w14:paraId="750E032E">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D227BB6">
            <w:pPr>
              <w:spacing w:line="400" w:lineRule="exact"/>
              <w:jc w:val="left"/>
              <w:rPr>
                <w:rFonts w:ascii="宋体" w:hAnsi="宋体" w:cs="宋体"/>
                <w:color w:val="000000" w:themeColor="text1"/>
                <w14:textFill>
                  <w14:solidFill>
                    <w14:schemeClr w14:val="tx1"/>
                  </w14:solidFill>
                </w14:textFill>
              </w:rPr>
            </w:pPr>
          </w:p>
        </w:tc>
      </w:tr>
      <w:tr w14:paraId="0125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5560A32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1EDEF8FD">
            <w:pPr>
              <w:spacing w:line="400" w:lineRule="exact"/>
              <w:jc w:val="left"/>
              <w:rPr>
                <w:rFonts w:ascii="宋体" w:hAnsi="宋体" w:cs="宋体"/>
                <w:color w:val="000000" w:themeColor="text1"/>
                <w14:textFill>
                  <w14:solidFill>
                    <w14:schemeClr w14:val="tx1"/>
                  </w14:solidFill>
                </w14:textFill>
              </w:rPr>
            </w:pPr>
          </w:p>
        </w:tc>
        <w:tc>
          <w:tcPr>
            <w:tcW w:w="2520" w:type="dxa"/>
          </w:tcPr>
          <w:p w14:paraId="299C710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6F8D6926">
            <w:pPr>
              <w:spacing w:line="400" w:lineRule="exact"/>
              <w:jc w:val="left"/>
              <w:rPr>
                <w:rFonts w:ascii="宋体" w:hAnsi="宋体" w:cs="宋体"/>
                <w:color w:val="000000" w:themeColor="text1"/>
                <w14:textFill>
                  <w14:solidFill>
                    <w14:schemeClr w14:val="tx1"/>
                  </w14:solidFill>
                </w14:textFill>
              </w:rPr>
            </w:pPr>
          </w:p>
        </w:tc>
      </w:tr>
      <w:tr w14:paraId="3651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9BF50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0BD45FDF">
            <w:pPr>
              <w:spacing w:line="400" w:lineRule="exact"/>
              <w:jc w:val="left"/>
              <w:rPr>
                <w:rFonts w:ascii="宋体" w:hAnsi="宋体" w:cs="宋体"/>
                <w:color w:val="000000" w:themeColor="text1"/>
                <w14:textFill>
                  <w14:solidFill>
                    <w14:schemeClr w14:val="tx1"/>
                  </w14:solidFill>
                </w14:textFill>
              </w:rPr>
            </w:pPr>
          </w:p>
        </w:tc>
        <w:tc>
          <w:tcPr>
            <w:tcW w:w="2520" w:type="dxa"/>
          </w:tcPr>
          <w:p w14:paraId="324E87F8">
            <w:pPr>
              <w:spacing w:line="400" w:lineRule="exact"/>
              <w:jc w:val="left"/>
              <w:rPr>
                <w:rFonts w:ascii="宋体" w:hAnsi="宋体" w:cs="宋体"/>
                <w:color w:val="000000" w:themeColor="text1"/>
                <w14:textFill>
                  <w14:solidFill>
                    <w14:schemeClr w14:val="tx1"/>
                  </w14:solidFill>
                </w14:textFill>
              </w:rPr>
            </w:pPr>
          </w:p>
        </w:tc>
        <w:tc>
          <w:tcPr>
            <w:tcW w:w="2113" w:type="dxa"/>
          </w:tcPr>
          <w:p w14:paraId="2D142A4A">
            <w:pPr>
              <w:spacing w:line="400" w:lineRule="exact"/>
              <w:jc w:val="left"/>
              <w:rPr>
                <w:rFonts w:ascii="宋体" w:hAnsi="宋体" w:cs="宋体"/>
                <w:color w:val="000000" w:themeColor="text1"/>
                <w14:textFill>
                  <w14:solidFill>
                    <w14:schemeClr w14:val="tx1"/>
                  </w14:solidFill>
                </w14:textFill>
              </w:rPr>
            </w:pPr>
          </w:p>
        </w:tc>
      </w:tr>
      <w:tr w14:paraId="748C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336EA2F">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70FEE7F1">
            <w:pPr>
              <w:spacing w:line="400" w:lineRule="exact"/>
              <w:jc w:val="left"/>
              <w:rPr>
                <w:rFonts w:ascii="宋体" w:hAnsi="宋体" w:cs="宋体"/>
                <w:color w:val="000000" w:themeColor="text1"/>
                <w14:textFill>
                  <w14:solidFill>
                    <w14:schemeClr w14:val="tx1"/>
                  </w14:solidFill>
                </w14:textFill>
              </w:rPr>
            </w:pPr>
          </w:p>
        </w:tc>
        <w:tc>
          <w:tcPr>
            <w:tcW w:w="2520" w:type="dxa"/>
          </w:tcPr>
          <w:p w14:paraId="0FA9E72B">
            <w:pPr>
              <w:spacing w:line="400" w:lineRule="exact"/>
              <w:jc w:val="left"/>
              <w:rPr>
                <w:rFonts w:ascii="宋体" w:hAnsi="宋体" w:cs="宋体"/>
                <w:color w:val="000000" w:themeColor="text1"/>
                <w14:textFill>
                  <w14:solidFill>
                    <w14:schemeClr w14:val="tx1"/>
                  </w14:solidFill>
                </w14:textFill>
              </w:rPr>
            </w:pPr>
          </w:p>
        </w:tc>
        <w:tc>
          <w:tcPr>
            <w:tcW w:w="2113" w:type="dxa"/>
          </w:tcPr>
          <w:p w14:paraId="67166367">
            <w:pPr>
              <w:spacing w:line="400" w:lineRule="exact"/>
              <w:jc w:val="left"/>
              <w:rPr>
                <w:rFonts w:ascii="宋体" w:hAnsi="宋体" w:cs="宋体"/>
                <w:color w:val="000000" w:themeColor="text1"/>
                <w14:textFill>
                  <w14:solidFill>
                    <w14:schemeClr w14:val="tx1"/>
                  </w14:solidFill>
                </w14:textFill>
              </w:rPr>
            </w:pPr>
          </w:p>
        </w:tc>
      </w:tr>
      <w:tr w14:paraId="1421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A8CD7C6">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004E94B3">
            <w:pPr>
              <w:spacing w:line="400" w:lineRule="exact"/>
              <w:jc w:val="left"/>
              <w:rPr>
                <w:rFonts w:ascii="宋体" w:hAnsi="宋体" w:cs="宋体"/>
                <w:color w:val="000000" w:themeColor="text1"/>
                <w14:textFill>
                  <w14:solidFill>
                    <w14:schemeClr w14:val="tx1"/>
                  </w14:solidFill>
                </w14:textFill>
              </w:rPr>
            </w:pPr>
          </w:p>
        </w:tc>
        <w:tc>
          <w:tcPr>
            <w:tcW w:w="2520" w:type="dxa"/>
          </w:tcPr>
          <w:p w14:paraId="57D94FD2">
            <w:pPr>
              <w:spacing w:line="400" w:lineRule="exact"/>
              <w:jc w:val="left"/>
              <w:rPr>
                <w:rFonts w:ascii="宋体" w:hAnsi="宋体" w:cs="宋体"/>
                <w:color w:val="000000" w:themeColor="text1"/>
                <w14:textFill>
                  <w14:solidFill>
                    <w14:schemeClr w14:val="tx1"/>
                  </w14:solidFill>
                </w14:textFill>
              </w:rPr>
            </w:pPr>
          </w:p>
        </w:tc>
        <w:tc>
          <w:tcPr>
            <w:tcW w:w="2113" w:type="dxa"/>
          </w:tcPr>
          <w:p w14:paraId="421231A6">
            <w:pPr>
              <w:spacing w:line="400" w:lineRule="exact"/>
              <w:jc w:val="left"/>
              <w:rPr>
                <w:rFonts w:ascii="宋体" w:hAnsi="宋体" w:cs="宋体"/>
                <w:color w:val="000000" w:themeColor="text1"/>
                <w14:textFill>
                  <w14:solidFill>
                    <w14:schemeClr w14:val="tx1"/>
                  </w14:solidFill>
                </w14:textFill>
              </w:rPr>
            </w:pPr>
          </w:p>
        </w:tc>
      </w:tr>
      <w:tr w14:paraId="33F7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BF2101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627EE3BB">
            <w:pPr>
              <w:spacing w:line="400" w:lineRule="exact"/>
              <w:jc w:val="left"/>
              <w:rPr>
                <w:rFonts w:ascii="宋体" w:hAnsi="宋体" w:cs="宋体"/>
                <w:color w:val="000000" w:themeColor="text1"/>
                <w14:textFill>
                  <w14:solidFill>
                    <w14:schemeClr w14:val="tx1"/>
                  </w14:solidFill>
                </w14:textFill>
              </w:rPr>
            </w:pPr>
          </w:p>
        </w:tc>
        <w:tc>
          <w:tcPr>
            <w:tcW w:w="2520" w:type="dxa"/>
          </w:tcPr>
          <w:p w14:paraId="4F62E3AE">
            <w:pPr>
              <w:spacing w:line="400" w:lineRule="exact"/>
              <w:jc w:val="left"/>
              <w:rPr>
                <w:rFonts w:ascii="宋体" w:hAnsi="宋体" w:cs="宋体"/>
                <w:color w:val="000000" w:themeColor="text1"/>
                <w14:textFill>
                  <w14:solidFill>
                    <w14:schemeClr w14:val="tx1"/>
                  </w14:solidFill>
                </w14:textFill>
              </w:rPr>
            </w:pPr>
          </w:p>
        </w:tc>
        <w:tc>
          <w:tcPr>
            <w:tcW w:w="2113" w:type="dxa"/>
          </w:tcPr>
          <w:p w14:paraId="0810B869">
            <w:pPr>
              <w:spacing w:line="400" w:lineRule="exact"/>
              <w:jc w:val="left"/>
              <w:rPr>
                <w:rFonts w:ascii="宋体" w:hAnsi="宋体" w:cs="宋体"/>
                <w:color w:val="000000" w:themeColor="text1"/>
                <w14:textFill>
                  <w14:solidFill>
                    <w14:schemeClr w14:val="tx1"/>
                  </w14:solidFill>
                </w14:textFill>
              </w:rPr>
            </w:pPr>
          </w:p>
        </w:tc>
      </w:tr>
      <w:tr w14:paraId="2450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9C31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0C593504">
            <w:pPr>
              <w:spacing w:line="400" w:lineRule="exact"/>
              <w:jc w:val="left"/>
              <w:rPr>
                <w:rFonts w:ascii="宋体" w:hAnsi="宋体" w:cs="宋体"/>
                <w:color w:val="000000" w:themeColor="text1"/>
                <w14:textFill>
                  <w14:solidFill>
                    <w14:schemeClr w14:val="tx1"/>
                  </w14:solidFill>
                </w14:textFill>
              </w:rPr>
            </w:pPr>
          </w:p>
        </w:tc>
        <w:tc>
          <w:tcPr>
            <w:tcW w:w="2520" w:type="dxa"/>
          </w:tcPr>
          <w:p w14:paraId="1DE3F013">
            <w:pPr>
              <w:spacing w:line="400" w:lineRule="exact"/>
              <w:jc w:val="left"/>
              <w:rPr>
                <w:rFonts w:ascii="宋体" w:hAnsi="宋体" w:cs="宋体"/>
                <w:color w:val="000000" w:themeColor="text1"/>
                <w14:textFill>
                  <w14:solidFill>
                    <w14:schemeClr w14:val="tx1"/>
                  </w14:solidFill>
                </w14:textFill>
              </w:rPr>
            </w:pPr>
          </w:p>
        </w:tc>
        <w:tc>
          <w:tcPr>
            <w:tcW w:w="2113" w:type="dxa"/>
          </w:tcPr>
          <w:p w14:paraId="61CEC060">
            <w:pPr>
              <w:spacing w:line="400" w:lineRule="exact"/>
              <w:jc w:val="left"/>
              <w:rPr>
                <w:rFonts w:ascii="宋体" w:hAnsi="宋体" w:cs="宋体"/>
                <w:color w:val="000000" w:themeColor="text1"/>
                <w14:textFill>
                  <w14:solidFill>
                    <w14:schemeClr w14:val="tx1"/>
                  </w14:solidFill>
                </w14:textFill>
              </w:rPr>
            </w:pPr>
          </w:p>
        </w:tc>
      </w:tr>
      <w:tr w14:paraId="17AD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0B30D1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3710EED8">
            <w:pPr>
              <w:spacing w:line="400" w:lineRule="exact"/>
              <w:jc w:val="left"/>
              <w:rPr>
                <w:rFonts w:ascii="宋体" w:hAnsi="宋体" w:cs="宋体"/>
                <w:color w:val="000000" w:themeColor="text1"/>
                <w14:textFill>
                  <w14:solidFill>
                    <w14:schemeClr w14:val="tx1"/>
                  </w14:solidFill>
                </w14:textFill>
              </w:rPr>
            </w:pPr>
          </w:p>
        </w:tc>
        <w:tc>
          <w:tcPr>
            <w:tcW w:w="2520" w:type="dxa"/>
          </w:tcPr>
          <w:p w14:paraId="3B73C9A8">
            <w:pPr>
              <w:spacing w:line="400" w:lineRule="exact"/>
              <w:jc w:val="left"/>
              <w:rPr>
                <w:rFonts w:ascii="宋体" w:hAnsi="宋体" w:cs="宋体"/>
                <w:color w:val="000000" w:themeColor="text1"/>
                <w14:textFill>
                  <w14:solidFill>
                    <w14:schemeClr w14:val="tx1"/>
                  </w14:solidFill>
                </w14:textFill>
              </w:rPr>
            </w:pPr>
          </w:p>
        </w:tc>
        <w:tc>
          <w:tcPr>
            <w:tcW w:w="2113" w:type="dxa"/>
          </w:tcPr>
          <w:p w14:paraId="72843B3B">
            <w:pPr>
              <w:spacing w:line="400" w:lineRule="exact"/>
              <w:jc w:val="left"/>
              <w:rPr>
                <w:rFonts w:ascii="宋体" w:hAnsi="宋体" w:cs="宋体"/>
                <w:color w:val="000000" w:themeColor="text1"/>
                <w14:textFill>
                  <w14:solidFill>
                    <w14:schemeClr w14:val="tx1"/>
                  </w14:solidFill>
                </w14:textFill>
              </w:rPr>
            </w:pPr>
          </w:p>
        </w:tc>
      </w:tr>
      <w:tr w14:paraId="5E2D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5F2C9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4E5F8A3B">
            <w:pPr>
              <w:spacing w:line="400" w:lineRule="exact"/>
              <w:jc w:val="left"/>
              <w:rPr>
                <w:rFonts w:ascii="宋体" w:hAnsi="宋体" w:cs="宋体"/>
                <w:color w:val="000000" w:themeColor="text1"/>
                <w14:textFill>
                  <w14:solidFill>
                    <w14:schemeClr w14:val="tx1"/>
                  </w14:solidFill>
                </w14:textFill>
              </w:rPr>
            </w:pPr>
          </w:p>
        </w:tc>
        <w:tc>
          <w:tcPr>
            <w:tcW w:w="2520" w:type="dxa"/>
          </w:tcPr>
          <w:p w14:paraId="36234D95">
            <w:pPr>
              <w:spacing w:line="400" w:lineRule="exact"/>
              <w:jc w:val="left"/>
              <w:rPr>
                <w:rFonts w:ascii="宋体" w:hAnsi="宋体" w:cs="宋体"/>
                <w:color w:val="000000" w:themeColor="text1"/>
                <w14:textFill>
                  <w14:solidFill>
                    <w14:schemeClr w14:val="tx1"/>
                  </w14:solidFill>
                </w14:textFill>
              </w:rPr>
            </w:pPr>
          </w:p>
        </w:tc>
        <w:tc>
          <w:tcPr>
            <w:tcW w:w="2113" w:type="dxa"/>
          </w:tcPr>
          <w:p w14:paraId="629D02E3">
            <w:pPr>
              <w:spacing w:line="400" w:lineRule="exact"/>
              <w:jc w:val="left"/>
              <w:rPr>
                <w:rFonts w:ascii="宋体" w:hAnsi="宋体" w:cs="宋体"/>
                <w:color w:val="000000" w:themeColor="text1"/>
                <w14:textFill>
                  <w14:solidFill>
                    <w14:schemeClr w14:val="tx1"/>
                  </w14:solidFill>
                </w14:textFill>
              </w:rPr>
            </w:pPr>
          </w:p>
        </w:tc>
      </w:tr>
    </w:tbl>
    <w:p w14:paraId="4EBED6C4">
      <w:pPr>
        <w:pStyle w:val="15"/>
        <w:rPr>
          <w:rFonts w:hint="eastAsia" w:ascii="宋体" w:hAnsi="宋体" w:eastAsia="宋体" w:cs="宋体"/>
          <w:color w:val="000000" w:themeColor="text1"/>
          <w:highlight w:val="none"/>
          <w:lang w:val="en-US" w:eastAsia="zh-CN"/>
          <w14:textFill>
            <w14:solidFill>
              <w14:schemeClr w14:val="tx1"/>
            </w14:solidFill>
          </w14:textFill>
        </w:rPr>
      </w:pPr>
    </w:p>
    <w:p w14:paraId="28492DAF">
      <w:pPr>
        <w:jc w:val="center"/>
        <w:rPr>
          <w:rFonts w:ascii="宋体" w:hAnsi="宋体" w:cs="宋体"/>
          <w:b/>
          <w:bCs/>
          <w:color w:val="000000" w:themeColor="text1"/>
          <w:sz w:val="24"/>
          <w:szCs w:val="21"/>
          <w14:textFill>
            <w14:solidFill>
              <w14:schemeClr w14:val="tx1"/>
            </w14:solidFill>
          </w14:textFill>
        </w:rPr>
      </w:pPr>
      <w:r>
        <w:rPr>
          <w:rFonts w:hint="eastAsia" w:ascii="宋体" w:hAnsi="宋体" w:cs="宋体"/>
          <w:b/>
          <w:bCs/>
          <w:color w:val="000000" w:themeColor="text1"/>
          <w:sz w:val="24"/>
          <w:szCs w:val="21"/>
          <w:lang w:val="en-US" w:eastAsia="zh-CN"/>
          <w14:textFill>
            <w14:solidFill>
              <w14:schemeClr w14:val="tx1"/>
            </w14:solidFill>
          </w14:textFill>
        </w:rPr>
        <w:t>商务需求</w:t>
      </w:r>
      <w:r>
        <w:rPr>
          <w:rFonts w:hint="eastAsia" w:ascii="宋体" w:hAnsi="宋体" w:cs="宋体"/>
          <w:b/>
          <w:bCs/>
          <w:color w:val="000000" w:themeColor="text1"/>
          <w:sz w:val="24"/>
          <w:szCs w:val="21"/>
          <w14:textFill>
            <w14:solidFill>
              <w14:schemeClr w14:val="tx1"/>
            </w14:solidFill>
          </w14:textFill>
        </w:rPr>
        <w:t>响应表（格式）</w:t>
      </w:r>
    </w:p>
    <w:tbl>
      <w:tblPr>
        <w:tblStyle w:val="36"/>
        <w:tblW w:w="7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tblGrid>
      <w:tr w14:paraId="4681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FBD4B4" w:themeFill="accent6" w:themeFillTint="66"/>
            <w:vAlign w:val="center"/>
          </w:tcPr>
          <w:p w14:paraId="68DAB496">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FBD4B4" w:themeFill="accent6" w:themeFillTint="66"/>
            <w:vAlign w:val="center"/>
          </w:tcPr>
          <w:p w14:paraId="6565AF5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招标文件商务需求</w:t>
            </w:r>
          </w:p>
        </w:tc>
        <w:tc>
          <w:tcPr>
            <w:tcW w:w="2520" w:type="dxa"/>
            <w:shd w:val="clear" w:color="auto" w:fill="FBD4B4" w:themeFill="accent6" w:themeFillTint="66"/>
            <w:vAlign w:val="center"/>
          </w:tcPr>
          <w:p w14:paraId="7531930E">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响应文件的响应情况</w:t>
            </w:r>
          </w:p>
        </w:tc>
        <w:tc>
          <w:tcPr>
            <w:tcW w:w="2113" w:type="dxa"/>
            <w:shd w:val="clear" w:color="auto" w:fill="FBD4B4" w:themeFill="accent6" w:themeFillTint="66"/>
            <w:vAlign w:val="center"/>
          </w:tcPr>
          <w:p w14:paraId="03C97F9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偏离情况说明</w:t>
            </w:r>
          </w:p>
        </w:tc>
      </w:tr>
      <w:tr w14:paraId="7349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98C087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611971D6">
            <w:pPr>
              <w:spacing w:line="400" w:lineRule="exact"/>
              <w:jc w:val="left"/>
              <w:rPr>
                <w:rFonts w:ascii="宋体" w:hAnsi="宋体" w:cs="宋体"/>
                <w:color w:val="000000" w:themeColor="text1"/>
                <w14:textFill>
                  <w14:solidFill>
                    <w14:schemeClr w14:val="tx1"/>
                  </w14:solidFill>
                </w14:textFill>
              </w:rPr>
            </w:pPr>
          </w:p>
        </w:tc>
        <w:tc>
          <w:tcPr>
            <w:tcW w:w="2520" w:type="dxa"/>
          </w:tcPr>
          <w:p w14:paraId="35035E8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A1CD552">
            <w:pPr>
              <w:spacing w:line="400" w:lineRule="exact"/>
              <w:jc w:val="left"/>
              <w:rPr>
                <w:rFonts w:ascii="宋体" w:hAnsi="宋体" w:cs="宋体"/>
                <w:color w:val="000000" w:themeColor="text1"/>
                <w14:textFill>
                  <w14:solidFill>
                    <w14:schemeClr w14:val="tx1"/>
                  </w14:solidFill>
                </w14:textFill>
              </w:rPr>
            </w:pPr>
          </w:p>
        </w:tc>
      </w:tr>
      <w:tr w14:paraId="599C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41AEC90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2BDF55C3">
            <w:pPr>
              <w:spacing w:line="400" w:lineRule="exact"/>
              <w:jc w:val="left"/>
              <w:rPr>
                <w:rFonts w:ascii="宋体" w:hAnsi="宋体" w:cs="宋体"/>
                <w:color w:val="000000" w:themeColor="text1"/>
                <w14:textFill>
                  <w14:solidFill>
                    <w14:schemeClr w14:val="tx1"/>
                  </w14:solidFill>
                </w14:textFill>
              </w:rPr>
            </w:pPr>
          </w:p>
        </w:tc>
        <w:tc>
          <w:tcPr>
            <w:tcW w:w="2520" w:type="dxa"/>
          </w:tcPr>
          <w:p w14:paraId="0514CB2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1177EDDF">
            <w:pPr>
              <w:spacing w:line="400" w:lineRule="exact"/>
              <w:jc w:val="left"/>
              <w:rPr>
                <w:rFonts w:ascii="宋体" w:hAnsi="宋体" w:cs="宋体"/>
                <w:color w:val="000000" w:themeColor="text1"/>
                <w14:textFill>
                  <w14:solidFill>
                    <w14:schemeClr w14:val="tx1"/>
                  </w14:solidFill>
                </w14:textFill>
              </w:rPr>
            </w:pPr>
          </w:p>
        </w:tc>
      </w:tr>
      <w:tr w14:paraId="6086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E07093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2B97D9F2">
            <w:pPr>
              <w:spacing w:line="400" w:lineRule="exact"/>
              <w:jc w:val="left"/>
              <w:rPr>
                <w:rFonts w:ascii="宋体" w:hAnsi="宋体" w:cs="宋体"/>
                <w:color w:val="000000" w:themeColor="text1"/>
                <w14:textFill>
                  <w14:solidFill>
                    <w14:schemeClr w14:val="tx1"/>
                  </w14:solidFill>
                </w14:textFill>
              </w:rPr>
            </w:pPr>
          </w:p>
        </w:tc>
        <w:tc>
          <w:tcPr>
            <w:tcW w:w="2520" w:type="dxa"/>
          </w:tcPr>
          <w:p w14:paraId="06495C08">
            <w:pPr>
              <w:spacing w:line="400" w:lineRule="exact"/>
              <w:jc w:val="left"/>
              <w:rPr>
                <w:rFonts w:ascii="宋体" w:hAnsi="宋体" w:cs="宋体"/>
                <w:color w:val="000000" w:themeColor="text1"/>
                <w14:textFill>
                  <w14:solidFill>
                    <w14:schemeClr w14:val="tx1"/>
                  </w14:solidFill>
                </w14:textFill>
              </w:rPr>
            </w:pPr>
          </w:p>
        </w:tc>
        <w:tc>
          <w:tcPr>
            <w:tcW w:w="2113" w:type="dxa"/>
          </w:tcPr>
          <w:p w14:paraId="6BD108A9">
            <w:pPr>
              <w:spacing w:line="400" w:lineRule="exact"/>
              <w:jc w:val="left"/>
              <w:rPr>
                <w:rFonts w:ascii="宋体" w:hAnsi="宋体" w:cs="宋体"/>
                <w:color w:val="000000" w:themeColor="text1"/>
                <w14:textFill>
                  <w14:solidFill>
                    <w14:schemeClr w14:val="tx1"/>
                  </w14:solidFill>
                </w14:textFill>
              </w:rPr>
            </w:pPr>
          </w:p>
        </w:tc>
      </w:tr>
      <w:tr w14:paraId="6760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D7CF99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0F126EE4">
            <w:pPr>
              <w:spacing w:line="400" w:lineRule="exact"/>
              <w:jc w:val="left"/>
              <w:rPr>
                <w:rFonts w:ascii="宋体" w:hAnsi="宋体" w:cs="宋体"/>
                <w:color w:val="000000" w:themeColor="text1"/>
                <w14:textFill>
                  <w14:solidFill>
                    <w14:schemeClr w14:val="tx1"/>
                  </w14:solidFill>
                </w14:textFill>
              </w:rPr>
            </w:pPr>
          </w:p>
        </w:tc>
        <w:tc>
          <w:tcPr>
            <w:tcW w:w="2520" w:type="dxa"/>
          </w:tcPr>
          <w:p w14:paraId="2FA703C6">
            <w:pPr>
              <w:spacing w:line="400" w:lineRule="exact"/>
              <w:jc w:val="left"/>
              <w:rPr>
                <w:rFonts w:ascii="宋体" w:hAnsi="宋体" w:cs="宋体"/>
                <w:color w:val="000000" w:themeColor="text1"/>
                <w14:textFill>
                  <w14:solidFill>
                    <w14:schemeClr w14:val="tx1"/>
                  </w14:solidFill>
                </w14:textFill>
              </w:rPr>
            </w:pPr>
          </w:p>
        </w:tc>
        <w:tc>
          <w:tcPr>
            <w:tcW w:w="2113" w:type="dxa"/>
          </w:tcPr>
          <w:p w14:paraId="6BEF8F49">
            <w:pPr>
              <w:spacing w:line="400" w:lineRule="exact"/>
              <w:jc w:val="left"/>
              <w:rPr>
                <w:rFonts w:ascii="宋体" w:hAnsi="宋体" w:cs="宋体"/>
                <w:color w:val="000000" w:themeColor="text1"/>
                <w14:textFill>
                  <w14:solidFill>
                    <w14:schemeClr w14:val="tx1"/>
                  </w14:solidFill>
                </w14:textFill>
              </w:rPr>
            </w:pPr>
          </w:p>
        </w:tc>
      </w:tr>
      <w:tr w14:paraId="1483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B63308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13DE2829">
            <w:pPr>
              <w:spacing w:line="400" w:lineRule="exact"/>
              <w:jc w:val="left"/>
              <w:rPr>
                <w:rFonts w:ascii="宋体" w:hAnsi="宋体" w:cs="宋体"/>
                <w:color w:val="000000" w:themeColor="text1"/>
                <w14:textFill>
                  <w14:solidFill>
                    <w14:schemeClr w14:val="tx1"/>
                  </w14:solidFill>
                </w14:textFill>
              </w:rPr>
            </w:pPr>
          </w:p>
        </w:tc>
        <w:tc>
          <w:tcPr>
            <w:tcW w:w="2520" w:type="dxa"/>
          </w:tcPr>
          <w:p w14:paraId="1DF3B349">
            <w:pPr>
              <w:spacing w:line="400" w:lineRule="exact"/>
              <w:jc w:val="left"/>
              <w:rPr>
                <w:rFonts w:ascii="宋体" w:hAnsi="宋体" w:cs="宋体"/>
                <w:color w:val="000000" w:themeColor="text1"/>
                <w14:textFill>
                  <w14:solidFill>
                    <w14:schemeClr w14:val="tx1"/>
                  </w14:solidFill>
                </w14:textFill>
              </w:rPr>
            </w:pPr>
          </w:p>
        </w:tc>
        <w:tc>
          <w:tcPr>
            <w:tcW w:w="2113" w:type="dxa"/>
          </w:tcPr>
          <w:p w14:paraId="6F7EC892">
            <w:pPr>
              <w:spacing w:line="400" w:lineRule="exact"/>
              <w:jc w:val="left"/>
              <w:rPr>
                <w:rFonts w:ascii="宋体" w:hAnsi="宋体" w:cs="宋体"/>
                <w:color w:val="000000" w:themeColor="text1"/>
                <w14:textFill>
                  <w14:solidFill>
                    <w14:schemeClr w14:val="tx1"/>
                  </w14:solidFill>
                </w14:textFill>
              </w:rPr>
            </w:pPr>
          </w:p>
        </w:tc>
      </w:tr>
      <w:tr w14:paraId="4E93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34248E3">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486D43F7">
            <w:pPr>
              <w:spacing w:line="400" w:lineRule="exact"/>
              <w:jc w:val="left"/>
              <w:rPr>
                <w:rFonts w:ascii="宋体" w:hAnsi="宋体" w:cs="宋体"/>
                <w:color w:val="000000" w:themeColor="text1"/>
                <w14:textFill>
                  <w14:solidFill>
                    <w14:schemeClr w14:val="tx1"/>
                  </w14:solidFill>
                </w14:textFill>
              </w:rPr>
            </w:pPr>
          </w:p>
        </w:tc>
        <w:tc>
          <w:tcPr>
            <w:tcW w:w="2520" w:type="dxa"/>
          </w:tcPr>
          <w:p w14:paraId="3A8CDCEE">
            <w:pPr>
              <w:spacing w:line="400" w:lineRule="exact"/>
              <w:jc w:val="left"/>
              <w:rPr>
                <w:rFonts w:ascii="宋体" w:hAnsi="宋体" w:cs="宋体"/>
                <w:color w:val="000000" w:themeColor="text1"/>
                <w14:textFill>
                  <w14:solidFill>
                    <w14:schemeClr w14:val="tx1"/>
                  </w14:solidFill>
                </w14:textFill>
              </w:rPr>
            </w:pPr>
          </w:p>
        </w:tc>
        <w:tc>
          <w:tcPr>
            <w:tcW w:w="2113" w:type="dxa"/>
          </w:tcPr>
          <w:p w14:paraId="1D398907">
            <w:pPr>
              <w:spacing w:line="400" w:lineRule="exact"/>
              <w:jc w:val="left"/>
              <w:rPr>
                <w:rFonts w:ascii="宋体" w:hAnsi="宋体" w:cs="宋体"/>
                <w:color w:val="000000" w:themeColor="text1"/>
                <w14:textFill>
                  <w14:solidFill>
                    <w14:schemeClr w14:val="tx1"/>
                  </w14:solidFill>
                </w14:textFill>
              </w:rPr>
            </w:pPr>
          </w:p>
        </w:tc>
      </w:tr>
      <w:tr w14:paraId="2064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53CDDF0C">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4D726CEF">
            <w:pPr>
              <w:spacing w:line="400" w:lineRule="exact"/>
              <w:jc w:val="left"/>
              <w:rPr>
                <w:rFonts w:ascii="宋体" w:hAnsi="宋体" w:cs="宋体"/>
                <w:color w:val="000000" w:themeColor="text1"/>
                <w14:textFill>
                  <w14:solidFill>
                    <w14:schemeClr w14:val="tx1"/>
                  </w14:solidFill>
                </w14:textFill>
              </w:rPr>
            </w:pPr>
          </w:p>
        </w:tc>
        <w:tc>
          <w:tcPr>
            <w:tcW w:w="2520" w:type="dxa"/>
          </w:tcPr>
          <w:p w14:paraId="635350B9">
            <w:pPr>
              <w:spacing w:line="400" w:lineRule="exact"/>
              <w:jc w:val="left"/>
              <w:rPr>
                <w:rFonts w:ascii="宋体" w:hAnsi="宋体" w:cs="宋体"/>
                <w:color w:val="000000" w:themeColor="text1"/>
                <w14:textFill>
                  <w14:solidFill>
                    <w14:schemeClr w14:val="tx1"/>
                  </w14:solidFill>
                </w14:textFill>
              </w:rPr>
            </w:pPr>
          </w:p>
        </w:tc>
        <w:tc>
          <w:tcPr>
            <w:tcW w:w="2113" w:type="dxa"/>
          </w:tcPr>
          <w:p w14:paraId="0A4E0B42">
            <w:pPr>
              <w:spacing w:line="400" w:lineRule="exact"/>
              <w:jc w:val="left"/>
              <w:rPr>
                <w:rFonts w:ascii="宋体" w:hAnsi="宋体" w:cs="宋体"/>
                <w:color w:val="000000" w:themeColor="text1"/>
                <w14:textFill>
                  <w14:solidFill>
                    <w14:schemeClr w14:val="tx1"/>
                  </w14:solidFill>
                </w14:textFill>
              </w:rPr>
            </w:pPr>
          </w:p>
        </w:tc>
      </w:tr>
      <w:tr w14:paraId="683D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C106C9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5C967223">
            <w:pPr>
              <w:spacing w:line="400" w:lineRule="exact"/>
              <w:jc w:val="left"/>
              <w:rPr>
                <w:rFonts w:ascii="宋体" w:hAnsi="宋体" w:cs="宋体"/>
                <w:color w:val="000000" w:themeColor="text1"/>
                <w14:textFill>
                  <w14:solidFill>
                    <w14:schemeClr w14:val="tx1"/>
                  </w14:solidFill>
                </w14:textFill>
              </w:rPr>
            </w:pPr>
          </w:p>
        </w:tc>
        <w:tc>
          <w:tcPr>
            <w:tcW w:w="2520" w:type="dxa"/>
          </w:tcPr>
          <w:p w14:paraId="717778A3">
            <w:pPr>
              <w:spacing w:line="400" w:lineRule="exact"/>
              <w:jc w:val="left"/>
              <w:rPr>
                <w:rFonts w:ascii="宋体" w:hAnsi="宋体" w:cs="宋体"/>
                <w:color w:val="000000" w:themeColor="text1"/>
                <w14:textFill>
                  <w14:solidFill>
                    <w14:schemeClr w14:val="tx1"/>
                  </w14:solidFill>
                </w14:textFill>
              </w:rPr>
            </w:pPr>
          </w:p>
        </w:tc>
        <w:tc>
          <w:tcPr>
            <w:tcW w:w="2113" w:type="dxa"/>
          </w:tcPr>
          <w:p w14:paraId="4397C1AE">
            <w:pPr>
              <w:spacing w:line="400" w:lineRule="exact"/>
              <w:jc w:val="left"/>
              <w:rPr>
                <w:rFonts w:ascii="宋体" w:hAnsi="宋体" w:cs="宋体"/>
                <w:color w:val="000000" w:themeColor="text1"/>
                <w14:textFill>
                  <w14:solidFill>
                    <w14:schemeClr w14:val="tx1"/>
                  </w14:solidFill>
                </w14:textFill>
              </w:rPr>
            </w:pPr>
          </w:p>
        </w:tc>
      </w:tr>
      <w:tr w14:paraId="55A7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DAC9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6776D241">
            <w:pPr>
              <w:spacing w:line="400" w:lineRule="exact"/>
              <w:jc w:val="left"/>
              <w:rPr>
                <w:rFonts w:ascii="宋体" w:hAnsi="宋体" w:cs="宋体"/>
                <w:color w:val="000000" w:themeColor="text1"/>
                <w14:textFill>
                  <w14:solidFill>
                    <w14:schemeClr w14:val="tx1"/>
                  </w14:solidFill>
                </w14:textFill>
              </w:rPr>
            </w:pPr>
          </w:p>
        </w:tc>
        <w:tc>
          <w:tcPr>
            <w:tcW w:w="2520" w:type="dxa"/>
          </w:tcPr>
          <w:p w14:paraId="53C53AFD">
            <w:pPr>
              <w:spacing w:line="400" w:lineRule="exact"/>
              <w:jc w:val="left"/>
              <w:rPr>
                <w:rFonts w:ascii="宋体" w:hAnsi="宋体" w:cs="宋体"/>
                <w:color w:val="000000" w:themeColor="text1"/>
                <w14:textFill>
                  <w14:solidFill>
                    <w14:schemeClr w14:val="tx1"/>
                  </w14:solidFill>
                </w14:textFill>
              </w:rPr>
            </w:pPr>
          </w:p>
        </w:tc>
        <w:tc>
          <w:tcPr>
            <w:tcW w:w="2113" w:type="dxa"/>
          </w:tcPr>
          <w:p w14:paraId="0DF82B1F">
            <w:pPr>
              <w:spacing w:line="400" w:lineRule="exact"/>
              <w:jc w:val="left"/>
              <w:rPr>
                <w:rFonts w:ascii="宋体" w:hAnsi="宋体" w:cs="宋体"/>
                <w:color w:val="000000" w:themeColor="text1"/>
                <w14:textFill>
                  <w14:solidFill>
                    <w14:schemeClr w14:val="tx1"/>
                  </w14:solidFill>
                </w14:textFill>
              </w:rPr>
            </w:pPr>
          </w:p>
        </w:tc>
      </w:tr>
    </w:tbl>
    <w:p w14:paraId="0CA21542">
      <w:pPr>
        <w:rPr>
          <w:rFonts w:hint="eastAsia" w:ascii="宋体" w:hAnsi="宋体" w:eastAsia="宋体" w:cs="宋体"/>
          <w:color w:val="000000" w:themeColor="text1"/>
          <w:highlight w:val="none"/>
          <w:lang w:val="en-US" w:eastAsia="zh-CN"/>
          <w14:textFill>
            <w14:solidFill>
              <w14:schemeClr w14:val="tx1"/>
            </w14:solidFill>
          </w14:textFill>
        </w:rPr>
      </w:pPr>
    </w:p>
    <w:p w14:paraId="1EDB3D61">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77FD4">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0CB92BCD">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BF9AF0">
      <w:pPr>
        <w:spacing w:line="240" w:lineRule="auto"/>
        <w:ind w:firstLine="452"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lang w:val="en-US" w:eastAsia="zh-CN"/>
          <w14:textFill>
            <w14:solidFill>
              <w14:schemeClr w14:val="tx1"/>
            </w14:solidFill>
          </w14:textFill>
        </w:rPr>
        <w:t>注：</w:t>
      </w:r>
      <w:r>
        <w:rPr>
          <w:rFonts w:hint="eastAsia" w:ascii="宋体" w:hAnsi="宋体" w:cs="宋体"/>
          <w:b/>
          <w:color w:val="000000" w:themeColor="text1"/>
          <w:sz w:val="15"/>
          <w:szCs w:val="15"/>
          <w14:textFill>
            <w14:solidFill>
              <w14:schemeClr w14:val="tx1"/>
            </w14:solidFill>
          </w14:textFill>
        </w:rPr>
        <w:t>1.应对照竞争性磋商文件“第三章 采购需求”中的技术需求及商务需</w:t>
      </w:r>
      <w:r>
        <w:rPr>
          <w:rFonts w:hint="eastAsia" w:ascii="宋体" w:hAnsi="宋体"/>
          <w:b/>
          <w:bCs/>
          <w:color w:val="000000" w:themeColor="text1"/>
          <w:kern w:val="21"/>
          <w:sz w:val="15"/>
          <w:szCs w:val="15"/>
          <w14:textFill>
            <w14:solidFill>
              <w14:schemeClr w14:val="tx1"/>
            </w14:solidFill>
          </w14:textFill>
        </w:rPr>
        <w:t>求</w:t>
      </w:r>
      <w:r>
        <w:rPr>
          <w:rFonts w:hint="eastAsia" w:ascii="宋体" w:hAnsi="宋体" w:cs="宋体"/>
          <w:b/>
          <w:color w:val="000000" w:themeColor="text1"/>
          <w:sz w:val="15"/>
          <w:szCs w:val="15"/>
          <w14:textFill>
            <w14:solidFill>
              <w14:schemeClr w14:val="tx1"/>
            </w14:solidFill>
          </w14:textFill>
        </w:rPr>
        <w:t>逐条实质性响应，并作出偏离说明</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lang w:val="en-US" w:eastAsia="zh-CN"/>
          <w14:textFill>
            <w14:solidFill>
              <w14:schemeClr w14:val="tx1"/>
            </w14:solidFill>
          </w14:textFill>
        </w:rPr>
        <w:t>不得对磋商文件需求参数进行修改，否则视为无效响应</w:t>
      </w:r>
      <w:r>
        <w:rPr>
          <w:rFonts w:hint="eastAsia" w:ascii="宋体" w:hAnsi="宋体" w:cs="宋体"/>
          <w:b/>
          <w:color w:val="000000" w:themeColor="text1"/>
          <w:sz w:val="15"/>
          <w:szCs w:val="15"/>
          <w14:textFill>
            <w14:solidFill>
              <w14:schemeClr w14:val="tx1"/>
            </w14:solidFill>
          </w14:textFill>
        </w:rPr>
        <w:t>。</w:t>
      </w:r>
    </w:p>
    <w:p w14:paraId="377B6C1B">
      <w:pPr>
        <w:spacing w:line="240" w:lineRule="auto"/>
        <w:ind w:firstLine="452"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2.供应商应根据自身的承诺，对照竞争性磋商文件要求在“偏离说明”中注明“正偏离</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14:textFill>
            <w14:solidFill>
              <w14:schemeClr w14:val="tx1"/>
            </w14:solidFill>
          </w14:textFill>
        </w:rPr>
        <w:t>负偏离”或者“无偏离”。既不属于“正偏离”也不属于“负偏离”即为“无偏离”。</w:t>
      </w:r>
    </w:p>
    <w:p w14:paraId="0FA1AA16">
      <w:pPr>
        <w:spacing w:line="240" w:lineRule="auto"/>
        <w:ind w:firstLine="452" w:firstLineChars="3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3.当本表由多页构成时，需逐页加盖磋商供应商（签章）（属自然人的须逐页签字或个人签章）。</w:t>
      </w:r>
      <w:r>
        <w:rPr>
          <w:rFonts w:hint="eastAsia" w:ascii="宋体" w:hAnsi="宋体" w:cs="宋体"/>
          <w:b/>
          <w:bCs/>
          <w:color w:val="000000" w:themeColor="text1"/>
          <w:szCs w:val="21"/>
          <w:highlight w:val="none"/>
          <w14:textFill>
            <w14:solidFill>
              <w14:schemeClr w14:val="tx1"/>
            </w14:solidFill>
          </w14:textFill>
        </w:rPr>
        <w:br w:type="page"/>
      </w:r>
    </w:p>
    <w:p w14:paraId="40CE6A45">
      <w:pPr>
        <w:widowControl/>
        <w:spacing w:line="44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w:t>
      </w:r>
      <w:bookmarkEnd w:id="369"/>
      <w:bookmarkEnd w:id="370"/>
      <w:bookmarkEnd w:id="371"/>
      <w:r>
        <w:rPr>
          <w:rFonts w:hint="eastAsia" w:ascii="宋体" w:hAnsi="宋体" w:cs="宋体"/>
          <w:b/>
          <w:bCs/>
          <w:color w:val="000000" w:themeColor="text1"/>
          <w:szCs w:val="21"/>
          <w:highlight w:val="none"/>
          <w:lang w:eastAsia="zh-CN"/>
          <w14:textFill>
            <w14:solidFill>
              <w14:schemeClr w14:val="tx1"/>
            </w14:solidFill>
          </w14:textFill>
        </w:rPr>
        <w:t>拟投入服务团队</w:t>
      </w:r>
      <w:r>
        <w:rPr>
          <w:rFonts w:hint="eastAsia" w:ascii="宋体" w:hAnsi="宋体" w:cs="宋体"/>
          <w:b/>
          <w:bCs/>
          <w:color w:val="000000" w:themeColor="text1"/>
          <w:szCs w:val="21"/>
          <w:highlight w:val="none"/>
          <w14:textFill>
            <w14:solidFill>
              <w14:schemeClr w14:val="tx1"/>
            </w14:solidFill>
          </w14:textFill>
        </w:rPr>
        <w:t>（如有，请提供）；</w:t>
      </w:r>
    </w:p>
    <w:tbl>
      <w:tblPr>
        <w:tblStyle w:val="36"/>
        <w:tblW w:w="97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2539"/>
      </w:tblGrid>
      <w:tr w14:paraId="1B8D2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000000" w:sz="4" w:space="0"/>
              <w:left w:val="single" w:color="000000" w:sz="4" w:space="0"/>
              <w:bottom w:val="single" w:color="000000" w:sz="4" w:space="0"/>
            </w:tcBorders>
            <w:vAlign w:val="center"/>
          </w:tcPr>
          <w:p w14:paraId="6BA0B413">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岗位</w:t>
            </w:r>
          </w:p>
        </w:tc>
        <w:tc>
          <w:tcPr>
            <w:tcW w:w="829" w:type="dxa"/>
            <w:vMerge w:val="restart"/>
            <w:tcBorders>
              <w:top w:val="single" w:color="000000" w:sz="4" w:space="0"/>
              <w:left w:val="single" w:color="000000" w:sz="4" w:space="0"/>
              <w:bottom w:val="single" w:color="000000" w:sz="4" w:space="0"/>
            </w:tcBorders>
            <w:vAlign w:val="center"/>
          </w:tcPr>
          <w:p w14:paraId="4D340839">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816" w:type="dxa"/>
            <w:vMerge w:val="restart"/>
            <w:tcBorders>
              <w:top w:val="single" w:color="000000" w:sz="4" w:space="0"/>
              <w:left w:val="single" w:color="000000" w:sz="4" w:space="0"/>
              <w:bottom w:val="single" w:color="000000" w:sz="4" w:space="0"/>
            </w:tcBorders>
            <w:vAlign w:val="center"/>
          </w:tcPr>
          <w:p w14:paraId="52587FFB">
            <w:pPr>
              <w:spacing w:line="440" w:lineRule="exact"/>
              <w:ind w:hanging="254"/>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年龄</w:t>
            </w:r>
          </w:p>
        </w:tc>
        <w:tc>
          <w:tcPr>
            <w:tcW w:w="4592" w:type="dxa"/>
            <w:gridSpan w:val="4"/>
            <w:tcBorders>
              <w:top w:val="single" w:color="000000" w:sz="4" w:space="0"/>
              <w:left w:val="single" w:color="000000" w:sz="4" w:space="0"/>
              <w:bottom w:val="single" w:color="000000" w:sz="4" w:space="0"/>
            </w:tcBorders>
            <w:vAlign w:val="center"/>
          </w:tcPr>
          <w:p w14:paraId="09F9B152">
            <w:pPr>
              <w:spacing w:line="440" w:lineRule="exact"/>
              <w:ind w:hanging="254"/>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职业资格证明</w:t>
            </w:r>
            <w:r>
              <w:rPr>
                <w:rFonts w:hint="eastAsia" w:ascii="宋体" w:hAnsi="宋体" w:cs="宋体"/>
                <w:color w:val="000000" w:themeColor="text1"/>
                <w:szCs w:val="21"/>
                <w:highlight w:val="none"/>
                <w:lang w:val="en-US" w:eastAsia="zh-CN"/>
                <w14:textFill>
                  <w14:solidFill>
                    <w14:schemeClr w14:val="tx1"/>
                  </w14:solidFill>
                </w14:textFill>
              </w:rPr>
              <w:t>及职称</w:t>
            </w:r>
          </w:p>
        </w:tc>
        <w:tc>
          <w:tcPr>
            <w:tcW w:w="2539" w:type="dxa"/>
            <w:vMerge w:val="restart"/>
            <w:tcBorders>
              <w:top w:val="single" w:color="000000" w:sz="4" w:space="0"/>
              <w:left w:val="single" w:color="000000" w:sz="4" w:space="0"/>
              <w:right w:val="single" w:color="000000" w:sz="4" w:space="0"/>
            </w:tcBorders>
            <w:vAlign w:val="center"/>
          </w:tcPr>
          <w:p w14:paraId="3A2995A6">
            <w:pPr>
              <w:spacing w:line="440" w:lineRule="exact"/>
              <w:ind w:hanging="254"/>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从业年限</w:t>
            </w:r>
          </w:p>
        </w:tc>
      </w:tr>
      <w:tr w14:paraId="43BC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000000" w:sz="4" w:space="0"/>
              <w:left w:val="single" w:color="000000" w:sz="4" w:space="0"/>
              <w:bottom w:val="single" w:color="000000" w:sz="4" w:space="0"/>
            </w:tcBorders>
            <w:vAlign w:val="center"/>
          </w:tcPr>
          <w:p w14:paraId="115A6CE3">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29" w:type="dxa"/>
            <w:vMerge w:val="continue"/>
            <w:tcBorders>
              <w:top w:val="single" w:color="000000" w:sz="4" w:space="0"/>
              <w:left w:val="single" w:color="000000" w:sz="4" w:space="0"/>
              <w:bottom w:val="single" w:color="000000" w:sz="4" w:space="0"/>
            </w:tcBorders>
            <w:vAlign w:val="center"/>
          </w:tcPr>
          <w:p w14:paraId="49B3B4CB">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16" w:type="dxa"/>
            <w:vMerge w:val="continue"/>
            <w:tcBorders>
              <w:top w:val="single" w:color="000000" w:sz="4" w:space="0"/>
              <w:left w:val="single" w:color="000000" w:sz="4" w:space="0"/>
              <w:bottom w:val="single" w:color="000000" w:sz="4" w:space="0"/>
            </w:tcBorders>
            <w:vAlign w:val="center"/>
          </w:tcPr>
          <w:p w14:paraId="454CF936">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6B575A00">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证书名称</w:t>
            </w:r>
          </w:p>
        </w:tc>
        <w:tc>
          <w:tcPr>
            <w:tcW w:w="1148" w:type="dxa"/>
            <w:tcBorders>
              <w:top w:val="single" w:color="000000" w:sz="4" w:space="0"/>
              <w:left w:val="single" w:color="000000" w:sz="4" w:space="0"/>
              <w:bottom w:val="single" w:color="000000" w:sz="4" w:space="0"/>
            </w:tcBorders>
            <w:vAlign w:val="center"/>
          </w:tcPr>
          <w:p w14:paraId="4859507B">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级别</w:t>
            </w:r>
          </w:p>
        </w:tc>
        <w:tc>
          <w:tcPr>
            <w:tcW w:w="1148" w:type="dxa"/>
            <w:tcBorders>
              <w:top w:val="single" w:color="000000" w:sz="4" w:space="0"/>
              <w:left w:val="single" w:color="000000" w:sz="4" w:space="0"/>
              <w:bottom w:val="single" w:color="000000" w:sz="4" w:space="0"/>
            </w:tcBorders>
            <w:vAlign w:val="center"/>
          </w:tcPr>
          <w:p w14:paraId="619ED913">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证号</w:t>
            </w:r>
          </w:p>
        </w:tc>
        <w:tc>
          <w:tcPr>
            <w:tcW w:w="1148" w:type="dxa"/>
            <w:tcBorders>
              <w:top w:val="single" w:color="000000" w:sz="4" w:space="0"/>
              <w:left w:val="single" w:color="000000" w:sz="4" w:space="0"/>
              <w:bottom w:val="single" w:color="000000" w:sz="4" w:space="0"/>
            </w:tcBorders>
            <w:vAlign w:val="center"/>
          </w:tcPr>
          <w:p w14:paraId="2D3A73D2">
            <w:pPr>
              <w:spacing w:line="440" w:lineRule="exact"/>
              <w:ind w:hanging="254"/>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职称</w:t>
            </w:r>
          </w:p>
        </w:tc>
        <w:tc>
          <w:tcPr>
            <w:tcW w:w="2539" w:type="dxa"/>
            <w:vMerge w:val="continue"/>
            <w:tcBorders>
              <w:left w:val="single" w:color="000000" w:sz="4" w:space="0"/>
              <w:bottom w:val="single" w:color="000000" w:sz="4" w:space="0"/>
              <w:right w:val="single" w:color="000000" w:sz="4" w:space="0"/>
            </w:tcBorders>
            <w:vAlign w:val="center"/>
          </w:tcPr>
          <w:p w14:paraId="196D68FC">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r>
      <w:tr w14:paraId="0982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93" w:type="dxa"/>
            <w:tcBorders>
              <w:top w:val="single" w:color="000000" w:sz="4" w:space="0"/>
              <w:left w:val="single" w:color="000000" w:sz="4" w:space="0"/>
              <w:bottom w:val="single" w:color="000000" w:sz="4" w:space="0"/>
            </w:tcBorders>
            <w:vAlign w:val="center"/>
          </w:tcPr>
          <w:p w14:paraId="1B92B526">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29" w:type="dxa"/>
            <w:tcBorders>
              <w:top w:val="single" w:color="000000" w:sz="4" w:space="0"/>
              <w:left w:val="single" w:color="000000" w:sz="4" w:space="0"/>
              <w:bottom w:val="single" w:color="000000" w:sz="4" w:space="0"/>
            </w:tcBorders>
            <w:vAlign w:val="center"/>
          </w:tcPr>
          <w:p w14:paraId="32656125">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16" w:type="dxa"/>
            <w:tcBorders>
              <w:top w:val="single" w:color="000000" w:sz="4" w:space="0"/>
              <w:left w:val="single" w:color="000000" w:sz="4" w:space="0"/>
              <w:bottom w:val="single" w:color="000000" w:sz="4" w:space="0"/>
            </w:tcBorders>
            <w:vAlign w:val="center"/>
          </w:tcPr>
          <w:p w14:paraId="498749A0">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792F661A">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168193AE">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42D04037">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368D9D3D">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2539" w:type="dxa"/>
            <w:tcBorders>
              <w:top w:val="single" w:color="000000" w:sz="4" w:space="0"/>
              <w:left w:val="single" w:color="000000" w:sz="4" w:space="0"/>
              <w:bottom w:val="single" w:color="000000" w:sz="4" w:space="0"/>
              <w:right w:val="single" w:color="000000" w:sz="4" w:space="0"/>
            </w:tcBorders>
            <w:vAlign w:val="center"/>
          </w:tcPr>
          <w:p w14:paraId="44613913">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r>
    </w:tbl>
    <w:p w14:paraId="2F72661B">
      <w:pPr>
        <w:spacing w:line="240" w:lineRule="auto"/>
        <w:jc w:val="both"/>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注：</w:t>
      </w:r>
    </w:p>
    <w:p w14:paraId="723E74FC">
      <w:pPr>
        <w:spacing w:line="240" w:lineRule="auto"/>
        <w:ind w:firstLine="300" w:firstLineChars="200"/>
        <w:jc w:val="both"/>
        <w:rPr>
          <w:rFonts w:hint="eastAsia" w:ascii="宋体" w:hAnsi="宋体" w:cs="宋体"/>
          <w:color w:val="000000" w:themeColor="text1"/>
          <w:sz w:val="15"/>
          <w:szCs w:val="15"/>
          <w:highlight w:val="none"/>
          <w14:textFill>
            <w14:solidFill>
              <w14:schemeClr w14:val="tx1"/>
            </w14:solidFill>
          </w14:textFill>
        </w:rPr>
      </w:pPr>
      <w:r>
        <w:rPr>
          <w:rFonts w:hint="eastAsia"/>
          <w:color w:val="000000" w:themeColor="text1"/>
          <w:sz w:val="15"/>
          <w:szCs w:val="15"/>
          <w:highlight w:val="none"/>
          <w:lang w:val="en-US" w:eastAsia="zh-CN"/>
          <w14:textFill>
            <w14:solidFill>
              <w14:schemeClr w14:val="tx1"/>
            </w14:solidFill>
          </w14:textFill>
        </w:rPr>
        <w:t>1.</w:t>
      </w:r>
      <w:r>
        <w:rPr>
          <w:rFonts w:hint="eastAsia"/>
          <w:color w:val="000000" w:themeColor="text1"/>
          <w:sz w:val="15"/>
          <w:szCs w:val="15"/>
          <w:highlight w:val="none"/>
          <w14:textFill>
            <w14:solidFill>
              <w14:schemeClr w14:val="tx1"/>
            </w14:solidFill>
          </w14:textFill>
        </w:rPr>
        <w:t>附拟投入人员身份证、相关证书、由县级以上（含县级）社会养老保险经办机构出具的投标人为拟投入项目人员交纳的投标截止时间当月前半年连续任意三个月社保证明（若为近期新聘员工的，以提供劳动合同证明材料复印件为准；若为退休人员的，以提供退休证及劳动合同证明材料复印件为准）等材料复印件】</w:t>
      </w:r>
    </w:p>
    <w:p w14:paraId="090F3C23">
      <w:pPr>
        <w:spacing w:line="240" w:lineRule="auto"/>
        <w:ind w:firstLine="300" w:firstLineChars="200"/>
        <w:jc w:val="both"/>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2</w:t>
      </w:r>
      <w:r>
        <w:rPr>
          <w:rFonts w:hint="eastAsia" w:ascii="宋体" w:hAnsi="宋体" w:cs="宋体"/>
          <w:color w:val="000000" w:themeColor="text1"/>
          <w:sz w:val="15"/>
          <w:szCs w:val="15"/>
          <w:highlight w:val="none"/>
          <w14:textFill>
            <w14:solidFill>
              <w14:schemeClr w14:val="tx1"/>
            </w14:solidFill>
          </w14:textFill>
        </w:rPr>
        <w:t>.在填写时，如本表格不适合供应商的实际情况，可根据本表格式自行制表填写。</w:t>
      </w:r>
    </w:p>
    <w:p w14:paraId="70D88B2F">
      <w:pPr>
        <w:pStyle w:val="20"/>
        <w:spacing w:line="440" w:lineRule="exact"/>
        <w:ind w:firstLine="420"/>
        <w:rPr>
          <w:rFonts w:hint="eastAsia" w:hAnsi="宋体" w:cs="宋体"/>
          <w:bCs/>
          <w:color w:val="000000" w:themeColor="text1"/>
          <w:szCs w:val="21"/>
          <w:highlight w:val="none"/>
          <w14:textFill>
            <w14:solidFill>
              <w14:schemeClr w14:val="tx1"/>
            </w14:solidFill>
          </w14:textFill>
        </w:rPr>
      </w:pPr>
    </w:p>
    <w:p w14:paraId="0DA79B88">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3F54C2E8">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6DDC22F4">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165BCE4">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p>
    <w:p w14:paraId="0AD8B0C7">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p>
    <w:p w14:paraId="4A25E7EB">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p>
    <w:p w14:paraId="7E45B6EE">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保险</w:t>
      </w:r>
      <w:r>
        <w:rPr>
          <w:rFonts w:hint="eastAsia" w:ascii="宋体" w:hAnsi="宋体" w:cs="宋体"/>
          <w:b/>
          <w:bCs/>
          <w:color w:val="000000" w:themeColor="text1"/>
          <w:szCs w:val="21"/>
          <w:highlight w:val="none"/>
          <w:lang w:eastAsia="zh-CN"/>
          <w14:textFill>
            <w14:solidFill>
              <w14:schemeClr w14:val="tx1"/>
            </w14:solidFill>
          </w14:textFill>
        </w:rPr>
        <w:t>服务方案（</w:t>
      </w:r>
      <w:r>
        <w:rPr>
          <w:rFonts w:hint="eastAsia" w:ascii="宋体" w:hAnsi="宋体" w:cs="宋体"/>
          <w:b/>
          <w:bCs/>
          <w:color w:val="000000" w:themeColor="text1"/>
          <w:szCs w:val="21"/>
          <w:highlight w:val="none"/>
          <w:lang w:val="en-US" w:eastAsia="zh-CN"/>
          <w14:textFill>
            <w14:solidFill>
              <w14:schemeClr w14:val="tx1"/>
            </w14:solidFill>
          </w14:textFill>
        </w:rPr>
        <w:t>根据评审标准要点据实编制</w:t>
      </w:r>
      <w:r>
        <w:rPr>
          <w:rFonts w:hint="eastAsia" w:ascii="宋体" w:hAnsi="宋体" w:cs="宋体"/>
          <w:b/>
          <w:bCs/>
          <w:color w:val="000000" w:themeColor="text1"/>
          <w:szCs w:val="21"/>
          <w:highlight w:val="none"/>
          <w:lang w:eastAsia="zh-CN"/>
          <w14:textFill>
            <w14:solidFill>
              <w14:schemeClr w14:val="tx1"/>
            </w14:solidFill>
          </w14:textFill>
        </w:rPr>
        <w:t>，如有，请提供）</w:t>
      </w:r>
    </w:p>
    <w:p w14:paraId="5D6FBE92">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p>
    <w:p w14:paraId="636BD248">
      <w:pPr>
        <w:pStyle w:val="15"/>
        <w:spacing w:line="440" w:lineRule="exact"/>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lang w:eastAsia="zh-CN"/>
          <w14:textFill>
            <w14:solidFill>
              <w14:schemeClr w14:val="tx1"/>
            </w14:solidFill>
          </w14:textFill>
        </w:rPr>
        <w:t>理赔服务方案</w:t>
      </w:r>
    </w:p>
    <w:p w14:paraId="25126DD3">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7ADE5399">
      <w:pPr>
        <w:pStyle w:val="15"/>
        <w:spacing w:line="440" w:lineRule="exact"/>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增值服务方案</w:t>
      </w:r>
    </w:p>
    <w:p w14:paraId="52219DFC">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571A66D0">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7.医疗纠纷调解赔付案例</w:t>
      </w:r>
    </w:p>
    <w:p w14:paraId="5228B399">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27A0D83C">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8.业绩材料</w:t>
      </w:r>
    </w:p>
    <w:p w14:paraId="0F3C0EF3">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793D9743">
      <w:pPr>
        <w:pStyle w:val="15"/>
        <w:spacing w:line="440" w:lineRule="exact"/>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9.经审计的年度偿付能力报告复印件或官方网站上公布的数据截图；</w:t>
      </w:r>
    </w:p>
    <w:p w14:paraId="03091150">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p>
    <w:p w14:paraId="67E5A870">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p>
    <w:p w14:paraId="32BDFD7A">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10</w:t>
      </w:r>
      <w:r>
        <w:rPr>
          <w:rFonts w:hint="eastAsia" w:ascii="宋体" w:hAnsi="宋体" w:cs="宋体"/>
          <w:b/>
          <w:bCs/>
          <w:color w:val="000000" w:themeColor="text1"/>
          <w:szCs w:val="21"/>
          <w:highlight w:val="none"/>
          <w14:textFill>
            <w14:solidFill>
              <w14:schemeClr w14:val="tx1"/>
            </w14:solidFill>
          </w14:textFill>
        </w:rPr>
        <w:t>.供应商属于中小企业的应提供《中小企业声明函》（详见附件）；或属于监狱企业的，应当提供由省级以上监狱管理局、戒毒管理局(含新疆生产建设兵团)出具的属于监狱企业的证明文件；或符合条件的残疾人福利性单位在参加政府采购活动时，应当提供《残疾人福利性单位声明函》（详见附件），并对声明的真实性负责</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lang w:val="en-US" w:eastAsia="zh-CN"/>
          <w14:textFill>
            <w14:solidFill>
              <w14:schemeClr w14:val="tx1"/>
            </w14:solidFill>
          </w14:textFill>
        </w:rPr>
        <w:t>如有，请</w:t>
      </w:r>
      <w:r>
        <w:rPr>
          <w:rFonts w:hint="eastAsia" w:ascii="宋体" w:hAnsi="宋体" w:cs="宋体"/>
          <w:b/>
          <w:color w:val="000000" w:themeColor="text1"/>
          <w:szCs w:val="21"/>
          <w:highlight w:val="none"/>
          <w14:textFill>
            <w14:solidFill>
              <w14:schemeClr w14:val="tx1"/>
            </w14:solidFill>
          </w14:textFill>
        </w:rPr>
        <w:t>提供）；</w:t>
      </w:r>
    </w:p>
    <w:p w14:paraId="24863D71">
      <w:pPr>
        <w:snapToGrid w:val="0"/>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中小企业声明函（格式）</w:t>
      </w:r>
    </w:p>
    <w:p w14:paraId="042FC59F">
      <w:pPr>
        <w:spacing w:line="440" w:lineRule="exact"/>
        <w:ind w:firstLine="64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本公司郑重声明，根据《政府采购促进中小企业发展管理办法》（财库﹝2020﹞46号）的规定，本公司参加</w:t>
      </w:r>
      <w:r>
        <w:rPr>
          <w:rFonts w:hint="eastAsia" w:ascii="宋体" w:hAnsi="宋体" w:cs="宋体"/>
          <w:bCs/>
          <w:color w:val="000000" w:themeColor="text1"/>
          <w:spacing w:val="-10"/>
          <w:szCs w:val="21"/>
          <w:highlight w:val="none"/>
          <w:u w:val="single"/>
          <w14:textFill>
            <w14:solidFill>
              <w14:schemeClr w14:val="tx1"/>
            </w14:solidFill>
          </w14:textFill>
        </w:rPr>
        <w:t>（单位名称）</w:t>
      </w:r>
      <w:r>
        <w:rPr>
          <w:rFonts w:hint="eastAsia" w:ascii="宋体" w:hAnsi="宋体" w:cs="宋体"/>
          <w:bCs/>
          <w:color w:val="000000" w:themeColor="text1"/>
          <w:spacing w:val="-10"/>
          <w:szCs w:val="21"/>
          <w:highlight w:val="none"/>
          <w14:textFill>
            <w14:solidFill>
              <w14:schemeClr w14:val="tx1"/>
            </w14:solidFill>
          </w14:textFill>
        </w:rPr>
        <w:t>的</w:t>
      </w:r>
      <w:r>
        <w:rPr>
          <w:rFonts w:hint="eastAsia" w:ascii="宋体" w:hAnsi="宋体" w:cs="宋体"/>
          <w:bCs/>
          <w:color w:val="000000" w:themeColor="text1"/>
          <w:spacing w:val="-10"/>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14:textFill>
            <w14:solidFill>
              <w14:schemeClr w14:val="tx1"/>
            </w14:solidFill>
          </w14:textFill>
        </w:rPr>
        <w:t>采购活动，服务全部由符合政策要求的中小企业承接。相关企业的具体情况如下：</w:t>
      </w:r>
    </w:p>
    <w:p w14:paraId="76217078">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 xml:space="preserve"> （其他未列明行业） </w:t>
      </w:r>
      <w:r>
        <w:rPr>
          <w:rFonts w:hint="eastAsia" w:ascii="宋体" w:hAnsi="宋体" w:cs="宋体"/>
          <w:color w:val="000000" w:themeColor="text1"/>
          <w:szCs w:val="21"/>
          <w:highlight w:val="none"/>
          <w14:textFill>
            <w14:solidFill>
              <w14:schemeClr w14:val="tx1"/>
            </w14:solidFill>
          </w14:textFill>
        </w:rPr>
        <w:t xml:space="preserve"> 行业；承接企业为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5193FA42">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 xml:space="preserve"> （其他未列明行业） </w:t>
      </w:r>
      <w:r>
        <w:rPr>
          <w:rFonts w:hint="eastAsia" w:ascii="宋体" w:hAnsi="宋体" w:cs="宋体"/>
          <w:color w:val="000000" w:themeColor="text1"/>
          <w:szCs w:val="21"/>
          <w:highlight w:val="none"/>
          <w14:textFill>
            <w14:solidFill>
              <w14:schemeClr w14:val="tx1"/>
            </w14:solidFill>
          </w14:textFill>
        </w:rPr>
        <w:t xml:space="preserve"> 行业；承接企业为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2A4799E7">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0D3AAEAE">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本企业对上述声明内容的真实性负责。如有虚假，将依法承担相应责任。</w:t>
      </w:r>
    </w:p>
    <w:p w14:paraId="1C3E6180">
      <w:pPr>
        <w:spacing w:line="440" w:lineRule="exact"/>
        <w:ind w:firstLine="480"/>
        <w:rPr>
          <w:rFonts w:hint="eastAsia" w:ascii="宋体" w:hAnsi="宋体" w:cs="宋体"/>
          <w:color w:val="000000" w:themeColor="text1"/>
          <w:szCs w:val="21"/>
          <w:highlight w:val="none"/>
          <w14:textFill>
            <w14:solidFill>
              <w14:schemeClr w14:val="tx1"/>
            </w14:solidFill>
          </w14:textFill>
        </w:rPr>
      </w:pPr>
    </w:p>
    <w:p w14:paraId="103BC80F">
      <w:pPr>
        <w:wordWrap w:val="0"/>
        <w:snapToGrid w:val="0"/>
        <w:spacing w:line="440" w:lineRule="exact"/>
        <w:jc w:val="righ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企业公章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lang w:val="en-US" w:eastAsia="zh-CN"/>
          <w14:textFill>
            <w14:solidFill>
              <w14:schemeClr w14:val="tx1"/>
            </w14:solidFill>
          </w14:textFill>
        </w:rPr>
        <w:t xml:space="preserve">              </w:t>
      </w:r>
    </w:p>
    <w:p w14:paraId="562EA74B">
      <w:pPr>
        <w:snapToGrid w:val="0"/>
        <w:spacing w:line="440" w:lineRule="exact"/>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日</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期：</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  月  日</w:t>
      </w:r>
    </w:p>
    <w:p w14:paraId="0E3AD7D5">
      <w:pPr>
        <w:spacing w:line="440" w:lineRule="exact"/>
        <w:ind w:firstLine="48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注：1.从业人员、营业收入、资产总额填报上一年度数据，无上一年度数据的新成立企业可不填报。</w:t>
      </w:r>
    </w:p>
    <w:p w14:paraId="379B6427">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bookmarkStart w:id="374" w:name="OLE_LINK13"/>
      <w:bookmarkStart w:id="375" w:name="OLE_LINK14"/>
    </w:p>
    <w:p w14:paraId="61D5A613">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p>
    <w:p w14:paraId="43489BA7">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p>
    <w:p w14:paraId="4FCF614E">
      <w:pPr>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残疾人福利性单位声明函</w:t>
      </w:r>
    </w:p>
    <w:bookmarkEnd w:id="374"/>
    <w:bookmarkEnd w:id="375"/>
    <w:p w14:paraId="7EFD32BC">
      <w:pPr>
        <w:spacing w:line="440" w:lineRule="exact"/>
        <w:rPr>
          <w:rFonts w:hint="eastAsia" w:ascii="宋体" w:hAnsi="宋体" w:cs="宋体"/>
          <w:b/>
          <w:color w:val="000000" w:themeColor="text1"/>
          <w:spacing w:val="6"/>
          <w:szCs w:val="21"/>
          <w:highlight w:val="none"/>
          <w14:textFill>
            <w14:solidFill>
              <w14:schemeClr w14:val="tx1"/>
            </w14:solidFill>
          </w14:textFill>
        </w:rPr>
      </w:pPr>
    </w:p>
    <w:p w14:paraId="25ACB391">
      <w:pPr>
        <w:spacing w:line="440" w:lineRule="exact"/>
        <w:ind w:firstLine="50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pacing w:val="6"/>
          <w:szCs w:val="21"/>
          <w:highlight w:val="none"/>
          <w:lang w:eastAsia="zh-CN"/>
          <w14:textFill>
            <w14:solidFill>
              <w14:schemeClr w14:val="tx1"/>
            </w14:solidFill>
          </w14:textFill>
        </w:rPr>
        <w:t>〔2017〕141号</w:t>
      </w:r>
      <w:r>
        <w:rPr>
          <w:rFonts w:hint="eastAsia" w:ascii="宋体" w:hAnsi="宋体" w:cs="宋体"/>
          <w:color w:val="000000" w:themeColor="text1"/>
          <w:spacing w:val="6"/>
          <w:szCs w:val="2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B6284E">
      <w:pPr>
        <w:spacing w:line="440" w:lineRule="exact"/>
        <w:ind w:firstLine="50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11EC49FF">
      <w:pPr>
        <w:spacing w:line="440" w:lineRule="exact"/>
        <w:ind w:firstLine="504"/>
        <w:rPr>
          <w:rFonts w:hint="eastAsia" w:ascii="宋体" w:hAnsi="宋体" w:cs="宋体"/>
          <w:color w:val="000000" w:themeColor="text1"/>
          <w:spacing w:val="6"/>
          <w:szCs w:val="21"/>
          <w:highlight w:val="none"/>
          <w14:textFill>
            <w14:solidFill>
              <w14:schemeClr w14:val="tx1"/>
            </w14:solidFill>
          </w14:textFill>
        </w:rPr>
      </w:pPr>
    </w:p>
    <w:p w14:paraId="0BC406C1">
      <w:pPr>
        <w:spacing w:line="440" w:lineRule="exact"/>
        <w:ind w:firstLine="504"/>
        <w:rPr>
          <w:rFonts w:hint="eastAsia" w:ascii="宋体" w:hAnsi="宋体" w:cs="宋体"/>
          <w:color w:val="000000" w:themeColor="text1"/>
          <w:spacing w:val="6"/>
          <w:szCs w:val="21"/>
          <w:highlight w:val="none"/>
          <w14:textFill>
            <w14:solidFill>
              <w14:schemeClr w14:val="tx1"/>
            </w14:solidFill>
          </w14:textFill>
        </w:rPr>
      </w:pPr>
    </w:p>
    <w:p w14:paraId="577CC1AA">
      <w:pPr>
        <w:tabs>
          <w:tab w:val="left" w:pos="4860"/>
        </w:tabs>
        <w:spacing w:line="440" w:lineRule="exact"/>
        <w:ind w:firstLine="50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单位公章</w:t>
      </w:r>
      <w:r>
        <w:rPr>
          <w:rFonts w:hint="eastAsia" w:ascii="宋体" w:hAnsi="宋体" w:cs="宋体"/>
          <w:color w:val="000000" w:themeColor="text1"/>
          <w:spacing w:val="6"/>
          <w:szCs w:val="21"/>
          <w:highlight w:val="none"/>
          <w:lang w:eastAsia="zh-CN"/>
          <w14:textFill>
            <w14:solidFill>
              <w14:schemeClr w14:val="tx1"/>
            </w14:solidFill>
          </w14:textFill>
        </w:rPr>
        <w:t>（</w:t>
      </w:r>
      <w:r>
        <w:rPr>
          <w:rFonts w:hint="eastAsia" w:ascii="宋体" w:hAnsi="宋体" w:cs="宋体"/>
          <w:color w:val="000000" w:themeColor="text1"/>
          <w:spacing w:val="6"/>
          <w:szCs w:val="21"/>
          <w:highlight w:val="none"/>
          <w14:textFill>
            <w14:solidFill>
              <w14:schemeClr w14:val="tx1"/>
            </w14:solidFill>
          </w14:textFill>
        </w:rPr>
        <w:t>自然人除外）：</w:t>
      </w:r>
    </w:p>
    <w:p w14:paraId="29E7957E">
      <w:pPr>
        <w:pStyle w:val="15"/>
        <w:spacing w:line="440" w:lineRule="exact"/>
        <w:ind w:firstLine="468"/>
        <w:jc w:val="center"/>
        <w:rPr>
          <w:rFonts w:hint="eastAsia" w:ascii="宋体" w:hAnsi="宋体" w:cs="宋体"/>
          <w:color w:val="000000" w:themeColor="text1"/>
          <w:spacing w:val="6"/>
          <w:sz w:val="21"/>
          <w:szCs w:val="21"/>
          <w:highlight w:val="none"/>
          <w14:textFill>
            <w14:solidFill>
              <w14:schemeClr w14:val="tx1"/>
            </w14:solidFill>
          </w14:textFill>
        </w:rPr>
      </w:pPr>
      <w:r>
        <w:rPr>
          <w:rFonts w:hint="eastAsia" w:ascii="宋体" w:hAnsi="宋体" w:cs="宋体"/>
          <w:color w:val="000000" w:themeColor="text1"/>
          <w:spacing w:val="6"/>
          <w:sz w:val="21"/>
          <w:szCs w:val="21"/>
          <w:highlight w:val="none"/>
          <w14:textFill>
            <w14:solidFill>
              <w14:schemeClr w14:val="tx1"/>
            </w14:solidFill>
          </w14:textFill>
        </w:rPr>
        <w:t>日  期：</w:t>
      </w:r>
    </w:p>
    <w:p w14:paraId="3C35A625">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p>
    <w:p w14:paraId="775206A3">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11.</w:t>
      </w:r>
      <w:r>
        <w:rPr>
          <w:rFonts w:hint="eastAsia" w:ascii="宋体" w:hAnsi="宋体" w:cs="宋体"/>
          <w:b/>
          <w:bCs/>
          <w:color w:val="000000" w:themeColor="text1"/>
          <w:szCs w:val="21"/>
          <w:highlight w:val="none"/>
          <w14:textFill>
            <w14:solidFill>
              <w14:schemeClr w14:val="tx1"/>
            </w14:solidFill>
          </w14:textFill>
        </w:rPr>
        <w:t>供应商相关获奖证书、认证证书等复印件（如有请提供）</w:t>
      </w:r>
    </w:p>
    <w:p w14:paraId="451B653A">
      <w:pPr>
        <w:spacing w:line="440" w:lineRule="exact"/>
        <w:rPr>
          <w:rFonts w:hint="eastAsia" w:ascii="宋体" w:hAnsi="宋体" w:cs="宋体"/>
          <w:b/>
          <w:bCs/>
          <w:color w:val="000000" w:themeColor="text1"/>
          <w:szCs w:val="21"/>
          <w:highlight w:val="none"/>
          <w14:textFill>
            <w14:solidFill>
              <w14:schemeClr w14:val="tx1"/>
            </w14:solidFill>
          </w14:textFill>
        </w:rPr>
      </w:pPr>
    </w:p>
    <w:p w14:paraId="74E77B55">
      <w:pPr>
        <w:pStyle w:val="15"/>
        <w:rPr>
          <w:rFonts w:hint="eastAsia" w:ascii="宋体" w:hAnsi="宋体" w:cs="宋体"/>
          <w:b/>
          <w:bCs/>
          <w:color w:val="000000" w:themeColor="text1"/>
          <w:szCs w:val="21"/>
          <w:highlight w:val="none"/>
          <w14:textFill>
            <w14:solidFill>
              <w14:schemeClr w14:val="tx1"/>
            </w14:solidFill>
          </w14:textFill>
        </w:rPr>
      </w:pPr>
    </w:p>
    <w:p w14:paraId="14B85168">
      <w:pPr>
        <w:rPr>
          <w:rFonts w:hint="eastAsia"/>
          <w:color w:val="000000" w:themeColor="text1"/>
          <w14:textFill>
            <w14:solidFill>
              <w14:schemeClr w14:val="tx1"/>
            </w14:solidFill>
          </w14:textFill>
        </w:rPr>
      </w:pPr>
    </w:p>
    <w:p w14:paraId="3C184720">
      <w:pPr>
        <w:pStyle w:val="20"/>
        <w:adjustRightInd w:val="0"/>
        <w:spacing w:line="360" w:lineRule="exact"/>
        <w:contextualSpacing/>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12</w:t>
      </w:r>
      <w:r>
        <w:rPr>
          <w:rFonts w:hint="eastAsia" w:ascii="宋体" w:hAnsi="宋体" w:cs="宋体"/>
          <w:b/>
          <w:bCs/>
          <w:color w:val="000000" w:themeColor="text1"/>
          <w:szCs w:val="21"/>
          <w:highlight w:val="none"/>
          <w14:textFill>
            <w14:solidFill>
              <w14:schemeClr w14:val="tx1"/>
            </w14:solidFill>
          </w14:textFill>
        </w:rPr>
        <w:t>.供应商认为有必要提供的其他资料（如有，请提供）</w:t>
      </w:r>
    </w:p>
    <w:p w14:paraId="27A38EC9">
      <w:pPr>
        <w:pStyle w:val="20"/>
        <w:adjustRightInd w:val="0"/>
        <w:spacing w:line="360" w:lineRule="exact"/>
        <w:contextualSpacing/>
        <w:rPr>
          <w:rFonts w:hint="eastAsia" w:ascii="宋体" w:hAnsi="宋体" w:cs="宋体"/>
          <w:b/>
          <w:bCs/>
          <w:color w:val="000000" w:themeColor="text1"/>
          <w:szCs w:val="21"/>
          <w:highlight w:val="none"/>
          <w14:textFill>
            <w14:solidFill>
              <w14:schemeClr w14:val="tx1"/>
            </w14:solidFill>
          </w14:textFill>
        </w:rPr>
      </w:pPr>
    </w:p>
    <w:p w14:paraId="5A190B93">
      <w:pPr>
        <w:pStyle w:val="20"/>
        <w:adjustRightInd w:val="0"/>
        <w:spacing w:line="360" w:lineRule="exact"/>
        <w:contextualSpacing/>
        <w:rPr>
          <w:rFonts w:hint="eastAsia" w:hAnsi="宋体" w:cs="宋体"/>
          <w:b/>
          <w:color w:val="000000" w:themeColor="text1"/>
          <w:szCs w:val="24"/>
          <w:highlight w:val="none"/>
          <w14:textFill>
            <w14:solidFill>
              <w14:schemeClr w14:val="tx1"/>
            </w14:solidFill>
          </w14:textFill>
        </w:rPr>
      </w:pPr>
      <w:r>
        <w:rPr>
          <w:rFonts w:hint="eastAsia" w:hAnsi="宋体" w:cs="宋体"/>
          <w:b/>
          <w:color w:val="000000" w:themeColor="text1"/>
          <w:szCs w:val="24"/>
          <w:highlight w:val="none"/>
          <w14:textFill>
            <w14:solidFill>
              <w14:schemeClr w14:val="tx1"/>
            </w14:solidFill>
          </w14:textFill>
        </w:rPr>
        <w:t>附表1：</w:t>
      </w:r>
    </w:p>
    <w:p w14:paraId="4424A226">
      <w:pPr>
        <w:widowControl/>
        <w:spacing w:beforeLines="50" w:afterLines="50" w:line="360" w:lineRule="exact"/>
        <w:jc w:val="center"/>
        <w:rPr>
          <w:rFonts w:ascii="Arial" w:hAnsi="Arial" w:cs="Arial"/>
          <w:b/>
          <w:bCs/>
          <w:color w:val="000000" w:themeColor="text1"/>
          <w:kern w:val="0"/>
          <w:sz w:val="15"/>
          <w:szCs w:val="15"/>
          <w:highlight w:val="none"/>
          <w14:textFill>
            <w14:solidFill>
              <w14:schemeClr w14:val="tx1"/>
            </w14:solidFill>
          </w14:textFill>
        </w:rPr>
      </w:pPr>
      <w:bookmarkStart w:id="376" w:name="_Toc28361_WPSOffice_Level2"/>
      <w:r>
        <w:rPr>
          <w:rFonts w:ascii="Arial" w:hAnsi="Arial" w:cs="Arial"/>
          <w:b/>
          <w:bCs/>
          <w:color w:val="000000" w:themeColor="text1"/>
          <w:kern w:val="0"/>
          <w:sz w:val="15"/>
          <w:szCs w:val="15"/>
          <w:highlight w:val="none"/>
          <w14:textFill>
            <w14:solidFill>
              <w14:schemeClr w14:val="tx1"/>
            </w14:solidFill>
          </w14:textFill>
        </w:rPr>
        <w:t>统计上大中小微型企业划分标准</w:t>
      </w:r>
      <w:bookmarkEnd w:id="376"/>
    </w:p>
    <w:tbl>
      <w:tblPr>
        <w:tblStyle w:val="36"/>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1639"/>
        <w:gridCol w:w="1026"/>
        <w:gridCol w:w="1015"/>
        <w:gridCol w:w="1750"/>
        <w:gridCol w:w="1513"/>
        <w:gridCol w:w="1432"/>
      </w:tblGrid>
      <w:tr w14:paraId="59E5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blHeader/>
          <w:jc w:val="center"/>
        </w:trPr>
        <w:tc>
          <w:tcPr>
            <w:tcW w:w="1615" w:type="dxa"/>
            <w:shd w:val="clear" w:color="auto" w:fill="8DB3E2"/>
            <w:vAlign w:val="center"/>
          </w:tcPr>
          <w:p w14:paraId="204C4108">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行业名称</w:t>
            </w:r>
          </w:p>
        </w:tc>
        <w:tc>
          <w:tcPr>
            <w:tcW w:w="1639" w:type="dxa"/>
            <w:shd w:val="clear" w:color="auto" w:fill="8DB3E2"/>
            <w:vAlign w:val="center"/>
          </w:tcPr>
          <w:p w14:paraId="36CC5352">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指标名称</w:t>
            </w:r>
          </w:p>
        </w:tc>
        <w:tc>
          <w:tcPr>
            <w:tcW w:w="1026" w:type="dxa"/>
            <w:shd w:val="clear" w:color="auto" w:fill="8DB3E2"/>
            <w:vAlign w:val="center"/>
          </w:tcPr>
          <w:p w14:paraId="535B1DAD">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计量单位</w:t>
            </w:r>
          </w:p>
        </w:tc>
        <w:tc>
          <w:tcPr>
            <w:tcW w:w="1015" w:type="dxa"/>
            <w:shd w:val="clear" w:color="auto" w:fill="8DB3E2"/>
            <w:vAlign w:val="center"/>
          </w:tcPr>
          <w:p w14:paraId="3533A9D4">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大型</w:t>
            </w:r>
          </w:p>
        </w:tc>
        <w:tc>
          <w:tcPr>
            <w:tcW w:w="1750" w:type="dxa"/>
            <w:shd w:val="clear" w:color="auto" w:fill="8DB3E2"/>
            <w:vAlign w:val="center"/>
          </w:tcPr>
          <w:p w14:paraId="32C52111">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中型</w:t>
            </w:r>
          </w:p>
        </w:tc>
        <w:tc>
          <w:tcPr>
            <w:tcW w:w="1513" w:type="dxa"/>
            <w:shd w:val="clear" w:color="auto" w:fill="8DB3E2"/>
            <w:vAlign w:val="center"/>
          </w:tcPr>
          <w:p w14:paraId="38104540">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小型</w:t>
            </w:r>
          </w:p>
        </w:tc>
        <w:tc>
          <w:tcPr>
            <w:tcW w:w="1432" w:type="dxa"/>
            <w:shd w:val="clear" w:color="auto" w:fill="8DB3E2"/>
            <w:vAlign w:val="center"/>
          </w:tcPr>
          <w:p w14:paraId="46246636">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微型</w:t>
            </w:r>
          </w:p>
        </w:tc>
      </w:tr>
      <w:tr w14:paraId="141E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Align w:val="center"/>
          </w:tcPr>
          <w:p w14:paraId="5071CA8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农、林、牧、渔业</w:t>
            </w:r>
          </w:p>
        </w:tc>
        <w:tc>
          <w:tcPr>
            <w:tcW w:w="1639" w:type="dxa"/>
            <w:vAlign w:val="center"/>
          </w:tcPr>
          <w:p w14:paraId="408BB69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84179C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B478E9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w:t>
            </w:r>
          </w:p>
        </w:tc>
        <w:tc>
          <w:tcPr>
            <w:tcW w:w="1750" w:type="dxa"/>
            <w:vAlign w:val="center"/>
          </w:tcPr>
          <w:p w14:paraId="3F355FB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500≤Y＜20000</w:t>
            </w:r>
          </w:p>
        </w:tc>
        <w:tc>
          <w:tcPr>
            <w:tcW w:w="1513" w:type="dxa"/>
            <w:vAlign w:val="center"/>
          </w:tcPr>
          <w:p w14:paraId="65D6E6A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50≤Y＜500</w:t>
            </w:r>
          </w:p>
        </w:tc>
        <w:tc>
          <w:tcPr>
            <w:tcW w:w="1432" w:type="dxa"/>
            <w:vAlign w:val="center"/>
          </w:tcPr>
          <w:p w14:paraId="2E7CD13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w:t>
            </w:r>
          </w:p>
        </w:tc>
      </w:tr>
      <w:tr w14:paraId="4F79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56C1AFC9">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工业 ×</w:t>
            </w:r>
          </w:p>
        </w:tc>
        <w:tc>
          <w:tcPr>
            <w:tcW w:w="1639" w:type="dxa"/>
            <w:vAlign w:val="center"/>
          </w:tcPr>
          <w:p w14:paraId="1278489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0621F59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05F7E43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4817A13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0DCD822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3981FE4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0CBD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0B0E81A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00B6500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1D4DA5B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7D15AA0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Y≥40000</w:t>
            </w:r>
          </w:p>
        </w:tc>
        <w:tc>
          <w:tcPr>
            <w:tcW w:w="1750" w:type="dxa"/>
            <w:vAlign w:val="center"/>
          </w:tcPr>
          <w:p w14:paraId="1C5B5A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2000≤Y＜40000</w:t>
            </w:r>
          </w:p>
        </w:tc>
        <w:tc>
          <w:tcPr>
            <w:tcW w:w="1513" w:type="dxa"/>
            <w:vAlign w:val="center"/>
          </w:tcPr>
          <w:p w14:paraId="72E218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300≤Y＜2000</w:t>
            </w:r>
          </w:p>
        </w:tc>
        <w:tc>
          <w:tcPr>
            <w:tcW w:w="1432" w:type="dxa"/>
            <w:vAlign w:val="center"/>
          </w:tcPr>
          <w:p w14:paraId="5733286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w:t>
            </w:r>
          </w:p>
        </w:tc>
      </w:tr>
      <w:tr w14:paraId="643B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49A40895">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建筑业</w:t>
            </w:r>
          </w:p>
        </w:tc>
        <w:tc>
          <w:tcPr>
            <w:tcW w:w="1639" w:type="dxa"/>
            <w:vAlign w:val="center"/>
          </w:tcPr>
          <w:p w14:paraId="6B61391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7FF0B13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7C86CC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Y≥80000</w:t>
            </w:r>
          </w:p>
        </w:tc>
        <w:tc>
          <w:tcPr>
            <w:tcW w:w="1750" w:type="dxa"/>
            <w:vAlign w:val="center"/>
          </w:tcPr>
          <w:p w14:paraId="765A8A3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6000≤Y＜80000</w:t>
            </w:r>
          </w:p>
        </w:tc>
        <w:tc>
          <w:tcPr>
            <w:tcW w:w="1513" w:type="dxa"/>
            <w:vAlign w:val="center"/>
          </w:tcPr>
          <w:p w14:paraId="5F49BA0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300≤Y＜6000</w:t>
            </w:r>
          </w:p>
        </w:tc>
        <w:tc>
          <w:tcPr>
            <w:tcW w:w="1432" w:type="dxa"/>
            <w:vAlign w:val="center"/>
          </w:tcPr>
          <w:p w14:paraId="0F6A1F6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w:t>
            </w:r>
          </w:p>
        </w:tc>
      </w:tr>
      <w:tr w14:paraId="1E1B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798AAB0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22612A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58B54AA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52F134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Z≥80000</w:t>
            </w:r>
          </w:p>
        </w:tc>
        <w:tc>
          <w:tcPr>
            <w:tcW w:w="1750" w:type="dxa"/>
            <w:vAlign w:val="center"/>
          </w:tcPr>
          <w:p w14:paraId="3916F80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5000≤Z＜80000</w:t>
            </w:r>
          </w:p>
        </w:tc>
        <w:tc>
          <w:tcPr>
            <w:tcW w:w="1513" w:type="dxa"/>
            <w:vAlign w:val="center"/>
          </w:tcPr>
          <w:p w14:paraId="4DDAD30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300≤Z＜5000</w:t>
            </w:r>
          </w:p>
        </w:tc>
        <w:tc>
          <w:tcPr>
            <w:tcW w:w="1432" w:type="dxa"/>
            <w:vAlign w:val="center"/>
          </w:tcPr>
          <w:p w14:paraId="771B9CD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Z＜300</w:t>
            </w:r>
          </w:p>
        </w:tc>
      </w:tr>
      <w:tr w14:paraId="3C7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65EB034">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批发业</w:t>
            </w:r>
          </w:p>
        </w:tc>
        <w:tc>
          <w:tcPr>
            <w:tcW w:w="1639" w:type="dxa"/>
            <w:vAlign w:val="center"/>
          </w:tcPr>
          <w:p w14:paraId="5C2BD54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40D60CF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DAF59C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w:t>
            </w:r>
          </w:p>
        </w:tc>
        <w:tc>
          <w:tcPr>
            <w:tcW w:w="1750" w:type="dxa"/>
            <w:vAlign w:val="center"/>
          </w:tcPr>
          <w:p w14:paraId="21DC30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20≤X＜200</w:t>
            </w:r>
          </w:p>
        </w:tc>
        <w:tc>
          <w:tcPr>
            <w:tcW w:w="1513" w:type="dxa"/>
            <w:vAlign w:val="center"/>
          </w:tcPr>
          <w:p w14:paraId="4E64F1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5≤X＜20</w:t>
            </w:r>
          </w:p>
        </w:tc>
        <w:tc>
          <w:tcPr>
            <w:tcW w:w="1432" w:type="dxa"/>
            <w:vAlign w:val="center"/>
          </w:tcPr>
          <w:p w14:paraId="693CAAC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X＜5</w:t>
            </w:r>
          </w:p>
        </w:tc>
      </w:tr>
      <w:tr w14:paraId="2D10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14A26BF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73B73A7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6ABA08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576152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Y≥40000</w:t>
            </w:r>
          </w:p>
        </w:tc>
        <w:tc>
          <w:tcPr>
            <w:tcW w:w="1750" w:type="dxa"/>
            <w:vAlign w:val="center"/>
          </w:tcPr>
          <w:p w14:paraId="532273E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5000≤Y＜40000</w:t>
            </w:r>
          </w:p>
        </w:tc>
        <w:tc>
          <w:tcPr>
            <w:tcW w:w="1513" w:type="dxa"/>
            <w:vAlign w:val="center"/>
          </w:tcPr>
          <w:p w14:paraId="68C7453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1000≤Y＜5000</w:t>
            </w:r>
          </w:p>
        </w:tc>
        <w:tc>
          <w:tcPr>
            <w:tcW w:w="1432" w:type="dxa"/>
            <w:vAlign w:val="center"/>
          </w:tcPr>
          <w:p w14:paraId="29D0EC4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w:t>
            </w:r>
          </w:p>
        </w:tc>
      </w:tr>
      <w:tr w14:paraId="74A0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02F03F4">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零售业</w:t>
            </w:r>
          </w:p>
        </w:tc>
        <w:tc>
          <w:tcPr>
            <w:tcW w:w="1639" w:type="dxa"/>
            <w:vAlign w:val="center"/>
          </w:tcPr>
          <w:p w14:paraId="4A02C63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5F12A0A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F27884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690F3D3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50≤X＜300</w:t>
            </w:r>
          </w:p>
        </w:tc>
        <w:tc>
          <w:tcPr>
            <w:tcW w:w="1513" w:type="dxa"/>
            <w:vAlign w:val="center"/>
          </w:tcPr>
          <w:p w14:paraId="707A09E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10≤X＜50 </w:t>
            </w:r>
          </w:p>
        </w:tc>
        <w:tc>
          <w:tcPr>
            <w:tcW w:w="1432" w:type="dxa"/>
            <w:vAlign w:val="center"/>
          </w:tcPr>
          <w:p w14:paraId="13400F6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22BB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5E5B461B">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E02C74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F9509A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222D9A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w:t>
            </w:r>
          </w:p>
        </w:tc>
        <w:tc>
          <w:tcPr>
            <w:tcW w:w="1750" w:type="dxa"/>
            <w:vAlign w:val="center"/>
          </w:tcPr>
          <w:p w14:paraId="7249709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500≤Y＜20000</w:t>
            </w:r>
          </w:p>
        </w:tc>
        <w:tc>
          <w:tcPr>
            <w:tcW w:w="1513" w:type="dxa"/>
            <w:vAlign w:val="center"/>
          </w:tcPr>
          <w:p w14:paraId="27A0C1A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100≤Y＜500</w:t>
            </w:r>
          </w:p>
        </w:tc>
        <w:tc>
          <w:tcPr>
            <w:tcW w:w="1432" w:type="dxa"/>
            <w:vAlign w:val="center"/>
          </w:tcPr>
          <w:p w14:paraId="6BC5041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06A8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6D4E1438">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交通运输业 ×</w:t>
            </w:r>
          </w:p>
        </w:tc>
        <w:tc>
          <w:tcPr>
            <w:tcW w:w="1639" w:type="dxa"/>
            <w:vAlign w:val="center"/>
          </w:tcPr>
          <w:p w14:paraId="65055B8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6FB6B1E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73C3723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1D56FAB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3A8B78B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4C58009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5DA1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7838ED28">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6AA3C0C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2FC3E5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B307A8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1DFE32A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3000≤Y＜30000</w:t>
            </w:r>
          </w:p>
        </w:tc>
        <w:tc>
          <w:tcPr>
            <w:tcW w:w="1513" w:type="dxa"/>
            <w:vAlign w:val="center"/>
          </w:tcPr>
          <w:p w14:paraId="54BCDA8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200≤Y＜3000</w:t>
            </w:r>
          </w:p>
        </w:tc>
        <w:tc>
          <w:tcPr>
            <w:tcW w:w="1432" w:type="dxa"/>
            <w:vAlign w:val="center"/>
          </w:tcPr>
          <w:p w14:paraId="51DAFA2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w:t>
            </w:r>
          </w:p>
        </w:tc>
      </w:tr>
      <w:tr w14:paraId="278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4479EDC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仓储业×</w:t>
            </w:r>
          </w:p>
        </w:tc>
        <w:tc>
          <w:tcPr>
            <w:tcW w:w="1639" w:type="dxa"/>
            <w:vAlign w:val="center"/>
          </w:tcPr>
          <w:p w14:paraId="2145C7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5520E32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724C34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w:t>
            </w:r>
          </w:p>
        </w:tc>
        <w:tc>
          <w:tcPr>
            <w:tcW w:w="1750" w:type="dxa"/>
            <w:vAlign w:val="center"/>
          </w:tcPr>
          <w:p w14:paraId="0579DBC7">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100≤X＜200</w:t>
            </w:r>
          </w:p>
        </w:tc>
        <w:tc>
          <w:tcPr>
            <w:tcW w:w="1513" w:type="dxa"/>
            <w:vAlign w:val="center"/>
          </w:tcPr>
          <w:p w14:paraId="78FAFB6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20≤X＜100</w:t>
            </w:r>
          </w:p>
        </w:tc>
        <w:tc>
          <w:tcPr>
            <w:tcW w:w="1432" w:type="dxa"/>
            <w:vAlign w:val="center"/>
          </w:tcPr>
          <w:p w14:paraId="79C6433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11AE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3E3A993E">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629295F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7EF18D2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09990C7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0E5D393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1000≤Y＜30000</w:t>
            </w:r>
          </w:p>
        </w:tc>
        <w:tc>
          <w:tcPr>
            <w:tcW w:w="1513" w:type="dxa"/>
            <w:vAlign w:val="center"/>
          </w:tcPr>
          <w:p w14:paraId="463C60E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690714B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2B4F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707034B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邮政业</w:t>
            </w:r>
          </w:p>
        </w:tc>
        <w:tc>
          <w:tcPr>
            <w:tcW w:w="1639" w:type="dxa"/>
            <w:vAlign w:val="center"/>
          </w:tcPr>
          <w:p w14:paraId="7130401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41606C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4E6E30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5AA864A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5A393F0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7BC8300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3E19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62B20EA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C394C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523DD7B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16DAA3D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7CCAA05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2000≤Y＜30000</w:t>
            </w:r>
          </w:p>
        </w:tc>
        <w:tc>
          <w:tcPr>
            <w:tcW w:w="1513" w:type="dxa"/>
            <w:vAlign w:val="center"/>
          </w:tcPr>
          <w:p w14:paraId="20DC5C8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0614540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3DC8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1A8A845">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住宿业</w:t>
            </w:r>
          </w:p>
        </w:tc>
        <w:tc>
          <w:tcPr>
            <w:tcW w:w="1639" w:type="dxa"/>
            <w:vAlign w:val="center"/>
          </w:tcPr>
          <w:p w14:paraId="6B5F726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3553BB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891F93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782A5923">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2662C6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7FEC8ED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25C7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559054C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0EE6CB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055EDF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1D2749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5F61E94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2000≤Y＜10000</w:t>
            </w:r>
          </w:p>
        </w:tc>
        <w:tc>
          <w:tcPr>
            <w:tcW w:w="1513" w:type="dxa"/>
            <w:vAlign w:val="center"/>
          </w:tcPr>
          <w:p w14:paraId="1CE2D65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6A7B132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67D5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559E564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餐饮业</w:t>
            </w:r>
          </w:p>
        </w:tc>
        <w:tc>
          <w:tcPr>
            <w:tcW w:w="1639" w:type="dxa"/>
            <w:vAlign w:val="center"/>
          </w:tcPr>
          <w:p w14:paraId="3CEC9F0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12F18C2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C18792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4994C521">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100≤X＜300 </w:t>
            </w:r>
          </w:p>
        </w:tc>
        <w:tc>
          <w:tcPr>
            <w:tcW w:w="1513" w:type="dxa"/>
            <w:vAlign w:val="center"/>
          </w:tcPr>
          <w:p w14:paraId="6476C13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599AEC5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18A9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4ABFB6CB">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47520C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21723A1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4A7BFF8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581160F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2000≤Y＜10000</w:t>
            </w:r>
          </w:p>
        </w:tc>
        <w:tc>
          <w:tcPr>
            <w:tcW w:w="1513" w:type="dxa"/>
            <w:vAlign w:val="center"/>
          </w:tcPr>
          <w:p w14:paraId="0652DAD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168E98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686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3F8559A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信息业 ×</w:t>
            </w:r>
          </w:p>
        </w:tc>
        <w:tc>
          <w:tcPr>
            <w:tcW w:w="1639" w:type="dxa"/>
            <w:vAlign w:val="center"/>
          </w:tcPr>
          <w:p w14:paraId="7C7116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3692407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051278E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X≥2000</w:t>
            </w:r>
          </w:p>
        </w:tc>
        <w:tc>
          <w:tcPr>
            <w:tcW w:w="1750" w:type="dxa"/>
            <w:vAlign w:val="center"/>
          </w:tcPr>
          <w:p w14:paraId="3B8B8A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100≤X＜2000</w:t>
            </w:r>
          </w:p>
        </w:tc>
        <w:tc>
          <w:tcPr>
            <w:tcW w:w="1513" w:type="dxa"/>
            <w:vAlign w:val="center"/>
          </w:tcPr>
          <w:p w14:paraId="52668D3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51F28F8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792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0145F2C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FF6EF2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755D74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40D29F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Y≥100000</w:t>
            </w:r>
          </w:p>
        </w:tc>
        <w:tc>
          <w:tcPr>
            <w:tcW w:w="1750" w:type="dxa"/>
            <w:vAlign w:val="center"/>
          </w:tcPr>
          <w:p w14:paraId="1A29145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1000≤Y＜100000</w:t>
            </w:r>
          </w:p>
        </w:tc>
        <w:tc>
          <w:tcPr>
            <w:tcW w:w="1513" w:type="dxa"/>
            <w:vAlign w:val="center"/>
          </w:tcPr>
          <w:p w14:paraId="2E47B31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50BB1FE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597C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51466239">
            <w:pPr>
              <w:widowControl/>
              <w:spacing w:line="360" w:lineRule="exact"/>
              <w:jc w:val="left"/>
              <w:rPr>
                <w:rFonts w:hint="eastAsia" w:ascii="宋体" w:hAnsi="宋体" w:cs="宋体"/>
                <w:color w:val="000000" w:themeColor="text1"/>
                <w:spacing w:val="-12"/>
                <w:kern w:val="0"/>
                <w:sz w:val="15"/>
                <w:szCs w:val="15"/>
                <w:highlight w:val="none"/>
                <w14:textFill>
                  <w14:solidFill>
                    <w14:schemeClr w14:val="tx1"/>
                  </w14:solidFill>
                </w14:textFill>
              </w:rPr>
            </w:pPr>
            <w:r>
              <w:rPr>
                <w:rFonts w:hint="eastAsia" w:ascii="宋体" w:hAnsi="宋体" w:cs="宋体"/>
                <w:color w:val="000000" w:themeColor="text1"/>
                <w:spacing w:val="-12"/>
                <w:kern w:val="0"/>
                <w:sz w:val="15"/>
                <w:szCs w:val="15"/>
                <w:highlight w:val="none"/>
                <w14:textFill>
                  <w14:solidFill>
                    <w14:schemeClr w14:val="tx1"/>
                  </w14:solidFill>
                </w14:textFill>
              </w:rPr>
              <w:t>软件和信息技术服</w:t>
            </w:r>
            <w:r>
              <w:rPr>
                <w:rFonts w:hint="eastAsia" w:ascii="宋体" w:hAnsi="宋体" w:cs="宋体"/>
                <w:color w:val="000000" w:themeColor="text1"/>
                <w:kern w:val="0"/>
                <w:sz w:val="15"/>
                <w:szCs w:val="15"/>
                <w:highlight w:val="none"/>
                <w14:textFill>
                  <w14:solidFill>
                    <w14:schemeClr w14:val="tx1"/>
                  </w14:solidFill>
                </w14:textFill>
              </w:rPr>
              <w:t>务业</w:t>
            </w:r>
          </w:p>
        </w:tc>
        <w:tc>
          <w:tcPr>
            <w:tcW w:w="1639" w:type="dxa"/>
            <w:vAlign w:val="center"/>
          </w:tcPr>
          <w:p w14:paraId="1E16BB2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06368FE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14EAA6E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27297D67">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100≤X＜300 </w:t>
            </w:r>
          </w:p>
        </w:tc>
        <w:tc>
          <w:tcPr>
            <w:tcW w:w="1513" w:type="dxa"/>
            <w:vAlign w:val="center"/>
          </w:tcPr>
          <w:p w14:paraId="01ECEF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447A75E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3F5D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6452E392">
            <w:pPr>
              <w:widowControl/>
              <w:spacing w:line="360" w:lineRule="exact"/>
              <w:jc w:val="left"/>
              <w:rPr>
                <w:rFonts w:hint="eastAsia" w:ascii="宋体" w:hAnsi="宋体" w:cs="宋体"/>
                <w:color w:val="000000" w:themeColor="text1"/>
                <w:spacing w:val="-12"/>
                <w:kern w:val="0"/>
                <w:sz w:val="15"/>
                <w:szCs w:val="15"/>
                <w:highlight w:val="none"/>
                <w14:textFill>
                  <w14:solidFill>
                    <w14:schemeClr w14:val="tx1"/>
                  </w14:solidFill>
                </w14:textFill>
              </w:rPr>
            </w:pPr>
          </w:p>
        </w:tc>
        <w:tc>
          <w:tcPr>
            <w:tcW w:w="1639" w:type="dxa"/>
            <w:vAlign w:val="center"/>
          </w:tcPr>
          <w:p w14:paraId="1DD00E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075489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4CEAF7D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15BE241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1000≤Y＜10000</w:t>
            </w:r>
          </w:p>
        </w:tc>
        <w:tc>
          <w:tcPr>
            <w:tcW w:w="1513" w:type="dxa"/>
            <w:vAlign w:val="center"/>
          </w:tcPr>
          <w:p w14:paraId="7405A71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50≤Y＜1000</w:t>
            </w:r>
          </w:p>
        </w:tc>
        <w:tc>
          <w:tcPr>
            <w:tcW w:w="1432" w:type="dxa"/>
            <w:vAlign w:val="center"/>
          </w:tcPr>
          <w:p w14:paraId="7252889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w:t>
            </w:r>
          </w:p>
        </w:tc>
      </w:tr>
      <w:tr w14:paraId="720D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1877DD5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房地产开发经营</w:t>
            </w:r>
          </w:p>
        </w:tc>
        <w:tc>
          <w:tcPr>
            <w:tcW w:w="1639" w:type="dxa"/>
            <w:vAlign w:val="center"/>
          </w:tcPr>
          <w:p w14:paraId="7A88292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3378D83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6D391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Y≥200000</w:t>
            </w:r>
          </w:p>
        </w:tc>
        <w:tc>
          <w:tcPr>
            <w:tcW w:w="1750" w:type="dxa"/>
            <w:vAlign w:val="center"/>
          </w:tcPr>
          <w:p w14:paraId="08DA2C7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1000≤Y＜200000</w:t>
            </w:r>
          </w:p>
        </w:tc>
        <w:tc>
          <w:tcPr>
            <w:tcW w:w="1513" w:type="dxa"/>
            <w:vAlign w:val="center"/>
          </w:tcPr>
          <w:p w14:paraId="1E5A232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2D12FEB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3ED5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5B0BA63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68A44D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05C3DD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F0B659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Z≥10000</w:t>
            </w:r>
          </w:p>
        </w:tc>
        <w:tc>
          <w:tcPr>
            <w:tcW w:w="1750" w:type="dxa"/>
            <w:vAlign w:val="center"/>
          </w:tcPr>
          <w:p w14:paraId="0500BC3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5000≤Z＜10000</w:t>
            </w:r>
          </w:p>
        </w:tc>
        <w:tc>
          <w:tcPr>
            <w:tcW w:w="1513" w:type="dxa"/>
            <w:vAlign w:val="center"/>
          </w:tcPr>
          <w:p w14:paraId="0310A6C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2000≤Z＜5000</w:t>
            </w:r>
          </w:p>
        </w:tc>
        <w:tc>
          <w:tcPr>
            <w:tcW w:w="1432" w:type="dxa"/>
            <w:vAlign w:val="center"/>
          </w:tcPr>
          <w:p w14:paraId="4EFA25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Z＜2000</w:t>
            </w:r>
          </w:p>
        </w:tc>
      </w:tr>
      <w:tr w14:paraId="7A72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086CE6A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物业管理</w:t>
            </w:r>
          </w:p>
        </w:tc>
        <w:tc>
          <w:tcPr>
            <w:tcW w:w="1639" w:type="dxa"/>
            <w:vAlign w:val="center"/>
          </w:tcPr>
          <w:p w14:paraId="70CB37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F7062B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311883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7B01574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73FB318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432" w:type="dxa"/>
            <w:vAlign w:val="center"/>
          </w:tcPr>
          <w:p w14:paraId="5BA1A3B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w:t>
            </w:r>
          </w:p>
        </w:tc>
      </w:tr>
      <w:tr w14:paraId="5E5D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68C5FEC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2287BF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119DC0F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70DA550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Y≥5000</w:t>
            </w:r>
          </w:p>
        </w:tc>
        <w:tc>
          <w:tcPr>
            <w:tcW w:w="1750" w:type="dxa"/>
            <w:vAlign w:val="center"/>
          </w:tcPr>
          <w:p w14:paraId="51173CAB">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1000≤Y＜5000</w:t>
            </w:r>
          </w:p>
        </w:tc>
        <w:tc>
          <w:tcPr>
            <w:tcW w:w="1513" w:type="dxa"/>
            <w:vAlign w:val="center"/>
          </w:tcPr>
          <w:p w14:paraId="4B076BB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500≤Y＜1000</w:t>
            </w:r>
          </w:p>
        </w:tc>
        <w:tc>
          <w:tcPr>
            <w:tcW w:w="1432" w:type="dxa"/>
            <w:vAlign w:val="center"/>
          </w:tcPr>
          <w:p w14:paraId="5950382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Y＜500</w:t>
            </w:r>
          </w:p>
        </w:tc>
      </w:tr>
      <w:tr w14:paraId="08F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10FB86FE">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租赁和商务服务业</w:t>
            </w:r>
          </w:p>
        </w:tc>
        <w:tc>
          <w:tcPr>
            <w:tcW w:w="1639" w:type="dxa"/>
            <w:vAlign w:val="center"/>
          </w:tcPr>
          <w:p w14:paraId="36D3A12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1E972A7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6137AC2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4B5DB836">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58B1D22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0F35999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4D5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2A35C5B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B5589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4AE8950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E5E7A5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Z≥120000</w:t>
            </w:r>
          </w:p>
        </w:tc>
        <w:tc>
          <w:tcPr>
            <w:tcW w:w="1750" w:type="dxa"/>
            <w:vAlign w:val="center"/>
          </w:tcPr>
          <w:p w14:paraId="461CBE3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8000≤Z＜120000</w:t>
            </w:r>
          </w:p>
        </w:tc>
        <w:tc>
          <w:tcPr>
            <w:tcW w:w="1513" w:type="dxa"/>
            <w:vAlign w:val="center"/>
          </w:tcPr>
          <w:p w14:paraId="16BBC27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100≤Z＜8000</w:t>
            </w:r>
          </w:p>
        </w:tc>
        <w:tc>
          <w:tcPr>
            <w:tcW w:w="1432" w:type="dxa"/>
            <w:vAlign w:val="center"/>
          </w:tcPr>
          <w:p w14:paraId="394E7A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Z＜100</w:t>
            </w:r>
          </w:p>
        </w:tc>
      </w:tr>
      <w:tr w14:paraId="4232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Align w:val="center"/>
          </w:tcPr>
          <w:p w14:paraId="03015993">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其他未列明行业 ×</w:t>
            </w:r>
          </w:p>
        </w:tc>
        <w:tc>
          <w:tcPr>
            <w:tcW w:w="1639" w:type="dxa"/>
            <w:vAlign w:val="center"/>
          </w:tcPr>
          <w:p w14:paraId="236C57D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08460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4A74086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27033349">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3F77C31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6CEDE71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bl>
    <w:p w14:paraId="3D115E99">
      <w:pPr>
        <w:widowControl/>
        <w:spacing w:line="360" w:lineRule="exact"/>
        <w:rPr>
          <w:rFonts w:hint="eastAsia" w:ascii="宋体" w:hAnsi="宋体" w:cs="宋体"/>
          <w:color w:val="000000" w:themeColor="text1"/>
          <w:spacing w:val="8"/>
          <w:kern w:val="0"/>
          <w:sz w:val="15"/>
          <w:szCs w:val="15"/>
          <w:highlight w:val="none"/>
          <w14:textFill>
            <w14:solidFill>
              <w14:schemeClr w14:val="tx1"/>
            </w14:solidFill>
          </w14:textFill>
        </w:rPr>
      </w:pPr>
    </w:p>
    <w:p w14:paraId="62D7AFBF">
      <w:pPr>
        <w:widowControl/>
        <w:spacing w:line="240" w:lineRule="auto"/>
        <w:rPr>
          <w:rFonts w:hint="eastAsia" w:ascii="宋体" w:hAnsi="宋体" w:cs="宋体"/>
          <w:color w:val="000000" w:themeColor="text1"/>
          <w:spacing w:val="8"/>
          <w:kern w:val="0"/>
          <w:sz w:val="15"/>
          <w:szCs w:val="15"/>
          <w:highlight w:val="none"/>
          <w14:textFill>
            <w14:solidFill>
              <w14:schemeClr w14:val="tx1"/>
            </w14:solidFill>
          </w14:textFill>
        </w:rPr>
      </w:pPr>
      <w:r>
        <w:rPr>
          <w:rFonts w:hint="eastAsia" w:ascii="宋体" w:hAnsi="宋体" w:cs="宋体"/>
          <w:color w:val="000000" w:themeColor="text1"/>
          <w:spacing w:val="8"/>
          <w:kern w:val="0"/>
          <w:sz w:val="15"/>
          <w:szCs w:val="15"/>
          <w:highlight w:val="none"/>
          <w14:textFill>
            <w14:solidFill>
              <w14:schemeClr w14:val="tx1"/>
            </w14:solidFill>
          </w14:textFill>
        </w:rPr>
        <w:t>说明：</w:t>
      </w:r>
    </w:p>
    <w:p w14:paraId="3896C123">
      <w:pPr>
        <w:pStyle w:val="20"/>
        <w:adjustRightInd w:val="0"/>
        <w:spacing w:line="240" w:lineRule="auto"/>
        <w:ind w:firstLine="332" w:firstLineChars="200"/>
        <w:contextualSpacing/>
        <w:rPr>
          <w:rFonts w:hint="eastAsia" w:hAnsi="宋体" w:cs="宋体"/>
          <w:color w:val="000000" w:themeColor="text1"/>
          <w:spacing w:val="8"/>
          <w:kern w:val="0"/>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1.大型、中型和小型企业须同时满足所列指标的下限，否则下划一档；微型企业只</w:t>
      </w:r>
      <w:r>
        <w:rPr>
          <w:rFonts w:hint="eastAsia" w:hAnsi="宋体" w:cs="宋体"/>
          <w:color w:val="000000" w:themeColor="text1"/>
          <w:spacing w:val="8"/>
          <w:kern w:val="0"/>
          <w:sz w:val="15"/>
          <w:szCs w:val="15"/>
          <w:highlight w:val="none"/>
          <w:lang w:eastAsia="zh-CN"/>
          <w14:textFill>
            <w14:solidFill>
              <w14:schemeClr w14:val="tx1"/>
            </w14:solidFill>
          </w14:textFill>
        </w:rPr>
        <w:t>需</w:t>
      </w:r>
      <w:r>
        <w:rPr>
          <w:rFonts w:hint="eastAsia" w:hAnsi="宋体" w:cs="宋体"/>
          <w:color w:val="000000" w:themeColor="text1"/>
          <w:spacing w:val="8"/>
          <w:kern w:val="0"/>
          <w:sz w:val="15"/>
          <w:szCs w:val="15"/>
          <w:highlight w:val="none"/>
          <w14:textFill>
            <w14:solidFill>
              <w14:schemeClr w14:val="tx1"/>
            </w14:solidFill>
          </w14:textFill>
        </w:rPr>
        <w:t>满足所列指标中的一项即可。</w:t>
      </w:r>
    </w:p>
    <w:p w14:paraId="3FF2CEB7">
      <w:pPr>
        <w:pStyle w:val="20"/>
        <w:adjustRightInd w:val="0"/>
        <w:spacing w:line="240" w:lineRule="auto"/>
        <w:ind w:firstLine="332" w:firstLineChars="200"/>
        <w:contextualSpacing/>
        <w:rPr>
          <w:rFonts w:hint="eastAsia" w:hAnsi="宋体" w:cs="宋体"/>
          <w:color w:val="000000" w:themeColor="text1"/>
          <w:spacing w:val="8"/>
          <w:kern w:val="0"/>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000000" w:themeColor="text1"/>
          <w:spacing w:val="8"/>
          <w:kern w:val="0"/>
          <w:sz w:val="15"/>
          <w:szCs w:val="15"/>
          <w:highlight w:val="none"/>
          <w:lang w:eastAsia="zh-CN"/>
          <w14:textFill>
            <w14:solidFill>
              <w14:schemeClr w14:val="tx1"/>
            </w14:solidFill>
          </w14:textFill>
        </w:rPr>
        <w:t>；</w:t>
      </w:r>
      <w:r>
        <w:rPr>
          <w:rFonts w:hint="eastAsia" w:hAnsi="宋体" w:cs="宋体"/>
          <w:color w:val="000000" w:themeColor="text1"/>
          <w:spacing w:val="8"/>
          <w:kern w:val="0"/>
          <w:sz w:val="15"/>
          <w:szCs w:val="15"/>
          <w:highlight w:val="none"/>
          <w14:textFill>
            <w14:solidFill>
              <w14:schemeClr w14:val="tx1"/>
            </w14:solidFill>
          </w14:textFill>
        </w:rPr>
        <w:t>信息业包括电信、广播电视和卫星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8BAEA62">
      <w:pPr>
        <w:pStyle w:val="20"/>
        <w:adjustRightInd w:val="0"/>
        <w:spacing w:line="240" w:lineRule="auto"/>
        <w:ind w:firstLine="332" w:firstLineChars="200"/>
        <w:contextualSpacing/>
        <w:rPr>
          <w:rFonts w:hint="eastAsia" w:hAnsi="宋体" w:cs="宋体"/>
          <w:bCs/>
          <w:color w:val="000000" w:themeColor="text1"/>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6FBD089">
      <w:pPr>
        <w:spacing w:line="360" w:lineRule="auto"/>
        <w:rPr>
          <w:rFonts w:hint="eastAsia" w:ascii="宋体" w:hAnsi="宋体" w:cs="宋体"/>
          <w:b/>
          <w:bCs/>
          <w:color w:val="000000" w:themeColor="text1"/>
          <w:szCs w:val="21"/>
          <w:highlight w:val="none"/>
          <w14:textFill>
            <w14:solidFill>
              <w14:schemeClr w14:val="tx1"/>
            </w14:solidFill>
          </w14:textFill>
        </w:rPr>
      </w:pPr>
    </w:p>
    <w:sectPr>
      <w:footerReference r:id="rId6" w:type="default"/>
      <w:pgSz w:w="11906" w:h="16838"/>
      <w:pgMar w:top="1440" w:right="1080" w:bottom="1440" w:left="108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A27C451-C31D-4768-BEA2-51FDB7C1CD90}"/>
  </w:font>
  <w:font w:name="黑体">
    <w:panose1 w:val="02010609060101010101"/>
    <w:charset w:val="86"/>
    <w:family w:val="auto"/>
    <w:pitch w:val="default"/>
    <w:sig w:usb0="800002BF" w:usb1="38CF7CFA" w:usb2="00000016" w:usb3="00000000" w:csb0="00040001" w:csb1="00000000"/>
    <w:embedRegular r:id="rId2" w:fontKey="{F07BA88B-6BDA-4304-BFE8-7DDC1038153B}"/>
  </w:font>
  <w:font w:name="Courier New">
    <w:panose1 w:val="02070309020205020404"/>
    <w:charset w:val="01"/>
    <w:family w:val="modern"/>
    <w:pitch w:val="default"/>
    <w:sig w:usb0="E0002EFF" w:usb1="C0007843" w:usb2="00000009" w:usb3="00000000" w:csb0="400001FF" w:csb1="FFFF0000"/>
    <w:embedRegular r:id="rId3" w:fontKey="{CE7E9D4F-ECBE-4892-A840-1C034127472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embedRegular r:id="rId4" w:fontKey="{38453A23-2B91-4E96-968D-9A1DD78AB845}"/>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im Sun">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220C9488-7B08-446B-8773-3472C6E3E0B5}"/>
  </w:font>
  <w:font w:name="Ђ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embedRegular r:id="rId6" w:fontKey="{ACA3BB6E-50D6-4AA1-A9CC-D4135315A85D}"/>
  </w:font>
  <w:font w:name="Arial Unicode MS">
    <w:panose1 w:val="020B0604020202020204"/>
    <w:charset w:val="86"/>
    <w:family w:val="auto"/>
    <w:pitch w:val="default"/>
    <w:sig w:usb0="FFFFFFFF" w:usb1="E9FFFFFF" w:usb2="0000003F" w:usb3="00000000" w:csb0="603F01FF" w:csb1="FFFF0000"/>
    <w:embedRegular r:id="rId7" w:fontKey="{F5549057-6400-41F2-9333-8444F124F6EE}"/>
  </w:font>
  <w:font w:name="方正仿宋_GB2312">
    <w:panose1 w:val="02000000000000000000"/>
    <w:charset w:val="86"/>
    <w:family w:val="auto"/>
    <w:pitch w:val="default"/>
    <w:sig w:usb0="A00002BF" w:usb1="184F6CFA" w:usb2="00000012" w:usb3="00000000" w:csb0="00040001" w:csb1="00000000"/>
    <w:embedRegular r:id="rId8" w:fontKey="{919BEFEE-8AE7-4751-A3DF-786810645F2B}"/>
  </w:font>
  <w:font w:name="仿宋">
    <w:panose1 w:val="02010609060101010101"/>
    <w:charset w:val="86"/>
    <w:family w:val="auto"/>
    <w:pitch w:val="default"/>
    <w:sig w:usb0="800002BF" w:usb1="38CF7CFA" w:usb2="00000016" w:usb3="00000000" w:csb0="00040001" w:csb1="00000000"/>
    <w:embedRegular r:id="rId9" w:fontKey="{5B38E460-2328-48A3-BDF0-2F10154D7811}"/>
  </w:font>
  <w:font w:name="WPSEMBED2">
    <w:panose1 w:val="02010800040101010101"/>
    <w:charset w:val="86"/>
    <w:family w:val="auto"/>
    <w:pitch w:val="default"/>
    <w:sig w:usb0="00000001" w:usb1="080F0000" w:usb2="00000000" w:usb3="00000000" w:csb0="00040000" w:csb1="00000000"/>
  </w:font>
  <w:font w:name="WPSEMBED3">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D9EAD">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F1F97">
    <w:pPr>
      <w:pStyle w:val="24"/>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6CC8052">
                          <w:pPr>
                            <w:pStyle w:val="2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KcMRfEAQAAkAMAAA4AAAAAAAAAAQAgAAAAHwEAAGRycy9lMm9Eb2MueG1s&#10;UEsFBgAAAAAGAAYAWQEAAFUFAAAAAA==&#10;">
              <v:fill on="f" focussize="0,0"/>
              <v:stroke on="f"/>
              <v:imagedata o:title=""/>
              <o:lock v:ext="edit" aspectratio="f"/>
              <v:textbox inset="0mm,0mm,0mm,0mm" style="mso-fit-shape-to-text:t;">
                <w:txbxContent>
                  <w:p w14:paraId="56CC8052">
                    <w:pPr>
                      <w:pStyle w:val="24"/>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6DA32">
    <w:pPr>
      <w:pStyle w:val="25"/>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EA6B">
    <w:pPr>
      <w:pStyle w:val="25"/>
      <w:pBdr>
        <w:bottom w:val="none" w:color="000000"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844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zYmQzOGI3Nzk1ZTBkNGI4YzA4NDJhZmFmODg2ZDUifQ=="/>
  </w:docVars>
  <w:rsids>
    <w:rsidRoot w:val="00000000"/>
    <w:rsid w:val="00641E35"/>
    <w:rsid w:val="009A7605"/>
    <w:rsid w:val="01362291"/>
    <w:rsid w:val="01B031C8"/>
    <w:rsid w:val="01B42322"/>
    <w:rsid w:val="01F36FCC"/>
    <w:rsid w:val="02B41891"/>
    <w:rsid w:val="02D0730E"/>
    <w:rsid w:val="03906AAC"/>
    <w:rsid w:val="03C52BEB"/>
    <w:rsid w:val="05485881"/>
    <w:rsid w:val="06AF5321"/>
    <w:rsid w:val="06DD024B"/>
    <w:rsid w:val="08666CD9"/>
    <w:rsid w:val="0A530095"/>
    <w:rsid w:val="0B49271F"/>
    <w:rsid w:val="0BBF669C"/>
    <w:rsid w:val="0C837641"/>
    <w:rsid w:val="0D180F9E"/>
    <w:rsid w:val="0E98231D"/>
    <w:rsid w:val="0F425010"/>
    <w:rsid w:val="0F4A461B"/>
    <w:rsid w:val="0F9A670D"/>
    <w:rsid w:val="102B6B23"/>
    <w:rsid w:val="12B14EE2"/>
    <w:rsid w:val="12F87D71"/>
    <w:rsid w:val="134C29E0"/>
    <w:rsid w:val="140137CB"/>
    <w:rsid w:val="1453670D"/>
    <w:rsid w:val="14C447F8"/>
    <w:rsid w:val="1A084C94"/>
    <w:rsid w:val="1A975725"/>
    <w:rsid w:val="1AEE0821"/>
    <w:rsid w:val="1B31079C"/>
    <w:rsid w:val="1B32070E"/>
    <w:rsid w:val="1C166659"/>
    <w:rsid w:val="1C874A89"/>
    <w:rsid w:val="1D2B4C10"/>
    <w:rsid w:val="1F2B2044"/>
    <w:rsid w:val="1F3360E0"/>
    <w:rsid w:val="1F8452B0"/>
    <w:rsid w:val="1FA91C77"/>
    <w:rsid w:val="20601879"/>
    <w:rsid w:val="207277FE"/>
    <w:rsid w:val="20A07520"/>
    <w:rsid w:val="23864C45"/>
    <w:rsid w:val="23D62DB5"/>
    <w:rsid w:val="23F70746"/>
    <w:rsid w:val="24184D89"/>
    <w:rsid w:val="24781891"/>
    <w:rsid w:val="24984D89"/>
    <w:rsid w:val="24FD1E47"/>
    <w:rsid w:val="256817EC"/>
    <w:rsid w:val="25A93CC2"/>
    <w:rsid w:val="27134FE3"/>
    <w:rsid w:val="27800622"/>
    <w:rsid w:val="281D7374"/>
    <w:rsid w:val="28315E83"/>
    <w:rsid w:val="28A8200F"/>
    <w:rsid w:val="2970538A"/>
    <w:rsid w:val="2B066F5A"/>
    <w:rsid w:val="2C9F197B"/>
    <w:rsid w:val="2CBF5B6F"/>
    <w:rsid w:val="2D7626DC"/>
    <w:rsid w:val="2DD97C6E"/>
    <w:rsid w:val="2F6D7B0F"/>
    <w:rsid w:val="300A0D74"/>
    <w:rsid w:val="30CE6CD3"/>
    <w:rsid w:val="31164DA2"/>
    <w:rsid w:val="318906F7"/>
    <w:rsid w:val="32E53E60"/>
    <w:rsid w:val="33943C0E"/>
    <w:rsid w:val="34D32B0A"/>
    <w:rsid w:val="34E72111"/>
    <w:rsid w:val="35B27654"/>
    <w:rsid w:val="36A729BE"/>
    <w:rsid w:val="36FB7BC2"/>
    <w:rsid w:val="36FE3764"/>
    <w:rsid w:val="39630C30"/>
    <w:rsid w:val="3AEF1D20"/>
    <w:rsid w:val="3B3337EC"/>
    <w:rsid w:val="3E1C675A"/>
    <w:rsid w:val="41124178"/>
    <w:rsid w:val="4164121A"/>
    <w:rsid w:val="4292190E"/>
    <w:rsid w:val="439036C0"/>
    <w:rsid w:val="4447497A"/>
    <w:rsid w:val="45284B01"/>
    <w:rsid w:val="45E16709"/>
    <w:rsid w:val="45FA555E"/>
    <w:rsid w:val="467A1461"/>
    <w:rsid w:val="467B1E3B"/>
    <w:rsid w:val="46EE10DD"/>
    <w:rsid w:val="4799729B"/>
    <w:rsid w:val="491B090B"/>
    <w:rsid w:val="49C20B73"/>
    <w:rsid w:val="4A7E7809"/>
    <w:rsid w:val="4A7F5CBF"/>
    <w:rsid w:val="4B2201E1"/>
    <w:rsid w:val="4C5E0AB3"/>
    <w:rsid w:val="4CFC25E2"/>
    <w:rsid w:val="4D657D8E"/>
    <w:rsid w:val="4E1731E4"/>
    <w:rsid w:val="50015CA1"/>
    <w:rsid w:val="524244DF"/>
    <w:rsid w:val="550D1034"/>
    <w:rsid w:val="565F7902"/>
    <w:rsid w:val="567809C3"/>
    <w:rsid w:val="56C105BC"/>
    <w:rsid w:val="56EA1954"/>
    <w:rsid w:val="57961A49"/>
    <w:rsid w:val="58F9211A"/>
    <w:rsid w:val="591744C4"/>
    <w:rsid w:val="5B43305C"/>
    <w:rsid w:val="5B7A2AEE"/>
    <w:rsid w:val="5C8876A6"/>
    <w:rsid w:val="5D4810F0"/>
    <w:rsid w:val="5E10474A"/>
    <w:rsid w:val="5F1A1FCF"/>
    <w:rsid w:val="5F287B9B"/>
    <w:rsid w:val="5F970351"/>
    <w:rsid w:val="60036CCD"/>
    <w:rsid w:val="60D20B61"/>
    <w:rsid w:val="61720E31"/>
    <w:rsid w:val="61CB5F64"/>
    <w:rsid w:val="61E25CA1"/>
    <w:rsid w:val="62652D5E"/>
    <w:rsid w:val="63402C15"/>
    <w:rsid w:val="64DF3B8A"/>
    <w:rsid w:val="64E32AD7"/>
    <w:rsid w:val="664C3ABA"/>
    <w:rsid w:val="66660838"/>
    <w:rsid w:val="66DE4873"/>
    <w:rsid w:val="67662E07"/>
    <w:rsid w:val="68035E0F"/>
    <w:rsid w:val="682D3D04"/>
    <w:rsid w:val="684150B9"/>
    <w:rsid w:val="68482C2A"/>
    <w:rsid w:val="684921C0"/>
    <w:rsid w:val="69220F37"/>
    <w:rsid w:val="69424A44"/>
    <w:rsid w:val="696D6B39"/>
    <w:rsid w:val="69A24BAC"/>
    <w:rsid w:val="6A6D488B"/>
    <w:rsid w:val="6AC459F9"/>
    <w:rsid w:val="6B276E1D"/>
    <w:rsid w:val="6BB603B9"/>
    <w:rsid w:val="6BD6587A"/>
    <w:rsid w:val="6CB57E24"/>
    <w:rsid w:val="6CDC1D32"/>
    <w:rsid w:val="6D287C0C"/>
    <w:rsid w:val="6D463172"/>
    <w:rsid w:val="6D65184A"/>
    <w:rsid w:val="6E4A0A40"/>
    <w:rsid w:val="6E7032E1"/>
    <w:rsid w:val="6EE90EED"/>
    <w:rsid w:val="6FE920DB"/>
    <w:rsid w:val="707B3571"/>
    <w:rsid w:val="71A37DA0"/>
    <w:rsid w:val="71E61DC4"/>
    <w:rsid w:val="71F413EE"/>
    <w:rsid w:val="72005FE5"/>
    <w:rsid w:val="727F33AE"/>
    <w:rsid w:val="743C545E"/>
    <w:rsid w:val="7496678D"/>
    <w:rsid w:val="75CC47B3"/>
    <w:rsid w:val="75CD61DE"/>
    <w:rsid w:val="76EC08E6"/>
    <w:rsid w:val="771A5453"/>
    <w:rsid w:val="78CF7A2A"/>
    <w:rsid w:val="7A794B87"/>
    <w:rsid w:val="7B212602"/>
    <w:rsid w:val="7B8A691F"/>
    <w:rsid w:val="7C386577"/>
    <w:rsid w:val="7C9059A5"/>
    <w:rsid w:val="7DA200AD"/>
    <w:rsid w:val="7DBB1012"/>
    <w:rsid w:val="7DFD6BF3"/>
    <w:rsid w:val="7E837D82"/>
    <w:rsid w:val="7EAB1087"/>
    <w:rsid w:val="7EBE0D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qFormat="1"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line="500" w:lineRule="exact"/>
      <w:jc w:val="center"/>
      <w:outlineLvl w:val="0"/>
    </w:pPr>
    <w:rPr>
      <w:rFonts w:ascii="Tahoma" w:hAnsi="Tahoma"/>
      <w:b/>
      <w:bCs/>
      <w:kern w:val="44"/>
      <w:sz w:val="32"/>
      <w:szCs w:val="44"/>
    </w:rPr>
  </w:style>
  <w:style w:type="paragraph" w:styleId="3">
    <w:name w:val="heading 2"/>
    <w:basedOn w:val="1"/>
    <w:next w:val="4"/>
    <w:link w:val="54"/>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56"/>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spacing w:before="240" w:after="60"/>
      <w:outlineLvl w:val="3"/>
    </w:pPr>
    <w:rPr>
      <w:b/>
      <w:bCs/>
      <w:sz w:val="28"/>
      <w:szCs w:val="28"/>
    </w:rPr>
  </w:style>
  <w:style w:type="paragraph" w:styleId="7">
    <w:name w:val="heading 6"/>
    <w:basedOn w:val="1"/>
    <w:next w:val="1"/>
    <w:link w:val="124"/>
    <w:qFormat/>
    <w:uiPriority w:val="0"/>
    <w:pPr>
      <w:keepNext/>
      <w:keepLines/>
      <w:spacing w:before="240" w:after="64" w:line="320" w:lineRule="auto"/>
      <w:outlineLvl w:val="5"/>
    </w:pPr>
    <w:rPr>
      <w:rFonts w:ascii="Arial" w:hAnsi="Arial" w:eastAsia="黑体"/>
      <w:b/>
      <w:bCs/>
      <w:sz w:val="24"/>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4">
    <w:name w:val="Normal Indent"/>
    <w:basedOn w:val="1"/>
    <w:link w:val="125"/>
    <w:qFormat/>
    <w:uiPriority w:val="0"/>
    <w:pPr>
      <w:ind w:firstLine="420"/>
    </w:pPr>
    <w:rPr>
      <w:szCs w:val="20"/>
    </w:rPr>
  </w:style>
  <w:style w:type="paragraph" w:styleId="8">
    <w:name w:val="table of authorities"/>
    <w:basedOn w:val="1"/>
    <w:next w:val="1"/>
    <w:qFormat/>
    <w:uiPriority w:val="0"/>
    <w:pPr>
      <w:ind w:left="420" w:leftChars="200"/>
    </w:pPr>
  </w:style>
  <w:style w:type="paragraph" w:styleId="9">
    <w:name w:val="index 8"/>
    <w:basedOn w:val="1"/>
    <w:next w:val="1"/>
    <w:qFormat/>
    <w:uiPriority w:val="0"/>
    <w:pPr>
      <w:ind w:left="2940"/>
    </w:p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Document Map"/>
    <w:basedOn w:val="1"/>
    <w:link w:val="126"/>
    <w:qFormat/>
    <w:uiPriority w:val="0"/>
    <w:rPr>
      <w:rFonts w:ascii="宋体" w:hAnsi="Tahoma"/>
      <w:sz w:val="18"/>
      <w:szCs w:val="18"/>
    </w:rPr>
  </w:style>
  <w:style w:type="paragraph" w:styleId="12">
    <w:name w:val="toa heading"/>
    <w:basedOn w:val="1"/>
    <w:next w:val="1"/>
    <w:qFormat/>
    <w:uiPriority w:val="0"/>
    <w:rPr>
      <w:rFonts w:ascii="Arial" w:hAnsi="Arial"/>
      <w:sz w:val="24"/>
    </w:rPr>
  </w:style>
  <w:style w:type="paragraph" w:styleId="13">
    <w:name w:val="annotation text"/>
    <w:basedOn w:val="1"/>
    <w:link w:val="127"/>
    <w:semiHidden/>
    <w:qFormat/>
    <w:uiPriority w:val="0"/>
    <w:pPr>
      <w:jc w:val="left"/>
    </w:pPr>
  </w:style>
  <w:style w:type="paragraph" w:styleId="14">
    <w:name w:val="Body Text 3"/>
    <w:basedOn w:val="1"/>
    <w:qFormat/>
    <w:uiPriority w:val="0"/>
    <w:pPr>
      <w:spacing w:line="240" w:lineRule="exact"/>
    </w:pPr>
    <w:rPr>
      <w:rFonts w:ascii="宋体" w:hAnsi="宋体"/>
      <w:color w:val="000000"/>
      <w:szCs w:val="21"/>
    </w:rPr>
  </w:style>
  <w:style w:type="paragraph" w:styleId="15">
    <w:name w:val="Body Text"/>
    <w:basedOn w:val="1"/>
    <w:qFormat/>
    <w:uiPriority w:val="0"/>
    <w:pPr>
      <w:spacing w:line="380" w:lineRule="exact"/>
    </w:pPr>
    <w:rPr>
      <w:sz w:val="24"/>
    </w:rPr>
  </w:style>
  <w:style w:type="paragraph" w:styleId="16">
    <w:name w:val="Body Text Indent"/>
    <w:basedOn w:val="1"/>
    <w:next w:val="17"/>
    <w:link w:val="128"/>
    <w:qFormat/>
    <w:uiPriority w:val="0"/>
    <w:pPr>
      <w:spacing w:after="120"/>
      <w:ind w:left="420" w:leftChars="200"/>
    </w:pPr>
    <w:rPr>
      <w:rFonts w:ascii="Tahoma" w:hAnsi="Tahoma"/>
    </w:rPr>
  </w:style>
  <w:style w:type="paragraph" w:styleId="17">
    <w:name w:val="envelope return"/>
    <w:basedOn w:val="1"/>
    <w:qFormat/>
    <w:uiPriority w:val="0"/>
    <w:pPr>
      <w:snapToGrid w:val="0"/>
    </w:pPr>
    <w:rPr>
      <w:rFonts w:ascii="Arial" w:hAnsi="Arial"/>
    </w:rPr>
  </w:style>
  <w:style w:type="paragraph" w:styleId="18">
    <w:name w:val="Block Text"/>
    <w:basedOn w:val="1"/>
    <w:qFormat/>
    <w:uiPriority w:val="0"/>
    <w:pPr>
      <w:snapToGrid w:val="0"/>
      <w:spacing w:line="480" w:lineRule="atLeast"/>
      <w:ind w:left="-57" w:right="69" w:firstLine="0"/>
    </w:pPr>
    <w:rPr>
      <w:rFonts w:ascii="宋体" w:hAnsi="宋体"/>
      <w:b/>
      <w:sz w:val="24"/>
      <w:szCs w:val="20"/>
    </w:rPr>
  </w:style>
  <w:style w:type="paragraph" w:styleId="19">
    <w:name w:val="toc 3"/>
    <w:basedOn w:val="1"/>
    <w:next w:val="1"/>
    <w:qFormat/>
    <w:uiPriority w:val="39"/>
    <w:pPr>
      <w:ind w:left="840" w:leftChars="400"/>
    </w:pPr>
  </w:style>
  <w:style w:type="paragraph" w:styleId="20">
    <w:name w:val="Plain Text"/>
    <w:basedOn w:val="1"/>
    <w:link w:val="129"/>
    <w:qFormat/>
    <w:uiPriority w:val="0"/>
    <w:rPr>
      <w:rFonts w:ascii="宋体" w:hAnsi="Courier New"/>
      <w:szCs w:val="20"/>
    </w:rPr>
  </w:style>
  <w:style w:type="paragraph" w:styleId="21">
    <w:name w:val="Date"/>
    <w:basedOn w:val="1"/>
    <w:next w:val="1"/>
    <w:qFormat/>
    <w:uiPriority w:val="0"/>
    <w:pPr>
      <w:ind w:left="100" w:leftChars="2500"/>
    </w:pPr>
  </w:style>
  <w:style w:type="paragraph" w:styleId="22">
    <w:name w:val="Body Text Indent 2"/>
    <w:basedOn w:val="1"/>
    <w:qFormat/>
    <w:uiPriority w:val="0"/>
    <w:pPr>
      <w:ind w:firstLine="630"/>
    </w:pPr>
    <w:rPr>
      <w:sz w:val="32"/>
      <w:szCs w:val="20"/>
    </w:rPr>
  </w:style>
  <w:style w:type="paragraph" w:styleId="23">
    <w:name w:val="Balloon Text"/>
    <w:basedOn w:val="1"/>
    <w:semiHidden/>
    <w:qFormat/>
    <w:uiPriority w:val="0"/>
    <w:rPr>
      <w:sz w:val="18"/>
      <w:szCs w:val="18"/>
    </w:rPr>
  </w:style>
  <w:style w:type="paragraph" w:styleId="24">
    <w:name w:val="footer"/>
    <w:basedOn w:val="1"/>
    <w:link w:val="130"/>
    <w:qFormat/>
    <w:uiPriority w:val="99"/>
    <w:pPr>
      <w:tabs>
        <w:tab w:val="center" w:pos="4153"/>
        <w:tab w:val="right" w:pos="8306"/>
      </w:tabs>
      <w:snapToGrid w:val="0"/>
      <w:jc w:val="left"/>
    </w:pPr>
    <w:rPr>
      <w:rFonts w:ascii="Tahoma" w:hAnsi="Tahoma"/>
      <w:sz w:val="18"/>
      <w:szCs w:val="18"/>
    </w:rPr>
  </w:style>
  <w:style w:type="paragraph" w:styleId="25">
    <w:name w:val="header"/>
    <w:basedOn w:val="1"/>
    <w:link w:val="131"/>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26">
    <w:name w:val="toc 1"/>
    <w:basedOn w:val="1"/>
    <w:next w:val="1"/>
    <w:qFormat/>
    <w:uiPriority w:val="39"/>
  </w:style>
  <w:style w:type="paragraph" w:styleId="27">
    <w:name w:val="toc 2"/>
    <w:basedOn w:val="1"/>
    <w:next w:val="1"/>
    <w:qFormat/>
    <w:uiPriority w:val="39"/>
    <w:pPr>
      <w:ind w:left="420" w:leftChars="200"/>
    </w:pPr>
  </w:style>
  <w:style w:type="paragraph" w:styleId="28">
    <w:name w:val="toc 9"/>
    <w:basedOn w:val="1"/>
    <w:next w:val="1"/>
    <w:qFormat/>
    <w:uiPriority w:val="39"/>
    <w:pPr>
      <w:ind w:left="1680"/>
      <w:jc w:val="left"/>
    </w:pPr>
    <w:rPr>
      <w:sz w:val="18"/>
      <w:szCs w:val="18"/>
    </w:rPr>
  </w:style>
  <w:style w:type="paragraph" w:styleId="29">
    <w:name w:val="List 4"/>
    <w:basedOn w:val="1"/>
    <w:unhideWhenUsed/>
    <w:qFormat/>
    <w:uiPriority w:val="99"/>
    <w:pPr>
      <w:ind w:left="100" w:leftChars="600" w:hanging="200" w:hangingChars="200"/>
      <w:contextualSpacing/>
    </w:pPr>
  </w:style>
  <w:style w:type="paragraph" w:styleId="30">
    <w:name w:val="Message Header"/>
    <w:basedOn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qFormat/>
    <w:uiPriority w:val="10"/>
    <w:pPr>
      <w:spacing w:before="240" w:after="60"/>
      <w:jc w:val="center"/>
      <w:outlineLvl w:val="0"/>
    </w:pPr>
    <w:rPr>
      <w:rFonts w:ascii="等线 Light" w:hAnsi="等线 Light"/>
      <w:b/>
      <w:bCs/>
      <w:sz w:val="32"/>
      <w:szCs w:val="32"/>
    </w:rPr>
  </w:style>
  <w:style w:type="paragraph" w:styleId="33">
    <w:name w:val="annotation subject"/>
    <w:basedOn w:val="13"/>
    <w:next w:val="13"/>
    <w:semiHidden/>
    <w:qFormat/>
    <w:uiPriority w:val="0"/>
    <w:rPr>
      <w:b/>
      <w:bCs/>
    </w:rPr>
  </w:style>
  <w:style w:type="paragraph" w:styleId="34">
    <w:name w:val="Body Text First Indent"/>
    <w:basedOn w:val="15"/>
    <w:next w:val="1"/>
    <w:qFormat/>
    <w:uiPriority w:val="99"/>
    <w:pPr>
      <w:spacing w:line="240" w:lineRule="auto"/>
      <w:ind w:firstLine="420" w:firstLineChars="100"/>
    </w:pPr>
    <w:rPr>
      <w:sz w:val="21"/>
    </w:rPr>
  </w:style>
  <w:style w:type="paragraph" w:styleId="35">
    <w:name w:val="Body Text First Indent 2"/>
    <w:basedOn w:val="1"/>
    <w:qFormat/>
    <w:uiPriority w:val="0"/>
    <w:pPr>
      <w:spacing w:after="120"/>
      <w:ind w:left="420" w:leftChars="200" w:firstLine="420" w:firstLineChars="200"/>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rFonts w:ascii="Tahoma" w:hAnsi="Tahoma"/>
      <w:b/>
      <w:bCs/>
      <w:sz w:val="24"/>
      <w:szCs w:val="20"/>
    </w:rPr>
  </w:style>
  <w:style w:type="character" w:styleId="40">
    <w:name w:val="page number"/>
    <w:qFormat/>
    <w:uiPriority w:val="0"/>
  </w:style>
  <w:style w:type="character" w:styleId="41">
    <w:name w:val="FollowedHyperlink"/>
    <w:unhideWhenUsed/>
    <w:qFormat/>
    <w:uiPriority w:val="99"/>
    <w:rPr>
      <w:color w:val="954F72"/>
      <w:u w:val="single"/>
    </w:rPr>
  </w:style>
  <w:style w:type="character" w:styleId="42">
    <w:name w:val="Emphasis"/>
    <w:qFormat/>
    <w:uiPriority w:val="0"/>
  </w:style>
  <w:style w:type="character" w:styleId="43">
    <w:name w:val="HTML Definition"/>
    <w:qFormat/>
    <w:uiPriority w:val="0"/>
  </w:style>
  <w:style w:type="character" w:styleId="44">
    <w:name w:val="HTML Typewriter"/>
    <w:qFormat/>
    <w:uiPriority w:val="0"/>
    <w:rPr>
      <w:rFonts w:hint="default" w:ascii="monospace" w:hAnsi="monospace" w:eastAsia="monospace" w:cs="monospace"/>
      <w:sz w:val="20"/>
    </w:rPr>
  </w:style>
  <w:style w:type="character" w:styleId="45">
    <w:name w:val="HTML Acronym"/>
    <w:qFormat/>
    <w:uiPriority w:val="0"/>
  </w:style>
  <w:style w:type="character" w:styleId="46">
    <w:name w:val="HTML Variable"/>
    <w:qFormat/>
    <w:uiPriority w:val="0"/>
    <w:rPr>
      <w:rFonts w:ascii="Tahoma" w:hAnsi="Tahoma"/>
      <w:sz w:val="24"/>
      <w:szCs w:val="20"/>
    </w:rPr>
  </w:style>
  <w:style w:type="character" w:styleId="47">
    <w:name w:val="Hyperlink"/>
    <w:qFormat/>
    <w:uiPriority w:val="99"/>
    <w:rPr>
      <w:rFonts w:ascii="Tahoma" w:hAnsi="Tahoma"/>
      <w:color w:val="0000FF"/>
      <w:sz w:val="24"/>
      <w:szCs w:val="20"/>
      <w:u w:val="single"/>
    </w:rPr>
  </w:style>
  <w:style w:type="character" w:styleId="48">
    <w:name w:val="HTML Code"/>
    <w:qFormat/>
    <w:uiPriority w:val="0"/>
    <w:rPr>
      <w:rFonts w:ascii="monospace" w:hAnsi="monospace" w:eastAsia="monospace" w:cs="monospace"/>
      <w:sz w:val="20"/>
    </w:rPr>
  </w:style>
  <w:style w:type="character" w:styleId="49">
    <w:name w:val="annotation reference"/>
    <w:semiHidden/>
    <w:qFormat/>
    <w:uiPriority w:val="0"/>
    <w:rPr>
      <w:rFonts w:ascii="Tahoma" w:hAnsi="Tahoma"/>
      <w:sz w:val="21"/>
      <w:szCs w:val="21"/>
    </w:rPr>
  </w:style>
  <w:style w:type="character" w:styleId="50">
    <w:name w:val="HTML Cite"/>
    <w:qFormat/>
    <w:uiPriority w:val="0"/>
  </w:style>
  <w:style w:type="character" w:styleId="51">
    <w:name w:val="HTML Keyboard"/>
    <w:qFormat/>
    <w:uiPriority w:val="0"/>
    <w:rPr>
      <w:rFonts w:hint="default" w:ascii="monospace" w:hAnsi="monospace" w:eastAsia="monospace" w:cs="monospace"/>
      <w:sz w:val="20"/>
    </w:rPr>
  </w:style>
  <w:style w:type="character" w:styleId="52">
    <w:name w:val="HTML Sample"/>
    <w:qFormat/>
    <w:uiPriority w:val="0"/>
    <w:rPr>
      <w:rFonts w:hint="default" w:ascii="monospace" w:hAnsi="monospace" w:eastAsia="monospace" w:cs="monospace"/>
    </w:rPr>
  </w:style>
  <w:style w:type="character" w:customStyle="1" w:styleId="53">
    <w:name w:val="标题 1 Char"/>
    <w:link w:val="2"/>
    <w:qFormat/>
    <w:uiPriority w:val="0"/>
    <w:rPr>
      <w:rFonts w:ascii="Tahoma" w:hAnsi="Tahoma" w:eastAsia="宋体"/>
      <w:b/>
      <w:bCs/>
      <w:kern w:val="44"/>
      <w:sz w:val="32"/>
      <w:szCs w:val="44"/>
    </w:rPr>
  </w:style>
  <w:style w:type="character" w:customStyle="1" w:styleId="54">
    <w:name w:val="标题 2 Char"/>
    <w:link w:val="3"/>
    <w:semiHidden/>
    <w:qFormat/>
    <w:uiPriority w:val="0"/>
    <w:rPr>
      <w:rFonts w:ascii="Cambria" w:hAnsi="Cambria" w:eastAsia="宋体" w:cs="Times New Roman"/>
      <w:b/>
      <w:bCs/>
      <w:kern w:val="2"/>
      <w:sz w:val="32"/>
      <w:szCs w:val="32"/>
    </w:rPr>
  </w:style>
  <w:style w:type="paragraph" w:customStyle="1" w:styleId="55">
    <w:name w:val="表格文字"/>
    <w:basedOn w:val="1"/>
    <w:qFormat/>
    <w:uiPriority w:val="0"/>
    <w:pPr>
      <w:adjustRightInd w:val="0"/>
      <w:snapToGrid w:val="0"/>
      <w:jc w:val="center"/>
    </w:pPr>
    <w:rPr>
      <w:rFonts w:ascii="Times New Roman" w:hAnsi="Times New Roman" w:eastAsia="宋体" w:cs="Times New Roman"/>
      <w:kern w:val="0"/>
      <w:sz w:val="24"/>
    </w:rPr>
  </w:style>
  <w:style w:type="character" w:customStyle="1" w:styleId="56">
    <w:name w:val="标题 3 Char"/>
    <w:link w:val="5"/>
    <w:qFormat/>
    <w:uiPriority w:val="0"/>
    <w:rPr>
      <w:b/>
      <w:bCs/>
      <w:sz w:val="32"/>
      <w:szCs w:val="32"/>
    </w:rPr>
  </w:style>
  <w:style w:type="paragraph" w:customStyle="1" w:styleId="5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58">
    <w:name w:val="段"/>
    <w:next w:val="1"/>
    <w:qFormat/>
    <w:uiPriority w:val="99"/>
    <w:pPr>
      <w:autoSpaceDE w:val="0"/>
      <w:autoSpaceDN w:val="0"/>
      <w:ind w:firstLine="200"/>
      <w:jc w:val="both"/>
    </w:pPr>
    <w:rPr>
      <w:rFonts w:ascii="宋体" w:hAnsi="宋体" w:eastAsia="宋体" w:cs="Times New Roman"/>
      <w:sz w:val="21"/>
      <w:szCs w:val="21"/>
      <w:lang w:val="en-US" w:eastAsia="zh-CN" w:bidi="ar-SA"/>
    </w:rPr>
  </w:style>
  <w:style w:type="paragraph" w:customStyle="1" w:styleId="59">
    <w:name w:val="正文文本缩进1"/>
    <w:basedOn w:val="1"/>
    <w:qFormat/>
    <w:uiPriority w:val="0"/>
    <w:pPr>
      <w:spacing w:before="0" w:after="120"/>
      <w:ind w:left="420" w:right="0" w:firstLine="0"/>
    </w:pPr>
  </w:style>
  <w:style w:type="paragraph" w:customStyle="1" w:styleId="60">
    <w:name w:val="列出段落"/>
    <w:basedOn w:val="1"/>
    <w:link w:val="158"/>
    <w:qFormat/>
    <w:uiPriority w:val="0"/>
    <w:pPr>
      <w:ind w:firstLine="420" w:firstLineChars="200"/>
    </w:pPr>
  </w:style>
  <w:style w:type="paragraph" w:customStyle="1" w:styleId="6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63">
    <w:name w:val="p0"/>
    <w:basedOn w:val="1"/>
    <w:qFormat/>
    <w:uiPriority w:val="0"/>
    <w:pPr>
      <w:widowControl/>
    </w:pPr>
    <w:rPr>
      <w:kern w:val="0"/>
      <w:szCs w:val="20"/>
    </w:rPr>
  </w:style>
  <w:style w:type="paragraph" w:customStyle="1" w:styleId="64">
    <w:name w:val="Body text|1"/>
    <w:basedOn w:val="1"/>
    <w:qFormat/>
    <w:uiPriority w:val="0"/>
    <w:pPr>
      <w:spacing w:line="350" w:lineRule="auto"/>
      <w:ind w:firstLine="400"/>
      <w:jc w:val="left"/>
    </w:pPr>
    <w:rPr>
      <w:rFonts w:ascii="宋体" w:hAnsi="宋体" w:cs="宋体"/>
      <w:kern w:val="0"/>
      <w:sz w:val="30"/>
      <w:szCs w:val="30"/>
    </w:rPr>
  </w:style>
  <w:style w:type="paragraph" w:customStyle="1" w:styleId="65">
    <w:name w:val="p17"/>
    <w:basedOn w:val="1"/>
    <w:qFormat/>
    <w:uiPriority w:val="0"/>
    <w:pPr>
      <w:widowControl/>
    </w:pPr>
    <w:rPr>
      <w:rFonts w:ascii="宋体" w:hAnsi="宋体" w:cs="宋体"/>
      <w:kern w:val="0"/>
      <w:szCs w:val="21"/>
    </w:rPr>
  </w:style>
  <w:style w:type="paragraph" w:customStyle="1" w:styleId="66">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0"/>
    <w:qFormat/>
    <w:uiPriority w:val="0"/>
    <w:pPr>
      <w:widowControl w:val="0"/>
      <w:tabs>
        <w:tab w:val="left" w:pos="480"/>
      </w:tabs>
      <w:spacing w:line="360" w:lineRule="auto"/>
      <w:jc w:val="both"/>
    </w:pPr>
    <w:rPr>
      <w:rFonts w:ascii="Times New Roman" w:hAnsi="Times New Roman" w:eastAsia="宋体" w:cs="Times New Roman"/>
      <w:kern w:val="2"/>
      <w:sz w:val="24"/>
      <w:szCs w:val="22"/>
      <w:lang w:val="en-US" w:eastAsia="zh-CN" w:bidi="ar-SA"/>
    </w:rPr>
  </w:style>
  <w:style w:type="paragraph" w:customStyle="1" w:styleId="68">
    <w:name w:val="xl72"/>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69">
    <w:name w:val="Table Paragraph"/>
    <w:basedOn w:val="1"/>
    <w:qFormat/>
    <w:uiPriority w:val="1"/>
  </w:style>
  <w:style w:type="paragraph" w:customStyle="1" w:styleId="70">
    <w:name w:val="Body text|3"/>
    <w:basedOn w:val="1"/>
    <w:qFormat/>
    <w:uiPriority w:val="0"/>
    <w:pPr>
      <w:spacing w:after="460"/>
      <w:jc w:val="center"/>
    </w:pPr>
    <w:rPr>
      <w:rFonts w:ascii="宋体" w:hAnsi="宋体" w:cs="宋体"/>
      <w:kern w:val="0"/>
      <w:sz w:val="34"/>
      <w:szCs w:val="34"/>
    </w:rPr>
  </w:style>
  <w:style w:type="paragraph" w:customStyle="1" w:styleId="7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7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7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5">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7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77">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8">
    <w:name w:val="Heading2"/>
    <w:basedOn w:val="1"/>
    <w:next w:val="1"/>
    <w:qFormat/>
    <w:uiPriority w:val="0"/>
    <w:pPr>
      <w:keepNext/>
      <w:keepLines/>
      <w:spacing w:before="260" w:after="260" w:line="416" w:lineRule="auto"/>
    </w:pPr>
    <w:rPr>
      <w:rFonts w:ascii="Arial" w:hAnsi="Arial" w:eastAsia="黑体" w:cs="Times New Roman"/>
      <w:b/>
      <w:bCs/>
      <w:kern w:val="0"/>
      <w:sz w:val="32"/>
      <w:szCs w:val="32"/>
    </w:rPr>
  </w:style>
  <w:style w:type="paragraph" w:customStyle="1" w:styleId="79">
    <w:name w:val="CM15"/>
    <w:basedOn w:val="57"/>
    <w:next w:val="57"/>
    <w:qFormat/>
    <w:uiPriority w:val="0"/>
    <w:pPr>
      <w:spacing w:line="468" w:lineRule="atLeast"/>
    </w:pPr>
    <w:rPr>
      <w:rFonts w:ascii="Sim Sun" w:eastAsia="Sim Sun" w:cs="Times New Roman"/>
      <w:color w:val="auto"/>
    </w:rPr>
  </w:style>
  <w:style w:type="paragraph" w:customStyle="1" w:styleId="80">
    <w:name w:val="1"/>
    <w:basedOn w:val="1"/>
    <w:next w:val="20"/>
    <w:qFormat/>
    <w:uiPriority w:val="0"/>
    <w:rPr>
      <w:rFonts w:ascii="宋体" w:hAnsi="Courier New"/>
      <w:szCs w:val="20"/>
    </w:rPr>
  </w:style>
  <w:style w:type="paragraph" w:customStyle="1" w:styleId="81">
    <w:name w:val="_Style 36"/>
    <w:basedOn w:val="1"/>
    <w:qFormat/>
    <w:uiPriority w:val="0"/>
    <w:rPr>
      <w:rFonts w:ascii="Tahoma" w:hAnsi="Tahoma"/>
      <w:sz w:val="24"/>
      <w:szCs w:val="20"/>
    </w:rPr>
  </w:style>
  <w:style w:type="paragraph" w:customStyle="1" w:styleId="82">
    <w:name w:val="普通(网站)1"/>
    <w:basedOn w:val="1"/>
    <w:qFormat/>
    <w:uiPriority w:val="0"/>
    <w:pPr>
      <w:jc w:val="left"/>
    </w:pPr>
    <w:rPr>
      <w:kern w:val="0"/>
      <w:sz w:val="24"/>
    </w:rPr>
  </w:style>
  <w:style w:type="paragraph" w:customStyle="1" w:styleId="83">
    <w:name w:val="列出段落1"/>
    <w:basedOn w:val="1"/>
    <w:qFormat/>
    <w:uiPriority w:val="0"/>
    <w:pPr>
      <w:ind w:firstLine="420" w:firstLineChars="200"/>
    </w:pPr>
    <w:rPr>
      <w:rFonts w:ascii="仿宋_GB2312" w:eastAsia="仿宋_GB2312"/>
      <w:sz w:val="32"/>
    </w:rPr>
  </w:style>
  <w:style w:type="paragraph" w:customStyle="1" w:styleId="84">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5">
    <w:name w:val="样式1"/>
    <w:basedOn w:val="1"/>
    <w:qFormat/>
    <w:uiPriority w:val="0"/>
    <w:pPr>
      <w:widowControl/>
      <w:jc w:val="left"/>
    </w:pPr>
    <w:rPr>
      <w:rFonts w:ascii="宋体" w:hAnsi="宋体"/>
      <w:kern w:val="0"/>
      <w:szCs w:val="21"/>
    </w:rPr>
  </w:style>
  <w:style w:type="paragraph" w:customStyle="1" w:styleId="8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8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89">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0">
    <w:name w:val="首行缩进"/>
    <w:basedOn w:val="1"/>
    <w:qFormat/>
    <w:uiPriority w:val="0"/>
    <w:pPr>
      <w:ind w:firstLine="480" w:firstLineChars="200"/>
    </w:pPr>
  </w:style>
  <w:style w:type="paragraph" w:customStyle="1" w:styleId="91">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2">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3">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4">
    <w:name w:val="xl88"/>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5">
    <w:name w:val="xl78"/>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6">
    <w:name w:val="Char Char8"/>
    <w:basedOn w:val="1"/>
    <w:qFormat/>
    <w:uiPriority w:val="0"/>
    <w:rPr>
      <w:rFonts w:ascii="Tahoma" w:hAnsi="Tahoma" w:eastAsia="Times New Roman"/>
      <w:kern w:val="0"/>
      <w:sz w:val="24"/>
      <w:szCs w:val="20"/>
    </w:rPr>
  </w:style>
  <w:style w:type="paragraph" w:customStyle="1" w:styleId="97">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00">
    <w:name w:val="CM14"/>
    <w:basedOn w:val="57"/>
    <w:next w:val="57"/>
    <w:qFormat/>
    <w:uiPriority w:val="0"/>
    <w:pPr>
      <w:spacing w:line="468" w:lineRule="atLeast"/>
    </w:pPr>
    <w:rPr>
      <w:rFonts w:ascii="Sim Sun" w:eastAsia="Sim Sun" w:cs="Times New Roman"/>
      <w:color w:val="auto"/>
    </w:rPr>
  </w:style>
  <w:style w:type="paragraph" w:customStyle="1" w:styleId="101">
    <w:name w:val="正文_0_0"/>
    <w:qFormat/>
    <w:uiPriority w:val="0"/>
    <w:pPr>
      <w:widowControl w:val="0"/>
      <w:spacing w:line="360" w:lineRule="auto"/>
      <w:ind w:firstLine="480" w:firstLineChars="200"/>
      <w:jc w:val="both"/>
    </w:pPr>
    <w:rPr>
      <w:rFonts w:ascii="宋体" w:hAnsi="宋体" w:eastAsia="宋体" w:cs="Times New Roman"/>
      <w:color w:val="000000"/>
      <w:kern w:val="2"/>
      <w:sz w:val="24"/>
      <w:szCs w:val="24"/>
      <w:lang w:val="en-US" w:eastAsia="zh-CN" w:bidi="ar-SA"/>
    </w:rPr>
  </w:style>
  <w:style w:type="paragraph" w:customStyle="1" w:styleId="102">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03">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5">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7">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08">
    <w:name w:val="Char Char2 Char Char"/>
    <w:basedOn w:val="1"/>
    <w:qFormat/>
    <w:uiPriority w:val="0"/>
    <w:rPr>
      <w:rFonts w:ascii="Tahoma" w:hAnsi="Tahoma"/>
      <w:sz w:val="24"/>
      <w:szCs w:val="20"/>
    </w:rPr>
  </w:style>
  <w:style w:type="paragraph" w:customStyle="1" w:styleId="109">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0">
    <w:name w:val="Char"/>
    <w:basedOn w:val="1"/>
    <w:qFormat/>
    <w:uiPriority w:val="0"/>
    <w:pPr>
      <w:widowControl/>
      <w:adjustRightInd w:val="0"/>
      <w:snapToGrid w:val="0"/>
      <w:spacing w:after="160" w:line="240" w:lineRule="exact"/>
      <w:jc w:val="left"/>
    </w:pPr>
    <w:rPr>
      <w:szCs w:val="20"/>
    </w:rPr>
  </w:style>
  <w:style w:type="paragraph" w:customStyle="1" w:styleId="11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2">
    <w:name w:val="BodyText"/>
    <w:basedOn w:val="1"/>
    <w:next w:val="1"/>
    <w:qFormat/>
    <w:uiPriority w:val="0"/>
    <w:pPr>
      <w:textAlignment w:val="baseline"/>
    </w:pPr>
    <w:rPr>
      <w:rFonts w:ascii="宋体" w:hAnsi="宋体"/>
      <w:sz w:val="24"/>
    </w:rPr>
  </w:style>
  <w:style w:type="paragraph" w:customStyle="1" w:styleId="113">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4">
    <w:name w:val="正文呀2"/>
    <w:basedOn w:val="115"/>
    <w:qFormat/>
    <w:uiPriority w:val="0"/>
    <w:rPr>
      <w:rFonts w:ascii="Times New Roman" w:hAnsi="Times New Roman"/>
    </w:rPr>
  </w:style>
  <w:style w:type="paragraph" w:customStyle="1" w:styleId="115">
    <w:name w:val="正文呀"/>
    <w:basedOn w:val="1"/>
    <w:qFormat/>
    <w:uiPriority w:val="0"/>
    <w:pPr>
      <w:spacing w:line="420" w:lineRule="exact"/>
      <w:ind w:firstLine="420" w:firstLineChars="200"/>
    </w:pPr>
    <w:rPr>
      <w:rFonts w:ascii="宋体" w:hAnsi="宋体"/>
    </w:rPr>
  </w:style>
  <w:style w:type="paragraph" w:customStyle="1" w:styleId="116">
    <w:name w:val="_Style 2"/>
    <w:next w:val="1"/>
    <w:qFormat/>
    <w:uiPriority w:val="1"/>
    <w:rPr>
      <w:rFonts w:ascii="Times New Roman" w:hAnsi="Times New Roman" w:eastAsia="宋体" w:cs="Times New Roman"/>
      <w:sz w:val="22"/>
      <w:szCs w:val="22"/>
      <w:lang w:val="en-US" w:eastAsia="zh-CN" w:bidi="ar-SA"/>
    </w:rPr>
  </w:style>
  <w:style w:type="paragraph" w:customStyle="1" w:styleId="117">
    <w:name w:val="_Style 5"/>
    <w:qFormat/>
    <w:uiPriority w:val="1"/>
    <w:rPr>
      <w:rFonts w:ascii="Times New Roman" w:hAnsi="Times New Roman" w:eastAsia="宋体" w:cs="Times New Roman"/>
      <w:sz w:val="22"/>
      <w:szCs w:val="22"/>
      <w:lang w:val="en-US" w:eastAsia="zh-CN" w:bidi="ar-SA"/>
    </w:rPr>
  </w:style>
  <w:style w:type="paragraph" w:customStyle="1" w:styleId="118">
    <w:name w:val="无间隔"/>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paragraph" w:customStyle="1" w:styleId="119">
    <w:name w:val="正文_2"/>
    <w:qFormat/>
    <w:uiPriority w:val="0"/>
    <w:pPr>
      <w:widowControl w:val="0"/>
      <w:suppressAutoHyphens/>
      <w:jc w:val="both"/>
    </w:pPr>
    <w:rPr>
      <w:rFonts w:ascii="Times New Roman" w:hAnsi="Times New Roman" w:eastAsia="宋体" w:cs="Times New Roman"/>
      <w:kern w:val="2"/>
      <w:sz w:val="21"/>
      <w:szCs w:val="22"/>
      <w:lang w:val="en-US" w:eastAsia="zh-CN" w:bidi="ar-SA"/>
    </w:rPr>
  </w:style>
  <w:style w:type="paragraph" w:customStyle="1" w:styleId="120">
    <w:name w:val="正文_1_0"/>
    <w:qFormat/>
    <w:uiPriority w:val="0"/>
    <w:pPr>
      <w:widowControl w:val="0"/>
      <w:suppressAutoHyphens/>
      <w:jc w:val="both"/>
    </w:pPr>
    <w:rPr>
      <w:rFonts w:ascii="Times New Roman" w:hAnsi="Times New Roman" w:eastAsia="宋体" w:cs="Times New Roman"/>
      <w:kern w:val="2"/>
      <w:sz w:val="21"/>
      <w:lang w:val="en-US" w:eastAsia="zh-CN" w:bidi="ar-SA"/>
    </w:rPr>
  </w:style>
  <w:style w:type="paragraph" w:customStyle="1" w:styleId="121">
    <w:name w:val="正文_3"/>
    <w:qFormat/>
    <w:uiPriority w:val="0"/>
    <w:pPr>
      <w:widowControl w:val="0"/>
      <w:suppressAutoHyphens/>
      <w:jc w:val="both"/>
    </w:pPr>
    <w:rPr>
      <w:rFonts w:ascii="Calibri" w:hAnsi="Calibri" w:eastAsia="宋体" w:cs="Times New Roman"/>
      <w:kern w:val="2"/>
      <w:sz w:val="21"/>
      <w:szCs w:val="22"/>
      <w:lang w:val="en-US" w:eastAsia="zh-CN" w:bidi="ar-SA"/>
    </w:rPr>
  </w:style>
  <w:style w:type="paragraph" w:customStyle="1" w:styleId="122">
    <w:name w:val="TOC1"/>
    <w:basedOn w:val="1"/>
    <w:next w:val="1"/>
    <w:qFormat/>
    <w:uiPriority w:val="0"/>
    <w:pPr>
      <w:jc w:val="both"/>
      <w:textAlignment w:val="baseline"/>
    </w:pPr>
    <w:rPr>
      <w:rFonts w:ascii="Calibri" w:hAnsi="Calibri" w:eastAsia="宋体"/>
      <w:kern w:val="2"/>
      <w:sz w:val="21"/>
      <w:szCs w:val="22"/>
      <w:lang w:val="en-US" w:eastAsia="zh-CN" w:bidi="ar-SA"/>
    </w:rPr>
  </w:style>
  <w:style w:type="paragraph" w:customStyle="1" w:styleId="123">
    <w:name w:val="Table of contents|1"/>
    <w:basedOn w:val="1"/>
    <w:qFormat/>
    <w:uiPriority w:val="0"/>
    <w:pPr>
      <w:widowControl w:val="0"/>
      <w:shd w:val="clear" w:color="auto" w:fill="auto"/>
      <w:spacing w:line="474" w:lineRule="exact"/>
      <w:ind w:firstLine="500"/>
    </w:pPr>
    <w:rPr>
      <w:rFonts w:ascii="宋体" w:hAnsi="宋体" w:eastAsia="宋体" w:cs="宋体"/>
      <w:sz w:val="22"/>
      <w:szCs w:val="22"/>
      <w:u w:val="none"/>
      <w:shd w:val="clear" w:color="auto" w:fill="auto"/>
      <w:lang w:val="zh-TW" w:eastAsia="zh-TW" w:bidi="zh-TW"/>
    </w:rPr>
  </w:style>
  <w:style w:type="character" w:customStyle="1" w:styleId="124">
    <w:name w:val="标题 6 Char"/>
    <w:link w:val="7"/>
    <w:qFormat/>
    <w:uiPriority w:val="0"/>
    <w:rPr>
      <w:rFonts w:ascii="Arial" w:hAnsi="Arial" w:eastAsia="黑体"/>
      <w:b/>
      <w:bCs/>
      <w:kern w:val="2"/>
      <w:sz w:val="24"/>
      <w:szCs w:val="24"/>
      <w:lang w:val="en-US" w:eastAsia="zh-CN" w:bidi="ar-SA"/>
    </w:rPr>
  </w:style>
  <w:style w:type="character" w:customStyle="1" w:styleId="125">
    <w:name w:val="正文缩进 Char"/>
    <w:link w:val="4"/>
    <w:qFormat/>
    <w:locked/>
    <w:uiPriority w:val="0"/>
    <w:rPr>
      <w:rFonts w:eastAsia="宋体"/>
      <w:kern w:val="2"/>
      <w:sz w:val="21"/>
      <w:lang w:val="en-US" w:eastAsia="zh-CN" w:bidi="ar-SA"/>
    </w:rPr>
  </w:style>
  <w:style w:type="character" w:customStyle="1" w:styleId="126">
    <w:name w:val="文档结构图 Char"/>
    <w:link w:val="11"/>
    <w:qFormat/>
    <w:uiPriority w:val="0"/>
    <w:rPr>
      <w:rFonts w:ascii="宋体" w:hAnsi="Tahoma"/>
      <w:kern w:val="2"/>
      <w:sz w:val="18"/>
      <w:szCs w:val="18"/>
    </w:rPr>
  </w:style>
  <w:style w:type="character" w:customStyle="1" w:styleId="127">
    <w:name w:val="批注文字 Char"/>
    <w:link w:val="13"/>
    <w:qFormat/>
    <w:uiPriority w:val="0"/>
    <w:rPr>
      <w:rFonts w:eastAsia="宋体"/>
      <w:kern w:val="2"/>
      <w:sz w:val="21"/>
      <w:szCs w:val="24"/>
      <w:lang w:val="en-US" w:eastAsia="zh-CN" w:bidi="ar-SA"/>
    </w:rPr>
  </w:style>
  <w:style w:type="character" w:customStyle="1" w:styleId="128">
    <w:name w:val="正文文本缩进 Char1"/>
    <w:link w:val="16"/>
    <w:qFormat/>
    <w:uiPriority w:val="0"/>
    <w:rPr>
      <w:rFonts w:ascii="Tahoma" w:hAnsi="Tahoma"/>
      <w:kern w:val="2"/>
      <w:sz w:val="21"/>
      <w:szCs w:val="24"/>
    </w:rPr>
  </w:style>
  <w:style w:type="character" w:customStyle="1" w:styleId="129">
    <w:name w:val="纯文本 Char1"/>
    <w:link w:val="20"/>
    <w:qFormat/>
    <w:uiPriority w:val="0"/>
    <w:rPr>
      <w:rFonts w:ascii="宋体" w:hAnsi="Courier New" w:eastAsia="宋体"/>
      <w:kern w:val="2"/>
      <w:sz w:val="21"/>
      <w:szCs w:val="20"/>
      <w:lang w:val="en-US" w:eastAsia="zh-CN" w:bidi="ar-SA"/>
    </w:rPr>
  </w:style>
  <w:style w:type="character" w:customStyle="1" w:styleId="130">
    <w:name w:val="页脚 Char"/>
    <w:link w:val="24"/>
    <w:qFormat/>
    <w:uiPriority w:val="99"/>
    <w:rPr>
      <w:rFonts w:ascii="Tahoma" w:hAnsi="Tahoma"/>
      <w:kern w:val="2"/>
      <w:sz w:val="18"/>
      <w:szCs w:val="18"/>
    </w:rPr>
  </w:style>
  <w:style w:type="character" w:customStyle="1" w:styleId="131">
    <w:name w:val="页眉 Char"/>
    <w:link w:val="25"/>
    <w:qFormat/>
    <w:uiPriority w:val="99"/>
    <w:rPr>
      <w:rFonts w:ascii="Tahoma" w:hAnsi="Tahoma"/>
      <w:kern w:val="2"/>
      <w:sz w:val="18"/>
      <w:szCs w:val="18"/>
    </w:rPr>
  </w:style>
  <w:style w:type="character" w:customStyle="1" w:styleId="132">
    <w:name w:val="未处理的提及1"/>
    <w:unhideWhenUsed/>
    <w:qFormat/>
    <w:uiPriority w:val="99"/>
    <w:rPr>
      <w:rFonts w:ascii="Tahoma" w:hAnsi="Tahoma"/>
      <w:color w:val="808080"/>
      <w:sz w:val="24"/>
      <w:szCs w:val="20"/>
      <w:shd w:val="clear" w:color="auto" w:fill="E6E6E6"/>
    </w:rPr>
  </w:style>
  <w:style w:type="character" w:customStyle="1" w:styleId="133">
    <w:name w:val="qxdate"/>
    <w:qFormat/>
    <w:uiPriority w:val="0"/>
    <w:rPr>
      <w:color w:val="333333"/>
      <w:sz w:val="18"/>
      <w:szCs w:val="18"/>
    </w:rPr>
  </w:style>
  <w:style w:type="character" w:customStyle="1" w:styleId="134">
    <w:name w:val="font21"/>
    <w:qFormat/>
    <w:uiPriority w:val="0"/>
    <w:rPr>
      <w:rFonts w:hint="eastAsia" w:ascii="宋体" w:hAnsi="宋体" w:eastAsia="宋体" w:cs="宋体"/>
      <w:color w:val="000000"/>
      <w:sz w:val="22"/>
      <w:szCs w:val="22"/>
      <w:u w:val="none"/>
    </w:rPr>
  </w:style>
  <w:style w:type="character" w:customStyle="1" w:styleId="135">
    <w:name w:val="font122"/>
    <w:qFormat/>
    <w:uiPriority w:val="0"/>
    <w:rPr>
      <w:rFonts w:hint="eastAsia" w:ascii="宋体" w:hAnsi="宋体" w:eastAsia="宋体" w:cs="宋体"/>
      <w:color w:val="FF0000"/>
      <w:sz w:val="20"/>
      <w:szCs w:val="20"/>
      <w:u w:val="none"/>
    </w:rPr>
  </w:style>
  <w:style w:type="character" w:customStyle="1" w:styleId="136">
    <w:name w:val="纯文本 字符2"/>
    <w:qFormat/>
    <w:uiPriority w:val="0"/>
    <w:rPr>
      <w:rFonts w:ascii="宋体" w:hAnsi="Courier New" w:eastAsia="宋体"/>
      <w:kern w:val="2"/>
      <w:sz w:val="21"/>
      <w:lang w:val="en-US" w:eastAsia="zh-CN" w:bidi="ar-SA"/>
    </w:rPr>
  </w:style>
  <w:style w:type="character" w:customStyle="1" w:styleId="137">
    <w:name w:val="main12"/>
    <w:qFormat/>
    <w:uiPriority w:val="0"/>
    <w:rPr>
      <w:rFonts w:ascii="Arial" w:hAnsi="Arial" w:cs="Arial"/>
      <w:color w:val="000000"/>
      <w:sz w:val="18"/>
      <w:szCs w:val="18"/>
    </w:rPr>
  </w:style>
  <w:style w:type="character" w:customStyle="1" w:styleId="138">
    <w:name w:val="Char Char10"/>
    <w:qFormat/>
    <w:locked/>
    <w:uiPriority w:val="0"/>
    <w:rPr>
      <w:rFonts w:ascii="宋体" w:hAnsi="宋体" w:eastAsia="宋体"/>
      <w:kern w:val="2"/>
      <w:sz w:val="21"/>
      <w:szCs w:val="24"/>
      <w:lang w:val="en-US" w:eastAsia="zh-CN" w:bidi="ar-SA"/>
    </w:rPr>
  </w:style>
  <w:style w:type="character" w:customStyle="1" w:styleId="139">
    <w:name w:val="font61"/>
    <w:qFormat/>
    <w:uiPriority w:val="0"/>
    <w:rPr>
      <w:rFonts w:hint="eastAsia" w:ascii="宋体" w:hAnsi="宋体" w:eastAsia="宋体" w:cs="宋体"/>
      <w:color w:val="000000"/>
      <w:sz w:val="21"/>
      <w:szCs w:val="21"/>
      <w:u w:val="none"/>
    </w:rPr>
  </w:style>
  <w:style w:type="character" w:customStyle="1" w:styleId="140">
    <w:name w:val="无"/>
    <w:qFormat/>
    <w:uiPriority w:val="0"/>
  </w:style>
  <w:style w:type="character" w:customStyle="1" w:styleId="141">
    <w:name w:val="cfdate"/>
    <w:qFormat/>
    <w:uiPriority w:val="0"/>
    <w:rPr>
      <w:color w:val="333333"/>
      <w:sz w:val="18"/>
      <w:szCs w:val="18"/>
    </w:rPr>
  </w:style>
  <w:style w:type="character" w:customStyle="1" w:styleId="142">
    <w:name w:val="正文文本缩进 Char"/>
    <w:qFormat/>
    <w:uiPriority w:val="0"/>
    <w:rPr>
      <w:rFonts w:ascii="Times New Roman" w:hAnsi="Times New Roman" w:eastAsia="宋体" w:cs="Times New Roman"/>
      <w:kern w:val="2"/>
      <w:sz w:val="21"/>
      <w:szCs w:val="24"/>
    </w:rPr>
  </w:style>
  <w:style w:type="character" w:customStyle="1" w:styleId="143">
    <w:name w:val="正文缩进 Char1"/>
    <w:qFormat/>
    <w:locked/>
    <w:uiPriority w:val="0"/>
    <w:rPr>
      <w:rFonts w:eastAsia="宋体"/>
      <w:kern w:val="2"/>
      <w:sz w:val="21"/>
      <w:lang w:val="en-US" w:eastAsia="zh-CN" w:bidi="ar-SA"/>
    </w:rPr>
  </w:style>
  <w:style w:type="character" w:customStyle="1" w:styleId="144">
    <w:name w:val="apple-converted-space"/>
    <w:qFormat/>
    <w:uiPriority w:val="0"/>
  </w:style>
  <w:style w:type="character" w:customStyle="1" w:styleId="145">
    <w:name w:val="font31"/>
    <w:qFormat/>
    <w:uiPriority w:val="0"/>
    <w:rPr>
      <w:rFonts w:hint="eastAsia" w:ascii="宋体" w:hAnsi="宋体" w:eastAsia="宋体" w:cs="宋体"/>
      <w:color w:val="000000"/>
      <w:sz w:val="24"/>
      <w:szCs w:val="24"/>
      <w:u w:val="none"/>
    </w:rPr>
  </w:style>
  <w:style w:type="character" w:customStyle="1" w:styleId="146">
    <w:name w:val="font71"/>
    <w:qFormat/>
    <w:uiPriority w:val="0"/>
    <w:rPr>
      <w:rFonts w:hint="default" w:ascii="Times New Roman" w:hAnsi="Times New Roman" w:cs="Times New Roman"/>
      <w:color w:val="000000"/>
      <w:sz w:val="24"/>
      <w:szCs w:val="24"/>
      <w:u w:val="none"/>
    </w:rPr>
  </w:style>
  <w:style w:type="character" w:customStyle="1" w:styleId="147">
    <w:name w:val="纯文本 字符1"/>
    <w:qFormat/>
    <w:uiPriority w:val="0"/>
    <w:rPr>
      <w:rFonts w:ascii="Ђˎ̥" w:hAnsi="Verdana" w:eastAsia="Ђˎ̥" w:cs="Verdana"/>
      <w:szCs w:val="21"/>
    </w:rPr>
  </w:style>
  <w:style w:type="character" w:customStyle="1" w:styleId="148">
    <w:name w:val="列出段落 Char"/>
    <w:qFormat/>
    <w:locked/>
    <w:uiPriority w:val="34"/>
    <w:rPr>
      <w:rFonts w:ascii="Times New Roman" w:hAnsi="Times New Roman" w:eastAsia="宋体" w:cs="Times New Roman"/>
      <w:kern w:val="0"/>
      <w:sz w:val="24"/>
      <w:szCs w:val="20"/>
    </w:rPr>
  </w:style>
  <w:style w:type="character" w:customStyle="1" w:styleId="149">
    <w:name w:val="页脚 字符"/>
    <w:qFormat/>
    <w:uiPriority w:val="99"/>
  </w:style>
  <w:style w:type="character" w:customStyle="1" w:styleId="150">
    <w:name w:val="纯文本 字符"/>
    <w:qFormat/>
    <w:uiPriority w:val="0"/>
    <w:rPr>
      <w:rFonts w:ascii="宋体" w:hAnsi="Courier New" w:eastAsia="宋体" w:cs="Courier New"/>
      <w:szCs w:val="21"/>
    </w:rPr>
  </w:style>
  <w:style w:type="character" w:customStyle="1" w:styleId="151">
    <w:name w:val="fontstyle01"/>
    <w:qFormat/>
    <w:uiPriority w:val="0"/>
    <w:rPr>
      <w:rFonts w:hint="eastAsia" w:ascii="宋体" w:hAnsi="宋体" w:eastAsia="宋体"/>
      <w:color w:val="000000"/>
      <w:sz w:val="22"/>
      <w:szCs w:val="22"/>
    </w:rPr>
  </w:style>
  <w:style w:type="character" w:customStyle="1" w:styleId="152">
    <w:name w:val="redfilenumber"/>
    <w:qFormat/>
    <w:uiPriority w:val="0"/>
    <w:rPr>
      <w:color w:val="BA2636"/>
      <w:sz w:val="18"/>
      <w:szCs w:val="18"/>
    </w:rPr>
  </w:style>
  <w:style w:type="character" w:customStyle="1" w:styleId="153">
    <w:name w:val="gjfg"/>
    <w:qFormat/>
    <w:uiPriority w:val="0"/>
  </w:style>
  <w:style w:type="character" w:customStyle="1" w:styleId="154">
    <w:name w:val="纯文本 Char"/>
    <w:qFormat/>
    <w:uiPriority w:val="99"/>
    <w:rPr>
      <w:rFonts w:ascii="宋体" w:hAnsi="Courier New" w:eastAsia="宋体"/>
    </w:rPr>
  </w:style>
  <w:style w:type="character" w:customStyle="1" w:styleId="155">
    <w:name w:val="displayarti"/>
    <w:qFormat/>
    <w:uiPriority w:val="0"/>
    <w:rPr>
      <w:color w:val="FFFFFF"/>
      <w:shd w:val="clear" w:color="auto" w:fill="A00000"/>
    </w:rPr>
  </w:style>
  <w:style w:type="character" w:customStyle="1" w:styleId="156">
    <w:name w:val="Char Char1"/>
    <w:qFormat/>
    <w:uiPriority w:val="0"/>
    <w:rPr>
      <w:rFonts w:eastAsia="宋体"/>
      <w:kern w:val="2"/>
      <w:sz w:val="21"/>
      <w:szCs w:val="24"/>
      <w:lang w:val="en-US" w:eastAsia="zh-CN" w:bidi="ar-SA"/>
    </w:rPr>
  </w:style>
  <w:style w:type="character" w:customStyle="1" w:styleId="157">
    <w:name w:val="font01"/>
    <w:qFormat/>
    <w:uiPriority w:val="0"/>
    <w:rPr>
      <w:rFonts w:hint="eastAsia" w:ascii="宋体" w:hAnsi="宋体" w:eastAsia="宋体" w:cs="宋体"/>
      <w:color w:val="000000"/>
      <w:sz w:val="22"/>
      <w:szCs w:val="22"/>
      <w:u w:val="none"/>
    </w:rPr>
  </w:style>
  <w:style w:type="character" w:customStyle="1" w:styleId="158">
    <w:name w:val="列出段落 Char1"/>
    <w:link w:val="60"/>
    <w:qFormat/>
    <w:locked/>
    <w:uiPriority w:val="0"/>
    <w:rPr>
      <w:kern w:val="2"/>
      <w:sz w:val="21"/>
      <w:szCs w:val="24"/>
    </w:rPr>
  </w:style>
  <w:style w:type="character" w:customStyle="1" w:styleId="159">
    <w:name w:val="普通文字 Char Char5"/>
    <w:qFormat/>
    <w:uiPriority w:val="0"/>
    <w:rPr>
      <w:rFonts w:ascii="宋体" w:hAnsi="Courier New" w:eastAsia="宋体"/>
      <w:szCs w:val="21"/>
      <w:lang w:bidi="ar-SA"/>
    </w:rPr>
  </w:style>
  <w:style w:type="character" w:customStyle="1" w:styleId="160">
    <w:name w:val="标题 Char"/>
    <w:qFormat/>
    <w:uiPriority w:val="10"/>
    <w:rPr>
      <w:rFonts w:ascii="Calibri Light" w:hAnsi="Calibri Light" w:cs="Times New Roman"/>
      <w:b/>
      <w:bCs/>
      <w:kern w:val="2"/>
      <w:sz w:val="32"/>
      <w:szCs w:val="32"/>
    </w:rPr>
  </w:style>
  <w:style w:type="character" w:customStyle="1" w:styleId="161">
    <w:name w:val="font131"/>
    <w:qFormat/>
    <w:uiPriority w:val="0"/>
    <w:rPr>
      <w:rFonts w:hint="eastAsia" w:ascii="宋体" w:hAnsi="宋体" w:eastAsia="宋体" w:cs="宋体"/>
      <w:b/>
      <w:bCs/>
      <w:color w:val="FF0000"/>
      <w:sz w:val="18"/>
      <w:szCs w:val="18"/>
      <w:u w:val="none"/>
    </w:rPr>
  </w:style>
  <w:style w:type="character" w:customStyle="1" w:styleId="162">
    <w:name w:val="font121"/>
    <w:qFormat/>
    <w:uiPriority w:val="0"/>
    <w:rPr>
      <w:rFonts w:hint="eastAsia" w:ascii="宋体" w:hAnsi="宋体" w:eastAsia="宋体" w:cs="宋体"/>
      <w:b/>
      <w:color w:val="000000"/>
      <w:sz w:val="22"/>
      <w:szCs w:val="22"/>
      <w:u w:val="none"/>
    </w:rPr>
  </w:style>
  <w:style w:type="character" w:customStyle="1" w:styleId="163">
    <w:name w:val="redfilefwwh"/>
    <w:qFormat/>
    <w:uiPriority w:val="0"/>
    <w:rPr>
      <w:color w:val="BA2636"/>
      <w:sz w:val="18"/>
      <w:szCs w:val="18"/>
    </w:rPr>
  </w:style>
  <w:style w:type="character" w:customStyle="1" w:styleId="164">
    <w:name w:val="font41"/>
    <w:qFormat/>
    <w:uiPriority w:val="0"/>
    <w:rPr>
      <w:rFonts w:hint="eastAsia" w:ascii="宋体" w:hAnsi="宋体" w:eastAsia="宋体" w:cs="宋体"/>
      <w:color w:val="000000"/>
      <w:sz w:val="22"/>
      <w:szCs w:val="22"/>
      <w:u w:val="none"/>
    </w:rPr>
  </w:style>
  <w:style w:type="character" w:customStyle="1" w:styleId="165">
    <w:name w:val="c-icon30"/>
    <w:qFormat/>
    <w:uiPriority w:val="0"/>
  </w:style>
  <w:style w:type="character" w:customStyle="1" w:styleId="166">
    <w:name w:val="hover24"/>
    <w:qFormat/>
    <w:uiPriority w:val="0"/>
  </w:style>
  <w:style w:type="character" w:customStyle="1" w:styleId="167">
    <w:name w:val="hover25"/>
    <w:qFormat/>
    <w:uiPriority w:val="0"/>
    <w:rPr>
      <w:color w:val="315EFB"/>
    </w:rPr>
  </w:style>
  <w:style w:type="character" w:customStyle="1" w:styleId="168">
    <w:name w:val="hover26"/>
    <w:qFormat/>
    <w:uiPriority w:val="0"/>
    <w:rPr>
      <w:color w:val="315EFB"/>
    </w:rPr>
  </w:style>
  <w:style w:type="character" w:customStyle="1" w:styleId="169">
    <w:name w:val="hover27"/>
    <w:qFormat/>
    <w:uiPriority w:val="0"/>
    <w:rPr>
      <w:color w:val="315EFB"/>
      <w:shd w:val="clear" w:color="auto" w:fill="F0F3FD"/>
    </w:rPr>
  </w:style>
  <w:style w:type="character" w:customStyle="1" w:styleId="170">
    <w:name w:val="font11"/>
    <w:qFormat/>
    <w:uiPriority w:val="0"/>
    <w:rPr>
      <w:rFonts w:hint="eastAsia" w:ascii="宋体" w:hAnsi="宋体" w:eastAsia="宋体" w:cs="宋体"/>
      <w:color w:val="000000"/>
      <w:sz w:val="21"/>
      <w:szCs w:val="21"/>
      <w:u w:val="none"/>
    </w:rPr>
  </w:style>
  <w:style w:type="character" w:customStyle="1" w:styleId="171">
    <w:name w:val="NormalCharacter"/>
    <w:qFormat/>
    <w:uiPriority w:val="0"/>
  </w:style>
  <w:style w:type="paragraph" w:customStyle="1" w:styleId="172">
    <w:name w:val="Normal (Web)_file_246"/>
    <w:basedOn w:val="173"/>
    <w:unhideWhenUsed/>
    <w:qFormat/>
    <w:uiPriority w:val="99"/>
  </w:style>
  <w:style w:type="paragraph" w:customStyle="1" w:styleId="173">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0784dcf4-8737-4f36-b33a-0a0c7ff580be</errorID>
      <errorWord>2026年02月</errorWord>
      <group>L1_Knowledge</group>
      <groupName>知识性问题</groupName>
      <ability>L2_Time</ability>
      <abilityName>日期时间</abilityName>
      <candidateList>
        <item>2026年2月</item>
      </candidateList>
      <explain>根据日常书写习惯，月份一般会省略前导零。</explain>
      <paraID>5C41EE69</paraID>
      <start>1</start>
      <end>9</end>
      <status>ignored</status>
      <modifiedWord/>
      <trackRevisions>false</trackRevisions>
    </reviewItem>
    <reviewItem>
      <errorID>ee215c1a-926b-4beb-a38d-3168ed1aa9e5</errorID>
      <errorWord>，</errorWord>
      <group>L1_AI</group>
      <groupName>深度校对</groupName>
      <ability>L2_AI_Punc</ability>
      <abilityName>标点纠错</abilityName>
      <candidateList>
        <item>,</item>
      </candidateList>
      <explain/>
      <paraID>2BA54138</paraID>
      <start>16</start>
      <end>17</end>
      <status>modified</status>
      <modifiedWord>,</modifiedWord>
      <trackRevisions>false</trackRevisions>
    </reviewItem>
    <reviewItem>
      <errorID>8d6987d9-96f3-4da0-8f1a-79fed8e3fe70</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38E6EEE3</paraID>
      <start>14</start>
      <end>25</end>
      <status>ignored</status>
      <modifiedWord/>
      <trackRevisions>false</trackRevisions>
    </reviewItem>
    <reviewItem>
      <errorID>d7a36280-57e3-41a7-b049-e8e7d7741f69</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38E6EEE3</paraID>
      <start>39</start>
      <end>50</end>
      <status>ignored</status>
      <modifiedWord/>
      <trackRevisions>false</trackRevisions>
    </reviewItem>
    <reviewItem>
      <errorID>0eecc457-d15a-463f-92ce-0bf5af0daf64</errorID>
      <errorWord>2026年02月</errorWord>
      <group>L1_Knowledge</group>
      <groupName>知识性问题</groupName>
      <ability>L2_Time</ability>
      <abilityName>日期时间</abilityName>
      <candidateList>
        <item>2026年2月</item>
      </candidateList>
      <explain>根据日常书写习惯，月份一般会省略前导零。</explain>
      <paraID>543AACBA</paraID>
      <start>5</start>
      <end>13</end>
      <status>ignored</status>
      <modifiedWord/>
      <trackRevisions>false</trackRevisions>
    </reviewItem>
    <reviewItem>
      <errorID>6c2858ba-02f8-4921-81ad-7cb8249f92ed</errorID>
      <errorWord>09</errorWord>
      <group>L1_AI</group>
      <groupName>深度校对</groupName>
      <ability>L2_AI_Word</ability>
      <abilityName>字词纠错</abilityName>
      <candidateList>
        <item> 09</item>
      </candidateList>
      <explain/>
      <paraID>543AACBA</paraID>
      <start>16</start>
      <end>18</end>
      <status>ignored</status>
      <modifiedWord/>
      <trackRevisions>false</trackRevisions>
    </reviewItem>
    <reviewItem>
      <errorID>5b63c3f3-c5ed-4d45-b15f-d0effcf6bceb</errorID>
      <errorWord>点</errorWord>
      <group>L1_AI</group>
      <groupName>深度校对</groupName>
      <ability>L2_AI_Word</ability>
      <abilityName>字词纠错</abilityName>
      <candidateList>
        <item>:</item>
      </candidateList>
      <explain/>
      <paraID>543AACBA</paraID>
      <start>18</start>
      <end>19</end>
      <status>modified</status>
      <modifiedWord>:</modifiedWord>
      <trackRevisions>false</trackRevisions>
    </reviewItem>
    <reviewItem>
      <errorID>8cde1fd8-a5d9-45ea-b2b4-851f1284db1d</errorID>
      <errorWord>30分</errorWord>
      <group>L1_AI</group>
      <groupName>深度校对</groupName>
      <ability>L2_AI_Word</ability>
      <abilityName>字词纠错</abilityName>
      <candidateList>
        <item>30</item>
      </candidateList>
      <explain/>
      <paraID>543AACBA</paraID>
      <start>19</start>
      <end>21</end>
      <status>modified</status>
      <modifiedWord>30</modifiedWord>
      <trackRevisions>false</trackRevisions>
    </reviewItem>
    <reviewItem>
      <errorID>b59bee4f-c158-4c76-88a0-b71862100feb</errorID>
      <errorWord>采购的项目</errorWord>
      <group>L1_AI</group>
      <groupName>深度校对</groupName>
      <ability>L2_AI_Grammar</ability>
      <abilityName>语法纠错</abilityName>
      <candidateList>
        <item>采购</item>
      </candidateList>
      <explain/>
      <paraID>74522EFC</paraID>
      <start>15</start>
      <end>20</end>
      <status>ignored</status>
      <modifiedWord/>
      <trackRevisions>false</trackRevisions>
    </reviewItem>
    <reviewItem>
      <errorID>2ff591b3-65c6-4e60-b57e-e14ac1824688</errorID>
      <errorWord>享受</errorWord>
      <group>L1_AI</group>
      <groupName>深度校对</groupName>
      <ability>L2_AI_Grammar</ability>
      <abilityName>语法纠错</abilityName>
      <candidateList>
        <item>，可享受</item>
      </candidateList>
      <explain/>
      <paraID>74522EFC</paraID>
      <start>38</start>
      <end>42</end>
      <status>modified</status>
      <modifiedWord>，可享受</modifiedWord>
      <trackRevisions>false</trackRevisions>
    </reviewItem>
    <reviewItem>
      <errorID>07cfefb2-07bf-4640-913a-13b3435e9142</errorID>
      <errorWord>末</errorWord>
      <group>L1_Word</group>
      <groupName>字词问题</groupName>
      <ability>L2_Typo</ability>
      <abilityName>字词错误</abilityName>
      <candidateList>
        <item>未</item>
      </candidateList>
      <explain>〈副〉❶没（跟“已”相对）：尚～成年｜健康仍～恢复。❷不：～便｜～敢苟同｜～可厚非。</explain>
      <paraID>1799547E</paraID>
      <start>11</start>
      <end>12</end>
      <status>modified</status>
      <modifiedWord>未</modifiedWord>
      <trackRevisions>false</trackRevisions>
    </reviewItem>
    <reviewItem>
      <errorID>2c3f87b7-60f5-48c1-bb9c-9d7c8d7ce1f7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2E076552</paraID>
      <start>16</start>
      <end>27</end>
      <status>ignored</status>
      <modifiedWord/>
      <trackRevisions>false</trackRevisions>
    </reviewItem>
    <reviewItem>
      <errorID>f587bc91-2b13-426a-a1be-f1bff5afa607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2E076552</paraID>
      <start>41</start>
      <end>52</end>
      <status>ignored</status>
      <modifiedWord/>
      <trackRevisions>false</trackRevisions>
    </reviewItem>
    <reviewItem>
      <errorID>7f3e7c16-d828-4f96-bad5-ac80f78a47e2</errorID>
      <errorWord>间</errorWord>
      <group>L1_Word</group>
      <groupName>字词问题</groupName>
      <ability>L2_Typo</ability>
      <abilityName>字词错误</abilityName>
      <candidateList>
        <item>间之</item>
      </candidateList>
      <explain/>
      <paraID>63FB2013</paraID>
      <start>66</start>
      <end>67</end>
      <status>ignored</status>
      <modifiedWord/>
      <trackRevisions>false</trackRevisions>
    </reviewItem>
    <reviewItem>
      <errorID>5598b1bd-79d4-4a52-a5cd-e31d6e2b12f7</errorID>
      <errorWord>(</errorWord>
      <group>L1_Format</group>
      <groupName>格式问题</groupName>
      <ability>L2_HalfPunc</ability>
      <abilityName>全半角检查</abilityName>
      <candidateList>
        <item>（</item>
      </candidateList>
      <explain>文本全半角错误。</explain>
      <paraID>7BB68193</paraID>
      <start>21</start>
      <end>22</end>
      <status>ignored</status>
      <modifiedWord/>
      <trackRevisions>false</trackRevisions>
    </reviewItem>
    <reviewItem>
      <errorID>a152ba41-31c4-4fdf-a541-837249e437bc</errorID>
      <errorWord>)</errorWord>
      <group>L1_Format</group>
      <groupName>格式问题</groupName>
      <ability>L2_HalfPunc</ability>
      <abilityName>全半角检查</abilityName>
      <candidateList>
        <item>）</item>
      </candidateList>
      <explain>文本全半角错误。</explain>
      <paraID>7BB68193</paraID>
      <start>29</start>
      <end>30</end>
      <status>ignored</status>
      <modifiedWord/>
      <trackRevisions>false</trackRevisions>
    </reviewItem>
    <reviewItem>
      <errorID>30b4b7f2-6b96-4cc4-bfeb-05e69d666f09</errorID>
      <errorWord>评审</errorWord>
      <group>L1_AI</group>
      <groupName>深度校对</groupName>
      <ability>L2_AI_Word</ability>
      <abilityName>字词纠错</abilityName>
      <candidateList>
        <item>和评审</item>
      </candidateList>
      <explain/>
      <paraID>63770C14</paraID>
      <start>8</start>
      <end>10</end>
      <status>ignored</status>
      <modifiedWord/>
      <trackRevisions>false</trackRevisions>
    </reviewItem>
    <reviewItem>
      <errorID>fc18525e-0ba8-45da-bf69-f256c576b2b4</errorID>
      <errorWord>单数</errorWord>
      <group>L1_AI</group>
      <groupName>深度校对</groupName>
      <ability>L2_AI_Punc</ability>
      <abilityName>标点纠错</abilityName>
      <candidateList>
        <item>单数。</item>
      </candidateList>
      <explain/>
      <paraID>63770C14</paraID>
      <start>28</start>
      <end>30</end>
      <status>ignored</status>
      <modifiedWord/>
      <trackRevisions>false</trackRevisions>
    </reviewItem>
    <reviewItem>
      <errorID>cb649f34-86c1-4db1-874e-05e75f258995</errorID>
      <errorWord>）</errorWord>
      <group>L1_AI</group>
      <groupName>深度校对</groupName>
      <ability>L2_AI_Word</ability>
      <abilityName>字词纠错</abilityName>
      <candidateList>
        <item>号）</item>
      </candidateList>
      <explain/>
      <paraID>175175CB</paraID>
      <start>59</start>
      <end>61</end>
      <status>modified</status>
      <modifiedWord>号）</modifiedWord>
      <trackRevisions>false</trackRevisions>
    </reviewItem>
    <reviewItem>
      <errorID>28bd966c-1871-4640-9918-8713e8e394ea</errorID>
      <errorWord>(</errorWord>
      <group>L1_Format</group>
      <groupName>格式问题</groupName>
      <ability>L2_HalfPunc</ability>
      <abilityName>全半角检查</abilityName>
      <candidateList>
        <item>（</item>
      </candidateList>
      <explain>文本全半角错误。</explain>
      <paraID> 6E93149</paraID>
      <start>14</start>
      <end>15</end>
      <status>ignored</status>
      <modifiedWord/>
      <trackRevisions>false</trackRevisions>
    </reviewItem>
    <reviewItem>
      <errorID>9efabe6c-bcb8-481c-9d4c-920a7f4f9046</errorID>
      <errorWord>)</errorWord>
      <group>L1_Format</group>
      <groupName>格式问题</groupName>
      <ability>L2_HalfPunc</ability>
      <abilityName>全半角检查</abilityName>
      <candidateList>
        <item>）</item>
      </candidateList>
      <explain>文本全半角错误。</explain>
      <paraID> 6E93149</paraID>
      <start>37</start>
      <end>38</end>
      <status>ignored</status>
      <modifiedWord/>
      <trackRevisions>false</trackRevisions>
    </reviewItem>
    <reviewItem>
      <errorID>18550a05-ed84-45ed-be69-07831d3ce19a</errorID>
      <errorWord>(</errorWord>
      <group>L1_Format</group>
      <groupName>格式问题</groupName>
      <ability>L2_HalfPunc</ability>
      <abilityName>全半角检查</abilityName>
      <candidateList>
        <item>（</item>
      </candidateList>
      <explain>文本全半角错误。</explain>
      <paraID> 6E93149</paraID>
      <start>46</start>
      <end>47</end>
      <status>ignored</status>
      <modifiedWord/>
      <trackRevisions>false</trackRevisions>
    </reviewItem>
    <reviewItem>
      <errorID>9f1e2692-8d9b-4dbd-bba9-709cd2d3b2cc</errorID>
      <errorWord>)</errorWord>
      <group>L1_Format</group>
      <groupName>格式问题</groupName>
      <ability>L2_HalfPunc</ability>
      <abilityName>全半角检查</abilityName>
      <candidateList>
        <item>）</item>
      </candidateList>
      <explain>文本全半角错误。</explain>
      <paraID> 6E93149</paraID>
      <start>62</start>
      <end>63</end>
      <status>ignored</status>
      <modifiedWord/>
      <trackRevisions>false</trackRevisions>
    </reviewItem>
    <reviewItem>
      <errorID>a8bb35ea-f052-4353-89dd-af56f89b22db</errorID>
      <errorWord>(</errorWord>
      <group>L1_Format</group>
      <groupName>格式问题</groupName>
      <ability>L2_HalfPunc</ability>
      <abilityName>全半角检查</abilityName>
      <candidateList>
        <item>（</item>
      </candidateList>
      <explain>文本全半角错误。</explain>
      <paraID>458E585C</paraID>
      <start>20</start>
      <end>21</end>
      <status>ignored</status>
      <modifiedWord/>
      <trackRevisions>false</trackRevisions>
    </reviewItem>
    <reviewItem>
      <errorID>a8660747-ebf6-4202-a835-95f29902f2db</errorID>
      <errorWord>)</errorWord>
      <group>L1_Format</group>
      <groupName>格式问题</groupName>
      <ability>L2_HalfPunc</ability>
      <abilityName>全半角检查</abilityName>
      <candidateList>
        <item>）</item>
      </candidateList>
      <explain>文本全半角错误。</explain>
      <paraID>458E585C</paraID>
      <start>43</start>
      <end>44</end>
      <status>ignored</status>
      <modifiedWord/>
      <trackRevisions>false</trackRevisions>
    </reviewItem>
    <reviewItem>
      <errorID>9758aabd-2a6a-4872-8e21-96f0f1e2c989</errorID>
      <errorWord>(</errorWord>
      <group>L1_Format</group>
      <groupName>格式问题</groupName>
      <ability>L2_HalfPunc</ability>
      <abilityName>全半角检查</abilityName>
      <candidateList>
        <item>（</item>
      </candidateList>
      <explain>文本全半角错误。</explain>
      <paraID>458E585C</paraID>
      <start>52</start>
      <end>53</end>
      <status>ignored</status>
      <modifiedWord/>
      <trackRevisions>false</trackRevisions>
    </reviewItem>
    <reviewItem>
      <errorID>0e1a62ec-bb5b-454f-9b65-33b89623e517</errorID>
      <errorWord>)</errorWord>
      <group>L1_Format</group>
      <groupName>格式问题</groupName>
      <ability>L2_HalfPunc</ability>
      <abilityName>全半角检查</abilityName>
      <candidateList>
        <item>）</item>
      </candidateList>
      <explain>文本全半角错误。</explain>
      <paraID>458E585C</paraID>
      <start>68</start>
      <end>69</end>
      <status>ignored</status>
      <modifiedWord/>
      <trackRevisions>false</trackRevisions>
    </reviewItem>
    <reviewItem>
      <errorID>7ea8de53-01a7-4ea4-ad82-2e637e7b0d77</errorID>
      <errorWord>中标人</errorWord>
      <group>L1_AI</group>
      <groupName>深度校对</groupName>
      <ability>L2_AI_Grammar</ability>
      <abilityName>语法纠错</abilityName>
      <candidateList>
        <item>成交候选人</item>
      </candidateList>
      <explain/>
      <paraID>6A3B3164</paraID>
      <start>8</start>
      <end>13</end>
      <status>modified</status>
      <modifiedWord>成交候选人</modifiedWord>
      <trackRevisions>false</trackRevisions>
    </reviewItem>
    <reviewItem>
      <errorID>c244f61f-ee04-480e-923c-bd347e684eac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24</start>
      <end>26</end>
      <status>modified</status>
      <modifiedWord>》《</modifiedWord>
      <trackRevisions>false</trackRevisions>
    </reviewItem>
    <reviewItem>
      <errorID>2983486c-0f5d-4fe4-a02a-d832a48373ab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42</start>
      <end>44</end>
      <status>modified</status>
      <modifiedWord>》《</modifiedWord>
      <trackRevisions>false</trackRevisions>
    </reviewItem>
    <reviewItem>
      <errorID>1a82493d-2f5f-4031-b478-dde3a6742e17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59</start>
      <end>61</end>
      <status>modified</status>
      <modifiedWord>》《</modifiedWord>
      <trackRevisions>false</trackRevisions>
    </reviewItem>
    <reviewItem>
      <errorID>576080ac-ff16-484b-afbe-c6d525b6577b</errorID>
      <errorWord>法律、法规</errorWord>
      <group>L1_Word</group>
      <groupName>字词问题</groupName>
      <ability>L2_Typo</ability>
      <abilityName>字词错误</abilityName>
      <candidateList>
        <item>法律法规</item>
      </candidateList>
      <explain/>
      <paraID>5E7CD373</paraID>
      <start>50</start>
      <end>54</end>
      <status>modified</status>
      <modifiedWord>法律法规</modifiedWord>
      <trackRevisions>false</trackRevisions>
    </reviewItem>
    <reviewItem>
      <errorID>c003d51d-3608-48e0-b898-72ed1b8e2a28</errorID>
      <errorWord>：</errorWord>
      <group>L1_AI</group>
      <groupName>深度校对</groupName>
      <ability>L2_AI_Punc</ability>
      <abilityName>标点纠错</abilityName>
      <candidateList>
        <item/>
      </candidateList>
      <explain/>
      <paraID> 45C2091</paraID>
      <start>7</start>
      <end>8</end>
      <status>ignored</status>
      <modifiedWord/>
      <trackRevisions>false</trackRevisions>
    </reviewItem>
    <reviewItem>
      <errorID>a0b6f445-a36e-4f73-a797-0dfe5f03dfcd</errorID>
      <errorWord>承担是</errorWord>
      <group>L1_AI</group>
      <groupName>深度校对</groupName>
      <ability>L2_AI_Word</ability>
      <abilityName>字词纠错</abilityName>
      <candidateList>
        <item>承担</item>
      </candidateList>
      <explain/>
      <paraID> 45C2091</paraID>
      <start>22</start>
      <end>24</end>
      <status>modified</status>
      <modifiedWord>承担</modifiedWord>
      <trackRevisions>false</trackRevisions>
    </reviewItem>
    <reviewItem>
      <errorID>034afedb-89e7-4aa4-a035-ddb59321dc10</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30BF6112</paraID>
      <start>3</start>
      <end>14</end>
      <status>ignored</status>
      <modifiedWord/>
      <trackRevisions>false</trackRevisions>
    </reviewItem>
    <reviewItem>
      <errorID>ee371aa7-e093-46cb-ae7f-b3a241a96a49</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30BF6112</paraID>
      <start>28</start>
      <end>39</end>
      <status>ignored</status>
      <modifiedWord/>
      <trackRevisions>false</trackRevisions>
    </reviewItem>
    <reviewItem>
      <errorID>833ee403-956e-41b7-996b-26f4ff26d72b</errorID>
      <errorWord>(</errorWord>
      <group>L1_Format</group>
      <groupName>格式问题</groupName>
      <ability>L2_HalfPunc</ability>
      <abilityName>全半角检查</abilityName>
      <candidateList>
        <item>（</item>
      </candidateList>
      <explain>文本全半角错误。</explain>
      <paraID>2C9DF0DB</paraID>
      <start>61</start>
      <end>62</end>
      <status>ignored</status>
      <modifiedWord/>
      <trackRevisions>false</trackRevisions>
    </reviewItem>
    <reviewItem>
      <errorID>aecc372b-5783-417a-a66e-74b72d42de62</errorID>
      <errorWord>)</errorWord>
      <group>L1_Format</group>
      <groupName>格式问题</groupName>
      <ability>L2_HalfPunc</ability>
      <abilityName>全半角检查</abilityName>
      <candidateList>
        <item>）</item>
      </candidateList>
      <explain>文本全半角错误。</explain>
      <paraID>2C9DF0DB</paraID>
      <start>71</start>
      <end>72</end>
      <status>ignored</status>
      <modifiedWord/>
      <trackRevisions>false</trackRevisions>
    </reviewItem>
    <reviewItem>
      <errorID>25157a95-fa21-41ef-82e1-0113d64b3ae4</errorID>
      <errorWord>其它</errorWord>
      <group>L1_Word</group>
      <groupName>字词问题</groupName>
      <ability>L2_Alias</ability>
      <abilityName>也作/曾用词</abilityName>
      <candidateList>
        <item>其他</item>
      </candidateList>
      <explain>词汇[其它]为不规范表述或旧称，其规范书面表述为[其他]。</explain>
      <paraID>10BDE7F9</paraID>
      <start>60</start>
      <end>62</end>
      <status>modified</status>
      <modifiedWord>其他</modifiedWord>
      <trackRevisions>false</trackRevisions>
    </reviewItem>
    <reviewItem>
      <errorID>37f04753-b82f-4436-abe9-c3d0a8d6cb89</errorID>
      <errorWord>间</errorWord>
      <group>L1_Word</group>
      <groupName>字词问题</groupName>
      <ability>L2_Typo</ability>
      <abilityName>字词错误</abilityName>
      <candidateList>
        <item>间之</item>
      </candidateList>
      <explain/>
      <paraID>5354D5B7</paraID>
      <start>66</start>
      <end>67</end>
      <status>ignored</status>
      <modifiedWord/>
      <trackRevisions>false</trackRevisions>
    </reviewItem>
    <reviewItem>
      <errorID>26a79a9b-2224-4a22-a172-c04c50a46e2a</errorID>
      <errorWord>第9条</errorWord>
      <group>L1_Knowledge</group>
      <groupName>知识性问题</groupName>
      <ability>L2_Knowledge</ability>
      <abilityName>其他知识</abilityName>
      <candidateList>
        <item>第九条</item>
      </candidateList>
      <explain/>
      <paraID>7395FD8E</paraID>
      <start>27</start>
      <end>30</end>
      <status>ignored</status>
      <modifiedWord/>
      <trackRevisions>false</trackRevisions>
    </reviewItem>
    <reviewItem>
      <errorID>6df7f85d-b704-4a13-932a-a3c41e5b6d4b</errorID>
      <errorWord>第10条</errorWord>
      <group>L1_Knowledge</group>
      <groupName>知识性问题</groupName>
      <ability>L2_Knowledge</ability>
      <abilityName>其他知识</abilityName>
      <candidateList>
        <item>第十条</item>
      </candidateList>
      <explain/>
      <paraID>1E4B102B</paraID>
      <start>25</start>
      <end>29</end>
      <status>ignored</status>
      <modifiedWord/>
      <trackRevisions>false</trackRevisions>
    </reviewItem>
    <reviewItem>
      <errorID>5ef8bcf8-4cfd-4fba-b7ed-2dff76602758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1DEC8050</paraID>
      <start>0</start>
      <end>2</end>
      <status>modified</status>
      <modifiedWord>1.</modifiedWord>
      <trackRevisions>false</trackRevisions>
    </reviewItem>
    <reviewItem>
      <errorID>75454bc0-47e2-4dc4-912d-6d7295e96239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33ACF811</paraID>
      <start>0</start>
      <end>2</end>
      <status>modified</status>
      <modifiedWord>2.</modifiedWord>
      <trackRevisions>false</trackRevisions>
    </reviewItem>
    <reviewItem>
      <errorID>57081dc2-0179-4beb-b73f-d874f43e4eeb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42A19726</paraID>
      <start>0</start>
      <end>2</end>
      <status>modified</status>
      <modifiedWord>3.</modifiedWord>
      <trackRevisions>false</trackRevisions>
    </reviewItem>
    <reviewItem>
      <errorID>f41c4d84-4895-4b35-9455-14246fc5d0bc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3CD2683F</paraID>
      <start>0</start>
      <end>2</end>
      <status>modified</status>
      <modifiedWord>4.</modifiedWord>
      <trackRevisions>false</trackRevisions>
    </reviewItem>
    <reviewItem>
      <errorID>5e4bf5be-9c73-4fa1-a8ea-907b824881cd</errorID>
      <errorWord>(</errorWord>
      <group>L1_Format</group>
      <groupName>格式问题</groupName>
      <ability>L2_HalfPunc</ability>
      <abilityName>全半角检查</abilityName>
      <candidateList>
        <item>（</item>
      </candidateList>
      <explain>文本全半角错误。</explain>
      <paraID>6F48F83F</paraID>
      <start>43</start>
      <end>44</end>
      <status>ignored</status>
      <modifiedWord/>
      <trackRevisions>false</trackRevisions>
    </reviewItem>
    <reviewItem>
      <errorID>c26321ee-3833-47e0-9806-c3159ce7f599</errorID>
      <errorWord>)</errorWord>
      <group>L1_Format</group>
      <groupName>格式问题</groupName>
      <ability>L2_HalfPunc</ability>
      <abilityName>全半角检查</abilityName>
      <candidateList>
        <item>）</item>
      </candidateList>
      <explain>文本全半角错误。</explain>
      <paraID>6F48F83F</paraID>
      <start>57</start>
      <end>58</end>
      <status>ignored</status>
      <modifiedWord/>
      <trackRevisions>false</trackRevisions>
    </reviewItem>
    <reviewItem>
      <errorID>94bc1c68-a95a-4175-ae29-91575ff80196</errorID>
      <errorWord>(</errorWord>
      <group>L1_Format</group>
      <groupName>格式问题</groupName>
      <ability>L2_HalfPunc</ability>
      <abilityName>全半角检查</abilityName>
      <candidateList>
        <item>（</item>
      </candidateList>
      <explain>文本全半角错误。</explain>
      <paraID>4CD2D5EF</paraID>
      <start>29</start>
      <end>30</end>
      <status>ignored</status>
      <modifiedWord/>
      <trackRevisions>false</trackRevisions>
    </reviewItem>
    <reviewItem>
      <errorID>3b35ebbd-4113-4e5e-9477-f6cf544c4769</errorID>
      <errorWord>)</errorWord>
      <group>L1_Format</group>
      <groupName>格式问题</groupName>
      <ability>L2_HalfPunc</ability>
      <abilityName>全半角检查</abilityName>
      <candidateList>
        <item>）</item>
      </candidateList>
      <explain>文本全半角错误。</explain>
      <paraID>4CD2D5EF</paraID>
      <start>43</start>
      <end>44</end>
      <status>ignored</status>
      <modifiedWord/>
      <trackRevisions>false</trackRevisions>
    </reviewItem>
    <reviewItem>
      <errorID>e5443d90-f522-4e35-921f-e1c9d278a34f</errorID>
      <errorWord>(</errorWord>
      <group>L1_Format</group>
      <groupName>格式问题</groupName>
      <ability>L2_HalfPunc</ability>
      <abilityName>全半角检查</abilityName>
      <candidateList>
        <item>（</item>
      </candidateList>
      <explain>文本全半角错误。</explain>
      <paraID>4CD2D5EF</paraID>
      <start>74</start>
      <end>75</end>
      <status>ignored</status>
      <modifiedWord/>
      <trackRevisions>false</trackRevisions>
    </reviewItem>
    <reviewItem>
      <errorID>fc59f9e0-f223-42fd-85f1-4dcfa5ecc27b</errorID>
      <errorWord>)</errorWord>
      <group>L1_Format</group>
      <groupName>格式问题</groupName>
      <ability>L2_HalfPunc</ability>
      <abilityName>全半角检查</abilityName>
      <candidateList>
        <item>）</item>
      </candidateList>
      <explain>文本全半角错误。</explain>
      <paraID>4CD2D5EF</paraID>
      <start>88</start>
      <end>89</end>
      <status>ignored</status>
      <modifiedWord/>
      <trackRevisions>false</trackRevisions>
    </reviewItem>
    <reviewItem>
      <errorID>2625a3de-c8a4-43bf-9eb0-eed1c4ed62f2</errorID>
      <errorWord>(</errorWord>
      <group>L1_Format</group>
      <groupName>格式问题</groupName>
      <ability>L2_HalfPunc</ability>
      <abilityName>全半角检查</abilityName>
      <candidateList>
        <item>（</item>
      </candidateList>
      <explain>文本全半角错误。</explain>
      <paraID>7FCA2F21</paraID>
      <start>21</start>
      <end>22</end>
      <status>ignored</status>
      <modifiedWord/>
      <trackRevisions>false</trackRevisions>
    </reviewItem>
    <reviewItem>
      <errorID>b720aba1-b354-4b51-8344-78944713167e</errorID>
      <errorWord>)</errorWord>
      <group>L1_Format</group>
      <groupName>格式问题</groupName>
      <ability>L2_HalfPunc</ability>
      <abilityName>全半角检查</abilityName>
      <candidateList>
        <item>）</item>
      </candidateList>
      <explain>文本全半角错误。</explain>
      <paraID>7FCA2F21</paraID>
      <start>28</start>
      <end>29</end>
      <status>ignored</status>
      <modifiedWord/>
      <trackRevisions>false</trackRevisions>
    </reviewItem>
    <reviewItem>
      <errorID>e34ee82f-b7b0-47d3-884f-087f7a557ffb</errorID>
      <errorWord>做变动</errorWord>
      <group>L1_Word</group>
      <groupName>字词问题</groupName>
      <ability>L2_Typo</ability>
      <abilityName>字词错误</abilityName>
      <candidateList>
        <item>作变动</item>
      </candidateList>
      <explain/>
      <paraID>538A0361</paraID>
      <start>13</start>
      <end>16</end>
      <status>modified</status>
      <modifiedWord>作变动</modifiedWord>
      <trackRevisions>false</trackRevisions>
    </reviewItem>
    <reviewItem>
      <errorID>b0b47b8b-b1f8-4877-af2b-afab0a975086</errorID>
      <errorWord>法律、法规</errorWord>
      <group>L1_Word</group>
      <groupName>字词问题</groupName>
      <ability>L2_Typo</ability>
      <abilityName>字词错误</abilityName>
      <candidateList>
        <item>法律法规</item>
      </candidateList>
      <explain/>
      <paraID>16847BC1</paraID>
      <start>6</start>
      <end>10</end>
      <status>modified</status>
      <modifiedWord>法律法规</modifiedWord>
      <trackRevisions>false</trackRevisions>
    </reviewItem>
    <reviewItem>
      <errorID>1e0acf09-c846-45d5-a793-a4438c724bfa</errorID>
      <errorWord>做变动</errorWord>
      <group>L1_Word</group>
      <groupName>字词问题</groupName>
      <ability>L2_Typo</ability>
      <abilityName>字词错误</abilityName>
      <candidateList>
        <item>作变动</item>
      </candidateList>
      <explain/>
      <paraID> 34120C5</paraID>
      <start>13</start>
      <end>16</end>
      <status>modified</status>
      <modifiedWord>作变动</modifiedWord>
      <trackRevisions>false</trackRevisions>
    </reviewItem>
    <reviewItem>
      <errorID>e2c107dd-8971-4fab-8170-a20558d2988e</errorID>
      <errorWord>(</errorWord>
      <group>L1_Format</group>
      <groupName>格式问题</groupName>
      <ability>L2_HalfPunc</ability>
      <abilityName>全半角检查</abilityName>
      <candidateList>
        <item>（</item>
      </candidateList>
      <explain>文本全半角错误。</explain>
      <paraID>704A2DB1</paraID>
      <start>14</start>
      <end>15</end>
      <status>ignored</status>
      <modifiedWord/>
      <trackRevisions>false</trackRevisions>
    </reviewItem>
    <reviewItem>
      <errorID>89b8b350-a4f8-458d-ae34-96d5fbe9c76e</errorID>
      <errorWord>)</errorWord>
      <group>L1_Format</group>
      <groupName>格式问题</groupName>
      <ability>L2_HalfPunc</ability>
      <abilityName>全半角检查</abilityName>
      <candidateList>
        <item>）</item>
      </candidateList>
      <explain>文本全半角错误。</explain>
      <paraID>704A2DB1</paraID>
      <start>37</start>
      <end>38</end>
      <status>ignored</status>
      <modifiedWord/>
      <trackRevisions>false</trackRevisions>
    </reviewItem>
    <reviewItem>
      <errorID>9bdb52a5-02dd-4cf1-af98-2cf81d105c52</errorID>
      <errorWord>(</errorWord>
      <group>L1_Format</group>
      <groupName>格式问题</groupName>
      <ability>L2_HalfPunc</ability>
      <abilityName>全半角检查</abilityName>
      <candidateList>
        <item>（</item>
      </candidateList>
      <explain>文本全半角错误。</explain>
      <paraID>53831B75</paraID>
      <start>20</start>
      <end>21</end>
      <status>ignored</status>
      <modifiedWord/>
      <trackRevisions>false</trackRevisions>
    </reviewItem>
    <reviewItem>
      <errorID>4bac9d55-0934-4836-992b-3527e093f9b7</errorID>
      <errorWord>)</errorWord>
      <group>L1_Format</group>
      <groupName>格式问题</groupName>
      <ability>L2_HalfPunc</ability>
      <abilityName>全半角检查</abilityName>
      <candidateList>
        <item>）</item>
      </candidateList>
      <explain>文本全半角错误。</explain>
      <paraID>53831B75</paraID>
      <start>43</start>
      <end>44</end>
      <status>ignored</status>
      <modifiedWord/>
      <trackRevisions>false</trackRevisions>
    </reviewItem>
    <reviewItem>
      <errorID>8ca3c69d-0372-4be8-af5b-1d670199cfa5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24</start>
      <end>26</end>
      <status>modified</status>
      <modifiedWord>》《</modifiedWord>
      <trackRevisions>false</trackRevisions>
    </reviewItem>
    <reviewItem>
      <errorID>d70a71fa-4797-43df-8243-c109c8f0ef50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42</start>
      <end>44</end>
      <status>modified</status>
      <modifiedWord>》《</modifiedWord>
      <trackRevisions>false</trackRevisions>
    </reviewItem>
    <reviewItem>
      <errorID>12ce2076-fe37-411d-aa00-27393be22ca0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59</start>
      <end>61</end>
      <status>modified</status>
      <modifiedWord>》《</modifiedWord>
      <trackRevisions>false</trackRevisions>
    </reviewItem>
    <reviewItem>
      <errorID>d95c610d-0345-4e27-ba85-53563ed8a222</errorID>
      <errorWord>全</errorWord>
      <group>L1_Word</group>
      <groupName>字词问题</groupName>
      <ability>L2_Typo</ability>
      <abilityName>字词错误</abilityName>
      <candidateList>
        <item>全年</item>
      </candidateList>
      <explain/>
      <paraID>5BEED35E</paraID>
      <start>86</start>
      <end>87</end>
      <status>ignored</status>
      <modifiedWord/>
      <trackRevisions>false</trackRevisions>
    </reviewItem>
    <reviewItem>
      <errorID>e9966500-5f14-4e3e-ba67-a618a4197c17</errorID>
      <errorWord>度年</errorWord>
      <group>L1_Word</group>
      <groupName>字词问题</groupName>
      <ability>L2_Typo</ability>
      <abilityName>字词错误</abilityName>
      <candidateList>
        <item>年度</item>
      </candidateList>
      <explain/>
      <paraID>5BEED35E</paraID>
      <start>134</start>
      <end>136</end>
      <status>modified</status>
      <modifiedWord>年度</modifiedWord>
      <trackRevisions>false</trackRevisions>
    </reviewItem>
    <reviewItem>
      <errorID>1ee3409e-f1df-45e9-8719-fa92a3f18b1a</errorID>
      <errorWord>(</errorWord>
      <group>L1_Format</group>
      <groupName>格式问题</groupName>
      <ability>L2_HalfPunc</ability>
      <abilityName>全半角检查</abilityName>
      <candidateList>
        <item>（</item>
      </candidateList>
      <explain>文本全半角错误。</explain>
      <paraID>5BEED35E</paraID>
      <start>154</start>
      <end>155</end>
      <status>ignored</status>
      <modifiedWord/>
      <trackRevisions>false</trackRevisions>
    </reviewItem>
    <reviewItem>
      <errorID>1294369c-57d1-4f3d-8fad-e7da29840a39</errorID>
      <errorWord>)</errorWord>
      <group>L1_Format</group>
      <groupName>格式问题</groupName>
      <ability>L2_HalfPunc</ability>
      <abilityName>全半角检查</abilityName>
      <candidateList>
        <item>）</item>
      </candidateList>
      <explain>文本全半角错误。</explain>
      <paraID>5BEED35E</paraID>
      <start>191</start>
      <end>192</end>
      <status>ignored</status>
      <modifiedWord/>
      <trackRevisions>false</trackRevisions>
    </reviewItem>
    <reviewItem>
      <errorID>1c96718f-e979-4df0-8b32-0eb20e5f1856</errorID>
      <errorWord>。。</errorWord>
      <group>L1_Punc</group>
      <groupName>标点问题</groupName>
      <ability>L2_Punc</ability>
      <abilityName>标点符号检查</abilityName>
      <candidateList>
        <item>。</item>
      </candidateList>
      <explain/>
      <paraID>5BEED35E</paraID>
      <start>192</start>
      <end>193</end>
      <status>modified</status>
      <modifiedWord>。</modifiedWord>
      <trackRevisions>false</trackRevisions>
    </reviewItem>
    <reviewItem>
      <errorID>92fb632b-bc69-4e84-b031-f2906de85a0a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57BDF37E</paraID>
      <start>0</start>
      <end>2</end>
      <status>modified</status>
      <modifiedWord>一、</modifiedWord>
      <trackRevisions>false</trackRevisions>
    </reviewItem>
    <reviewItem>
      <errorID>aea2d4a1-554c-40ed-bb82-756671b40c9b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256D49D6</paraID>
      <start>0</start>
      <end>2</end>
      <status>modified</status>
      <modifiedWord>二、</modifiedWord>
      <trackRevisions>false</trackRevisions>
    </reviewItem>
    <reviewItem>
      <errorID>271eb85a-ccd0-403e-ad05-0b186c988d1e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190C5DD0</paraID>
      <start>0</start>
      <end>2</end>
      <status>modified</status>
      <modifiedWord>三、</modifiedWord>
      <trackRevisions>false</trackRevisions>
    </reviewItem>
    <reviewItem>
      <errorID>1583463f-10fd-45d0-9432-9cb938d736c5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56F3BC22</paraID>
      <start>0</start>
      <end>2</end>
      <status>modified</status>
      <modifiedWord>四、</modifiedWord>
      <trackRevisions>false</trackRevisions>
    </reviewItem>
    <reviewItem>
      <errorID>830e359d-a295-4ac7-9c8c-ed4b6357bd81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F8F0EBC</paraID>
      <start>0</start>
      <end>2</end>
      <status>modified</status>
      <modifiedWord>五、</modifiedWord>
      <trackRevisions>false</trackRevisions>
    </reviewItem>
    <reviewItem>
      <errorID>5b539085-4703-4c80-8329-7f9417c462d3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6E8B5EC6</paraID>
      <start>0</start>
      <end>2</end>
      <status>modified</status>
      <modifiedWord>六、</modifiedWord>
      <trackRevisions>false</trackRevisions>
    </reviewItem>
    <reviewItem>
      <errorID>e48ebf16-e6e6-41fc-9c0c-ef9de991e4b4</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E176036</paraID>
      <start>0</start>
      <end>2</end>
      <status>modified</status>
      <modifiedWord>七、</modifiedWord>
      <trackRevisions>false</trackRevisions>
    </reviewItem>
    <reviewItem>
      <errorID>ce750547-a528-4746-a9df-74b7e7928b70</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3712B3EB</paraID>
      <start>0</start>
      <end>2</end>
      <status>modified</status>
      <modifiedWord>八、</modifiedWord>
      <trackRevisions>false</trackRevisions>
    </reviewItem>
    <reviewItem>
      <errorID>8dd9f2ef-fd2a-406f-931c-eb924d0293b1</errorID>
      <errorWord>(</errorWord>
      <group>L1_Format</group>
      <groupName>格式问题</groupName>
      <ability>L2_HalfPunc</ability>
      <abilityName>全半角检查</abilityName>
      <candidateList>
        <item>（</item>
      </candidateList>
      <explain>文本全半角错误。</explain>
      <paraID>7DCC7FE8</paraID>
      <start>131</start>
      <end>132</end>
      <status>ignored</status>
      <modifiedWord/>
      <trackRevisions>false</trackRevisions>
    </reviewItem>
    <reviewItem>
      <errorID>fb57f358-bbf4-4d96-9d1b-ec56e72b3adb</errorID>
      <errorWord>)</errorWord>
      <group>L1_Format</group>
      <groupName>格式问题</groupName>
      <ability>L2_HalfPunc</ability>
      <abilityName>全半角检查</abilityName>
      <candidateList>
        <item>）</item>
      </candidateList>
      <explain>文本全半角错误。</explain>
      <paraID>7DCC7FE8</paraID>
      <start>141</start>
      <end>142</end>
      <status>ignored</status>
      <modifiedWord/>
      <trackRevisions>false</trackRevisions>
    </reviewItem>
    <reviewItem>
      <errorID>090cc926-f07d-4cc4-8e00-5665d64591f6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422CB358</paraID>
      <start>0</start>
      <end>2</end>
      <status>modified</status>
      <modifiedWord>1.</modifiedWord>
      <trackRevisions>false</trackRevisions>
    </reviewItem>
    <reviewItem>
      <errorID>81bbc6df-875f-41b4-8533-c1669ac56581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15BEF970</paraID>
      <start>0</start>
      <end>2</end>
      <status>modified</status>
      <modifiedWord>2.</modifiedWord>
      <trackRevisions>false</trackRevisions>
    </reviewItem>
    <reviewItem>
      <errorID>1bfcbeb8-ac72-412c-be8a-7e06c9facd17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255989D4</paraID>
      <start>0</start>
      <end>2</end>
      <status>modified</status>
      <modifiedWord>3.</modifiedWord>
      <trackRevisions>false</trackRevisions>
    </reviewItem>
    <reviewItem>
      <errorID>70ad3748-3ebf-4218-ae90-6c1ce23df39f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1720027D</paraID>
      <start>0</start>
      <end>2</end>
      <status>modified</status>
      <modifiedWord>4.</modifiedWord>
      <trackRevisions>false</trackRevisions>
    </reviewItem>
    <reviewItem>
      <errorID>5043c0b9-2c8b-4803-a446-c0d7821cf550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4091DFCE</paraID>
      <start>0</start>
      <end>2</end>
      <status>modified</status>
      <modifiedWord>2.</modifiedWord>
      <trackRevisions>false</trackRevisions>
    </reviewItem>
    <reviewItem>
      <errorID>9baa88fc-853d-4b39-bb50-2e49ce428b5a</errorID>
      <errorWord>繁琐</errorWord>
      <group>L1_Word</group>
      <groupName>字词问题</groupName>
      <ability>L2_Typo</ability>
      <abilityName>字词错误</abilityName>
      <candidateList>
        <item>烦琐</item>
      </candidateList>
      <explain/>
      <paraID>4091DFCE</paraID>
      <start>77</start>
      <end>79</end>
      <status>ignored</status>
      <modifiedWord/>
      <trackRevisions>false</trackRevisions>
    </reviewItem>
    <reviewItem>
      <errorID>d99ef1cd-3bf7-4886-be6c-13c9c5bc93b2</errorID>
      <errorWord>繁琐</errorWord>
      <group>L1_Word</group>
      <groupName>字词问题</groupName>
      <ability>L2_Typo</ability>
      <abilityName>字词错误</abilityName>
      <candidateList>
        <item>烦琐</item>
      </candidateList>
      <explain/>
      <paraID>29B2DD20</paraID>
      <start>88</start>
      <end>90</end>
      <status>ignored</status>
      <modifiedWord/>
      <trackRevisions>false</trackRevisions>
    </reviewItem>
    <reviewItem>
      <errorID>56be2ac4-a01a-4563-b81c-f55fde10fcd4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68A11A32</paraID>
      <start>0</start>
      <end>2</end>
      <status>modified</status>
      <modifiedWord>4.</modifiedWord>
      <trackRevisions>false</trackRevisions>
    </reviewItem>
    <reviewItem>
      <errorID>acbb8d6d-a184-46fb-9f64-45829f1ff92b</errorID>
      <errorWord>&lt;</errorWord>
      <group>L1_Format</group>
      <groupName>格式问题</groupName>
      <ability>L2_HalfPunc</ability>
      <abilityName>全半角检查</abilityName>
      <candidateList>
        <item>〈</item>
      </candidateList>
      <explain>文本全半角错误。</explain>
      <paraID>1087DAEC</paraID>
      <start>48</start>
      <end>49</end>
      <status>modified</status>
      <modifiedWord>〈</modifiedWord>
      <trackRevisions>false</trackRevisions>
    </reviewItem>
    <reviewItem>
      <errorID>d3d9dcfe-ec86-47ff-ae48-e75fd674081e</errorID>
      <errorWord>&lt;</errorWord>
      <group>L1_Format</group>
      <groupName>格式问题</groupName>
      <ability>L2_HalfPunc</ability>
      <abilityName>全半角检查</abilityName>
      <candidateList>
        <item>〈</item>
      </candidateList>
      <explain>文本全半角错误。</explain>
      <paraID>422546D6</paraID>
      <start>48</start>
      <end>49</end>
      <status>modified</status>
      <modifiedWord>〈</modifiedWord>
      <trackRevisions>false</trackRevisions>
    </reviewItem>
    <reviewItem>
      <errorID>1acc0897-3e96-4f84-96a9-a2cde4797a2e</errorID>
      <errorWord>&lt;</errorWord>
      <group>L1_Format</group>
      <groupName>格式问题</groupName>
      <ability>L2_HalfPunc</ability>
      <abilityName>全半角检查</abilityName>
      <candidateList>
        <item>〈</item>
      </candidateList>
      <explain>文本全半角错误。</explain>
      <paraID> 935979E</paraID>
      <start>33</start>
      <end>34</end>
      <status>modified</status>
      <modifiedWord>〈</modifiedWord>
      <trackRevisions>false</trackRevisions>
    </reviewItem>
    <reviewItem>
      <errorID>fee65cf5-2812-4ce5-9594-58718bb0f9ab</errorID>
      <errorWord>双反</errorWord>
      <group>L1_Word</group>
      <groupName>字词问题</groupName>
      <ability>L2_Typo</ability>
      <abilityName>字词错误</abilityName>
      <candidateList>
        <item>双方</item>
      </candidateList>
      <explain/>
      <paraID>1D887E9E</paraID>
      <start>29</start>
      <end>31</end>
      <status>modified</status>
      <modifiedWord>双方</modifiedWord>
      <trackRevisions>false</trackRevisions>
    </reviewItem>
    <reviewItem>
      <errorID>dbe7b1b7-2325-45c5-814c-c408767febc0</errorID>
      <errorWord>,</errorWord>
      <group>L1_Format</group>
      <groupName>格式问题</groupName>
      <ability>L2_HalfPunc</ability>
      <abilityName>全半角检查</abilityName>
      <candidateList>
        <item>，</item>
      </candidateList>
      <explain>文本全半角错误。</explain>
      <paraID>6C63AF85</paraID>
      <start>23</start>
      <end>24</end>
      <status>modified</status>
      <modifiedWord>，</modifiedWord>
      <trackRevisions>false</trackRevisions>
    </reviewItem>
    <reviewItem>
      <errorID>53967815-35a1-47a5-8196-aacb28178e83</errorID>
      <errorWord>,</errorWord>
      <group>L1_Format</group>
      <groupName>格式问题</groupName>
      <ability>L2_HalfPunc</ability>
      <abilityName>全半角检查</abilityName>
      <candidateList>
        <item>，</item>
      </candidateList>
      <explain>文本全半角错误。</explain>
      <paraID>6C63AF85</paraID>
      <start>49</start>
      <end>50</end>
      <status>modified</status>
      <modifiedWord>，</modifiedWord>
      <trackRevisions>false</trackRevisions>
    </reviewItem>
    <reviewItem>
      <errorID>7073d328-3275-42c2-8a62-9e5440d9a017</errorID>
      <errorWord>,</errorWord>
      <group>L1_Format</group>
      <groupName>格式问题</groupName>
      <ability>L2_HalfPunc</ability>
      <abilityName>全半角检查</abilityName>
      <candidateList>
        <item>，</item>
      </candidateList>
      <explain>文本全半角错误。</explain>
      <paraID>6C63AF85</paraID>
      <start>66</start>
      <end>67</end>
      <status>modified</status>
      <modifiedWord>，</modifiedWord>
      <trackRevisions>false</trackRevisions>
    </reviewItem>
    <reviewItem>
      <errorID>64eec764-d485-4c09-b0e5-67ac7e92b849</errorID>
      <errorWord>(</errorWord>
      <group>L1_Format</group>
      <groupName>格式问题</groupName>
      <ability>L2_HalfPunc</ability>
      <abilityName>全半角检查</abilityName>
      <candidateList>
        <item>（</item>
      </candidateList>
      <explain>文本全半角错误。</explain>
      <paraID>54D30243</paraID>
      <start>13</start>
      <end>14</end>
      <status>ignored</status>
      <modifiedWord/>
      <trackRevisions>false</trackRevisions>
    </reviewItem>
    <reviewItem>
      <errorID>4d3298ae-841c-4b14-a280-540d60f9f656</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70E74608</paraID>
      <start>4</start>
      <end>15</end>
      <status>ignored</status>
      <modifiedWord/>
      <trackRevisions>false</trackRevisions>
    </reviewItem>
    <reviewItem>
      <errorID>72fb3f8e-da04-4a38-bdd7-c09198e068f4</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70E74608</paraID>
      <start>29</start>
      <end>40</end>
      <status>ignored</status>
      <modifiedWord/>
      <trackRevisions>false</trackRevisions>
    </reviewItem>
    <reviewItem>
      <errorID>1ec2fcd2-d3b3-418a-9be3-0ae50d8a4ab5</errorID>
      <errorWord>法律、法规</errorWord>
      <group>L1_Word</group>
      <groupName>字词问题</groupName>
      <ability>L2_Typo</ability>
      <abilityName>字词错误</abilityName>
      <candidateList>
        <item>法律法规</item>
      </candidateList>
      <explain/>
      <paraID>6DA33017</paraID>
      <start>39</start>
      <end>43</end>
      <status>modified</status>
      <modifiedWord>法律法规</modifiedWord>
      <trackRevisions>false</trackRevisions>
    </reviewItem>
    <reviewItem>
      <errorID>de619327-bac2-4e23-bd41-e2aec2367f6d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377B6C1B</paraID>
      <start>39</start>
      <end>41</end>
      <status>modified</status>
      <modifiedWord>”“</modifiedWord>
      <trackRevisions>false</trackRevisions>
    </reviewItem>
    <reviewItem>
      <errorID>7cb22652-cdd8-4c70-874f-1992ef71b92f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723E74FC</paraID>
      <start>139</start>
      <end>140</end>
      <status>ignored</status>
      <modifiedWord/>
      <trackRevisions>false</trackRevisions>
    </reviewItem>
    <reviewItem>
      <errorID>22814680-fe59-4e2c-820d-f886a7fbe006</errorID>
      <errorWord>(</errorWord>
      <group>L1_Format</group>
      <groupName>格式问题</groupName>
      <ability>L2_HalfPunc</ability>
      <abilityName>全半角检查</abilityName>
      <candidateList>
        <item>（</item>
      </candidateList>
      <explain>文本全半角错误。</explain>
      <paraID>32BDFD7A</paraID>
      <start>61</start>
      <end>62</end>
      <status>ignored</status>
      <modifiedWord/>
      <trackRevisions>false</trackRevisions>
    </reviewItem>
    <reviewItem>
      <errorID>43bda7af-d822-422d-894e-7e331737dc44</errorID>
      <errorWord>)</errorWord>
      <group>L1_Format</group>
      <groupName>格式问题</groupName>
      <ability>L2_HalfPunc</ability>
      <abilityName>全半角检查</abilityName>
      <candidateList>
        <item>）</item>
      </candidateList>
      <explain>文本全半角错误。</explain>
      <paraID>32BDFD7A</paraID>
      <start>71</start>
      <end>72</end>
      <status>ignored</status>
      <modifiedWord/>
      <trackRevisions>false</trackRevisions>
    </reviewItem>
    <reviewItem>
      <errorID>1e061879-a96f-452f-8a17-70f59e82e393</errorID>
      <errorWord>〔2017〕 141号</errorWord>
      <group>L1_Knowledge</group>
      <groupName>知识性问题</groupName>
      <ability>L2_Knowledge</ability>
      <abilityName>其他知识</abilityName>
      <candidateList>
        <item>〔2017〕141号</item>
      </candidateList>
      <explain>发文字号格式错误。</explain>
      <paraID>25ACB391</paraID>
      <start>49</start>
      <end>59</end>
      <status>modified</status>
      <modifiedWord>〔2017〕141号</modifiedWord>
      <trackRevisions>false</trackRevisions>
    </reviewItem>
    <reviewItem>
      <errorID>3088cfe1-624b-492b-9baf-5661c08a4619</errorID>
      <errorWord>(</errorWord>
      <group>L1_Format</group>
      <groupName>格式问题</groupName>
      <ability>L2_HalfPunc</ability>
      <abilityName>全半角检查</abilityName>
      <candidateList>
        <item>（</item>
      </candidateList>
      <explain>文本全半角错误。</explain>
      <paraID>408BB699</paraID>
      <start>4</start>
      <end>5</end>
      <status>ignored</status>
      <modifiedWord/>
      <trackRevisions>false</trackRevisions>
    </reviewItem>
    <reviewItem>
      <errorID>5226ac6e-7106-4855-b6ad-9044611c8f1d</errorID>
      <errorWord>)</errorWord>
      <group>L1_Format</group>
      <groupName>格式问题</groupName>
      <ability>L2_HalfPunc</ability>
      <abilityName>全半角检查</abilityName>
      <candidateList>
        <item>）</item>
      </candidateList>
      <explain>文本全半角错误。</explain>
      <paraID>408BB699</paraID>
      <start>6</start>
      <end>7</end>
      <status>ignored</status>
      <modifiedWord/>
      <trackRevisions>false</trackRevisions>
    </reviewItem>
    <reviewItem>
      <errorID>71fb0dd5-c6d3-4612-b7e1-c54f04cca843</errorID>
      <errorWord>(</errorWord>
      <group>L1_Format</group>
      <groupName>格式问题</groupName>
      <ability>L2_HalfPunc</ability>
      <abilityName>全半角检查</abilityName>
      <candidateList>
        <item>（</item>
      </candidateList>
      <explain>文本全半角错误。</explain>
      <paraID>1278489B</paraID>
      <start>4</start>
      <end>5</end>
      <status>ignored</status>
      <modifiedWord/>
      <trackRevisions>false</trackRevisions>
    </reviewItem>
    <reviewItem>
      <errorID>e238f97d-94f5-4ee2-8981-6ab40d94a7fe</errorID>
      <errorWord>)</errorWord>
      <group>L1_Format</group>
      <groupName>格式问题</groupName>
      <ability>L2_HalfPunc</ability>
      <abilityName>全半角检查</abilityName>
      <candidateList>
        <item>）</item>
      </candidateList>
      <explain>文本全半角错误。</explain>
      <paraID>1278489B</paraID>
      <start>6</start>
      <end>7</end>
      <status>ignored</status>
      <modifiedWord/>
      <trackRevisions>false</trackRevisions>
    </reviewItem>
    <reviewItem>
      <errorID>f02d7c99-e5de-4a40-b932-dd6dae4babbe</errorID>
      <errorWord>(</errorWord>
      <group>L1_Format</group>
      <groupName>格式问题</groupName>
      <ability>L2_HalfPunc</ability>
      <abilityName>全半角检查</abilityName>
      <candidateList>
        <item>（</item>
      </candidateList>
      <explain>文本全半角错误。</explain>
      <paraID>  B6500E</paraID>
      <start>4</start>
      <end>5</end>
      <status>ignored</status>
      <modifiedWord/>
      <trackRevisions>false</trackRevisions>
    </reviewItem>
    <reviewItem>
      <errorID>901856e6-e8cc-4114-a418-a6a1e4d65702</errorID>
      <errorWord>)</errorWord>
      <group>L1_Format</group>
      <groupName>格式问题</groupName>
      <ability>L2_HalfPunc</ability>
      <abilityName>全半角检查</abilityName>
      <candidateList>
        <item>）</item>
      </candidateList>
      <explain>文本全半角错误。</explain>
      <paraID>  B6500E</paraID>
      <start>6</start>
      <end>7</end>
      <status>ignored</status>
      <modifiedWord/>
      <trackRevisions>false</trackRevisions>
    </reviewItem>
    <reviewItem>
      <errorID>c6cf23eb-530c-4440-bb58-8c95ff109c41</errorID>
      <errorWord>(</errorWord>
      <group>L1_Format</group>
      <groupName>格式问题</groupName>
      <ability>L2_HalfPunc</ability>
      <abilityName>全半角检查</abilityName>
      <candidateList>
        <item>（</item>
      </candidateList>
      <explain>文本全半角错误。</explain>
      <paraID>6B613918</paraID>
      <start>4</start>
      <end>5</end>
      <status>ignored</status>
      <modifiedWord/>
      <trackRevisions>false</trackRevisions>
    </reviewItem>
    <reviewItem>
      <errorID>095bea03-2104-4537-b6dc-2500000c21cc</errorID>
      <errorWord>)</errorWord>
      <group>L1_Format</group>
      <groupName>格式问题</groupName>
      <ability>L2_HalfPunc</ability>
      <abilityName>全半角检查</abilityName>
      <candidateList>
        <item>）</item>
      </candidateList>
      <explain>文本全半角错误。</explain>
      <paraID>6B613918</paraID>
      <start>6</start>
      <end>7</end>
      <status>ignored</status>
      <modifiedWord/>
      <trackRevisions>false</trackRevisions>
    </reviewItem>
    <reviewItem>
      <errorID>f5b4d508-4c7c-4064-97d1-74f0f02c3a39</errorID>
      <errorWord>(</errorWord>
      <group>L1_Format</group>
      <groupName>格式问题</groupName>
      <ability>L2_HalfPunc</ability>
      <abilityName>全半角检查</abilityName>
      <candidateList>
        <item>（</item>
      </candidateList>
      <explain>文本全半角错误。</explain>
      <paraID>522612AE</paraID>
      <start>4</start>
      <end>5</end>
      <status>ignored</status>
      <modifiedWord/>
      <trackRevisions>false</trackRevisions>
    </reviewItem>
    <reviewItem>
      <errorID>38a60b52-064e-4bbc-b5b1-f6ae58ebc4ad</errorID>
      <errorWord>)</errorWord>
      <group>L1_Format</group>
      <groupName>格式问题</groupName>
      <ability>L2_HalfPunc</ability>
      <abilityName>全半角检查</abilityName>
      <candidateList>
        <item>）</item>
      </candidateList>
      <explain>文本全半角错误。</explain>
      <paraID>522612AE</paraID>
      <start>6</start>
      <end>7</end>
      <status>ignored</status>
      <modifiedWord/>
      <trackRevisions>false</trackRevisions>
    </reviewItem>
    <reviewItem>
      <errorID>4c942dff-fa95-4530-ac45-cea20a6de59a</errorID>
      <errorWord>(</errorWord>
      <group>L1_Format</group>
      <groupName>格式问题</groupName>
      <ability>L2_HalfPunc</ability>
      <abilityName>全半角检查</abilityName>
      <candidateList>
        <item>（</item>
      </candidateList>
      <explain>文本全半角错误。</explain>
      <paraID>5C2BD549</paraID>
      <start>4</start>
      <end>5</end>
      <status>ignored</status>
      <modifiedWord/>
      <trackRevisions>false</trackRevisions>
    </reviewItem>
    <reviewItem>
      <errorID>546a556e-5123-4640-8065-5133f79edce9</errorID>
      <errorWord>)</errorWord>
      <group>L1_Format</group>
      <groupName>格式问题</groupName>
      <ability>L2_HalfPunc</ability>
      <abilityName>全半角检查</abilityName>
      <candidateList>
        <item>）</item>
      </candidateList>
      <explain>文本全半角错误。</explain>
      <paraID>5C2BD549</paraID>
      <start>6</start>
      <end>7</end>
      <status>ignored</status>
      <modifiedWord/>
      <trackRevisions>false</trackRevisions>
    </reviewItem>
    <reviewItem>
      <errorID>957e6b0d-1f04-475f-8d4c-09dfb87a2412</errorID>
      <errorWord>(</errorWord>
      <group>L1_Format</group>
      <groupName>格式问题</groupName>
      <ability>L2_HalfPunc</ability>
      <abilityName>全半角检查</abilityName>
      <candidateList>
        <item>（</item>
      </candidateList>
      <explain>文本全半角错误。</explain>
      <paraID>73B73A7C</paraID>
      <start>4</start>
      <end>5</end>
      <status>ignored</status>
      <modifiedWord/>
      <trackRevisions>false</trackRevisions>
    </reviewItem>
    <reviewItem>
      <errorID>91e05930-656b-4f1a-98ba-9234e0d08664</errorID>
      <errorWord>)</errorWord>
      <group>L1_Format</group>
      <groupName>格式问题</groupName>
      <ability>L2_HalfPunc</ability>
      <abilityName>全半角检查</abilityName>
      <candidateList>
        <item>）</item>
      </candidateList>
      <explain>文本全半角错误。</explain>
      <paraID>73B73A7C</paraID>
      <start>6</start>
      <end>7</end>
      <status>ignored</status>
      <modifiedWord/>
      <trackRevisions>false</trackRevisions>
    </reviewItem>
    <reviewItem>
      <errorID>dde57179-c6f7-486d-8ce5-a8a30083571c</errorID>
      <errorWord>(</errorWord>
      <group>L1_Format</group>
      <groupName>格式问题</groupName>
      <ability>L2_HalfPunc</ability>
      <abilityName>全半角检查</abilityName>
      <candidateList>
        <item>（</item>
      </candidateList>
      <explain>文本全半角错误。</explain>
      <paraID>4A02C63B</paraID>
      <start>4</start>
      <end>5</end>
      <status>ignored</status>
      <modifiedWord/>
      <trackRevisions>false</trackRevisions>
    </reviewItem>
    <reviewItem>
      <errorID>3847dd10-ce3b-41bf-9271-334c1d33a4a0</errorID>
      <errorWord>)</errorWord>
      <group>L1_Format</group>
      <groupName>格式问题</groupName>
      <ability>L2_HalfPunc</ability>
      <abilityName>全半角检查</abilityName>
      <candidateList>
        <item>）</item>
      </candidateList>
      <explain>文本全半角错误。</explain>
      <paraID>4A02C63B</paraID>
      <start>6</start>
      <end>7</end>
      <status>ignored</status>
      <modifiedWord/>
      <trackRevisions>false</trackRevisions>
    </reviewItem>
    <reviewItem>
      <errorID>67ac1a7c-9a76-4971-bb74-9fa911ba4a56</errorID>
      <errorWord>(</errorWord>
      <group>L1_Format</group>
      <groupName>格式问题</groupName>
      <ability>L2_HalfPunc</ability>
      <abilityName>全半角检查</abilityName>
      <candidateList>
        <item>（</item>
      </candidateList>
      <explain>文本全半角错误。</explain>
      <paraID>3E02C747</paraID>
      <start>4</start>
      <end>5</end>
      <status>ignored</status>
      <modifiedWord/>
      <trackRevisions>false</trackRevisions>
    </reviewItem>
    <reviewItem>
      <errorID>5133940d-d546-4e76-9e84-8ff6fd1946e6</errorID>
      <errorWord>)</errorWord>
      <group>L1_Format</group>
      <groupName>格式问题</groupName>
      <ability>L2_HalfPunc</ability>
      <abilityName>全半角检查</abilityName>
      <candidateList>
        <item>）</item>
      </candidateList>
      <explain>文本全半角错误。</explain>
      <paraID>3E02C747</paraID>
      <start>6</start>
      <end>7</end>
      <status>ignored</status>
      <modifiedWord/>
      <trackRevisions>false</trackRevisions>
    </reviewItem>
    <reviewItem>
      <errorID>0be49cd9-3a4a-44da-a611-9350d0b8d874</errorID>
      <errorWord>(</errorWord>
      <group>L1_Format</group>
      <groupName>格式问题</groupName>
      <ability>L2_HalfPunc</ability>
      <abilityName>全半角检查</abilityName>
      <candidateList>
        <item>（</item>
      </candidateList>
      <explain>文本全半角错误。</explain>
      <paraID>65055B83</paraID>
      <start>4</start>
      <end>5</end>
      <status>ignored</status>
      <modifiedWord/>
      <trackRevisions>false</trackRevisions>
    </reviewItem>
    <reviewItem>
      <errorID>33a83bf0-3ca9-40fb-b428-3705e518d8f9</errorID>
      <errorWord>)</errorWord>
      <group>L1_Format</group>
      <groupName>格式问题</groupName>
      <ability>L2_HalfPunc</ability>
      <abilityName>全半角检查</abilityName>
      <candidateList>
        <item>）</item>
      </candidateList>
      <explain>文本全半角错误。</explain>
      <paraID>65055B83</paraID>
      <start>6</start>
      <end>7</end>
      <status>ignored</status>
      <modifiedWord/>
      <trackRevisions>false</trackRevisions>
    </reviewItem>
    <reviewItem>
      <errorID>c9787a11-9e8f-412c-81f8-eeacb0c487a3</errorID>
      <errorWord>(</errorWord>
      <group>L1_Format</group>
      <groupName>格式问题</groupName>
      <ability>L2_HalfPunc</ability>
      <abilityName>全半角检查</abilityName>
      <candidateList>
        <item>（</item>
      </candidateList>
      <explain>文本全半角错误。</explain>
      <paraID>6AA3C0CC</paraID>
      <start>4</start>
      <end>5</end>
      <status>ignored</status>
      <modifiedWord/>
      <trackRevisions>false</trackRevisions>
    </reviewItem>
    <reviewItem>
      <errorID>ae837333-e7c8-4879-b20f-208a960ab7a0</errorID>
      <errorWord>)</errorWord>
      <group>L1_Format</group>
      <groupName>格式问题</groupName>
      <ability>L2_HalfPunc</ability>
      <abilityName>全半角检查</abilityName>
      <candidateList>
        <item>）</item>
      </candidateList>
      <explain>文本全半角错误。</explain>
      <paraID>6AA3C0CC</paraID>
      <start>6</start>
      <end>7</end>
      <status>ignored</status>
      <modifiedWord/>
      <trackRevisions>false</trackRevisions>
    </reviewItem>
    <reviewItem>
      <errorID>fed91e80-cf3b-4bcf-bcf4-14c994bcc96f</errorID>
      <errorWord>(</errorWord>
      <group>L1_Format</group>
      <groupName>格式问题</groupName>
      <ability>L2_HalfPunc</ability>
      <abilityName>全半角检查</abilityName>
      <candidateList>
        <item>（</item>
      </candidateList>
      <explain>文本全半角错误。</explain>
      <paraID>2145C790</paraID>
      <start>4</start>
      <end>5</end>
      <status>ignored</status>
      <modifiedWord/>
      <trackRevisions>false</trackRevisions>
    </reviewItem>
    <reviewItem>
      <errorID>2e0adc56-7548-4289-9601-158ed7fd1dd0</errorID>
      <errorWord>)</errorWord>
      <group>L1_Format</group>
      <groupName>格式问题</groupName>
      <ability>L2_HalfPunc</ability>
      <abilityName>全半角检查</abilityName>
      <candidateList>
        <item>）</item>
      </candidateList>
      <explain>文本全半角错误。</explain>
      <paraID>2145C790</paraID>
      <start>6</start>
      <end>7</end>
      <status>ignored</status>
      <modifiedWord/>
      <trackRevisions>false</trackRevisions>
    </reviewItem>
    <reviewItem>
      <errorID>9064fd5f-5ed1-4630-a3fa-0277ceb9b089</errorID>
      <errorWord>(</errorWord>
      <group>L1_Format</group>
      <groupName>格式问题</groupName>
      <ability>L2_HalfPunc</ability>
      <abilityName>全半角检查</abilityName>
      <candidateList>
        <item>（</item>
      </candidateList>
      <explain>文本全半角错误。</explain>
      <paraID>629295FC</paraID>
      <start>4</start>
      <end>5</end>
      <status>ignored</status>
      <modifiedWord/>
      <trackRevisions>false</trackRevisions>
    </reviewItem>
    <reviewItem>
      <errorID>1afcbeb6-4048-4121-a617-f535036feef3</errorID>
      <errorWord>)</errorWord>
      <group>L1_Format</group>
      <groupName>格式问题</groupName>
      <ability>L2_HalfPunc</ability>
      <abilityName>全半角检查</abilityName>
      <candidateList>
        <item>）</item>
      </candidateList>
      <explain>文本全半角错误。</explain>
      <paraID>629295FC</paraID>
      <start>6</start>
      <end>7</end>
      <status>ignored</status>
      <modifiedWord/>
      <trackRevisions>false</trackRevisions>
    </reviewItem>
    <reviewItem>
      <errorID>721d7474-783a-4786-9bed-e349f03319f2</errorID>
      <errorWord>(</errorWord>
      <group>L1_Format</group>
      <groupName>格式问题</groupName>
      <ability>L2_HalfPunc</ability>
      <abilityName>全半角检查</abilityName>
      <candidateList>
        <item>（</item>
      </candidateList>
      <explain>文本全半角错误。</explain>
      <paraID>71304015</paraID>
      <start>4</start>
      <end>5</end>
      <status>ignored</status>
      <modifiedWord/>
      <trackRevisions>false</trackRevisions>
    </reviewItem>
    <reviewItem>
      <errorID>b0a27441-d9cb-4264-a297-60a4da73021f</errorID>
      <errorWord>)</errorWord>
      <group>L1_Format</group>
      <groupName>格式问题</groupName>
      <ability>L2_HalfPunc</ability>
      <abilityName>全半角检查</abilityName>
      <candidateList>
        <item>）</item>
      </candidateList>
      <explain>文本全半角错误。</explain>
      <paraID>71304015</paraID>
      <start>6</start>
      <end>7</end>
      <status>ignored</status>
      <modifiedWord/>
      <trackRevisions>false</trackRevisions>
    </reviewItem>
    <reviewItem>
      <errorID>bd73c3b5-fc80-46d2-a9c5-babc7447419c</errorID>
      <errorWord>(</errorWord>
      <group>L1_Format</group>
      <groupName>格式问题</groupName>
      <ability>L2_HalfPunc</ability>
      <abilityName>全半角检查</abilityName>
      <candidateList>
        <item>（</item>
      </candidateList>
      <explain>文本全半角错误。</explain>
      <paraID>4C394CFA</paraID>
      <start>4</start>
      <end>5</end>
      <status>ignored</status>
      <modifiedWord/>
      <trackRevisions>false</trackRevisions>
    </reviewItem>
    <reviewItem>
      <errorID>7bf3f3cf-9858-45fe-81d4-0687fdf6bed3</errorID>
      <errorWord>)</errorWord>
      <group>L1_Format</group>
      <groupName>格式问题</groupName>
      <ability>L2_HalfPunc</ability>
      <abilityName>全半角检查</abilityName>
      <candidateList>
        <item>）</item>
      </candidateList>
      <explain>文本全半角错误。</explain>
      <paraID>4C394CFA</paraID>
      <start>6</start>
      <end>7</end>
      <status>ignored</status>
      <modifiedWord/>
      <trackRevisions>false</trackRevisions>
    </reviewItem>
    <reviewItem>
      <errorID>76a1031f-906b-4dbc-9e4b-64499c16635f</errorID>
      <errorWord>(</errorWord>
      <group>L1_Format</group>
      <groupName>格式问题</groupName>
      <ability>L2_HalfPunc</ability>
      <abilityName>全半角检查</abilityName>
      <candidateList>
        <item>（</item>
      </candidateList>
      <explain>文本全半角错误。</explain>
      <paraID>6B5F726D</paraID>
      <start>4</start>
      <end>5</end>
      <status>ignored</status>
      <modifiedWord/>
      <trackRevisions>false</trackRevisions>
    </reviewItem>
    <reviewItem>
      <errorID>7025833c-948a-4574-93e9-8bff6167c86e</errorID>
      <errorWord>)</errorWord>
      <group>L1_Format</group>
      <groupName>格式问题</groupName>
      <ability>L2_HalfPunc</ability>
      <abilityName>全半角检查</abilityName>
      <candidateList>
        <item>）</item>
      </candidateList>
      <explain>文本全半角错误。</explain>
      <paraID>6B5F726D</paraID>
      <start>6</start>
      <end>7</end>
      <status>ignored</status>
      <modifiedWord/>
      <trackRevisions>false</trackRevisions>
    </reviewItem>
    <reviewItem>
      <errorID>bfd71a61-dd38-49ce-ad3b-cfa7acd586e6</errorID>
      <errorWord>(</errorWord>
      <group>L1_Format</group>
      <groupName>格式问题</groupName>
      <ability>L2_HalfPunc</ability>
      <abilityName>全半角检查</abilityName>
      <candidateList>
        <item>（</item>
      </candidateList>
      <explain>文本全半角错误。</explain>
      <paraID>30EE6CB6</paraID>
      <start>4</start>
      <end>5</end>
      <status>ignored</status>
      <modifiedWord/>
      <trackRevisions>false</trackRevisions>
    </reviewItem>
    <reviewItem>
      <errorID>894841f0-0c2d-43e0-89b4-919671102b5a</errorID>
      <errorWord>)</errorWord>
      <group>L1_Format</group>
      <groupName>格式问题</groupName>
      <ability>L2_HalfPunc</ability>
      <abilityName>全半角检查</abilityName>
      <candidateList>
        <item>）</item>
      </candidateList>
      <explain>文本全半角错误。</explain>
      <paraID>30EE6CB6</paraID>
      <start>6</start>
      <end>7</end>
      <status>ignored</status>
      <modifiedWord/>
      <trackRevisions>false</trackRevisions>
    </reviewItem>
    <reviewItem>
      <errorID>176d8700-ea4d-4779-a28f-8169ca98dee6</errorID>
      <errorWord>(</errorWord>
      <group>L1_Format</group>
      <groupName>格式问题</groupName>
      <ability>L2_HalfPunc</ability>
      <abilityName>全半角检查</abilityName>
      <candidateList>
        <item>（</item>
      </candidateList>
      <explain>文本全半角错误。</explain>
      <paraID>3CEC9F0E</paraID>
      <start>4</start>
      <end>5</end>
      <status>ignored</status>
      <modifiedWord/>
      <trackRevisions>false</trackRevisions>
    </reviewItem>
    <reviewItem>
      <errorID>1ff0af50-cf12-448c-a837-5ffba49af15e</errorID>
      <errorWord>)</errorWord>
      <group>L1_Format</group>
      <groupName>格式问题</groupName>
      <ability>L2_HalfPunc</ability>
      <abilityName>全半角检查</abilityName>
      <candidateList>
        <item>）</item>
      </candidateList>
      <explain>文本全半角错误。</explain>
      <paraID>3CEC9F0E</paraID>
      <start>6</start>
      <end>7</end>
      <status>ignored</status>
      <modifiedWord/>
      <trackRevisions>false</trackRevisions>
    </reviewItem>
    <reviewItem>
      <errorID>7b723b84-3ab5-4b5a-a48f-57a4a362bb02</errorID>
      <errorWord>(</errorWord>
      <group>L1_Format</group>
      <groupName>格式问题</groupName>
      <ability>L2_HalfPunc</ability>
      <abilityName>全半角检查</abilityName>
      <candidateList>
        <item>（</item>
      </candidateList>
      <explain>文本全半角错误。</explain>
      <paraID>447520C7</paraID>
      <start>4</start>
      <end>5</end>
      <status>ignored</status>
      <modifiedWord/>
      <trackRevisions>false</trackRevisions>
    </reviewItem>
    <reviewItem>
      <errorID>0e5b21d0-a771-4f0c-8b40-63f6256c4231</errorID>
      <errorWord>)</errorWord>
      <group>L1_Format</group>
      <groupName>格式问题</groupName>
      <ability>L2_HalfPunc</ability>
      <abilityName>全半角检查</abilityName>
      <candidateList>
        <item>）</item>
      </candidateList>
      <explain>文本全半角错误。</explain>
      <paraID>447520C7</paraID>
      <start>6</start>
      <end>7</end>
      <status>ignored</status>
      <modifiedWord/>
      <trackRevisions>false</trackRevisions>
    </reviewItem>
    <reviewItem>
      <errorID>c24dd920-3b90-4508-a27f-6e5d60d9ece3</errorID>
      <errorWord>(</errorWord>
      <group>L1_Format</group>
      <groupName>格式问题</groupName>
      <ability>L2_HalfPunc</ability>
      <abilityName>全半角检查</abilityName>
      <candidateList>
        <item>（</item>
      </candidateList>
      <explain>文本全半角错误。</explain>
      <paraID>7C711690</paraID>
      <start>4</start>
      <end>5</end>
      <status>ignored</status>
      <modifiedWord/>
      <trackRevisions>false</trackRevisions>
    </reviewItem>
    <reviewItem>
      <errorID>b9a401a1-654a-49bf-b89d-40e48c0a5742</errorID>
      <errorWord>)</errorWord>
      <group>L1_Format</group>
      <groupName>格式问题</groupName>
      <ability>L2_HalfPunc</ability>
      <abilityName>全半角检查</abilityName>
      <candidateList>
        <item>）</item>
      </candidateList>
      <explain>文本全半角错误。</explain>
      <paraID>7C711690</paraID>
      <start>6</start>
      <end>7</end>
      <status>ignored</status>
      <modifiedWord/>
      <trackRevisions>false</trackRevisions>
    </reviewItem>
    <reviewItem>
      <errorID>f0d9158a-a3e2-43f9-8f65-95c54bc493ae</errorID>
      <errorWord>(</errorWord>
      <group>L1_Format</group>
      <groupName>格式问题</groupName>
      <ability>L2_HalfPunc</ability>
      <abilityName>全半角检查</abilityName>
      <candidateList>
        <item>（</item>
      </candidateList>
      <explain>文本全半角错误。</explain>
      <paraID>5FF6EF2F</paraID>
      <start>4</start>
      <end>5</end>
      <status>ignored</status>
      <modifiedWord/>
      <trackRevisions>false</trackRevisions>
    </reviewItem>
    <reviewItem>
      <errorID>9099c1e3-aaa2-4fc8-8da6-c3d2b613efa6</errorID>
      <errorWord>)</errorWord>
      <group>L1_Format</group>
      <groupName>格式问题</groupName>
      <ability>L2_HalfPunc</ability>
      <abilityName>全半角检查</abilityName>
      <candidateList>
        <item>）</item>
      </candidateList>
      <explain>文本全半角错误。</explain>
      <paraID>5FF6EF2F</paraID>
      <start>6</start>
      <end>7</end>
      <status>ignored</status>
      <modifiedWord/>
      <trackRevisions>false</trackRevisions>
    </reviewItem>
    <reviewItem>
      <errorID>abf98e77-9149-4205-b45f-3ab10ea16de8</errorID>
      <errorWord>(</errorWord>
      <group>L1_Format</group>
      <groupName>格式问题</groupName>
      <ability>L2_HalfPunc</ability>
      <abilityName>全半角检查</abilityName>
      <candidateList>
        <item>（</item>
      </candidateList>
      <explain>文本全半角错误。</explain>
      <paraID>1E16BB24</paraID>
      <start>4</start>
      <end>5</end>
      <status>ignored</status>
      <modifiedWord/>
      <trackRevisions>false</trackRevisions>
    </reviewItem>
    <reviewItem>
      <errorID>1470b1fd-e296-4eb7-887b-be8e9114efd7</errorID>
      <errorWord>)</errorWord>
      <group>L1_Format</group>
      <groupName>格式问题</groupName>
      <ability>L2_HalfPunc</ability>
      <abilityName>全半角检查</abilityName>
      <candidateList>
        <item>）</item>
      </candidateList>
      <explain>文本全半角错误。</explain>
      <paraID>1E16BB24</paraID>
      <start>6</start>
      <end>7</end>
      <status>ignored</status>
      <modifiedWord/>
      <trackRevisions>false</trackRevisions>
    </reviewItem>
    <reviewItem>
      <errorID>30efc03a-77a1-4a00-9804-cbac3a0f0542</errorID>
      <errorWord>(</errorWord>
      <group>L1_Format</group>
      <groupName>格式问题</groupName>
      <ability>L2_HalfPunc</ability>
      <abilityName>全半角检查</abilityName>
      <candidateList>
        <item>（</item>
      </candidateList>
      <explain>文本全半角错误。</explain>
      <paraID>1DD00ED9</paraID>
      <start>4</start>
      <end>5</end>
      <status>ignored</status>
      <modifiedWord/>
      <trackRevisions>false</trackRevisions>
    </reviewItem>
    <reviewItem>
      <errorID>e22428a6-7d0b-4264-966e-d5acd2e16f99</errorID>
      <errorWord>)</errorWord>
      <group>L1_Format</group>
      <groupName>格式问题</groupName>
      <ability>L2_HalfPunc</ability>
      <abilityName>全半角检查</abilityName>
      <candidateList>
        <item>）</item>
      </candidateList>
      <explain>文本全半角错误。</explain>
      <paraID>1DD00ED9</paraID>
      <start>6</start>
      <end>7</end>
      <status>ignored</status>
      <modifiedWord/>
      <trackRevisions>false</trackRevisions>
    </reviewItem>
    <reviewItem>
      <errorID>974b5061-034d-4a74-8271-8100baf3eac0</errorID>
      <errorWord>(</errorWord>
      <group>L1_Format</group>
      <groupName>格式问题</groupName>
      <ability>L2_HalfPunc</ability>
      <abilityName>全半角检查</abilityName>
      <candidateList>
        <item>（</item>
      </candidateList>
      <explain>文本全半角错误。</explain>
      <paraID>7A882920</paraID>
      <start>4</start>
      <end>5</end>
      <status>ignored</status>
      <modifiedWord/>
      <trackRevisions>false</trackRevisions>
    </reviewItem>
    <reviewItem>
      <errorID>e25492a1-0a98-4911-b654-2d96e483c176</errorID>
      <errorWord>)</errorWord>
      <group>L1_Format</group>
      <groupName>格式问题</groupName>
      <ability>L2_HalfPunc</ability>
      <abilityName>全半角检查</abilityName>
      <candidateList>
        <item>）</item>
      </candidateList>
      <explain>文本全半角错误。</explain>
      <paraID>7A882920</paraID>
      <start>6</start>
      <end>7</end>
      <status>ignored</status>
      <modifiedWord/>
      <trackRevisions>false</trackRevisions>
    </reviewItem>
    <reviewItem>
      <errorID>e43e7f18-5080-4ba4-ab0a-448ac9b0094f</errorID>
      <errorWord>(</errorWord>
      <group>L1_Format</group>
      <groupName>格式问题</groupName>
      <ability>L2_HalfPunc</ability>
      <abilityName>全半角检查</abilityName>
      <candidateList>
        <item>（</item>
      </candidateList>
      <explain>文本全半角错误。</explain>
      <paraID>368A44DA</paraID>
      <start>4</start>
      <end>5</end>
      <status>ignored</status>
      <modifiedWord/>
      <trackRevisions>false</trackRevisions>
    </reviewItem>
    <reviewItem>
      <errorID>d8f954aa-9ca3-4dc7-a799-3cd3012594e7</errorID>
      <errorWord>)</errorWord>
      <group>L1_Format</group>
      <groupName>格式问题</groupName>
      <ability>L2_HalfPunc</ability>
      <abilityName>全半角检查</abilityName>
      <candidateList>
        <item>）</item>
      </candidateList>
      <explain>文本全半角错误。</explain>
      <paraID>368A44DA</paraID>
      <start>6</start>
      <end>7</end>
      <status>ignored</status>
      <modifiedWord/>
      <trackRevisions>false</trackRevisions>
    </reviewItem>
    <reviewItem>
      <errorID>1a08bf53-8d44-488c-9e45-b96726bd8971</errorID>
      <errorWord>(</errorWord>
      <group>L1_Format</group>
      <groupName>格式问题</groupName>
      <ability>L2_HalfPunc</ability>
      <abilityName>全半角检查</abilityName>
      <candidateList>
        <item>（</item>
      </candidateList>
      <explain>文本全半角错误。</explain>
      <paraID>70CB378A</paraID>
      <start>4</start>
      <end>5</end>
      <status>ignored</status>
      <modifiedWord/>
      <trackRevisions>false</trackRevisions>
    </reviewItem>
    <reviewItem>
      <errorID>8c63aba2-d1f3-4165-b501-0df1affbada5</errorID>
      <errorWord>)</errorWord>
      <group>L1_Format</group>
      <groupName>格式问题</groupName>
      <ability>L2_HalfPunc</ability>
      <abilityName>全半角检查</abilityName>
      <candidateList>
        <item>）</item>
      </candidateList>
      <explain>文本全半角错误。</explain>
      <paraID>70CB378A</paraID>
      <start>6</start>
      <end>7</end>
      <status>ignored</status>
      <modifiedWord/>
      <trackRevisions>false</trackRevisions>
    </reviewItem>
    <reviewItem>
      <errorID>ee1e42f5-de43-493a-9366-c890b19f6f16</errorID>
      <errorWord>(</errorWord>
      <group>L1_Format</group>
      <groupName>格式问题</groupName>
      <ability>L2_HalfPunc</ability>
      <abilityName>全半角检查</abilityName>
      <candidateList>
        <item>（</item>
      </candidateList>
      <explain>文本全半角错误。</explain>
      <paraID>52287BF7</paraID>
      <start>4</start>
      <end>5</end>
      <status>ignored</status>
      <modifiedWord/>
      <trackRevisions>false</trackRevisions>
    </reviewItem>
    <reviewItem>
      <errorID>a12aaa45-265b-4e68-8417-c29e46390c6d</errorID>
      <errorWord>)</errorWord>
      <group>L1_Format</group>
      <groupName>格式问题</groupName>
      <ability>L2_HalfPunc</ability>
      <abilityName>全半角检查</abilityName>
      <candidateList>
        <item>）</item>
      </candidateList>
      <explain>文本全半角错误。</explain>
      <paraID>52287BF7</paraID>
      <start>6</start>
      <end>7</end>
      <status>ignored</status>
      <modifiedWord/>
      <trackRevisions>false</trackRevisions>
    </reviewItem>
    <reviewItem>
      <errorID>cbec07f1-774a-4361-8480-ceba8fa9f80f</errorID>
      <errorWord>(</errorWord>
      <group>L1_Format</group>
      <groupName>格式问题</groupName>
      <ability>L2_HalfPunc</ability>
      <abilityName>全半角检查</abilityName>
      <candidateList>
        <item>（</item>
      </candidateList>
      <explain>文本全半角错误。</explain>
      <paraID>36D3A12E</paraID>
      <start>4</start>
      <end>5</end>
      <status>ignored</status>
      <modifiedWord/>
      <trackRevisions>false</trackRevisions>
    </reviewItem>
    <reviewItem>
      <errorID>53cfa9f1-0f07-4e57-9c00-4414aee9052a</errorID>
      <errorWord>)</errorWord>
      <group>L1_Format</group>
      <groupName>格式问题</groupName>
      <ability>L2_HalfPunc</ability>
      <abilityName>全半角检查</abilityName>
      <candidateList>
        <item>）</item>
      </candidateList>
      <explain>文本全半角错误。</explain>
      <paraID>36D3A12E</paraID>
      <start>6</start>
      <end>7</end>
      <status>ignored</status>
      <modifiedWord/>
      <trackRevisions>false</trackRevisions>
    </reviewItem>
    <reviewItem>
      <errorID>538447eb-d98a-4270-9774-6da083598f9f</errorID>
      <errorWord>(</errorWord>
      <group>L1_Format</group>
      <groupName>格式问题</groupName>
      <ability>L2_HalfPunc</ability>
      <abilityName>全半角检查</abilityName>
      <candidateList>
        <item>（</item>
      </candidateList>
      <explain>文本全半角错误。</explain>
      <paraID>4B5589B2</paraID>
      <start>4</start>
      <end>5</end>
      <status>ignored</status>
      <modifiedWord/>
      <trackRevisions>false</trackRevisions>
    </reviewItem>
    <reviewItem>
      <errorID>be13c3c3-d00a-4ee7-82e4-a14a68a3ed32</errorID>
      <errorWord>)</errorWord>
      <group>L1_Format</group>
      <groupName>格式问题</groupName>
      <ability>L2_HalfPunc</ability>
      <abilityName>全半角检查</abilityName>
      <candidateList>
        <item>）</item>
      </candidateList>
      <explain>文本全半角错误。</explain>
      <paraID>4B5589B2</paraID>
      <start>6</start>
      <end>7</end>
      <status>ignored</status>
      <modifiedWord/>
      <trackRevisions>false</trackRevisions>
    </reviewItem>
    <reviewItem>
      <errorID>55d52cef-0891-4df8-872c-9e26cc0c1096</errorID>
      <errorWord>(</errorWord>
      <group>L1_Format</group>
      <groupName>格式问题</groupName>
      <ability>L2_HalfPunc</ability>
      <abilityName>全半角检查</abilityName>
      <candidateList>
        <item>（</item>
      </candidateList>
      <explain>文本全半角错误。</explain>
      <paraID>236C57D7</paraID>
      <start>4</start>
      <end>5</end>
      <status>ignored</status>
      <modifiedWord/>
      <trackRevisions>false</trackRevisions>
    </reviewItem>
    <reviewItem>
      <errorID>58b95adf-0dfb-4c72-8379-43131cab0930</errorID>
      <errorWord>)</errorWord>
      <group>L1_Format</group>
      <groupName>格式问题</groupName>
      <ability>L2_HalfPunc</ability>
      <abilityName>全半角检查</abilityName>
      <candidateList>
        <item>）</item>
      </candidateList>
      <explain>文本全半角错误。</explain>
      <paraID>236C57D7</paraID>
      <start>6</start>
      <end>7</end>
      <status>ignored</status>
      <modifiedWord/>
      <trackRevisions>false</trackRevisions>
    </reviewItem>
    <reviewItem>
      <errorID>3b11fbed-a099-45b5-a1b8-179384772a05</errorID>
      <errorWord>须</errorWord>
      <group>L1_Word</group>
      <groupName>字词问题</groupName>
      <ability>L2_Typo</ability>
      <abilityName>字词错误</abilityName>
      <candidateList>
        <item>需</item>
      </candidateList>
      <explain>存在发音相同字词的误用。</explain>
      <paraID>3896C123</paraID>
      <start>37</start>
      <end>38</end>
      <status>modified</status>
      <modifiedWord>需</modifiedWord>
      <trackRevisions>false</trackRevisions>
    </reviewItem>
    <reviewItem>
      <errorID>fd9879a6-5fee-4175-b13f-f1cafb9aa7f5</errorID>
      <errorWord>;</errorWord>
      <group>L1_Format</group>
      <groupName>格式问题</groupName>
      <ability>L2_HalfPunc</ability>
      <abilityName>全半角检查</abilityName>
      <candidateList>
        <item>；</item>
      </candidateList>
      <explain>文本全半角错误。</explain>
      <paraID>3FF2CEB7</paraID>
      <start>184</start>
      <end>185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906207-8030-4070-b7a4-102c15d8e22b}">
  <ds:schemaRefs/>
</ds:datastoreItem>
</file>

<file path=docProps/app.xml><?xml version="1.0" encoding="utf-8"?>
<Properties xmlns="http://schemas.openxmlformats.org/officeDocument/2006/extended-properties" xmlns:vt="http://schemas.openxmlformats.org/officeDocument/2006/docPropsVTypes">
  <Template>Normal</Template>
  <Pages>31</Pages>
  <Words>2101</Words>
  <Characters>2463</Characters>
  <Lines>252</Lines>
  <Paragraphs>71</Paragraphs>
  <TotalTime>0</TotalTime>
  <ScaleCrop>false</ScaleCrop>
  <LinksUpToDate>false</LinksUpToDate>
  <CharactersWithSpaces>2499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2022-07-11T08:18:00Z</dcterms:created>
  <dc:creator>微软用户</dc:creator>
  <cp:lastModifiedBy>2</cp:lastModifiedBy>
  <cp:lastPrinted>2024-09-06T07:59:00Z</cp:lastPrinted>
  <dcterms:modified xsi:type="dcterms:W3CDTF">2026-04-07T00:46:01Z</dcterms:modified>
  <dc:title>工程类公开招标文件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F4527C8148554268930EBAD68113C352_13</vt:lpwstr>
  </property>
  <property fmtid="{D5CDD505-2E9C-101B-9397-08002B2CF9AE}" pid="4" name="KSOTemplateDocerSaveRecord">
    <vt:lpwstr>eyJoZGlkIjoiNjU1YzFiYTBmYzhkZTkxNjhiZTcwNjI2MTFkZjEwMzEiLCJ1c2VySWQiOiI5NTIwNzI0NzkifQ==</vt:lpwstr>
  </property>
</Properties>
</file>