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0" w:leftChars="0" w:firstLine="421" w:firstLineChars="131"/>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lang w:val="en-US" w:eastAsia="zh-CN"/>
        </w:rPr>
        <w:t>可视喉镜采购项目</w:t>
      </w:r>
    </w:p>
    <w:p w14:paraId="25BC58EB">
      <w:pPr>
        <w:spacing w:line="360" w:lineRule="auto"/>
        <w:ind w:firstLine="421" w:firstLineChars="0"/>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GXGSYY-CGB-YLSBK-2026-12</w:t>
      </w:r>
    </w:p>
    <w:p w14:paraId="28230296">
      <w:pPr>
        <w:spacing w:line="360" w:lineRule="auto"/>
        <w:ind w:firstLine="421" w:firstLineChars="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可视喉镜采购项目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w:t>
      </w:r>
      <w:r>
        <w:rPr>
          <w:rFonts w:hint="eastAsia" w:ascii="宋体" w:hAnsi="宋体" w:eastAsia="宋体" w:cs="Times New Roman"/>
          <w:bCs/>
          <w:color w:val="000000"/>
          <w:szCs w:val="21"/>
          <w:lang w:val="en-US" w:eastAsia="zh-CN"/>
        </w:rPr>
        <w:t>单位</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并按要求提交响应报价文件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35393629"/>
      <w:bookmarkStart w:id="2" w:name="_Toc47452205"/>
      <w:bookmarkStart w:id="3" w:name="_Toc44229878"/>
      <w:bookmarkStart w:id="4" w:name="_Toc28359089"/>
      <w:bookmarkStart w:id="5" w:name="_Toc28359012"/>
      <w:bookmarkStart w:id="6" w:name="_Toc35393798"/>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GXGSYY-CGB-YLSBK-2026-12</w:t>
      </w:r>
    </w:p>
    <w:p w14:paraId="28BBF7B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可视喉镜采购项目</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2.5</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¥25,000.00</w:t>
      </w:r>
      <w:r>
        <w:rPr>
          <w:rFonts w:hint="eastAsia" w:ascii="宋体" w:hAnsi="宋体" w:eastAsia="宋体" w:cs="Times New Roman"/>
          <w:bCs/>
          <w:color w:val="000000"/>
          <w:szCs w:val="21"/>
          <w:lang w:eastAsia="zh-CN"/>
        </w:rPr>
        <w:t>）</w:t>
      </w:r>
    </w:p>
    <w:p w14:paraId="47A58AAE">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采购数量：1套</w:t>
      </w:r>
    </w:p>
    <w:p w14:paraId="4326D13D">
      <w:pPr>
        <w:spacing w:line="40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6.工期要求：合同签订后7个日历天内完成供货、调试、验收使用。</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7.服务需求</w:t>
      </w:r>
      <w:r>
        <w:rPr>
          <w:rFonts w:hint="eastAsia" w:ascii="宋体" w:hAnsi="宋体" w:eastAsia="宋体" w:cs="Times New Roman"/>
          <w:bCs/>
          <w:color w:val="000000"/>
          <w:szCs w:val="21"/>
        </w:rPr>
        <w:t>：</w:t>
      </w:r>
      <w:r>
        <w:rPr>
          <w:rFonts w:hint="eastAsia" w:ascii="Times New Roman" w:hAnsi="Times New Roman" w:eastAsia="宋体" w:cs="Times New Roman"/>
          <w:b/>
          <w:bCs/>
          <w:highlight w:val="none"/>
          <w:lang w:val="en-US" w:eastAsia="zh-CN"/>
        </w:rPr>
        <w:t>详见采购文件需求参数表。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二、供应商的资格要求</w:t>
      </w:r>
      <w:r>
        <w:rPr>
          <w:rFonts w:hint="eastAsia" w:ascii="宋体" w:hAnsi="宋体" w:eastAsia="宋体" w:cs="Times New Roman"/>
          <w:bCs/>
          <w:color w:val="000000"/>
          <w:szCs w:val="21"/>
        </w:rPr>
        <w:t>：</w:t>
      </w:r>
    </w:p>
    <w:p w14:paraId="34E2C471">
      <w:pPr>
        <w:widowControl w:val="0"/>
        <w:spacing w:line="400" w:lineRule="exact"/>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highlight w:val="none"/>
          <w:lang w:val="en-US" w:eastAsia="zh-CN" w:bidi="ar-SA"/>
        </w:rPr>
        <w:t>符合政府采购法第二十二条规定的条件；</w:t>
      </w:r>
    </w:p>
    <w:p w14:paraId="73285AC3">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2.</w:t>
      </w:r>
      <w:r>
        <w:rPr>
          <w:rFonts w:hint="eastAsia" w:ascii="宋体" w:hAnsi="宋体" w:eastAsia="宋体" w:cs="Times New Roman"/>
          <w:bCs/>
          <w:color w:val="000000"/>
          <w:kern w:val="2"/>
          <w:sz w:val="21"/>
          <w:szCs w:val="21"/>
          <w:highlight w:val="none"/>
          <w:lang w:val="en-US" w:eastAsia="zh-CN" w:bidi="ar-SA"/>
        </w:rPr>
        <w:t>在参加采购活动期间未被列入“信用中国”网站(www.creditchina.gov.cn)、中国政府采购网(www.ccgp.gov.cn)渠道信用记录失信被执行人、重大税收违法案件当事人名单、政府采购严重违法失信行为记录名单的供应商。</w:t>
      </w:r>
    </w:p>
    <w:p w14:paraId="071BE2F1">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3.</w:t>
      </w:r>
      <w:r>
        <w:rPr>
          <w:rFonts w:hint="eastAsia" w:ascii="宋体" w:hAnsi="宋体" w:eastAsia="宋体" w:cs="Times New Roman"/>
          <w:bCs/>
          <w:color w:val="000000"/>
          <w:kern w:val="2"/>
          <w:sz w:val="21"/>
          <w:szCs w:val="21"/>
          <w:highlight w:val="none"/>
          <w:lang w:val="en-US" w:eastAsia="zh-CN" w:bidi="ar-SA"/>
        </w:rPr>
        <w:t>本项目特定要求：</w:t>
      </w:r>
    </w:p>
    <w:p w14:paraId="1A855B4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b w:val="0"/>
          <w:bCs w:val="0"/>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；相关设备需通过现行医用电气设备安全通用要求认证。（提供</w:t>
      </w:r>
      <w:r>
        <w:rPr>
          <w:rFonts w:hint="default" w:ascii="宋体" w:hAnsi="宋体" w:eastAsia="宋体" w:cs="宋体"/>
          <w:kern w:val="2"/>
          <w:sz w:val="21"/>
          <w:szCs w:val="21"/>
          <w:lang w:val="en-US" w:eastAsia="zh-CN" w:bidi="ar-SA"/>
        </w:rPr>
        <w:t>医疗器械经营备案凭证或者经营许可证</w:t>
      </w:r>
      <w:r>
        <w:rPr>
          <w:rFonts w:hint="eastAsia" w:ascii="宋体" w:hAnsi="宋体" w:eastAsia="宋体" w:cs="宋体"/>
          <w:kern w:val="2"/>
          <w:sz w:val="21"/>
          <w:szCs w:val="21"/>
          <w:lang w:val="en-US" w:eastAsia="zh-CN" w:bidi="ar-SA"/>
        </w:rPr>
        <w:t>复印件）</w:t>
      </w:r>
    </w:p>
    <w:p w14:paraId="08E3E55D">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7C751705">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（3）已获得标的货物的销售代理授权（提供设备生产厂家代理销售授权书或授权函复印件）</w:t>
      </w:r>
      <w:r>
        <w:rPr>
          <w:rFonts w:hint="default" w:ascii="宋体" w:hAnsi="宋体" w:eastAsia="宋体" w:cs="宋体"/>
          <w:kern w:val="2"/>
          <w:sz w:val="21"/>
          <w:szCs w:val="21"/>
          <w:lang w:val="en-US" w:eastAsia="zh-CN" w:bidi="ar-SA"/>
        </w:rPr>
        <w:t>。</w:t>
      </w:r>
    </w:p>
    <w:p w14:paraId="53DD97E5">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4.是否接收联合体投标：□是   ☑否</w:t>
      </w:r>
    </w:p>
    <w:p w14:paraId="6EDABF7A">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5.落实政府采购政策需满足的资格要求：是否面向中小微企业（☑是      □否）</w:t>
      </w:r>
    </w:p>
    <w:p w14:paraId="460EF40E">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6.是否允许分包/转包：□是   ☑否</w:t>
      </w:r>
    </w:p>
    <w:p w14:paraId="2C0D5E33">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要求：每个投标人只能提交一份</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rPr>
        <w:t>（一个正本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w:t>
      </w:r>
      <w:r>
        <w:rPr>
          <w:rFonts w:hint="eastAsia" w:ascii="黑体" w:hAnsi="黑体" w:eastAsia="黑体" w:cs="黑体"/>
          <w:bCs/>
          <w:color w:val="000000"/>
          <w:szCs w:val="21"/>
          <w:lang w:eastAsia="zh-CN"/>
        </w:rPr>
        <w:t>报价</w:t>
      </w:r>
      <w:r>
        <w:rPr>
          <w:rFonts w:hint="eastAsia" w:ascii="黑体" w:hAnsi="黑体" w:eastAsia="黑体" w:cs="黑体"/>
          <w:bCs/>
          <w:color w:val="000000"/>
          <w:szCs w:val="21"/>
          <w:lang w:val="en-US" w:eastAsia="zh-CN"/>
        </w:rPr>
        <w:t>文件</w:t>
      </w:r>
      <w:r>
        <w:rPr>
          <w:rFonts w:hint="eastAsia" w:ascii="黑体" w:hAnsi="黑体" w:eastAsia="黑体" w:cs="黑体"/>
          <w:bCs/>
          <w:color w:val="000000"/>
          <w:szCs w:val="21"/>
        </w:rPr>
        <w:t>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7818AE1B">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其他时间不受理</w:t>
      </w:r>
      <w:r>
        <w:rPr>
          <w:rFonts w:hint="eastAsia" w:ascii="宋体" w:hAnsi="宋体" w:eastAsia="宋体" w:cs="Times New Roman"/>
          <w:bCs/>
          <w:color w:val="000000"/>
          <w:szCs w:val="21"/>
        </w:rPr>
        <w:t>）。</w:t>
      </w:r>
    </w:p>
    <w:p w14:paraId="003D7BB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地点：</w:t>
      </w:r>
      <w:r>
        <w:rPr>
          <w:rFonts w:hint="eastAsia" w:ascii="宋体" w:hAnsi="宋体" w:eastAsia="宋体" w:cs="Times New Roman"/>
          <w:bCs/>
          <w:color w:val="000000"/>
          <w:szCs w:val="21"/>
        </w:rPr>
        <w:t>南宁市青秀区东葛路1号锦华酒店副楼401室。</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w:t>
      </w:r>
      <w:r>
        <w:rPr>
          <w:rFonts w:hint="eastAsia" w:ascii="黑体" w:hAnsi="黑体" w:eastAsia="黑体" w:cs="黑体"/>
          <w:bCs/>
          <w:color w:val="000000"/>
          <w:szCs w:val="21"/>
          <w:lang w:val="en-US" w:eastAsia="zh-CN"/>
        </w:rPr>
        <w:t>公告有效其</w:t>
      </w:r>
      <w:r>
        <w:rPr>
          <w:rFonts w:hint="eastAsia" w:ascii="黑体" w:hAnsi="黑体" w:eastAsia="黑体" w:cs="黑体"/>
          <w:bCs/>
          <w:color w:val="000000"/>
          <w:szCs w:val="21"/>
        </w:rPr>
        <w:t>：</w:t>
      </w:r>
    </w:p>
    <w:p w14:paraId="27229C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本项目拟电话议价，请报价单位在询价议价期间保持电话畅通</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w:t>
      </w:r>
      <w:r>
        <w:rPr>
          <w:rFonts w:hint="eastAsia" w:ascii="黑体" w:hAnsi="黑体" w:eastAsia="黑体" w:cs="黑体"/>
          <w:bCs/>
          <w:color w:val="000000"/>
          <w:szCs w:val="21"/>
          <w:lang w:val="en-US" w:eastAsia="zh-CN"/>
        </w:rPr>
        <w:t>咨询</w:t>
      </w:r>
      <w:r>
        <w:rPr>
          <w:rFonts w:hint="default" w:ascii="黑体" w:hAnsi="黑体" w:eastAsia="黑体" w:cs="黑体"/>
          <w:bCs/>
          <w:color w:val="000000"/>
          <w:szCs w:val="21"/>
          <w:lang w:val="en-US" w:eastAsia="zh-CN"/>
        </w:rPr>
        <w:t>，请按以下方式联系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0" w:firstLineChars="200"/>
        <w:rPr>
          <w:rFonts w:ascii="宋体" w:hAnsi="宋体" w:eastAsia="宋体" w:cs="Times New Roman"/>
          <w:bCs/>
          <w:color w:val="000000"/>
          <w:szCs w:val="21"/>
        </w:rPr>
      </w:pPr>
    </w:p>
    <w:p w14:paraId="698FA348">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4</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1</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hint="eastAsia" w:ascii="宋体" w:hAnsi="宋体" w:eastAsia="宋体" w:cs="Times New Roman"/>
          <w:b/>
          <w:bCs/>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p>
    <w:p w14:paraId="09394FF9">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bCs/>
          <w:color w:val="000000"/>
          <w:szCs w:val="21"/>
          <w:lang w:val="en-US" w:eastAsia="zh-CN"/>
        </w:rPr>
        <w:t>说明：</w:t>
      </w:r>
      <w:r>
        <w:rPr>
          <w:rFonts w:hint="eastAsia" w:ascii="宋体" w:hAnsi="宋体" w:eastAsia="宋体" w:cs="Times New Roman"/>
          <w:b w:val="0"/>
          <w:bCs w:val="0"/>
          <w:color w:val="000000"/>
          <w:szCs w:val="21"/>
          <w:lang w:val="en-US" w:eastAsia="zh-CN"/>
        </w:rPr>
        <w:t>1.“</w:t>
      </w:r>
      <w:r>
        <w:rPr>
          <w:rFonts w:hint="eastAsia"/>
          <w:b w:val="0"/>
          <w:bCs w:val="0"/>
          <w:spacing w:val="11"/>
        </w:rPr>
        <w:t>▲</w:t>
      </w:r>
      <w:r>
        <w:rPr>
          <w:rFonts w:hint="eastAsia" w:ascii="宋体" w:hAnsi="宋体" w:eastAsia="宋体" w:cs="Times New Roman"/>
          <w:b w:val="0"/>
          <w:bCs w:val="0"/>
          <w:color w:val="000000"/>
          <w:szCs w:val="21"/>
          <w:lang w:val="en-US" w:eastAsia="zh-CN"/>
        </w:rPr>
        <w:t>”为实质性参数，即必须满足的参数，出现负偏离则响应无效；</w:t>
      </w:r>
    </w:p>
    <w:p w14:paraId="0609FE0C">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 xml:space="preserve">      2.其他参数为非实质性参数，允许负偏离，供应商应尽量提供满足或优于采购需求参数的标的；</w:t>
      </w:r>
    </w:p>
    <w:p w14:paraId="7CD37BC2">
      <w:pPr>
        <w:spacing w:line="320" w:lineRule="exact"/>
        <w:rPr>
          <w:rFonts w:hint="default" w:ascii="宋体" w:hAnsi="宋体" w:eastAsia="宋体" w:cs="Times New Roman"/>
          <w:b/>
          <w:bCs/>
          <w:color w:val="000000"/>
          <w:szCs w:val="21"/>
          <w:lang w:val="en-US" w:eastAsia="zh-CN"/>
        </w:rPr>
      </w:pPr>
      <w:r>
        <w:rPr>
          <w:rFonts w:hint="eastAsia" w:ascii="宋体" w:hAnsi="宋体" w:eastAsia="宋体" w:cs="Times New Roman"/>
          <w:b/>
          <w:bCs/>
          <w:color w:val="000000"/>
          <w:szCs w:val="21"/>
          <w:lang w:val="en-US" w:eastAsia="zh-CN"/>
        </w:rPr>
        <w:t xml:space="preserve">      3.本项目允许负偏离的参数为：技术需求参数</w:t>
      </w:r>
      <w:r>
        <w:rPr>
          <w:rFonts w:hint="eastAsia" w:ascii="宋体" w:hAnsi="宋体" w:eastAsia="宋体" w:cs="Times New Roman"/>
          <w:b/>
          <w:bCs/>
          <w:color w:val="000000"/>
          <w:szCs w:val="21"/>
          <w:u w:val="single"/>
          <w:lang w:val="en-US" w:eastAsia="zh-CN"/>
        </w:rPr>
        <w:t xml:space="preserve">  3  </w:t>
      </w:r>
      <w:r>
        <w:rPr>
          <w:rFonts w:hint="eastAsia" w:ascii="宋体" w:hAnsi="宋体" w:eastAsia="宋体" w:cs="Times New Roman"/>
          <w:b/>
          <w:bCs/>
          <w:color w:val="000000"/>
          <w:szCs w:val="21"/>
          <w:lang w:val="en-US" w:eastAsia="zh-CN"/>
        </w:rPr>
        <w:t>项；商务需求参数</w:t>
      </w:r>
      <w:r>
        <w:rPr>
          <w:rFonts w:hint="eastAsia" w:ascii="宋体" w:hAnsi="宋体" w:eastAsia="宋体" w:cs="Times New Roman"/>
          <w:b/>
          <w:bCs/>
          <w:color w:val="000000"/>
          <w:szCs w:val="21"/>
          <w:u w:val="single"/>
          <w:lang w:val="en-US" w:eastAsia="zh-CN"/>
        </w:rPr>
        <w:t xml:space="preserve">  0  </w:t>
      </w:r>
      <w:r>
        <w:rPr>
          <w:rFonts w:hint="eastAsia" w:ascii="宋体" w:hAnsi="宋体" w:eastAsia="宋体" w:cs="Times New Roman"/>
          <w:b/>
          <w:bCs/>
          <w:color w:val="000000"/>
          <w:szCs w:val="21"/>
          <w:lang w:val="en-US" w:eastAsia="zh-CN"/>
        </w:rPr>
        <w:t>项；超过规定数量负偏离视为无效响应。</w:t>
      </w:r>
    </w:p>
    <w:p w14:paraId="263FC401">
      <w:pPr>
        <w:spacing w:line="320" w:lineRule="exact"/>
        <w:rPr>
          <w:rFonts w:hint="default" w:ascii="宋体" w:hAnsi="宋体" w:eastAsia="宋体" w:cs="Times New Roman"/>
          <w:b/>
          <w:bCs/>
          <w:color w:val="000000"/>
          <w:szCs w:val="21"/>
          <w:lang w:val="en-US" w:eastAsia="zh-CN"/>
        </w:rPr>
      </w:pPr>
    </w:p>
    <w:tbl>
      <w:tblPr>
        <w:tblStyle w:val="13"/>
        <w:tblW w:w="10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5"/>
        <w:gridCol w:w="2904"/>
        <w:gridCol w:w="2003"/>
        <w:gridCol w:w="3695"/>
      </w:tblGrid>
      <w:tr w14:paraId="11F22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2A43D7D6">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货物名称</w:t>
            </w:r>
          </w:p>
        </w:tc>
        <w:tc>
          <w:tcPr>
            <w:tcW w:w="8602" w:type="dxa"/>
            <w:gridSpan w:val="3"/>
            <w:tcBorders>
              <w:top w:val="single" w:color="auto" w:sz="4" w:space="0"/>
              <w:bottom w:val="single" w:color="auto" w:sz="4" w:space="0"/>
              <w:right w:val="single" w:color="auto" w:sz="4" w:space="0"/>
            </w:tcBorders>
            <w:vAlign w:val="center"/>
          </w:tcPr>
          <w:p w14:paraId="15DBCE3C">
            <w:pPr>
              <w:tabs>
                <w:tab w:val="left" w:pos="180"/>
                <w:tab w:val="left" w:pos="1620"/>
              </w:tabs>
              <w:spacing w:line="320" w:lineRule="exact"/>
              <w:jc w:val="center"/>
              <w:rPr>
                <w:rFonts w:ascii="宋体" w:hAnsi="宋体"/>
                <w:szCs w:val="21"/>
              </w:rPr>
            </w:pPr>
            <w:bookmarkStart w:id="9" w:name="OLE_LINK2"/>
            <w:r>
              <w:rPr>
                <w:rFonts w:hint="eastAsia" w:ascii="宋体" w:hAnsi="宋体" w:cs="宋体"/>
                <w:color w:val="000000"/>
                <w:szCs w:val="21"/>
              </w:rPr>
              <w:t>可视喉镜</w:t>
            </w:r>
            <w:bookmarkEnd w:id="9"/>
          </w:p>
        </w:tc>
      </w:tr>
      <w:tr w14:paraId="7576C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7D5EF0CD">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2904" w:type="dxa"/>
            <w:tcBorders>
              <w:top w:val="single" w:color="auto" w:sz="4" w:space="0"/>
              <w:bottom w:val="single" w:color="auto" w:sz="4" w:space="0"/>
              <w:right w:val="single" w:color="auto" w:sz="4" w:space="0"/>
            </w:tcBorders>
            <w:vAlign w:val="center"/>
          </w:tcPr>
          <w:p w14:paraId="69C42CE1">
            <w:pPr>
              <w:tabs>
                <w:tab w:val="left" w:pos="180"/>
                <w:tab w:val="left" w:pos="1620"/>
              </w:tabs>
              <w:spacing w:line="320" w:lineRule="exact"/>
              <w:jc w:val="center"/>
              <w:rPr>
                <w:rFonts w:ascii="宋体" w:hAnsi="宋体"/>
                <w:szCs w:val="21"/>
              </w:rPr>
            </w:pPr>
            <w:r>
              <w:rPr>
                <w:rFonts w:hint="eastAsia" w:ascii="宋体" w:hAnsi="宋体"/>
                <w:szCs w:val="21"/>
              </w:rPr>
              <w:t xml:space="preserve"> 1 </w:t>
            </w:r>
            <w:r>
              <w:rPr>
                <w:rFonts w:hint="eastAsia" w:ascii="宋体" w:hAnsi="宋体"/>
                <w:szCs w:val="21"/>
                <w:lang w:val="en-US" w:eastAsia="zh-CN"/>
              </w:rPr>
              <w:t>套</w:t>
            </w:r>
            <w:r>
              <w:rPr>
                <w:rFonts w:hint="eastAsia" w:ascii="宋体" w:hAnsi="宋体"/>
                <w:szCs w:val="21"/>
              </w:rPr>
              <w:t xml:space="preserve">          </w:t>
            </w:r>
          </w:p>
        </w:tc>
        <w:tc>
          <w:tcPr>
            <w:tcW w:w="2003" w:type="dxa"/>
            <w:tcBorders>
              <w:top w:val="single" w:color="auto" w:sz="4" w:space="0"/>
              <w:left w:val="single" w:color="auto" w:sz="4" w:space="0"/>
              <w:bottom w:val="single" w:color="auto" w:sz="4" w:space="0"/>
              <w:right w:val="single" w:color="auto" w:sz="4" w:space="0"/>
            </w:tcBorders>
            <w:vAlign w:val="center"/>
          </w:tcPr>
          <w:p w14:paraId="3B94C716">
            <w:pPr>
              <w:tabs>
                <w:tab w:val="left" w:pos="180"/>
                <w:tab w:val="left" w:pos="1620"/>
              </w:tabs>
              <w:spacing w:line="320" w:lineRule="exact"/>
              <w:jc w:val="center"/>
              <w:rPr>
                <w:rFonts w:ascii="宋体" w:hAnsi="宋体"/>
                <w:szCs w:val="21"/>
              </w:rPr>
            </w:pPr>
            <w:r>
              <w:rPr>
                <w:rFonts w:hint="eastAsia" w:ascii="宋体" w:hAnsi="宋体"/>
                <w:szCs w:val="21"/>
              </w:rPr>
              <w:t>采购预算（上控价）</w:t>
            </w:r>
          </w:p>
        </w:tc>
        <w:tc>
          <w:tcPr>
            <w:tcW w:w="3695" w:type="dxa"/>
            <w:tcBorders>
              <w:top w:val="single" w:color="auto" w:sz="4" w:space="0"/>
              <w:left w:val="single" w:color="auto" w:sz="4" w:space="0"/>
              <w:bottom w:val="single" w:color="auto" w:sz="4" w:space="0"/>
              <w:right w:val="single" w:color="auto" w:sz="4" w:space="0"/>
            </w:tcBorders>
            <w:vAlign w:val="center"/>
          </w:tcPr>
          <w:p w14:paraId="498E58A1">
            <w:pPr>
              <w:tabs>
                <w:tab w:val="left" w:pos="180"/>
                <w:tab w:val="left" w:pos="1620"/>
              </w:tabs>
              <w:spacing w:line="320" w:lineRule="exact"/>
              <w:jc w:val="center"/>
              <w:rPr>
                <w:rFonts w:ascii="宋体" w:hAnsi="宋体"/>
                <w:szCs w:val="21"/>
              </w:rPr>
            </w:pPr>
            <w:r>
              <w:rPr>
                <w:rFonts w:hint="eastAsia" w:ascii="宋体" w:hAnsi="宋体"/>
                <w:szCs w:val="21"/>
              </w:rPr>
              <w:t xml:space="preserve">         </w:t>
            </w:r>
            <w:r>
              <w:rPr>
                <w:rFonts w:hint="eastAsia" w:ascii="宋体" w:hAnsi="宋体"/>
                <w:sz w:val="24"/>
              </w:rPr>
              <w:t>2.5</w:t>
            </w:r>
            <w:r>
              <w:rPr>
                <w:rFonts w:hint="eastAsia" w:ascii="宋体" w:hAnsi="宋体"/>
                <w:szCs w:val="21"/>
              </w:rPr>
              <w:t xml:space="preserve">  （单位：万元）</w:t>
            </w:r>
          </w:p>
        </w:tc>
      </w:tr>
      <w:tr w14:paraId="356A9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747" w:type="dxa"/>
            <w:gridSpan w:val="4"/>
            <w:tcBorders>
              <w:top w:val="single" w:color="auto" w:sz="4" w:space="0"/>
            </w:tcBorders>
            <w:vAlign w:val="center"/>
          </w:tcPr>
          <w:p w14:paraId="194475EF">
            <w:pPr>
              <w:widowControl/>
              <w:adjustRightInd w:val="0"/>
              <w:snapToGrid w:val="0"/>
              <w:ind w:firstLine="560" w:firstLineChars="200"/>
              <w:jc w:val="center"/>
            </w:pPr>
            <w:r>
              <w:rPr>
                <w:rFonts w:hint="eastAsia" w:ascii="黑体" w:hAnsi="黑体" w:eastAsia="黑体" w:cs="黑体"/>
                <w:sz w:val="28"/>
                <w:szCs w:val="28"/>
              </w:rPr>
              <w:t>技术需求参数</w:t>
            </w:r>
          </w:p>
        </w:tc>
      </w:tr>
      <w:tr w14:paraId="726AC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10747" w:type="dxa"/>
            <w:gridSpan w:val="4"/>
            <w:vAlign w:val="center"/>
          </w:tcPr>
          <w:p w14:paraId="4436CA73">
            <w:pPr>
              <w:widowControl/>
              <w:adjustRightInd w:val="0"/>
              <w:snapToGrid w:val="0"/>
              <w:spacing w:line="400" w:lineRule="exact"/>
              <w:rPr>
                <w:rFonts w:hint="eastAsia" w:ascii="宋体" w:hAnsi="宋体" w:cs="宋体"/>
                <w:szCs w:val="21"/>
              </w:rPr>
            </w:pPr>
            <w:r>
              <w:rPr>
                <w:rFonts w:hint="eastAsia" w:ascii="宋体" w:hAnsi="宋体" w:cs="宋体"/>
                <w:szCs w:val="21"/>
              </w:rPr>
              <w:t>一、整体功能要求</w:t>
            </w:r>
          </w:p>
          <w:p w14:paraId="3888424B">
            <w:pPr>
              <w:widowControl/>
              <w:adjustRightInd w:val="0"/>
              <w:snapToGrid w:val="0"/>
              <w:spacing w:line="400" w:lineRule="exact"/>
              <w:rPr>
                <w:rFonts w:ascii="宋体" w:hAnsi="宋体" w:cs="宋体"/>
                <w:szCs w:val="21"/>
              </w:rPr>
            </w:pPr>
            <w:r>
              <w:rPr>
                <w:rFonts w:hint="eastAsia" w:ascii="宋体" w:hAnsi="宋体" w:cs="宋体"/>
                <w:szCs w:val="21"/>
              </w:rPr>
              <w:t>产品适用范围/预期用途：</w:t>
            </w:r>
            <w:r>
              <w:rPr>
                <w:rFonts w:ascii="宋体" w:hAnsi="宋体" w:cs="宋体"/>
                <w:szCs w:val="21"/>
              </w:rPr>
              <w:t>是医院麻醉科、急诊科、重症监护室（ICU）、呼吸科等关键科室的核心设备。它利用前端摄像头和显示屏，将患者喉部结构清晰放大呈现，解决了传统直接喉镜“难暴露、视野窄、需轴线对齐”的痛点。</w:t>
            </w:r>
          </w:p>
          <w:p w14:paraId="63F254C9">
            <w:pPr>
              <w:widowControl/>
              <w:adjustRightInd w:val="0"/>
              <w:snapToGrid w:val="0"/>
              <w:spacing w:line="400" w:lineRule="exact"/>
              <w:rPr>
                <w:rFonts w:hint="eastAsia" w:ascii="宋体" w:hAnsi="宋体" w:cs="宋体"/>
                <w:szCs w:val="21"/>
              </w:rPr>
            </w:pPr>
            <w:r>
              <w:rPr>
                <w:rFonts w:hint="eastAsia" w:ascii="宋体" w:hAnsi="宋体" w:cs="宋体"/>
                <w:szCs w:val="21"/>
              </w:rPr>
              <w:t>二、主要技术参数：</w:t>
            </w:r>
          </w:p>
          <w:p w14:paraId="6AF70335">
            <w:pPr>
              <w:widowControl/>
              <w:adjustRightInd w:val="0"/>
              <w:snapToGrid w:val="0"/>
              <w:spacing w:line="400" w:lineRule="exact"/>
              <w:rPr>
                <w:rFonts w:hint="eastAsia" w:ascii="宋体" w:hAnsi="宋体" w:cs="宋体"/>
                <w:szCs w:val="21"/>
              </w:rPr>
            </w:pPr>
            <w:r>
              <w:rPr>
                <w:rFonts w:hint="eastAsia" w:ascii="宋体" w:hAnsi="宋体" w:cs="宋体"/>
                <w:szCs w:val="21"/>
              </w:rPr>
              <w:t>（一）主机与显示系统</w:t>
            </w:r>
          </w:p>
          <w:p w14:paraId="49B92EAC">
            <w:pPr>
              <w:widowControl/>
              <w:adjustRightInd w:val="0"/>
              <w:snapToGrid w:val="0"/>
              <w:spacing w:line="400" w:lineRule="exact"/>
              <w:rPr>
                <w:rFonts w:hint="eastAsia" w:ascii="宋体" w:hAnsi="宋体" w:cs="宋体"/>
                <w:szCs w:val="21"/>
              </w:rPr>
            </w:pPr>
            <w:r>
              <w:rPr>
                <w:rFonts w:hint="eastAsia" w:ascii="宋体" w:hAnsi="宋体" w:cs="宋体"/>
                <w:szCs w:val="21"/>
              </w:rPr>
              <w:t>▲1.1显示屏尺寸 ≥3.0 英寸，彩色液晶屏，分辨率 ≥640×480</w:t>
            </w:r>
          </w:p>
          <w:p w14:paraId="2C70D8E4">
            <w:pPr>
              <w:widowControl/>
              <w:adjustRightInd w:val="0"/>
              <w:snapToGrid w:val="0"/>
              <w:spacing w:line="400" w:lineRule="exact"/>
              <w:rPr>
                <w:rFonts w:hint="eastAsia" w:ascii="宋体" w:hAnsi="宋体" w:cs="宋体"/>
                <w:szCs w:val="21"/>
              </w:rPr>
            </w:pPr>
            <w:r>
              <w:rPr>
                <w:rFonts w:hint="eastAsia" w:ascii="宋体" w:hAnsi="宋体" w:cs="宋体"/>
                <w:szCs w:val="21"/>
              </w:rPr>
              <w:t>1.2支持触摸操作，可戴手套操作</w:t>
            </w:r>
          </w:p>
          <w:p w14:paraId="1063F7FE">
            <w:pPr>
              <w:widowControl/>
              <w:adjustRightInd w:val="0"/>
              <w:snapToGrid w:val="0"/>
              <w:spacing w:line="400" w:lineRule="exact"/>
              <w:rPr>
                <w:rFonts w:hint="eastAsia" w:ascii="宋体" w:hAnsi="宋体" w:cs="宋体"/>
                <w:szCs w:val="21"/>
              </w:rPr>
            </w:pPr>
            <w:r>
              <w:rPr>
                <w:rFonts w:hint="eastAsia" w:ascii="宋体" w:hAnsi="宋体" w:cs="宋体"/>
                <w:szCs w:val="21"/>
              </w:rPr>
              <w:t>1.3显示屏可上下旋转角度0°～110°，左右旋转角度0°～270°</w:t>
            </w:r>
          </w:p>
          <w:p w14:paraId="0440531A">
            <w:pPr>
              <w:widowControl/>
              <w:adjustRightInd w:val="0"/>
              <w:snapToGrid w:val="0"/>
              <w:spacing w:line="400" w:lineRule="exact"/>
              <w:rPr>
                <w:rFonts w:hint="eastAsia" w:ascii="宋体" w:hAnsi="宋体" w:cs="宋体"/>
                <w:szCs w:val="21"/>
              </w:rPr>
            </w:pPr>
            <w:r>
              <w:rPr>
                <w:rFonts w:hint="eastAsia" w:ascii="宋体" w:hAnsi="宋体" w:cs="宋体"/>
                <w:szCs w:val="21"/>
              </w:rPr>
              <w:t>1.4支持画面翻转功能，便于不同角度操作</w:t>
            </w:r>
          </w:p>
          <w:p w14:paraId="5076683B">
            <w:pPr>
              <w:widowControl/>
              <w:adjustRightInd w:val="0"/>
              <w:snapToGrid w:val="0"/>
              <w:spacing w:line="400" w:lineRule="exact"/>
              <w:rPr>
                <w:rFonts w:hint="eastAsia" w:ascii="宋体" w:hAnsi="宋体" w:cs="宋体"/>
                <w:szCs w:val="21"/>
              </w:rPr>
            </w:pPr>
            <w:r>
              <w:rPr>
                <w:rFonts w:hint="eastAsia" w:ascii="宋体" w:hAnsi="宋体" w:cs="宋体"/>
                <w:szCs w:val="21"/>
              </w:rPr>
              <w:t>1.5具备拍照、录像功能，可回放查看</w:t>
            </w:r>
          </w:p>
          <w:p w14:paraId="4E3CDB4F">
            <w:pPr>
              <w:widowControl/>
              <w:adjustRightInd w:val="0"/>
              <w:snapToGrid w:val="0"/>
              <w:spacing w:line="400" w:lineRule="exact"/>
              <w:rPr>
                <w:rFonts w:hint="eastAsia" w:ascii="宋体" w:hAnsi="宋体" w:cs="宋体"/>
                <w:szCs w:val="21"/>
              </w:rPr>
            </w:pPr>
            <w:r>
              <w:rPr>
                <w:rFonts w:hint="eastAsia" w:ascii="宋体" w:hAnsi="宋体" w:cs="宋体"/>
                <w:szCs w:val="21"/>
              </w:rPr>
              <w:t>1.6具备数据存储功能，内置存储空间 ≥32GB 或支持外置存储卡</w:t>
            </w:r>
          </w:p>
          <w:p w14:paraId="5144EF29">
            <w:pPr>
              <w:widowControl/>
              <w:adjustRightInd w:val="0"/>
              <w:snapToGrid w:val="0"/>
              <w:spacing w:line="400" w:lineRule="exact"/>
              <w:rPr>
                <w:rFonts w:hint="eastAsia" w:ascii="宋体" w:hAnsi="宋体" w:cs="宋体"/>
                <w:szCs w:val="21"/>
              </w:rPr>
            </w:pPr>
            <w:r>
              <w:rPr>
                <w:rFonts w:hint="eastAsia" w:ascii="宋体" w:hAnsi="宋体" w:cs="宋体"/>
                <w:szCs w:val="21"/>
              </w:rPr>
              <w:t>1.7具备数据传输接口（如 USB、MicroUSB 或 HDMI），可导出数据或外接显示器</w:t>
            </w:r>
          </w:p>
          <w:p w14:paraId="425F9EB2">
            <w:pPr>
              <w:widowControl/>
              <w:adjustRightInd w:val="0"/>
              <w:snapToGrid w:val="0"/>
              <w:spacing w:line="400" w:lineRule="exact"/>
              <w:rPr>
                <w:rFonts w:hint="eastAsia" w:ascii="宋体" w:hAnsi="宋体" w:cs="宋体"/>
                <w:szCs w:val="21"/>
              </w:rPr>
            </w:pPr>
            <w:r>
              <w:rPr>
                <w:rFonts w:hint="eastAsia" w:ascii="宋体" w:hAnsi="宋体" w:cs="宋体"/>
                <w:szCs w:val="21"/>
              </w:rPr>
              <w:t>1.8支持低电量屏幕提示功能</w:t>
            </w:r>
          </w:p>
          <w:p w14:paraId="5424402D">
            <w:pPr>
              <w:widowControl/>
              <w:adjustRightInd w:val="0"/>
              <w:snapToGrid w:val="0"/>
              <w:spacing w:line="400" w:lineRule="exact"/>
              <w:rPr>
                <w:rFonts w:hint="eastAsia" w:ascii="宋体" w:hAnsi="宋体" w:cs="宋体"/>
                <w:szCs w:val="21"/>
              </w:rPr>
            </w:pPr>
            <w:r>
              <w:rPr>
                <w:rFonts w:hint="eastAsia" w:ascii="宋体" w:hAnsi="宋体" w:cs="宋体"/>
                <w:szCs w:val="21"/>
              </w:rPr>
              <w:t>（二）手柄与成像系统</w:t>
            </w:r>
          </w:p>
          <w:p w14:paraId="1DA3C9B0">
            <w:pPr>
              <w:widowControl/>
              <w:adjustRightInd w:val="0"/>
              <w:snapToGrid w:val="0"/>
              <w:spacing w:line="400" w:lineRule="exact"/>
              <w:rPr>
                <w:rFonts w:hint="eastAsia" w:ascii="宋体" w:hAnsi="宋体" w:cs="宋体"/>
                <w:szCs w:val="21"/>
              </w:rPr>
            </w:pPr>
            <w:r>
              <w:rPr>
                <w:rFonts w:hint="eastAsia" w:ascii="宋体" w:hAnsi="宋体" w:cs="宋体"/>
                <w:szCs w:val="21"/>
              </w:rPr>
              <w:t>2.1手柄与主机采用分体式设计，可带电插拔，连接稳固</w:t>
            </w:r>
          </w:p>
          <w:p w14:paraId="6DCE0A3A">
            <w:pPr>
              <w:widowControl/>
              <w:adjustRightInd w:val="0"/>
              <w:snapToGrid w:val="0"/>
              <w:spacing w:line="400" w:lineRule="exact"/>
              <w:rPr>
                <w:rFonts w:hint="eastAsia" w:ascii="宋体" w:hAnsi="宋体" w:cs="宋体"/>
                <w:szCs w:val="21"/>
              </w:rPr>
            </w:pPr>
            <w:r>
              <w:rPr>
                <w:rFonts w:hint="eastAsia" w:ascii="宋体" w:hAnsi="宋体" w:cs="宋体"/>
                <w:szCs w:val="21"/>
              </w:rPr>
              <w:t>2.2手柄材质坚固耐用，连接件采用不锈钢材质（如 SUS303 或 304）</w:t>
            </w:r>
          </w:p>
          <w:p w14:paraId="4A142131">
            <w:pPr>
              <w:widowControl/>
              <w:adjustRightInd w:val="0"/>
              <w:snapToGrid w:val="0"/>
              <w:spacing w:line="400" w:lineRule="exact"/>
              <w:rPr>
                <w:rFonts w:hint="eastAsia" w:ascii="宋体" w:hAnsi="宋体" w:cs="宋体"/>
                <w:szCs w:val="21"/>
              </w:rPr>
            </w:pPr>
            <w:r>
              <w:rPr>
                <w:rFonts w:hint="eastAsia" w:ascii="宋体" w:hAnsi="宋体" w:cs="宋体"/>
                <w:szCs w:val="21"/>
              </w:rPr>
              <w:t>2.3手柄防水等级 ≥IPX7</w:t>
            </w:r>
          </w:p>
          <w:p w14:paraId="1F741D18">
            <w:pPr>
              <w:widowControl/>
              <w:adjustRightInd w:val="0"/>
              <w:snapToGrid w:val="0"/>
              <w:spacing w:line="400" w:lineRule="exact"/>
              <w:rPr>
                <w:rFonts w:hint="eastAsia" w:ascii="宋体" w:hAnsi="宋体" w:cs="宋体"/>
                <w:szCs w:val="21"/>
              </w:rPr>
            </w:pPr>
            <w:r>
              <w:rPr>
                <w:rFonts w:hint="eastAsia" w:ascii="宋体" w:hAnsi="宋体" w:cs="宋体"/>
                <w:szCs w:val="21"/>
              </w:rPr>
              <w:t>▲2.4图像分辨率 ≥7.8 lp/mm 或 ≥600 LW/PH</w:t>
            </w:r>
          </w:p>
          <w:p w14:paraId="4BFDF3CD">
            <w:pPr>
              <w:widowControl/>
              <w:adjustRightInd w:val="0"/>
              <w:snapToGrid w:val="0"/>
              <w:spacing w:line="400" w:lineRule="exact"/>
              <w:rPr>
                <w:rFonts w:hint="eastAsia" w:ascii="宋体" w:hAnsi="宋体" w:cs="宋体"/>
                <w:szCs w:val="21"/>
              </w:rPr>
            </w:pPr>
            <w:r>
              <w:rPr>
                <w:rFonts w:hint="eastAsia" w:ascii="宋体" w:hAnsi="宋体" w:cs="宋体"/>
                <w:szCs w:val="21"/>
              </w:rPr>
              <w:t>2.5视场角 ≥60°</w:t>
            </w:r>
          </w:p>
          <w:p w14:paraId="43751C5B">
            <w:pPr>
              <w:widowControl/>
              <w:adjustRightInd w:val="0"/>
              <w:snapToGrid w:val="0"/>
              <w:spacing w:line="400" w:lineRule="exact"/>
              <w:rPr>
                <w:rFonts w:hint="eastAsia" w:ascii="宋体" w:hAnsi="宋体" w:cs="宋体"/>
                <w:szCs w:val="21"/>
              </w:rPr>
            </w:pPr>
            <w:r>
              <w:rPr>
                <w:rFonts w:hint="eastAsia" w:ascii="宋体" w:hAnsi="宋体" w:cs="宋体"/>
                <w:szCs w:val="21"/>
              </w:rPr>
              <w:t>2.6光源照度 ≥150lux（部分高端型号可要求 ≥1000lux）</w:t>
            </w:r>
          </w:p>
          <w:p w14:paraId="3FB1D668">
            <w:pPr>
              <w:widowControl/>
              <w:adjustRightInd w:val="0"/>
              <w:snapToGrid w:val="0"/>
              <w:spacing w:line="400" w:lineRule="exact"/>
              <w:rPr>
                <w:rFonts w:hint="eastAsia" w:ascii="宋体" w:hAnsi="宋体" w:cs="宋体"/>
                <w:szCs w:val="21"/>
              </w:rPr>
            </w:pPr>
            <w:r>
              <w:rPr>
                <w:rFonts w:hint="eastAsia" w:ascii="宋体" w:hAnsi="宋体" w:cs="宋体"/>
                <w:szCs w:val="21"/>
              </w:rPr>
              <w:t>2.7景深范围 5～100mm</w:t>
            </w:r>
          </w:p>
          <w:p w14:paraId="347710BF">
            <w:pPr>
              <w:widowControl/>
              <w:adjustRightInd w:val="0"/>
              <w:snapToGrid w:val="0"/>
              <w:spacing w:line="400" w:lineRule="exact"/>
              <w:rPr>
                <w:rFonts w:hint="eastAsia" w:ascii="宋体" w:hAnsi="宋体" w:cs="宋体"/>
                <w:szCs w:val="21"/>
              </w:rPr>
            </w:pPr>
            <w:r>
              <w:rPr>
                <w:rFonts w:hint="eastAsia" w:ascii="宋体" w:hAnsi="宋体" w:cs="宋体"/>
                <w:szCs w:val="21"/>
              </w:rPr>
              <w:t>2.8具备即时防雾功能（如前端加热或纳米涂层），开机即用，无需预热</w:t>
            </w:r>
          </w:p>
          <w:p w14:paraId="6EF378F5">
            <w:pPr>
              <w:widowControl/>
              <w:adjustRightInd w:val="0"/>
              <w:snapToGrid w:val="0"/>
              <w:spacing w:line="400" w:lineRule="exact"/>
              <w:rPr>
                <w:rFonts w:hint="eastAsia" w:ascii="宋体" w:hAnsi="宋体" w:cs="宋体"/>
                <w:szCs w:val="21"/>
              </w:rPr>
            </w:pPr>
            <w:r>
              <w:rPr>
                <w:rFonts w:hint="eastAsia" w:ascii="宋体" w:hAnsi="宋体" w:cs="宋体"/>
                <w:szCs w:val="21"/>
              </w:rPr>
              <w:t>2.9手柄设计符合人体工学，重量 ≤350g</w:t>
            </w:r>
          </w:p>
          <w:p w14:paraId="2C178ED6">
            <w:pPr>
              <w:widowControl/>
              <w:adjustRightInd w:val="0"/>
              <w:snapToGrid w:val="0"/>
              <w:spacing w:line="400" w:lineRule="exact"/>
              <w:rPr>
                <w:rFonts w:hint="eastAsia" w:ascii="宋体" w:hAnsi="宋体" w:cs="宋体"/>
                <w:szCs w:val="21"/>
              </w:rPr>
            </w:pPr>
            <w:r>
              <w:rPr>
                <w:rFonts w:hint="eastAsia" w:ascii="宋体" w:hAnsi="宋体" w:cs="宋体"/>
                <w:szCs w:val="21"/>
              </w:rPr>
              <w:t>（三）镜片规格与兼容性</w:t>
            </w:r>
          </w:p>
          <w:p w14:paraId="4E1865CD">
            <w:pPr>
              <w:widowControl/>
              <w:adjustRightInd w:val="0"/>
              <w:snapToGrid w:val="0"/>
              <w:spacing w:line="400" w:lineRule="exact"/>
              <w:rPr>
                <w:rFonts w:hint="eastAsia" w:ascii="宋体" w:hAnsi="宋体" w:cs="宋体"/>
                <w:szCs w:val="21"/>
              </w:rPr>
            </w:pPr>
            <w:r>
              <w:rPr>
                <w:rFonts w:hint="eastAsia" w:ascii="宋体" w:hAnsi="宋体" w:cs="宋体"/>
                <w:szCs w:val="21"/>
              </w:rPr>
              <w:t>▲3.1同一主机可适配多种规格喉镜片，包括但不限于：新生儿、0～2 岁小儿、2～6 岁儿童、成人、成人加大号</w:t>
            </w:r>
          </w:p>
          <w:p w14:paraId="449C32E0">
            <w:pPr>
              <w:widowControl/>
              <w:adjustRightInd w:val="0"/>
              <w:snapToGrid w:val="0"/>
              <w:spacing w:line="400" w:lineRule="exact"/>
              <w:rPr>
                <w:rFonts w:hint="eastAsia" w:ascii="宋体" w:hAnsi="宋体" w:cs="宋体"/>
                <w:szCs w:val="21"/>
              </w:rPr>
            </w:pPr>
            <w:r>
              <w:rPr>
                <w:rFonts w:hint="eastAsia" w:ascii="宋体" w:hAnsi="宋体" w:cs="宋体"/>
                <w:szCs w:val="21"/>
              </w:rPr>
              <w:t>3.2镜片可选用一次性使用或可重复使用材质（如 316 医用不锈钢）</w:t>
            </w:r>
          </w:p>
          <w:p w14:paraId="259B7B32">
            <w:pPr>
              <w:widowControl/>
              <w:adjustRightInd w:val="0"/>
              <w:snapToGrid w:val="0"/>
              <w:spacing w:line="400" w:lineRule="exact"/>
              <w:rPr>
                <w:rFonts w:hint="eastAsia" w:ascii="宋体" w:hAnsi="宋体" w:cs="宋体"/>
                <w:szCs w:val="21"/>
              </w:rPr>
            </w:pPr>
            <w:r>
              <w:rPr>
                <w:rFonts w:hint="eastAsia" w:ascii="宋体" w:hAnsi="宋体" w:cs="宋体"/>
                <w:szCs w:val="21"/>
              </w:rPr>
              <w:t>3.3一次性喉镜片须具备独立医疗器械注册证</w:t>
            </w:r>
          </w:p>
          <w:p w14:paraId="25DB04C9">
            <w:pPr>
              <w:widowControl/>
              <w:adjustRightInd w:val="0"/>
              <w:snapToGrid w:val="0"/>
              <w:spacing w:line="400" w:lineRule="exact"/>
              <w:rPr>
                <w:rFonts w:hint="eastAsia" w:ascii="宋体" w:hAnsi="宋体" w:cs="宋体"/>
                <w:szCs w:val="21"/>
              </w:rPr>
            </w:pPr>
            <w:r>
              <w:rPr>
                <w:rFonts w:hint="eastAsia" w:ascii="宋体" w:hAnsi="宋体" w:cs="宋体"/>
                <w:szCs w:val="21"/>
              </w:rPr>
              <w:t>3.4可重复使用镜片支持低温等离子、戊二醛浸泡等高水平消毒方式，消毒周期 ≥1000 次</w:t>
            </w:r>
          </w:p>
          <w:p w14:paraId="2F7497EE">
            <w:pPr>
              <w:widowControl/>
              <w:adjustRightInd w:val="0"/>
              <w:snapToGrid w:val="0"/>
              <w:spacing w:line="400" w:lineRule="exact"/>
              <w:rPr>
                <w:rFonts w:hint="eastAsia" w:ascii="宋体" w:hAnsi="宋体" w:cs="宋体"/>
                <w:szCs w:val="21"/>
              </w:rPr>
            </w:pPr>
            <w:r>
              <w:rPr>
                <w:rFonts w:hint="eastAsia" w:ascii="宋体" w:hAnsi="宋体" w:cs="宋体"/>
                <w:szCs w:val="21"/>
              </w:rPr>
              <w:t>▲3.5新生儿/小儿镜片前端宽度 ≤7.5mm，厚度 ≤7.5mm，适用于狭窄气道患者</w:t>
            </w:r>
          </w:p>
          <w:p w14:paraId="094F91D1">
            <w:pPr>
              <w:widowControl/>
              <w:adjustRightInd w:val="0"/>
              <w:snapToGrid w:val="0"/>
              <w:spacing w:line="400" w:lineRule="exact"/>
              <w:rPr>
                <w:rFonts w:hint="eastAsia" w:ascii="宋体" w:hAnsi="宋体" w:cs="宋体"/>
                <w:szCs w:val="21"/>
              </w:rPr>
            </w:pPr>
            <w:r>
              <w:rPr>
                <w:rFonts w:hint="eastAsia" w:ascii="宋体" w:hAnsi="宋体" w:cs="宋体"/>
                <w:szCs w:val="21"/>
              </w:rPr>
              <w:t>（四）电源与电池</w:t>
            </w:r>
          </w:p>
          <w:p w14:paraId="3542E2F7">
            <w:pPr>
              <w:widowControl/>
              <w:adjustRightInd w:val="0"/>
              <w:snapToGrid w:val="0"/>
              <w:spacing w:line="400" w:lineRule="exact"/>
              <w:rPr>
                <w:rFonts w:hint="eastAsia" w:ascii="宋体" w:hAnsi="宋体" w:cs="宋体"/>
                <w:szCs w:val="21"/>
              </w:rPr>
            </w:pPr>
            <w:r>
              <w:rPr>
                <w:rFonts w:hint="eastAsia" w:ascii="宋体" w:hAnsi="宋体" w:cs="宋体"/>
                <w:szCs w:val="21"/>
              </w:rPr>
              <w:t>4.1内置可充电锂电池，电压 ≤3.7V</w:t>
            </w:r>
          </w:p>
          <w:p w14:paraId="5F26837F">
            <w:pPr>
              <w:widowControl/>
              <w:adjustRightInd w:val="0"/>
              <w:snapToGrid w:val="0"/>
              <w:spacing w:line="400" w:lineRule="exact"/>
              <w:rPr>
                <w:rFonts w:hint="eastAsia" w:ascii="宋体" w:hAnsi="宋体" w:cs="宋体"/>
                <w:szCs w:val="21"/>
              </w:rPr>
            </w:pPr>
            <w:r>
              <w:rPr>
                <w:rFonts w:hint="eastAsia" w:ascii="宋体" w:hAnsi="宋体" w:cs="宋体"/>
                <w:szCs w:val="21"/>
              </w:rPr>
              <w:t>4.2充电时间 ≤4 小时</w:t>
            </w:r>
          </w:p>
          <w:p w14:paraId="0CEF3D19">
            <w:pPr>
              <w:widowControl/>
              <w:adjustRightInd w:val="0"/>
              <w:snapToGrid w:val="0"/>
              <w:spacing w:line="400" w:lineRule="exact"/>
              <w:rPr>
                <w:rFonts w:hint="eastAsia" w:ascii="宋体" w:hAnsi="宋体" w:cs="宋体"/>
                <w:szCs w:val="21"/>
              </w:rPr>
            </w:pPr>
            <w:r>
              <w:rPr>
                <w:rFonts w:hint="eastAsia" w:ascii="宋体" w:hAnsi="宋体" w:cs="宋体"/>
                <w:szCs w:val="21"/>
              </w:rPr>
              <w:t>4.3持续工作时间 ≥3 小时（或 ≥200 分钟）</w:t>
            </w:r>
          </w:p>
          <w:p w14:paraId="4130A3F1">
            <w:pPr>
              <w:widowControl/>
              <w:adjustRightInd w:val="0"/>
              <w:snapToGrid w:val="0"/>
              <w:spacing w:line="400" w:lineRule="exact"/>
              <w:rPr>
                <w:rFonts w:hint="eastAsia" w:ascii="宋体" w:hAnsi="宋体" w:cs="宋体"/>
                <w:szCs w:val="21"/>
              </w:rPr>
            </w:pPr>
            <w:r>
              <w:rPr>
                <w:rFonts w:hint="eastAsia" w:ascii="宋体" w:hAnsi="宋体" w:cs="宋体"/>
                <w:szCs w:val="21"/>
              </w:rPr>
              <w:t>4.4电池充电次数 ≥300 次</w:t>
            </w:r>
          </w:p>
          <w:p w14:paraId="39033E4B">
            <w:pPr>
              <w:widowControl/>
              <w:adjustRightInd w:val="0"/>
              <w:snapToGrid w:val="0"/>
              <w:spacing w:line="400" w:lineRule="exact"/>
              <w:rPr>
                <w:rFonts w:hint="eastAsia" w:ascii="宋体" w:hAnsi="宋体" w:cs="宋体"/>
                <w:szCs w:val="21"/>
              </w:rPr>
            </w:pPr>
            <w:r>
              <w:rPr>
                <w:rFonts w:hint="eastAsia" w:ascii="宋体" w:hAnsi="宋体" w:cs="宋体"/>
                <w:szCs w:val="21"/>
              </w:rPr>
              <w:t>4.5充电接口为通用型（如 MicroUSB、USB-C 等）</w:t>
            </w:r>
          </w:p>
          <w:p w14:paraId="4AE10F38">
            <w:pPr>
              <w:widowControl/>
              <w:adjustRightInd w:val="0"/>
              <w:snapToGrid w:val="0"/>
              <w:spacing w:line="400" w:lineRule="exact"/>
              <w:rPr>
                <w:rFonts w:hint="eastAsia" w:ascii="宋体" w:hAnsi="宋体" w:cs="宋体"/>
                <w:szCs w:val="21"/>
              </w:rPr>
            </w:pPr>
            <w:r>
              <w:rPr>
                <w:rFonts w:hint="eastAsia" w:ascii="宋体" w:hAnsi="宋体" w:cs="宋体"/>
                <w:szCs w:val="21"/>
              </w:rPr>
              <w:t>（五）环境与耐用性</w:t>
            </w:r>
          </w:p>
          <w:p w14:paraId="1D0EBDB9">
            <w:pPr>
              <w:widowControl/>
              <w:adjustRightInd w:val="0"/>
              <w:snapToGrid w:val="0"/>
              <w:spacing w:line="400" w:lineRule="exact"/>
              <w:rPr>
                <w:rFonts w:hint="eastAsia" w:ascii="宋体" w:hAnsi="宋体" w:cs="宋体"/>
                <w:szCs w:val="21"/>
              </w:rPr>
            </w:pPr>
            <w:r>
              <w:rPr>
                <w:rFonts w:hint="eastAsia" w:ascii="宋体" w:hAnsi="宋体" w:cs="宋体"/>
                <w:szCs w:val="21"/>
              </w:rPr>
              <w:t>5.1工作环境温度：5℃～40℃，湿度：20%～85%</w:t>
            </w:r>
          </w:p>
          <w:p w14:paraId="41C52365">
            <w:pPr>
              <w:widowControl/>
              <w:adjustRightInd w:val="0"/>
              <w:snapToGrid w:val="0"/>
              <w:spacing w:line="400" w:lineRule="exact"/>
              <w:rPr>
                <w:rFonts w:hint="eastAsia" w:ascii="宋体" w:hAnsi="宋体" w:cs="宋体"/>
                <w:szCs w:val="21"/>
              </w:rPr>
            </w:pPr>
            <w:r>
              <w:rPr>
                <w:rFonts w:hint="eastAsia" w:ascii="宋体" w:hAnsi="宋体" w:cs="宋体"/>
                <w:szCs w:val="21"/>
              </w:rPr>
              <w:t>5.2储存环境温度：-10℃～+45℃</w:t>
            </w:r>
          </w:p>
          <w:p w14:paraId="2521AEEE">
            <w:pPr>
              <w:widowControl/>
              <w:adjustRightInd w:val="0"/>
              <w:snapToGrid w:val="0"/>
              <w:spacing w:line="400" w:lineRule="exact"/>
              <w:rPr>
                <w:rFonts w:hint="eastAsia" w:ascii="宋体" w:hAnsi="宋体" w:cs="宋体"/>
                <w:szCs w:val="21"/>
              </w:rPr>
            </w:pPr>
            <w:r>
              <w:rPr>
                <w:rFonts w:hint="eastAsia" w:ascii="宋体" w:hAnsi="宋体" w:cs="宋体"/>
                <w:szCs w:val="21"/>
              </w:rPr>
              <w:t>▲5.3主机使用年限 ≥6 年 或 支持 ≥3000 次高水平消毒周期</w:t>
            </w:r>
          </w:p>
          <w:p w14:paraId="48C969DD">
            <w:pPr>
              <w:widowControl/>
              <w:adjustRightInd w:val="0"/>
              <w:snapToGrid w:val="0"/>
              <w:spacing w:line="400" w:lineRule="exact"/>
              <w:rPr>
                <w:rFonts w:hint="eastAsia" w:ascii="宋体" w:hAnsi="宋体" w:cs="宋体"/>
                <w:szCs w:val="21"/>
              </w:rPr>
            </w:pPr>
            <w:r>
              <w:rPr>
                <w:rFonts w:hint="eastAsia" w:ascii="宋体" w:hAnsi="宋体" w:cs="宋体"/>
                <w:szCs w:val="21"/>
              </w:rPr>
              <w:t>三、配置清单</w:t>
            </w:r>
          </w:p>
          <w:p w14:paraId="37D146E9">
            <w:pPr>
              <w:widowControl/>
              <w:adjustRightInd w:val="0"/>
              <w:snapToGrid w:val="0"/>
              <w:spacing w:line="400" w:lineRule="exact"/>
              <w:rPr>
                <w:rFonts w:hint="eastAsia" w:ascii="宋体" w:hAnsi="宋体" w:cs="宋体"/>
                <w:szCs w:val="21"/>
              </w:rPr>
            </w:pPr>
            <w:r>
              <w:rPr>
                <w:rFonts w:hint="eastAsia" w:ascii="宋体" w:hAnsi="宋体" w:cs="宋体"/>
                <w:szCs w:val="21"/>
              </w:rPr>
              <w:t>1、主机（含显示屏）</w:t>
            </w:r>
            <w:r>
              <w:rPr>
                <w:rFonts w:hint="eastAsia" w:ascii="宋体" w:hAnsi="宋体" w:cs="宋体"/>
                <w:szCs w:val="21"/>
              </w:rPr>
              <w:tab/>
            </w:r>
            <w:r>
              <w:rPr>
                <w:rFonts w:hint="eastAsia" w:ascii="宋体" w:hAnsi="宋体" w:cs="宋体"/>
                <w:szCs w:val="21"/>
              </w:rPr>
              <w:t>1 台</w:t>
            </w:r>
          </w:p>
          <w:p w14:paraId="1DC7FFE9">
            <w:pPr>
              <w:widowControl/>
              <w:adjustRightInd w:val="0"/>
              <w:snapToGrid w:val="0"/>
              <w:spacing w:line="400" w:lineRule="exact"/>
              <w:rPr>
                <w:rFonts w:hint="eastAsia" w:ascii="宋体" w:hAnsi="宋体" w:cs="宋体"/>
                <w:szCs w:val="21"/>
              </w:rPr>
            </w:pPr>
            <w:r>
              <w:rPr>
                <w:rFonts w:hint="eastAsia" w:ascii="宋体" w:hAnsi="宋体" w:cs="宋体"/>
                <w:szCs w:val="21"/>
              </w:rPr>
              <w:t>2、手柄（含摄像头及照明）</w:t>
            </w:r>
            <w:r>
              <w:rPr>
                <w:rFonts w:hint="eastAsia" w:ascii="宋体" w:hAnsi="宋体" w:cs="宋体"/>
                <w:szCs w:val="21"/>
              </w:rPr>
              <w:tab/>
            </w:r>
            <w:r>
              <w:rPr>
                <w:rFonts w:hint="eastAsia" w:ascii="宋体" w:hAnsi="宋体" w:cs="宋体"/>
                <w:szCs w:val="21"/>
              </w:rPr>
              <w:t>1 把</w:t>
            </w:r>
          </w:p>
          <w:p w14:paraId="7A2E0129">
            <w:pPr>
              <w:widowControl/>
              <w:adjustRightInd w:val="0"/>
              <w:snapToGrid w:val="0"/>
              <w:spacing w:line="400" w:lineRule="exact"/>
              <w:rPr>
                <w:rFonts w:hint="eastAsia" w:ascii="宋体" w:hAnsi="宋体" w:cs="宋体"/>
                <w:szCs w:val="21"/>
              </w:rPr>
            </w:pPr>
            <w:r>
              <w:rPr>
                <w:rFonts w:hint="eastAsia" w:ascii="宋体" w:hAnsi="宋体" w:cs="宋体"/>
                <w:szCs w:val="21"/>
              </w:rPr>
              <w:t>3、配套喉镜片（根据需求选配规格）</w:t>
            </w:r>
            <w:r>
              <w:rPr>
                <w:rFonts w:hint="eastAsia" w:ascii="宋体" w:hAnsi="宋体" w:cs="宋体"/>
                <w:szCs w:val="21"/>
              </w:rPr>
              <w:tab/>
            </w:r>
            <w:r>
              <w:rPr>
                <w:rFonts w:hint="eastAsia" w:ascii="宋体" w:hAnsi="宋体" w:cs="宋体"/>
                <w:szCs w:val="21"/>
              </w:rPr>
              <w:t>1 个</w:t>
            </w:r>
          </w:p>
          <w:p w14:paraId="69EB7B08">
            <w:pPr>
              <w:widowControl/>
              <w:adjustRightInd w:val="0"/>
              <w:snapToGrid w:val="0"/>
              <w:spacing w:line="400" w:lineRule="exact"/>
              <w:rPr>
                <w:rFonts w:hint="eastAsia" w:ascii="宋体" w:hAnsi="宋体" w:cs="宋体"/>
                <w:szCs w:val="21"/>
              </w:rPr>
            </w:pPr>
            <w:r>
              <w:rPr>
                <w:rFonts w:hint="eastAsia" w:ascii="宋体" w:hAnsi="宋体" w:cs="宋体"/>
                <w:szCs w:val="21"/>
              </w:rPr>
              <w:t>4、充电器（含电源线）1 套</w:t>
            </w:r>
          </w:p>
          <w:p w14:paraId="2A1E8109">
            <w:pPr>
              <w:widowControl/>
              <w:adjustRightInd w:val="0"/>
              <w:snapToGrid w:val="0"/>
              <w:spacing w:line="400" w:lineRule="exact"/>
              <w:rPr>
                <w:rFonts w:hint="eastAsia" w:ascii="宋体" w:hAnsi="宋体" w:cs="宋体"/>
                <w:szCs w:val="21"/>
              </w:rPr>
            </w:pPr>
            <w:r>
              <w:rPr>
                <w:rFonts w:hint="eastAsia" w:ascii="宋体" w:hAnsi="宋体" w:cs="宋体"/>
                <w:szCs w:val="21"/>
              </w:rPr>
              <w:t>5、数据线</w:t>
            </w:r>
            <w:r>
              <w:rPr>
                <w:rFonts w:hint="eastAsia" w:ascii="宋体" w:hAnsi="宋体" w:cs="宋体"/>
                <w:szCs w:val="21"/>
              </w:rPr>
              <w:tab/>
            </w:r>
            <w:r>
              <w:rPr>
                <w:rFonts w:hint="eastAsia" w:ascii="宋体" w:hAnsi="宋体" w:cs="宋体"/>
                <w:szCs w:val="21"/>
              </w:rPr>
              <w:t>1 根</w:t>
            </w:r>
          </w:p>
          <w:p w14:paraId="0C675E22">
            <w:pPr>
              <w:widowControl/>
              <w:adjustRightInd w:val="0"/>
              <w:snapToGrid w:val="0"/>
              <w:spacing w:line="400" w:lineRule="exact"/>
              <w:rPr>
                <w:rFonts w:hint="eastAsia" w:ascii="宋体" w:hAnsi="宋体" w:cs="宋体"/>
                <w:szCs w:val="21"/>
              </w:rPr>
            </w:pPr>
            <w:r>
              <w:rPr>
                <w:rFonts w:hint="eastAsia" w:ascii="宋体" w:hAnsi="宋体" w:cs="宋体"/>
                <w:szCs w:val="21"/>
              </w:rPr>
              <w:t>6、说明书、合格证、保修卡</w:t>
            </w:r>
            <w:r>
              <w:rPr>
                <w:rFonts w:hint="eastAsia" w:ascii="宋体" w:hAnsi="宋体" w:cs="宋体"/>
                <w:szCs w:val="21"/>
              </w:rPr>
              <w:tab/>
            </w:r>
            <w:r>
              <w:rPr>
                <w:rFonts w:hint="eastAsia" w:ascii="宋体" w:hAnsi="宋体" w:cs="宋体"/>
                <w:szCs w:val="21"/>
              </w:rPr>
              <w:t>1 套</w:t>
            </w:r>
          </w:p>
          <w:p w14:paraId="1DF04685">
            <w:pPr>
              <w:widowControl/>
              <w:adjustRightInd w:val="0"/>
              <w:snapToGrid w:val="0"/>
              <w:spacing w:line="400" w:lineRule="exact"/>
              <w:rPr>
                <w:rFonts w:hint="eastAsia" w:ascii="宋体" w:hAnsi="宋体" w:cs="宋体"/>
                <w:szCs w:val="21"/>
              </w:rPr>
            </w:pPr>
            <w:r>
              <w:rPr>
                <w:rFonts w:hint="eastAsia" w:ascii="宋体" w:hAnsi="宋体" w:cs="宋体"/>
                <w:szCs w:val="21"/>
              </w:rPr>
              <w:t>7、便携包（可选）</w:t>
            </w:r>
            <w:r>
              <w:rPr>
                <w:rFonts w:hint="eastAsia" w:ascii="宋体" w:hAnsi="宋体" w:cs="宋体"/>
                <w:szCs w:val="21"/>
              </w:rPr>
              <w:tab/>
            </w:r>
            <w:r>
              <w:rPr>
                <w:rFonts w:hint="eastAsia" w:ascii="宋体" w:hAnsi="宋体" w:cs="宋体"/>
                <w:szCs w:val="21"/>
              </w:rPr>
              <w:t>1 个</w:t>
            </w:r>
          </w:p>
          <w:p w14:paraId="6F3A07A1">
            <w:pPr>
              <w:widowControl/>
              <w:adjustRightInd w:val="0"/>
              <w:snapToGrid w:val="0"/>
              <w:spacing w:line="400" w:lineRule="exact"/>
              <w:rPr>
                <w:rFonts w:hint="eastAsia" w:ascii="宋体" w:hAnsi="宋体" w:cs="宋体"/>
                <w:szCs w:val="21"/>
              </w:rPr>
            </w:pPr>
            <w:r>
              <w:rPr>
                <w:rFonts w:hint="eastAsia" w:ascii="宋体" w:hAnsi="宋体" w:cs="宋体"/>
                <w:szCs w:val="21"/>
              </w:rPr>
              <w:t>四、投标人应提供所投产品的技术白皮书、彩页、检验报告等证明材料。</w:t>
            </w:r>
          </w:p>
          <w:p w14:paraId="05B085E4">
            <w:pPr>
              <w:widowControl/>
              <w:adjustRightInd w:val="0"/>
              <w:snapToGrid w:val="0"/>
              <w:spacing w:line="400" w:lineRule="exact"/>
              <w:rPr>
                <w:rFonts w:ascii="宋体" w:hAnsi="宋体" w:cs="宋体"/>
                <w:szCs w:val="21"/>
              </w:rPr>
            </w:pPr>
            <w:bookmarkStart w:id="10" w:name="OLE_LINK11"/>
            <w:r>
              <w:rPr>
                <w:rFonts w:hint="eastAsia" w:ascii="宋体" w:hAnsi="宋体" w:cs="宋体"/>
                <w:szCs w:val="21"/>
              </w:rPr>
              <w:t>▲</w:t>
            </w:r>
            <w:bookmarkEnd w:id="10"/>
            <w:r>
              <w:rPr>
                <w:rFonts w:hint="eastAsia" w:ascii="宋体" w:hAnsi="宋体" w:cs="宋体"/>
                <w:szCs w:val="21"/>
                <w:lang w:val="en-US" w:eastAsia="zh-CN"/>
              </w:rPr>
              <w:t>五</w:t>
            </w:r>
            <w:r>
              <w:rPr>
                <w:rFonts w:hint="eastAsia" w:ascii="宋体" w:hAnsi="宋体" w:cs="宋体"/>
                <w:szCs w:val="21"/>
              </w:rPr>
              <w:t>、产品必须为近一年内生产的产品。</w:t>
            </w:r>
          </w:p>
          <w:p w14:paraId="46238A78">
            <w:pPr>
              <w:tabs>
                <w:tab w:val="left" w:pos="180"/>
                <w:tab w:val="left" w:pos="1620"/>
              </w:tabs>
              <w:spacing w:line="320" w:lineRule="atLeast"/>
              <w:ind w:firstLine="210" w:firstLineChars="100"/>
              <w:jc w:val="left"/>
            </w:pPr>
          </w:p>
        </w:tc>
      </w:tr>
      <w:tr w14:paraId="05A4D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588194F5">
            <w:pPr>
              <w:widowControl/>
              <w:adjustRightInd w:val="0"/>
              <w:snapToGrid w:val="0"/>
              <w:jc w:val="center"/>
            </w:pPr>
            <w:r>
              <w:rPr>
                <w:rFonts w:hint="eastAsia" w:ascii="黑体" w:hAnsi="黑体" w:eastAsia="黑体" w:cs="黑体"/>
                <w:sz w:val="28"/>
                <w:szCs w:val="28"/>
              </w:rPr>
              <w:t>商务要求参数</w:t>
            </w:r>
          </w:p>
        </w:tc>
      </w:tr>
      <w:tr w14:paraId="4C42B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334D4025">
            <w:pPr>
              <w:spacing w:line="400" w:lineRule="exact"/>
              <w:jc w:val="center"/>
              <w:rPr>
                <w:rFonts w:ascii="宋体" w:hAnsi="宋体"/>
                <w:b/>
                <w:bCs/>
                <w:color w:val="000000"/>
                <w:szCs w:val="21"/>
              </w:rPr>
            </w:pPr>
            <w:r>
              <w:rPr>
                <w:rFonts w:hint="eastAsia" w:ascii="宋体" w:hAnsi="宋体" w:cs="宋体"/>
                <w:szCs w:val="21"/>
              </w:rPr>
              <w:t>▲</w:t>
            </w:r>
            <w:r>
              <w:rPr>
                <w:rFonts w:hint="eastAsia" w:ascii="宋体" w:hAnsi="宋体" w:cs="宋体"/>
                <w:b/>
                <w:bCs/>
                <w:color w:val="000000"/>
                <w:szCs w:val="21"/>
              </w:rPr>
              <w:t>供应商资质要求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3B5EC1DC">
            <w:pPr>
              <w:widowControl/>
              <w:adjustRightInd w:val="0"/>
              <w:snapToGrid w:val="0"/>
              <w:spacing w:line="400" w:lineRule="exact"/>
              <w:rPr>
                <w:rFonts w:ascii="宋体" w:hAnsi="宋体" w:cs="宋体"/>
                <w:b/>
                <w:bCs/>
                <w:szCs w:val="21"/>
              </w:rPr>
            </w:pPr>
            <w:r>
              <w:rPr>
                <w:rFonts w:hint="eastAsia" w:ascii="宋体" w:hAnsi="宋体" w:cs="宋体"/>
                <w:b/>
                <w:bCs/>
                <w:szCs w:val="21"/>
              </w:rPr>
              <w:t>1.符合政府采购法第二十二条规定的条件，提供下列材料:</w:t>
            </w:r>
          </w:p>
          <w:p w14:paraId="7920E368">
            <w:pPr>
              <w:widowControl/>
              <w:adjustRightInd w:val="0"/>
              <w:snapToGrid w:val="0"/>
              <w:spacing w:line="400" w:lineRule="exact"/>
              <w:rPr>
                <w:rFonts w:ascii="宋体" w:hAnsi="宋体" w:cs="宋体"/>
                <w:szCs w:val="21"/>
              </w:rPr>
            </w:pPr>
            <w:r>
              <w:rPr>
                <w:rFonts w:hint="eastAsia" w:ascii="宋体" w:hAnsi="宋体" w:cs="宋体"/>
                <w:szCs w:val="21"/>
              </w:rPr>
              <w:t>(1)法人或者其他组织的营业执照等证明文件，自然人的身份证明；</w:t>
            </w:r>
          </w:p>
          <w:p w14:paraId="6D45632F">
            <w:pPr>
              <w:widowControl/>
              <w:adjustRightInd w:val="0"/>
              <w:snapToGrid w:val="0"/>
              <w:spacing w:line="400" w:lineRule="exact"/>
              <w:rPr>
                <w:rFonts w:ascii="宋体" w:hAnsi="宋体" w:cs="宋体"/>
                <w:szCs w:val="21"/>
              </w:rPr>
            </w:pPr>
            <w:r>
              <w:rPr>
                <w:rFonts w:hint="eastAsia" w:ascii="宋体" w:hAnsi="宋体" w:cs="宋体"/>
                <w:szCs w:val="21"/>
              </w:rPr>
              <w:t>(2)财务状况报告，依法缴纳税收和社会保障资金的相关材料；</w:t>
            </w:r>
          </w:p>
          <w:p w14:paraId="6A600EAA">
            <w:pPr>
              <w:widowControl/>
              <w:adjustRightInd w:val="0"/>
              <w:snapToGrid w:val="0"/>
              <w:spacing w:line="400" w:lineRule="exact"/>
              <w:rPr>
                <w:rFonts w:ascii="宋体" w:hAnsi="宋体" w:cs="宋体"/>
                <w:szCs w:val="21"/>
              </w:rPr>
            </w:pPr>
            <w:r>
              <w:rPr>
                <w:rFonts w:hint="eastAsia" w:ascii="宋体" w:hAnsi="宋体" w:cs="宋体"/>
                <w:szCs w:val="21"/>
              </w:rPr>
              <w:t>(3)具备履行合同所必需的设备和专业技术能力的证明材料；</w:t>
            </w:r>
          </w:p>
          <w:p w14:paraId="7F5FEF37">
            <w:pPr>
              <w:widowControl/>
              <w:adjustRightInd w:val="0"/>
              <w:snapToGrid w:val="0"/>
              <w:spacing w:line="400" w:lineRule="exact"/>
              <w:rPr>
                <w:rFonts w:ascii="宋体" w:hAnsi="宋体" w:cs="宋体"/>
                <w:szCs w:val="21"/>
              </w:rPr>
            </w:pPr>
            <w:r>
              <w:rPr>
                <w:rFonts w:hint="eastAsia" w:ascii="宋体" w:hAnsi="宋体" w:cs="宋体"/>
                <w:szCs w:val="21"/>
              </w:rPr>
              <w:t>(4)参加政府采购活动前3年内在经营活动中没有重大违法记录的书面声明和失信行为的证明；</w:t>
            </w:r>
          </w:p>
          <w:p w14:paraId="7351BF0C">
            <w:pPr>
              <w:widowControl/>
              <w:adjustRightInd w:val="0"/>
              <w:snapToGrid w:val="0"/>
              <w:spacing w:line="400" w:lineRule="exact"/>
              <w:rPr>
                <w:rFonts w:ascii="宋体" w:hAnsi="宋体" w:cs="宋体"/>
                <w:b/>
                <w:bCs/>
                <w:szCs w:val="21"/>
              </w:rPr>
            </w:pPr>
            <w:r>
              <w:rPr>
                <w:rFonts w:hint="eastAsia" w:ascii="宋体" w:hAnsi="宋体" w:cs="宋体"/>
                <w:b/>
                <w:bCs/>
                <w:szCs w:val="21"/>
              </w:rPr>
              <w:t>2.本项目特定要求：</w:t>
            </w:r>
          </w:p>
          <w:p w14:paraId="32C42F59">
            <w:pPr>
              <w:widowControl/>
              <w:adjustRightInd w:val="0"/>
              <w:snapToGrid w:val="0"/>
              <w:spacing w:line="400" w:lineRule="exact"/>
              <w:rPr>
                <w:rFonts w:ascii="宋体" w:hAnsi="宋体" w:cs="宋体"/>
                <w:b/>
                <w:bCs/>
                <w:szCs w:val="21"/>
              </w:rPr>
            </w:pPr>
            <w:r>
              <w:rPr>
                <w:rFonts w:hint="eastAsia" w:ascii="宋体" w:hAnsi="宋体" w:cs="宋体"/>
                <w:b/>
                <w:bCs/>
                <w:szCs w:val="21"/>
              </w:rPr>
              <w:t>（1）</w:t>
            </w:r>
            <w:r>
              <w:rPr>
                <w:rFonts w:ascii="宋体" w:hAnsi="宋体" w:cs="宋体"/>
                <w:szCs w:val="21"/>
              </w:rPr>
              <w:t>投标人按《医疗器械监督管理条例》（国务院令第739 号）医疗器械分类管理要求具备有效的医疗器械经营备案凭证或者经营许可证</w:t>
            </w:r>
            <w:r>
              <w:rPr>
                <w:rFonts w:hint="eastAsia" w:ascii="宋体" w:hAnsi="宋体" w:cs="宋体"/>
                <w:szCs w:val="21"/>
              </w:rPr>
              <w:t>；相关设备需通过现行医用电气设备安全通用要求认证。</w:t>
            </w:r>
            <w:r>
              <w:rPr>
                <w:rFonts w:hint="eastAsia" w:ascii="宋体" w:hAnsi="宋体" w:cs="宋体"/>
                <w:b/>
                <w:bCs/>
                <w:szCs w:val="21"/>
              </w:rPr>
              <w:t>（提供</w:t>
            </w:r>
            <w:r>
              <w:rPr>
                <w:rFonts w:ascii="宋体" w:hAnsi="宋体" w:cs="宋体"/>
                <w:b/>
                <w:bCs/>
                <w:szCs w:val="21"/>
              </w:rPr>
              <w:t>医疗器械经营备案凭证或者经营许可证</w:t>
            </w:r>
            <w:r>
              <w:rPr>
                <w:rFonts w:hint="eastAsia" w:ascii="宋体" w:hAnsi="宋体" w:cs="宋体"/>
                <w:b/>
                <w:bCs/>
                <w:szCs w:val="21"/>
              </w:rPr>
              <w:t>复印件）</w:t>
            </w:r>
          </w:p>
          <w:p w14:paraId="0EC096FC">
            <w:pPr>
              <w:widowControl/>
              <w:adjustRightInd w:val="0"/>
              <w:snapToGrid w:val="0"/>
              <w:spacing w:line="400" w:lineRule="exact"/>
              <w:rPr>
                <w:rFonts w:ascii="宋体" w:hAnsi="宋体" w:cs="宋体"/>
                <w:szCs w:val="21"/>
              </w:rPr>
            </w:pPr>
            <w:r>
              <w:rPr>
                <w:rFonts w:ascii="宋体" w:hAnsi="宋体" w:cs="宋体"/>
                <w:szCs w:val="21"/>
              </w:rPr>
              <w:t>（2）经营范围必须包含采购标的</w:t>
            </w:r>
            <w:r>
              <w:rPr>
                <w:rFonts w:hint="eastAsia" w:ascii="宋体" w:hAnsi="宋体" w:cs="宋体"/>
                <w:szCs w:val="21"/>
              </w:rPr>
              <w:t>（</w:t>
            </w:r>
            <w:r>
              <w:rPr>
                <w:rFonts w:ascii="宋体" w:hAnsi="宋体" w:cs="宋体"/>
                <w:szCs w:val="21"/>
              </w:rPr>
              <w:t>符合《医疗器械监督管理条例》（国务院令第 739 号）第四十一第二款规定的除外</w:t>
            </w:r>
            <w:r>
              <w:rPr>
                <w:rFonts w:hint="eastAsia" w:ascii="宋体" w:hAnsi="宋体" w:cs="宋体"/>
                <w:szCs w:val="21"/>
              </w:rPr>
              <w:t>）</w:t>
            </w:r>
            <w:r>
              <w:rPr>
                <w:rFonts w:ascii="宋体" w:hAnsi="宋体" w:cs="宋体"/>
                <w:szCs w:val="21"/>
              </w:rPr>
              <w:t>；或者供应商符合《医疗器械监督管理条例》（国务院令第 739 号）第四十三条规定的，应具备与采购标的对应的医疗器械注册或者备案凭证。</w:t>
            </w:r>
          </w:p>
          <w:p w14:paraId="209140B7">
            <w:pPr>
              <w:widowControl/>
              <w:adjustRightInd w:val="0"/>
              <w:snapToGrid w:val="0"/>
              <w:spacing w:line="400" w:lineRule="exact"/>
              <w:rPr>
                <w:rFonts w:ascii="宋体" w:hAnsi="宋体" w:cs="宋体"/>
                <w:b/>
                <w:bCs/>
                <w:szCs w:val="21"/>
              </w:rPr>
            </w:pPr>
            <w:r>
              <w:rPr>
                <w:rFonts w:hint="eastAsia" w:ascii="宋体" w:hAnsi="宋体" w:cs="宋体"/>
                <w:b/>
                <w:bCs/>
                <w:szCs w:val="21"/>
              </w:rPr>
              <w:t>（3）</w:t>
            </w:r>
            <w:r>
              <w:rPr>
                <w:rFonts w:hint="eastAsia" w:ascii="宋体" w:hAnsi="宋体" w:cs="宋体"/>
                <w:szCs w:val="21"/>
              </w:rPr>
              <w:t>已获得标的货物的销售代理授权</w:t>
            </w:r>
            <w:r>
              <w:rPr>
                <w:rFonts w:hint="eastAsia" w:ascii="宋体" w:hAnsi="宋体" w:cs="宋体"/>
                <w:b/>
                <w:bCs/>
                <w:szCs w:val="21"/>
              </w:rPr>
              <w:t>（提供设备生产厂家代理销售授权书或授权函复印件）</w:t>
            </w:r>
            <w:r>
              <w:rPr>
                <w:rFonts w:ascii="宋体" w:hAnsi="宋体" w:cs="宋体"/>
                <w:szCs w:val="21"/>
              </w:rPr>
              <w:t>。</w:t>
            </w:r>
          </w:p>
          <w:p w14:paraId="42391106">
            <w:pPr>
              <w:widowControl/>
              <w:adjustRightInd w:val="0"/>
              <w:snapToGrid w:val="0"/>
              <w:spacing w:line="400" w:lineRule="exact"/>
              <w:rPr>
                <w:rFonts w:ascii="宋体" w:hAnsi="宋体" w:cs="宋体"/>
                <w:szCs w:val="21"/>
              </w:rPr>
            </w:pPr>
            <w:r>
              <w:rPr>
                <w:rFonts w:hint="eastAsia" w:ascii="宋体" w:hAnsi="宋体" w:cs="宋体"/>
                <w:b/>
                <w:bCs/>
                <w:szCs w:val="21"/>
              </w:rPr>
              <w:t>3.是否接收联合体投标：</w:t>
            </w:r>
            <w:r>
              <w:rPr>
                <w:rFonts w:hint="eastAsia" w:ascii="宋体" w:hAnsi="宋体" w:cs="宋体"/>
                <w:szCs w:val="21"/>
              </w:rPr>
              <w:t>□是   ☑否</w:t>
            </w:r>
          </w:p>
          <w:p w14:paraId="00DB4749">
            <w:pPr>
              <w:widowControl/>
              <w:adjustRightInd w:val="0"/>
              <w:snapToGrid w:val="0"/>
              <w:spacing w:line="400" w:lineRule="exact"/>
              <w:rPr>
                <w:rFonts w:ascii="宋体" w:hAnsi="宋体" w:cs="宋体"/>
                <w:szCs w:val="21"/>
              </w:rPr>
            </w:pPr>
            <w:r>
              <w:rPr>
                <w:rFonts w:hint="eastAsia" w:ascii="宋体" w:hAnsi="宋体" w:cs="宋体"/>
                <w:b/>
                <w:bCs/>
                <w:szCs w:val="21"/>
              </w:rPr>
              <w:t>4.是否面向中小微企业预留份额</w:t>
            </w:r>
            <w:r>
              <w:rPr>
                <w:rFonts w:hint="eastAsia" w:ascii="宋体" w:hAnsi="宋体" w:cs="宋体"/>
                <w:szCs w:val="21"/>
              </w:rPr>
              <w:t>：☑是   □否</w:t>
            </w:r>
          </w:p>
          <w:p w14:paraId="3A043DE8">
            <w:pPr>
              <w:rPr>
                <w:rFonts w:ascii="宋体" w:hAnsi="宋体"/>
                <w:b/>
                <w:color w:val="000000"/>
                <w:szCs w:val="21"/>
              </w:rPr>
            </w:pPr>
            <w:r>
              <w:rPr>
                <w:rFonts w:hint="eastAsia" w:ascii="宋体" w:hAnsi="宋体" w:cs="宋体"/>
                <w:szCs w:val="21"/>
              </w:rPr>
              <w:t>5.是否允许分包/转包：□是   ☑否</w:t>
            </w:r>
          </w:p>
        </w:tc>
      </w:tr>
      <w:tr w14:paraId="1DE4E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3BDF5B8E">
            <w:pPr>
              <w:spacing w:line="400" w:lineRule="exact"/>
              <w:jc w:val="center"/>
              <w:rPr>
                <w:rFonts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交货地点</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7AFE5F18">
            <w:pPr>
              <w:spacing w:line="400" w:lineRule="exact"/>
              <w:rPr>
                <w:rFonts w:ascii="宋体" w:hAnsi="宋体"/>
                <w:szCs w:val="21"/>
              </w:rPr>
            </w:pPr>
            <w:r>
              <w:rPr>
                <w:rFonts w:hint="eastAsia" w:ascii="宋体" w:hAnsi="宋体"/>
                <w:szCs w:val="21"/>
              </w:rPr>
              <w:t xml:space="preserve"> 采购人指定地点：</w:t>
            </w:r>
            <w:r>
              <w:rPr>
                <w:rFonts w:hint="eastAsia" w:ascii="宋体" w:hAnsi="宋体"/>
                <w:szCs w:val="21"/>
                <w:u w:val="single"/>
              </w:rPr>
              <w:t>南宁市新民路32号广西骨伤医院</w:t>
            </w:r>
          </w:p>
        </w:tc>
      </w:tr>
      <w:tr w14:paraId="6A32C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4F9B05A0">
            <w:pPr>
              <w:spacing w:line="400" w:lineRule="exact"/>
              <w:jc w:val="center"/>
              <w:rPr>
                <w:rFonts w:ascii="宋体" w:hAnsi="宋体" w:cs="宋体"/>
                <w:b/>
                <w:bCs/>
                <w:color w:val="000000"/>
                <w:szCs w:val="21"/>
              </w:rPr>
            </w:pPr>
            <w:r>
              <w:rPr>
                <w:rFonts w:hint="eastAsia" w:ascii="宋体" w:hAnsi="宋体" w:cs="宋体"/>
                <w:b/>
                <w:bCs/>
                <w:color w:val="000000"/>
                <w:szCs w:val="21"/>
              </w:rPr>
              <w:t>合同签订期限</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6D6360D4">
            <w:pPr>
              <w:spacing w:line="400" w:lineRule="exact"/>
              <w:rPr>
                <w:rFonts w:ascii="宋体" w:hAnsi="宋体"/>
                <w:szCs w:val="21"/>
              </w:rPr>
            </w:pPr>
            <w:r>
              <w:rPr>
                <w:rFonts w:hint="eastAsia" w:ascii="宋体" w:hAnsi="宋体"/>
                <w:szCs w:val="21"/>
              </w:rPr>
              <w:t>自成交通知发出之日起</w:t>
            </w:r>
            <w:r>
              <w:rPr>
                <w:rFonts w:hint="eastAsia" w:ascii="宋体" w:hAnsi="宋体"/>
                <w:szCs w:val="21"/>
                <w:u w:val="single"/>
              </w:rPr>
              <w:t xml:space="preserve"> 5 </w:t>
            </w:r>
            <w:r>
              <w:rPr>
                <w:rFonts w:hint="eastAsia" w:ascii="宋体" w:hAnsi="宋体"/>
                <w:szCs w:val="21"/>
              </w:rPr>
              <w:t>个工作日，逾期未签订合同视为放弃中标资格。</w:t>
            </w:r>
          </w:p>
        </w:tc>
      </w:tr>
      <w:tr w14:paraId="0495EE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291156B9">
            <w:pPr>
              <w:spacing w:line="400" w:lineRule="exact"/>
              <w:jc w:val="center"/>
              <w:rPr>
                <w:rFonts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到货时间</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1CD99A24">
            <w:pPr>
              <w:spacing w:line="400" w:lineRule="exact"/>
              <w:rPr>
                <w:rFonts w:ascii="宋体" w:hAnsi="宋体"/>
                <w:szCs w:val="21"/>
              </w:rPr>
            </w:pPr>
            <w:r>
              <w:rPr>
                <w:rFonts w:ascii="宋体" w:hAnsi="宋体" w:cs="宋体"/>
                <w:szCs w:val="21"/>
              </w:rPr>
              <w:t>合同签订生效后，经采购人与中标供应商确认具备安装条件后</w:t>
            </w:r>
            <w:r>
              <w:rPr>
                <w:rFonts w:hint="eastAsia" w:ascii="宋体" w:hAnsi="宋体" w:cs="宋体"/>
                <w:szCs w:val="21"/>
                <w:u w:val="single"/>
              </w:rPr>
              <w:t>7</w:t>
            </w:r>
            <w:r>
              <w:rPr>
                <w:rFonts w:hint="eastAsia" w:ascii="宋体" w:hAnsi="宋体"/>
                <w:szCs w:val="21"/>
                <w:u w:val="single"/>
              </w:rPr>
              <w:t>日历</w:t>
            </w:r>
            <w:r>
              <w:rPr>
                <w:rFonts w:ascii="宋体" w:hAnsi="宋体" w:cs="宋体"/>
                <w:szCs w:val="21"/>
              </w:rPr>
              <w:t>天内</w:t>
            </w:r>
            <w:r>
              <w:rPr>
                <w:rFonts w:hint="eastAsia" w:ascii="宋体" w:hAnsi="宋体" w:cs="宋体"/>
                <w:szCs w:val="21"/>
              </w:rPr>
              <w:t>完成供货。</w:t>
            </w:r>
          </w:p>
        </w:tc>
      </w:tr>
      <w:tr w14:paraId="3DA540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3E7A05B7">
            <w:pPr>
              <w:spacing w:line="400" w:lineRule="exact"/>
              <w:jc w:val="center"/>
              <w:rPr>
                <w:b/>
                <w:bCs/>
                <w:color w:val="000000"/>
                <w:szCs w:val="21"/>
              </w:rPr>
            </w:pPr>
            <w:r>
              <w:rPr>
                <w:rFonts w:hint="eastAsia" w:ascii="宋体" w:hAnsi="宋体" w:cs="宋体"/>
                <w:szCs w:val="21"/>
              </w:rPr>
              <w:t>▲</w:t>
            </w:r>
            <w:r>
              <w:rPr>
                <w:b/>
                <w:bCs/>
                <w:color w:val="000000"/>
                <w:szCs w:val="21"/>
              </w:rPr>
              <w:t>报价要求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8371FBA">
            <w:pPr>
              <w:wordWrap w:val="0"/>
              <w:topLinePunct/>
              <w:snapToGrid w:val="0"/>
              <w:spacing w:line="400" w:lineRule="exact"/>
              <w:rPr>
                <w:rFonts w:ascii="黑体" w:hAnsi="黑体" w:eastAsia="黑体" w:cs="黑体"/>
                <w:b/>
                <w:bCs/>
                <w:szCs w:val="21"/>
              </w:rPr>
            </w:pPr>
            <w:r>
              <w:rPr>
                <w:rFonts w:hint="eastAsia" w:ascii="黑体" w:hAnsi="黑体" w:eastAsia="黑体" w:cs="黑体"/>
                <w:b/>
                <w:bCs/>
                <w:szCs w:val="21"/>
              </w:rPr>
              <w:t>1.设备报价：</w:t>
            </w:r>
          </w:p>
          <w:p w14:paraId="0167C914">
            <w:pPr>
              <w:wordWrap w:val="0"/>
              <w:topLinePunct/>
              <w:snapToGrid w:val="0"/>
              <w:spacing w:line="400" w:lineRule="exact"/>
              <w:rPr>
                <w:rFonts w:ascii="宋体" w:hAnsi="宋体" w:cs="宋体"/>
                <w:szCs w:val="21"/>
              </w:rPr>
            </w:pPr>
            <w:r>
              <w:rPr>
                <w:rFonts w:hint="eastAsia" w:ascii="宋体" w:hAnsi="宋体" w:cs="宋体"/>
                <w:szCs w:val="21"/>
              </w:rPr>
              <w:t>设备报价按一口价全包价报价，报价必须含以下部分，包括，但不限于：</w:t>
            </w:r>
          </w:p>
          <w:p w14:paraId="7AF06F38">
            <w:pPr>
              <w:wordWrap w:val="0"/>
              <w:topLinePunct/>
              <w:snapToGrid w:val="0"/>
              <w:spacing w:line="400" w:lineRule="exact"/>
              <w:rPr>
                <w:rFonts w:ascii="宋体" w:hAnsi="宋体" w:cs="宋体"/>
                <w:szCs w:val="21"/>
              </w:rPr>
            </w:pPr>
            <w:r>
              <w:rPr>
                <w:rFonts w:hint="eastAsia" w:ascii="宋体" w:hAnsi="宋体" w:cs="宋体"/>
                <w:szCs w:val="21"/>
              </w:rPr>
              <w:t>（1）货物的价格；</w:t>
            </w:r>
          </w:p>
          <w:p w14:paraId="0E176690">
            <w:pPr>
              <w:wordWrap w:val="0"/>
              <w:topLinePunct/>
              <w:snapToGrid w:val="0"/>
              <w:spacing w:line="400" w:lineRule="exact"/>
              <w:rPr>
                <w:rFonts w:ascii="宋体" w:hAnsi="宋体" w:cs="宋体"/>
                <w:szCs w:val="21"/>
              </w:rPr>
            </w:pPr>
            <w:r>
              <w:rPr>
                <w:rFonts w:hint="eastAsia" w:ascii="宋体" w:hAnsi="宋体" w:cs="宋体"/>
                <w:szCs w:val="21"/>
              </w:rPr>
              <w:t>（2）货物的标准附件、备品备件、专用工具的价格；</w:t>
            </w:r>
          </w:p>
          <w:p w14:paraId="43923CA5">
            <w:pPr>
              <w:wordWrap w:val="0"/>
              <w:topLinePunct/>
              <w:snapToGrid w:val="0"/>
              <w:spacing w:line="400" w:lineRule="exact"/>
              <w:rPr>
                <w:rFonts w:ascii="宋体" w:hAnsi="宋体" w:cs="宋体"/>
                <w:szCs w:val="21"/>
              </w:rPr>
            </w:pPr>
            <w:r>
              <w:rPr>
                <w:rFonts w:hint="eastAsia" w:ascii="宋体" w:hAnsi="宋体" w:cs="宋体"/>
                <w:szCs w:val="21"/>
              </w:rPr>
              <w:t>（3）运输、送货上门、调试、培训、技术支持、售后服务、验收等费用；</w:t>
            </w:r>
          </w:p>
          <w:p w14:paraId="47271B6F">
            <w:pPr>
              <w:wordWrap w:val="0"/>
              <w:topLinePunct/>
              <w:snapToGrid w:val="0"/>
              <w:spacing w:line="400" w:lineRule="exact"/>
              <w:rPr>
                <w:rFonts w:ascii="宋体" w:hAnsi="宋体" w:cs="宋体"/>
                <w:szCs w:val="21"/>
              </w:rPr>
            </w:pPr>
            <w:r>
              <w:rPr>
                <w:rFonts w:hint="eastAsia" w:ascii="宋体" w:hAnsi="宋体" w:cs="宋体"/>
                <w:szCs w:val="21"/>
              </w:rPr>
              <w:t>（4）必要的保险费用和各项税费；</w:t>
            </w:r>
          </w:p>
          <w:p w14:paraId="6AA8655F">
            <w:pPr>
              <w:wordWrap w:val="0"/>
              <w:topLinePunct/>
              <w:snapToGrid w:val="0"/>
              <w:spacing w:line="400" w:lineRule="exact"/>
              <w:rPr>
                <w:rFonts w:ascii="宋体" w:hAnsi="宋体" w:cs="宋体"/>
                <w:szCs w:val="21"/>
              </w:rPr>
            </w:pPr>
            <w:r>
              <w:rPr>
                <w:rFonts w:hint="eastAsia" w:ascii="宋体" w:hAnsi="宋体" w:cs="宋体"/>
                <w:szCs w:val="21"/>
              </w:rPr>
              <w:t>（5）安装费用等所有费用，包括拆除、回收旧件等，除另有约定外，甲方不再支付额外费用。</w:t>
            </w:r>
          </w:p>
          <w:p w14:paraId="0E0BC66F">
            <w:pPr>
              <w:wordWrap w:val="0"/>
              <w:topLinePunct/>
              <w:snapToGrid w:val="0"/>
              <w:spacing w:line="400" w:lineRule="exact"/>
              <w:rPr>
                <w:rFonts w:ascii="宋体" w:hAnsi="宋体" w:cs="宋体"/>
                <w:szCs w:val="21"/>
              </w:rPr>
            </w:pPr>
            <w:r>
              <w:rPr>
                <w:rFonts w:hint="eastAsia" w:ascii="黑体" w:hAnsi="黑体" w:eastAsia="黑体" w:cs="黑体"/>
                <w:b/>
                <w:bCs/>
                <w:szCs w:val="21"/>
              </w:rPr>
              <w:t>2.</w:t>
            </w:r>
            <w:r>
              <w:rPr>
                <w:rFonts w:ascii="黑体" w:hAnsi="黑体" w:eastAsia="黑体" w:cs="黑体"/>
                <w:b/>
                <w:bCs/>
                <w:szCs w:val="21"/>
              </w:rPr>
              <w:t>报价必须含以下部分：</w:t>
            </w:r>
            <w:r>
              <w:rPr>
                <w:rFonts w:ascii="宋体" w:hAnsi="宋体" w:cs="宋体"/>
                <w:szCs w:val="21"/>
              </w:rPr>
              <w:t xml:space="preserve"> </w:t>
            </w:r>
          </w:p>
          <w:p w14:paraId="73B7828D">
            <w:pPr>
              <w:wordWrap w:val="0"/>
              <w:topLinePunct/>
              <w:snapToGrid w:val="0"/>
              <w:spacing w:line="400" w:lineRule="exact"/>
              <w:rPr>
                <w:rFonts w:ascii="宋体" w:hAnsi="宋体" w:cs="宋体"/>
                <w:szCs w:val="21"/>
              </w:rPr>
            </w:pPr>
            <w:r>
              <w:rPr>
                <w:rFonts w:ascii="宋体" w:hAnsi="宋体" w:cs="宋体"/>
                <w:szCs w:val="21"/>
              </w:rPr>
              <w:t xml:space="preserve">①货物、服务费用； </w:t>
            </w:r>
          </w:p>
          <w:p w14:paraId="7384C823">
            <w:pPr>
              <w:wordWrap w:val="0"/>
              <w:topLinePunct/>
              <w:snapToGrid w:val="0"/>
              <w:spacing w:line="400" w:lineRule="exact"/>
              <w:rPr>
                <w:rFonts w:ascii="宋体" w:hAnsi="宋体" w:cs="宋体"/>
                <w:szCs w:val="21"/>
              </w:rPr>
            </w:pPr>
            <w:r>
              <w:rPr>
                <w:rFonts w:ascii="宋体" w:hAnsi="宋体" w:cs="宋体"/>
                <w:szCs w:val="21"/>
              </w:rPr>
              <w:t xml:space="preserve">②报价需包含必要的保险费用和各项税金费用； </w:t>
            </w:r>
          </w:p>
          <w:p w14:paraId="783EA317">
            <w:pPr>
              <w:wordWrap w:val="0"/>
              <w:topLinePunct/>
              <w:snapToGrid w:val="0"/>
              <w:spacing w:line="400" w:lineRule="exact"/>
              <w:rPr>
                <w:rFonts w:ascii="宋体" w:hAnsi="宋体" w:cs="宋体"/>
                <w:szCs w:val="21"/>
              </w:rPr>
            </w:pPr>
            <w:r>
              <w:rPr>
                <w:rFonts w:ascii="宋体" w:hAnsi="宋体" w:cs="宋体"/>
                <w:szCs w:val="21"/>
              </w:rPr>
              <w:t xml:space="preserve">③报价需包含包装、运输、仓储、配送、搬运、检验检测、售后服务等相关费用。 </w:t>
            </w:r>
          </w:p>
          <w:p w14:paraId="70C419E7">
            <w:pPr>
              <w:wordWrap w:val="0"/>
              <w:topLinePunct/>
              <w:snapToGrid w:val="0"/>
              <w:spacing w:line="400" w:lineRule="exact"/>
              <w:rPr>
                <w:rFonts w:ascii="宋体" w:hAnsi="宋体" w:cs="宋体"/>
                <w:szCs w:val="21"/>
              </w:rPr>
            </w:pPr>
            <w:r>
              <w:rPr>
                <w:rFonts w:ascii="宋体" w:hAnsi="宋体" w:cs="宋体"/>
                <w:szCs w:val="21"/>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0D2592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5D9EF3A7">
            <w:pPr>
              <w:spacing w:line="400" w:lineRule="exact"/>
              <w:jc w:val="center"/>
              <w:rPr>
                <w:rFonts w:ascii="宋体" w:hAnsi="宋体" w:cs="宋体"/>
                <w:b/>
                <w:szCs w:val="21"/>
              </w:rPr>
            </w:pPr>
            <w:r>
              <w:rPr>
                <w:rFonts w:hint="eastAsia" w:ascii="宋体" w:hAnsi="宋体" w:cs="宋体"/>
                <w:szCs w:val="21"/>
              </w:rPr>
              <w:t>▲</w:t>
            </w:r>
            <w:r>
              <w:rPr>
                <w:rFonts w:hint="eastAsia" w:ascii="宋体" w:hAnsi="宋体" w:cs="宋体"/>
                <w:b/>
                <w:szCs w:val="21"/>
              </w:rPr>
              <w:t>质保期</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9397745">
            <w:pPr>
              <w:spacing w:line="400" w:lineRule="exact"/>
              <w:jc w:val="left"/>
              <w:rPr>
                <w:rFonts w:ascii="宋体" w:hAnsi="宋体" w:cs="宋体"/>
                <w:szCs w:val="21"/>
              </w:rPr>
            </w:pPr>
            <w:r>
              <w:rPr>
                <w:rFonts w:hint="eastAsia" w:ascii="宋体" w:hAnsi="宋体" w:cs="宋体"/>
                <w:b/>
                <w:bCs/>
                <w:szCs w:val="21"/>
              </w:rPr>
              <w:t>质保期</w:t>
            </w:r>
            <w:r>
              <w:rPr>
                <w:rFonts w:hint="eastAsia" w:ascii="宋体" w:hAnsi="宋体" w:cs="宋体"/>
                <w:szCs w:val="21"/>
              </w:rPr>
              <w:t>：整机保修≥2年，</w:t>
            </w:r>
            <w:r>
              <w:rPr>
                <w:rFonts w:hint="eastAsia"/>
                <w:spacing w:val="11"/>
              </w:rPr>
              <w:t>手柄保修 ≥1 年，保修期内免费维修</w:t>
            </w:r>
            <w:r>
              <w:rPr>
                <w:rFonts w:hint="eastAsia" w:ascii="宋体" w:hAnsi="宋体" w:cs="宋体"/>
                <w:szCs w:val="21"/>
              </w:rPr>
              <w:t>。</w:t>
            </w:r>
          </w:p>
          <w:p w14:paraId="3AA8F7E2">
            <w:pPr>
              <w:spacing w:line="400" w:lineRule="exact"/>
              <w:jc w:val="left"/>
              <w:rPr>
                <w:rFonts w:ascii="宋体" w:hAnsi="宋体" w:cs="宋体"/>
                <w:szCs w:val="21"/>
              </w:rPr>
            </w:pPr>
            <w:r>
              <w:rPr>
                <w:rFonts w:hint="eastAsia" w:ascii="宋体" w:hAnsi="宋体" w:cs="宋体"/>
                <w:b/>
                <w:bCs/>
                <w:szCs w:val="21"/>
              </w:rPr>
              <w:t>质保范围</w:t>
            </w:r>
            <w:r>
              <w:rPr>
                <w:rFonts w:hint="eastAsia" w:ascii="宋体" w:hAnsi="宋体" w:cs="宋体"/>
                <w:szCs w:val="21"/>
              </w:rPr>
              <w:t>：质保期内保证设备的合法性使用，质保期内的质量责任由中标供应商承担；因设备质量造成的安全事故由中标供应商承担；质保期内货物故障由中标供应商负责更换新件。</w:t>
            </w:r>
          </w:p>
          <w:p w14:paraId="1BAAC618">
            <w:pPr>
              <w:spacing w:line="400" w:lineRule="exact"/>
              <w:jc w:val="left"/>
              <w:rPr>
                <w:rFonts w:ascii="宋体" w:hAnsi="宋体" w:cs="宋体"/>
                <w:szCs w:val="21"/>
              </w:rPr>
            </w:pPr>
            <w:r>
              <w:rPr>
                <w:rFonts w:hint="eastAsia" w:ascii="宋体" w:hAnsi="宋体" w:cs="宋体"/>
                <w:b/>
                <w:bCs/>
                <w:szCs w:val="21"/>
              </w:rPr>
              <w:t>相关费用：</w:t>
            </w:r>
            <w:r>
              <w:rPr>
                <w:rFonts w:hint="eastAsia" w:ascii="宋体" w:hAnsi="宋体" w:cs="宋体"/>
                <w:szCs w:val="21"/>
              </w:rPr>
              <w:t>应包含在投标总价中。</w:t>
            </w:r>
          </w:p>
        </w:tc>
      </w:tr>
      <w:tr w14:paraId="02C8F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31C6A774">
            <w:pPr>
              <w:spacing w:line="400" w:lineRule="exact"/>
              <w:jc w:val="center"/>
              <w:rPr>
                <w:rFonts w:ascii="宋体" w:hAnsi="宋体" w:cs="宋体"/>
                <w:b/>
                <w:szCs w:val="21"/>
              </w:rPr>
            </w:pPr>
            <w:r>
              <w:rPr>
                <w:rFonts w:hint="eastAsia" w:ascii="宋体" w:hAnsi="宋体" w:cs="宋体"/>
                <w:b/>
                <w:szCs w:val="21"/>
              </w:rPr>
              <w:t>业绩要求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732F6C5C">
            <w:pPr>
              <w:spacing w:line="400" w:lineRule="exact"/>
              <w:jc w:val="left"/>
              <w:rPr>
                <w:rFonts w:ascii="宋体" w:hAnsi="宋体" w:cs="宋体"/>
                <w:szCs w:val="21"/>
              </w:rPr>
            </w:pPr>
            <w:r>
              <w:rPr>
                <w:rFonts w:hint="eastAsia" w:ascii="宋体" w:hAnsi="宋体" w:cs="宋体"/>
                <w:szCs w:val="21"/>
              </w:rPr>
              <w:t>近三年广西区内外有投标产品成交业绩。</w:t>
            </w:r>
          </w:p>
        </w:tc>
      </w:tr>
      <w:tr w14:paraId="43DE5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2674AA92">
            <w:pPr>
              <w:spacing w:line="400" w:lineRule="exact"/>
              <w:jc w:val="center"/>
              <w:rPr>
                <w:color w:val="000000"/>
                <w:szCs w:val="21"/>
              </w:rPr>
            </w:pPr>
            <w:r>
              <w:rPr>
                <w:rFonts w:hint="eastAsia" w:ascii="宋体" w:hAnsi="宋体" w:cs="宋体"/>
                <w:szCs w:val="21"/>
              </w:rPr>
              <w:t>▲</w:t>
            </w:r>
            <w:r>
              <w:rPr>
                <w:rFonts w:hint="eastAsia" w:ascii="宋体" w:hAnsi="宋体" w:cs="宋体"/>
                <w:b/>
                <w:szCs w:val="21"/>
              </w:rPr>
              <w:t>售后服务要求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5CFF3DED">
            <w:pPr>
              <w:spacing w:line="400" w:lineRule="exact"/>
              <w:jc w:val="left"/>
              <w:rPr>
                <w:rFonts w:ascii="宋体" w:hAnsi="宋体" w:cs="宋体"/>
                <w:b/>
                <w:bCs/>
                <w:szCs w:val="21"/>
              </w:rPr>
            </w:pPr>
            <w:r>
              <w:rPr>
                <w:rFonts w:hint="eastAsia" w:ascii="宋体" w:hAnsi="宋体" w:cs="宋体"/>
                <w:szCs w:val="21"/>
              </w:rPr>
              <w:t>1.交货验收合格之日起，按国家有关产品“三包”规定执行免费上门“三包”。</w:t>
            </w:r>
          </w:p>
          <w:p w14:paraId="76888036">
            <w:pPr>
              <w:spacing w:line="400" w:lineRule="exact"/>
              <w:jc w:val="left"/>
              <w:rPr>
                <w:rFonts w:ascii="宋体" w:hAnsi="宋体" w:cs="宋体"/>
                <w:szCs w:val="21"/>
              </w:rPr>
            </w:pPr>
            <w:r>
              <w:rPr>
                <w:rFonts w:hint="eastAsia" w:ascii="宋体" w:hAnsi="宋体" w:cs="宋体"/>
                <w:b/>
                <w:bCs/>
                <w:szCs w:val="21"/>
              </w:rPr>
              <w:t>2.服务响应时间</w:t>
            </w:r>
            <w:r>
              <w:rPr>
                <w:rFonts w:hint="eastAsia" w:ascii="宋体" w:hAnsi="宋体" w:cs="宋体"/>
                <w:szCs w:val="21"/>
              </w:rPr>
              <w:t>：7×24 小时提供服务。电话报修要求2 小时内响应，如果合同设备停机且需要现场服务，工程师将须 24 小时内到达维修现场。</w:t>
            </w:r>
          </w:p>
          <w:p w14:paraId="6FDE64CC">
            <w:pPr>
              <w:spacing w:line="400" w:lineRule="exact"/>
              <w:jc w:val="left"/>
              <w:rPr>
                <w:rFonts w:ascii="宋体" w:hAnsi="宋体" w:cs="宋体"/>
                <w:szCs w:val="21"/>
              </w:rPr>
            </w:pPr>
            <w:r>
              <w:rPr>
                <w:rFonts w:hint="eastAsia" w:ascii="宋体" w:hAnsi="宋体" w:cs="宋体"/>
                <w:b/>
                <w:bCs/>
                <w:szCs w:val="21"/>
              </w:rPr>
              <w:t>3.备品备件要求</w:t>
            </w:r>
            <w:r>
              <w:rPr>
                <w:rFonts w:hint="eastAsia" w:ascii="宋体" w:hAnsi="宋体" w:cs="宋体"/>
                <w:szCs w:val="21"/>
              </w:rPr>
              <w:t xml:space="preserve">：维修设备时更换问题部件，并负责备件的运输，具体包括：（1）提供保修所需的备件供应要及时、充足。 （2）备件必须满足该机型使用，保证安全稳定。（3）备件送达期限：国内＜2 天。 </w:t>
            </w:r>
          </w:p>
          <w:p w14:paraId="54F68014">
            <w:pPr>
              <w:spacing w:line="400" w:lineRule="exact"/>
              <w:jc w:val="left"/>
              <w:rPr>
                <w:rFonts w:ascii="宋体" w:hAnsi="宋体" w:cs="宋体"/>
                <w:szCs w:val="21"/>
              </w:rPr>
            </w:pPr>
            <w:r>
              <w:rPr>
                <w:rFonts w:hint="eastAsia" w:ascii="宋体" w:hAnsi="宋体" w:cs="宋体"/>
                <w:b/>
                <w:bCs/>
                <w:szCs w:val="21"/>
              </w:rPr>
              <w:t>4.培训要求：</w:t>
            </w:r>
            <w:r>
              <w:rPr>
                <w:rFonts w:hint="eastAsia" w:ascii="宋体" w:hAnsi="宋体" w:cs="宋体"/>
                <w:szCs w:val="21"/>
              </w:rPr>
              <w:t>（1）培训科室有关人员操作；（2）使用培训为验收要件之一，否则采购人不予验收本项目。</w:t>
            </w:r>
          </w:p>
          <w:p w14:paraId="7813B2CF">
            <w:pPr>
              <w:spacing w:line="400" w:lineRule="exact"/>
              <w:jc w:val="left"/>
              <w:rPr>
                <w:rFonts w:ascii="宋体" w:hAnsi="宋体" w:cs="宋体"/>
                <w:szCs w:val="21"/>
              </w:rPr>
            </w:pPr>
            <w:r>
              <w:rPr>
                <w:rFonts w:hint="eastAsia" w:ascii="宋体" w:hAnsi="宋体" w:cs="宋体"/>
                <w:b/>
                <w:bCs/>
                <w:szCs w:val="21"/>
              </w:rPr>
              <w:t>5.本政府采购项目现执行的有关政策、法律及法规，如有与国家最新发布的政策、法律及法规相抵触时，投标人必须无条件按照最新规定执行，且造成的损失均由中标供应商自行承担。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rPr>
              <w:t xml:space="preserve"> </w:t>
            </w:r>
            <w:r>
              <w:rPr>
                <w:rFonts w:hint="eastAsia" w:ascii="宋体" w:hAnsi="宋体" w:cs="宋体"/>
                <w:b/>
                <w:bCs/>
                <w:szCs w:val="21"/>
              </w:rPr>
              <w:t>6.维修工程师：</w:t>
            </w:r>
            <w:r>
              <w:rPr>
                <w:rFonts w:hint="eastAsia" w:ascii="宋体" w:hAnsi="宋体" w:cs="宋体"/>
                <w:szCs w:val="21"/>
              </w:rPr>
              <w:t>本项目配备须配备固定的维修工程师。</w:t>
            </w:r>
          </w:p>
          <w:p w14:paraId="1F5E1688">
            <w:pPr>
              <w:spacing w:line="400" w:lineRule="exact"/>
              <w:jc w:val="left"/>
              <w:rPr>
                <w:rFonts w:ascii="宋体" w:hAnsi="宋体" w:cs="宋体"/>
                <w:szCs w:val="21"/>
              </w:rPr>
            </w:pPr>
            <w:r>
              <w:rPr>
                <w:rFonts w:hint="eastAsia" w:ascii="宋体" w:hAnsi="宋体" w:cs="宋体"/>
                <w:b/>
                <w:bCs/>
                <w:szCs w:val="21"/>
              </w:rPr>
              <w:t>7.提供免费保修电话：</w:t>
            </w:r>
            <w:r>
              <w:rPr>
                <w:rFonts w:hint="eastAsia" w:ascii="宋体" w:hAnsi="宋体" w:cs="宋体"/>
                <w:szCs w:val="21"/>
              </w:rPr>
              <w:t>提供400或其它专线免费保修电话号码。</w:t>
            </w:r>
          </w:p>
          <w:p w14:paraId="7F7617F6">
            <w:pPr>
              <w:spacing w:line="400" w:lineRule="exact"/>
              <w:jc w:val="left"/>
              <w:rPr>
                <w:rFonts w:ascii="宋体" w:hAnsi="宋体" w:cs="宋体"/>
                <w:szCs w:val="21"/>
              </w:rPr>
            </w:pPr>
            <w:r>
              <w:rPr>
                <w:rFonts w:hint="eastAsia" w:ascii="宋体" w:hAnsi="宋体" w:cs="宋体"/>
                <w:b/>
                <w:bCs/>
                <w:szCs w:val="21"/>
              </w:rPr>
              <w:t>8.投标文件提供应急预案</w:t>
            </w:r>
            <w:r>
              <w:rPr>
                <w:rFonts w:hint="eastAsia" w:ascii="宋体" w:hAnsi="宋体" w:cs="宋体"/>
                <w:szCs w:val="21"/>
              </w:rPr>
              <w:t>，包括但不限于：保证设备使用过程中不发生断电的风险应对措施、设施、人力资源调度等，投标报价须包含为实现该目的所产生的一切费用。</w:t>
            </w:r>
          </w:p>
        </w:tc>
      </w:tr>
      <w:tr w14:paraId="6D3DA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206452C4">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验收标准</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F52D1B0">
            <w:pPr>
              <w:wordWrap w:val="0"/>
              <w:topLinePunct/>
              <w:snapToGrid w:val="0"/>
              <w:spacing w:line="400" w:lineRule="exact"/>
              <w:rPr>
                <w:color w:val="000000"/>
                <w:szCs w:val="21"/>
              </w:rPr>
            </w:pPr>
            <w:r>
              <w:rPr>
                <w:rFonts w:hint="eastAsia"/>
                <w:color w:val="000000"/>
                <w:szCs w:val="21"/>
              </w:rPr>
              <w:t>▲1.中标供应商向采购人提供的货物必须是全新的原装产品。</w:t>
            </w:r>
          </w:p>
          <w:p w14:paraId="70C0CA3D">
            <w:pPr>
              <w:wordWrap w:val="0"/>
              <w:topLinePunct/>
              <w:snapToGrid w:val="0"/>
              <w:spacing w:line="400" w:lineRule="exact"/>
              <w:rPr>
                <w:color w:val="000000"/>
                <w:szCs w:val="21"/>
              </w:rPr>
            </w:pPr>
            <w:r>
              <w:rPr>
                <w:rFonts w:hint="eastAsia"/>
                <w:color w:val="000000"/>
                <w:szCs w:val="21"/>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02AB9FD4">
            <w:pPr>
              <w:wordWrap w:val="0"/>
              <w:topLinePunct/>
              <w:snapToGrid w:val="0"/>
              <w:spacing w:line="400" w:lineRule="exact"/>
              <w:rPr>
                <w:color w:val="000000"/>
                <w:szCs w:val="21"/>
              </w:rPr>
            </w:pPr>
            <w:r>
              <w:rPr>
                <w:rFonts w:hint="eastAsia"/>
                <w:color w:val="000000"/>
                <w:szCs w:val="21"/>
              </w:rPr>
              <w:t>3.验收过程中所产生的一切费用均由中标供应商承担，投标人报价时应考虑相关费用。</w:t>
            </w:r>
          </w:p>
          <w:p w14:paraId="5DA08E68">
            <w:pPr>
              <w:wordWrap w:val="0"/>
              <w:topLinePunct/>
              <w:snapToGrid w:val="0"/>
              <w:spacing w:line="400" w:lineRule="exact"/>
              <w:rPr>
                <w:color w:val="000000"/>
                <w:szCs w:val="21"/>
              </w:rPr>
            </w:pPr>
            <w:r>
              <w:rPr>
                <w:rFonts w:hint="eastAsia"/>
                <w:color w:val="000000"/>
                <w:szCs w:val="21"/>
              </w:rPr>
              <w:t>4.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37EDD744">
            <w:pPr>
              <w:wordWrap w:val="0"/>
              <w:topLinePunct/>
              <w:snapToGrid w:val="0"/>
              <w:spacing w:line="400" w:lineRule="exact"/>
              <w:rPr>
                <w:color w:val="000000"/>
                <w:szCs w:val="21"/>
              </w:rPr>
            </w:pPr>
            <w:r>
              <w:rPr>
                <w:rFonts w:hint="eastAsia"/>
                <w:color w:val="000000"/>
                <w:szCs w:val="21"/>
              </w:rPr>
              <w:t>5.本采购文件的相关要求。</w:t>
            </w:r>
          </w:p>
          <w:p w14:paraId="0E0CD874">
            <w:pPr>
              <w:wordWrap w:val="0"/>
              <w:topLinePunct/>
              <w:snapToGrid w:val="0"/>
              <w:spacing w:line="400" w:lineRule="exact"/>
              <w:rPr>
                <w:color w:val="000000"/>
                <w:szCs w:val="21"/>
              </w:rPr>
            </w:pPr>
            <w:r>
              <w:rPr>
                <w:rFonts w:hint="eastAsia"/>
                <w:color w:val="000000"/>
                <w:szCs w:val="21"/>
              </w:rPr>
              <w:t>6.国家相关法律、法规、标准和规范等。</w:t>
            </w:r>
          </w:p>
        </w:tc>
      </w:tr>
      <w:tr w14:paraId="7AACA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41DFBA68">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付款条件</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1DEEEF59">
            <w:pPr>
              <w:spacing w:line="400" w:lineRule="exact"/>
              <w:jc w:val="left"/>
              <w:rPr>
                <w:color w:val="000000"/>
                <w:szCs w:val="21"/>
              </w:rPr>
            </w:pPr>
            <w:r>
              <w:rPr>
                <w:rFonts w:hint="eastAsia" w:ascii="宋体" w:hAnsi="宋体" w:cs="宋体"/>
                <w:kern w:val="0"/>
                <w:szCs w:val="21"/>
              </w:rPr>
              <w:t>中标人完成交付并由采购人验收通过后，采购人一次性付清合同款，支付前中标人须开具等额增值税发票给采购人，采购人自收到发票之日起</w:t>
            </w:r>
            <w:r>
              <w:rPr>
                <w:rFonts w:hint="eastAsia" w:ascii="宋体" w:hAnsi="宋体" w:cs="宋体"/>
                <w:kern w:val="0"/>
                <w:szCs w:val="21"/>
                <w:u w:val="single"/>
              </w:rPr>
              <w:t xml:space="preserve"> 30个工作日内</w:t>
            </w:r>
            <w:r>
              <w:rPr>
                <w:rFonts w:hint="eastAsia" w:ascii="宋体" w:hAnsi="宋体" w:cs="宋体"/>
                <w:kern w:val="0"/>
                <w:szCs w:val="21"/>
              </w:rPr>
              <w:t>支付采购费用。</w:t>
            </w:r>
          </w:p>
        </w:tc>
      </w:tr>
      <w:tr w14:paraId="41088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69739677">
            <w:pPr>
              <w:snapToGrid w:val="0"/>
              <w:spacing w:line="360" w:lineRule="auto"/>
              <w:jc w:val="center"/>
              <w:rPr>
                <w:color w:val="000000"/>
                <w:szCs w:val="21"/>
              </w:rPr>
            </w:pPr>
            <w:r>
              <w:rPr>
                <w:rFonts w:hint="eastAsia" w:ascii="宋体" w:hAnsi="宋体" w:cs="宋体"/>
                <w:szCs w:val="21"/>
              </w:rPr>
              <w:t>▲</w:t>
            </w:r>
            <w:r>
              <w:rPr>
                <w:rFonts w:hint="eastAsia" w:ascii="宋体" w:hAnsi="宋体" w:cs="宋体"/>
                <w:b/>
                <w:szCs w:val="21"/>
              </w:rPr>
              <w:t>知识产权要求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7D36F44">
            <w:pPr>
              <w:spacing w:line="400" w:lineRule="exact"/>
              <w:rPr>
                <w:color w:val="000000"/>
                <w:szCs w:val="21"/>
              </w:rPr>
            </w:pPr>
            <w:r>
              <w:rPr>
                <w:rFonts w:hint="eastAsia" w:ascii="宋体" w:hAnsi="宋体" w:cs="宋体"/>
                <w:szCs w:val="21"/>
              </w:rPr>
              <w:t>须保证招标人在使用过程中不受到第三方关于侵犯专利权等知识产权的指控。任何第三方如果提出指控，投标人须与第三方交涉并承担可能发生的一切法律责任和费用。</w:t>
            </w:r>
          </w:p>
        </w:tc>
      </w:tr>
      <w:tr w14:paraId="7F2C9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781F9B51">
            <w:pPr>
              <w:snapToGrid w:val="0"/>
              <w:spacing w:line="360" w:lineRule="auto"/>
              <w:jc w:val="center"/>
              <w:rPr>
                <w:rFonts w:ascii="宋体" w:hAnsi="宋体" w:cs="宋体"/>
                <w:b/>
                <w:szCs w:val="21"/>
              </w:rPr>
            </w:pPr>
            <w:r>
              <w:rPr>
                <w:rFonts w:hint="eastAsia" w:ascii="宋体" w:hAnsi="宋体" w:cs="宋体"/>
                <w:szCs w:val="21"/>
              </w:rPr>
              <w:t>▲</w:t>
            </w:r>
            <w:r>
              <w:rPr>
                <w:rFonts w:hint="eastAsia" w:ascii="宋体" w:hAnsi="宋体" w:cs="宋体"/>
                <w:b/>
                <w:szCs w:val="21"/>
              </w:rPr>
              <w:t>保密要求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639D7805">
            <w:pPr>
              <w:wordWrap w:val="0"/>
              <w:topLinePunct/>
              <w:snapToGrid w:val="0"/>
              <w:spacing w:line="400" w:lineRule="exact"/>
              <w:rPr>
                <w:rFonts w:ascii="宋体" w:hAnsi="宋体" w:cs="宋体"/>
                <w:szCs w:val="21"/>
              </w:rPr>
            </w:pPr>
            <w:r>
              <w:rPr>
                <w:rFonts w:hint="eastAsia" w:ascii="宋体" w:hAnsi="宋体" w:cs="宋体"/>
                <w:szCs w:val="21"/>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513E6C61">
            <w:pPr>
              <w:spacing w:line="400" w:lineRule="exact"/>
              <w:rPr>
                <w:rFonts w:ascii="宋体" w:hAnsi="宋体" w:cs="宋体"/>
                <w:szCs w:val="21"/>
              </w:rPr>
            </w:pPr>
            <w:r>
              <w:rPr>
                <w:rFonts w:hint="eastAsia" w:ascii="宋体" w:hAnsi="宋体" w:cs="宋体"/>
                <w:szCs w:val="21"/>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1D96E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4E7584FC">
            <w:pPr>
              <w:spacing w:line="400" w:lineRule="exact"/>
              <w:jc w:val="center"/>
              <w:rPr>
                <w:rFonts w:ascii="宋体" w:hAnsi="宋体" w:cs="宋体"/>
                <w:szCs w:val="21"/>
              </w:rPr>
            </w:pPr>
            <w:r>
              <w:rPr>
                <w:rFonts w:hint="eastAsia" w:ascii="黑体" w:hAnsi="黑体" w:eastAsia="黑体" w:cs="黑体"/>
                <w:b/>
                <w:color w:val="000000"/>
                <w:sz w:val="28"/>
                <w:szCs w:val="28"/>
              </w:rPr>
              <w:t>其他说明</w:t>
            </w:r>
          </w:p>
        </w:tc>
      </w:tr>
      <w:tr w14:paraId="409D5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0C43B01F">
            <w:pPr>
              <w:spacing w:line="400" w:lineRule="exact"/>
              <w:rPr>
                <w:rFonts w:ascii="宋体" w:hAnsi="宋体" w:cs="宋体"/>
                <w:b/>
                <w:bCs/>
                <w:sz w:val="24"/>
              </w:rPr>
            </w:pPr>
            <w:r>
              <w:rPr>
                <w:rFonts w:hint="eastAsia" w:hAnsi="宋体"/>
                <w:color w:val="000000"/>
              </w:rPr>
              <w:t>▲</w:t>
            </w:r>
            <w:r>
              <w:rPr>
                <w:rFonts w:ascii="宋体" w:hAnsi="宋体" w:cs="宋体"/>
                <w:b/>
                <w:bCs/>
                <w:sz w:val="24"/>
              </w:rPr>
              <w:t>进口产品说明：</w:t>
            </w:r>
          </w:p>
          <w:p w14:paraId="02274107">
            <w:pPr>
              <w:spacing w:line="400" w:lineRule="exact"/>
              <w:ind w:firstLine="480" w:firstLineChars="200"/>
              <w:rPr>
                <w:rFonts w:ascii="宋体" w:hAnsi="宋体" w:cs="宋体"/>
                <w:szCs w:val="21"/>
              </w:rPr>
            </w:pPr>
            <w:r>
              <w:rPr>
                <w:rFonts w:hint="eastAsia" w:ascii="宋体" w:hAnsi="宋体" w:cs="宋体"/>
                <w:sz w:val="24"/>
              </w:rPr>
              <w:t>☑</w:t>
            </w:r>
            <w:r>
              <w:rPr>
                <w:rFonts w:hint="eastAsia" w:ascii="宋体" w:hAnsi="宋体" w:cs="宋体"/>
                <w:szCs w:val="21"/>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584B967F">
            <w:pPr>
              <w:spacing w:line="400" w:lineRule="exact"/>
              <w:ind w:firstLine="480" w:firstLineChars="200"/>
              <w:rPr>
                <w:rFonts w:ascii="宋体" w:hAnsi="宋体" w:cs="宋体"/>
                <w:szCs w:val="21"/>
              </w:rPr>
            </w:pPr>
            <w:r>
              <w:rPr>
                <w:rFonts w:hint="eastAsia" w:ascii="宋体" w:hAnsi="宋体" w:cs="宋体"/>
                <w:sz w:val="24"/>
              </w:rPr>
              <w:t>□</w:t>
            </w:r>
            <w:r>
              <w:rPr>
                <w:rFonts w:hint="eastAsia" w:ascii="宋体" w:hAnsi="宋体" w:cs="宋体"/>
                <w:szCs w:val="21"/>
              </w:rPr>
              <w:t>本项目货物所涉及的货物不接受进口产品（即通过中国海关报关验放进入中国境内且产自关境外的产品）参与投标，如有进口产品参与投标的作无效投标处理。</w:t>
            </w:r>
          </w:p>
          <w:p w14:paraId="61A6E487">
            <w:pPr>
              <w:spacing w:line="400" w:lineRule="exact"/>
              <w:rPr>
                <w:rFonts w:hAnsi="宋体"/>
                <w:b/>
                <w:bCs/>
                <w:color w:val="000000"/>
              </w:rPr>
            </w:pPr>
            <w:r>
              <w:rPr>
                <w:rFonts w:hint="eastAsia" w:hAnsi="宋体"/>
                <w:color w:val="000000"/>
              </w:rPr>
              <w:t>▲相关货物材质、环保、节能产品等级符合国家强制性或行业标准。</w:t>
            </w:r>
          </w:p>
        </w:tc>
      </w:tr>
    </w:tbl>
    <w:p w14:paraId="13F6DADF">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可视喉镜采购项目</w:t>
      </w:r>
    </w:p>
    <w:p w14:paraId="00903F2D">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GXGSYY-CGB-YLSBK-2026-12</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1" w:name="_Toc301424941"/>
      <w:bookmarkStart w:id="12"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11"/>
      <w:bookmarkEnd w:id="12"/>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可视喉镜采购项目</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GXGSYY-CGB-YLSBK-2026-12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（自然人除外）、特定资质证明等资质材料复印件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1A4E8375">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四、需求参数偏离表</w:t>
      </w:r>
      <w:r>
        <w:rPr>
          <w:rFonts w:hint="eastAsia" w:ascii="宋体" w:hAnsi="宋体"/>
          <w:color w:val="auto"/>
          <w:sz w:val="21"/>
          <w:szCs w:val="21"/>
          <w:highlight w:val="none"/>
          <w:lang w:val="en-US" w:eastAsia="zh-CN"/>
        </w:rPr>
        <w:tab/>
      </w:r>
      <w:r>
        <w:rPr>
          <w:rFonts w:hint="eastAsia" w:ascii="宋体" w:hAnsi="宋体"/>
          <w:color w:val="auto"/>
          <w:sz w:val="21"/>
          <w:szCs w:val="21"/>
          <w:highlight w:val="none"/>
          <w:lang w:val="en-US" w:eastAsia="zh-CN"/>
        </w:rPr>
        <w:t>...................................................</w:t>
      </w:r>
    </w:p>
    <w:p w14:paraId="713D1B16">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五、报价产品彩页或说明书、相关检测报告复印件材料.......................</w:t>
      </w:r>
    </w:p>
    <w:p w14:paraId="19E78A5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六、售后服务（质保）承诺书.............................................</w:t>
      </w:r>
    </w:p>
    <w:p w14:paraId="4D61D0E2">
      <w:pPr>
        <w:pStyle w:val="7"/>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七、其他供应商认为需要提供的佐证材料</w:t>
      </w:r>
      <w:r>
        <w:rPr>
          <w:rFonts w:hint="eastAsia" w:hAnsi="宋体"/>
          <w:color w:val="auto"/>
          <w:sz w:val="21"/>
          <w:szCs w:val="21"/>
          <w:highlight w:val="none"/>
          <w:lang w:val="en-US" w:eastAsia="zh-CN"/>
        </w:rPr>
        <w:t>....................................</w:t>
      </w: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 □完全满足</w:t>
      </w:r>
      <w:bookmarkStart w:id="15" w:name="_GoBack"/>
      <w:bookmarkEnd w:id="15"/>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74"/>
        <w:gridCol w:w="1725"/>
        <w:gridCol w:w="800"/>
        <w:gridCol w:w="775"/>
        <w:gridCol w:w="1662"/>
        <w:gridCol w:w="1400"/>
        <w:gridCol w:w="1288"/>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74"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725" w:type="dxa"/>
            <w:tcBorders>
              <w:top w:val="single" w:color="auto" w:sz="4" w:space="0"/>
              <w:left w:val="nil"/>
              <w:bottom w:val="single" w:color="auto" w:sz="4" w:space="0"/>
              <w:right w:val="single" w:color="auto" w:sz="4" w:space="0"/>
            </w:tcBorders>
            <w:vAlign w:val="center"/>
          </w:tcPr>
          <w:p w14:paraId="31180050">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品牌型号</w:t>
            </w:r>
          </w:p>
        </w:tc>
        <w:tc>
          <w:tcPr>
            <w:tcW w:w="800"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77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662"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400"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288"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both"/>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74"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725" w:type="dxa"/>
            <w:tcBorders>
              <w:top w:val="single" w:color="auto" w:sz="4" w:space="0"/>
              <w:left w:val="nil"/>
              <w:bottom w:val="single" w:color="auto" w:sz="4" w:space="0"/>
              <w:right w:val="single" w:color="auto" w:sz="4" w:space="0"/>
            </w:tcBorders>
            <w:vAlign w:val="center"/>
          </w:tcPr>
          <w:p w14:paraId="6B3A70CF">
            <w:pPr>
              <w:spacing w:line="440" w:lineRule="exact"/>
              <w:jc w:val="center"/>
              <w:rPr>
                <w:rFonts w:hint="eastAsia" w:ascii="仿宋_GB2312" w:hAnsi="Calibri" w:eastAsia="仿宋_GB2312" w:cs="Calibri"/>
                <w:color w:val="000000"/>
                <w:sz w:val="24"/>
                <w:szCs w:val="24"/>
                <w:highlight w:val="none"/>
                <w:lang w:val="en-US" w:eastAsia="zh-CN"/>
              </w:rPr>
            </w:pPr>
          </w:p>
        </w:tc>
        <w:tc>
          <w:tcPr>
            <w:tcW w:w="800"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77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662"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400"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1288"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624"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cstheme="minorEastAsia"/>
          <w:color w:val="000000"/>
          <w:sz w:val="21"/>
          <w:szCs w:val="21"/>
          <w:lang w:val="en-US" w:eastAsia="zh-CN"/>
        </w:rPr>
        <w:t>特定</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color w:val="000000"/>
          <w:sz w:val="21"/>
          <w:szCs w:val="21"/>
          <w:lang w:val="en-US" w:eastAsia="zh-CN"/>
        </w:rPr>
        <w:t>证明</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393F6B">
      <w:pPr>
        <w:jc w:val="center"/>
        <w:rPr>
          <w:rFonts w:ascii="宋体" w:hAnsi="宋体" w:cs="宋体"/>
          <w:b/>
          <w:bCs/>
          <w:color w:val="000000" w:themeColor="text1"/>
          <w:sz w:val="24"/>
          <w:szCs w:val="21"/>
          <w14:textFill>
            <w14:solidFill>
              <w14:schemeClr w14:val="tx1"/>
            </w14:solidFill>
          </w14:textFill>
        </w:rPr>
      </w:pPr>
      <w:r>
        <w:rPr>
          <w:rFonts w:hint="eastAsia" w:ascii="宋体" w:hAnsi="宋体"/>
          <w:b/>
          <w:bCs/>
          <w:color w:val="auto"/>
          <w:sz w:val="21"/>
          <w:szCs w:val="21"/>
          <w:highlight w:val="none"/>
          <w:lang w:val="en-US" w:eastAsia="zh-CN"/>
        </w:rPr>
        <w:t>四、</w:t>
      </w:r>
      <w:r>
        <w:rPr>
          <w:rFonts w:hint="eastAsia" w:ascii="宋体" w:hAnsi="宋体" w:cs="宋体"/>
          <w:b/>
          <w:bCs/>
          <w:color w:val="000000" w:themeColor="text1"/>
          <w:szCs w:val="21"/>
          <w:highlight w:val="none"/>
          <w:lang w:val="en-US" w:eastAsia="zh-CN"/>
          <w14:textFill>
            <w14:solidFill>
              <w14:schemeClr w14:val="tx1"/>
            </w14:solidFill>
          </w14:textFill>
        </w:rPr>
        <w:t>技术参数</w:t>
      </w:r>
      <w:r>
        <w:rPr>
          <w:rFonts w:hint="eastAsia" w:ascii="宋体" w:hAnsi="宋体" w:eastAsia="宋体" w:cs="宋体"/>
          <w:b/>
          <w:bCs/>
          <w:color w:val="000000" w:themeColor="text1"/>
          <w:szCs w:val="21"/>
          <w:highlight w:val="none"/>
          <w:lang w:val="en-US" w:eastAsia="zh-CN"/>
          <w14:textFill>
            <w14:solidFill>
              <w14:schemeClr w14:val="tx1"/>
            </w14:solidFill>
          </w14:textFill>
        </w:rPr>
        <w:t>响应表</w:t>
      </w:r>
      <w:r>
        <w:rPr>
          <w:rFonts w:hint="eastAsia" w:ascii="宋体" w:hAnsi="宋体" w:cs="宋体"/>
          <w:b/>
          <w:bCs/>
          <w:color w:val="000000" w:themeColor="text1"/>
          <w:sz w:val="24"/>
          <w:szCs w:val="21"/>
          <w14:textFill>
            <w14:solidFill>
              <w14:schemeClr w14:val="tx1"/>
            </w14:solidFill>
          </w14:textFill>
        </w:rPr>
        <w:t>（格式）</w:t>
      </w:r>
    </w:p>
    <w:tbl>
      <w:tblPr>
        <w:tblStyle w:val="13"/>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gridCol w:w="2113"/>
      </w:tblGrid>
      <w:tr w14:paraId="1636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8DB3E2"/>
            <w:vAlign w:val="center"/>
          </w:tcPr>
          <w:p w14:paraId="645C443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8DB3E2"/>
            <w:vAlign w:val="center"/>
          </w:tcPr>
          <w:p w14:paraId="5DF95B4C">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招标文件技术参数</w:t>
            </w:r>
            <w:r>
              <w:rPr>
                <w:rFonts w:hint="eastAsia" w:ascii="宋体" w:hAnsi="宋体"/>
                <w:b/>
                <w:bCs/>
                <w:color w:val="000000" w:themeColor="text1"/>
                <w:kern w:val="21"/>
                <w:szCs w:val="21"/>
                <w14:textFill>
                  <w14:solidFill>
                    <w14:schemeClr w14:val="tx1"/>
                  </w14:solidFill>
                </w14:textFill>
              </w:rPr>
              <w:t>要求</w:t>
            </w:r>
          </w:p>
        </w:tc>
        <w:tc>
          <w:tcPr>
            <w:tcW w:w="2520" w:type="dxa"/>
            <w:shd w:val="clear" w:color="auto" w:fill="8DB3E2"/>
            <w:vAlign w:val="center"/>
          </w:tcPr>
          <w:p w14:paraId="7537F893">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响应文件的</w:t>
            </w:r>
            <w:r>
              <w:rPr>
                <w:rFonts w:hint="eastAsia" w:ascii="宋体" w:hAnsi="宋体" w:cs="宋体"/>
                <w:b/>
                <w:color w:val="000000" w:themeColor="text1"/>
                <w:szCs w:val="21"/>
                <w:lang w:val="en-US" w:eastAsia="zh-CN"/>
                <w14:textFill>
                  <w14:solidFill>
                    <w14:schemeClr w14:val="tx1"/>
                  </w14:solidFill>
                </w14:textFill>
              </w:rPr>
              <w:t>技术参数</w:t>
            </w:r>
            <w:r>
              <w:rPr>
                <w:rFonts w:hint="eastAsia" w:ascii="宋体" w:hAnsi="宋体" w:cs="宋体"/>
                <w:b/>
                <w:color w:val="000000" w:themeColor="text1"/>
                <w:szCs w:val="21"/>
                <w14:textFill>
                  <w14:solidFill>
                    <w14:schemeClr w14:val="tx1"/>
                  </w14:solidFill>
                </w14:textFill>
              </w:rPr>
              <w:t>响应情况</w:t>
            </w:r>
          </w:p>
        </w:tc>
        <w:tc>
          <w:tcPr>
            <w:tcW w:w="2113" w:type="dxa"/>
            <w:shd w:val="clear" w:color="auto" w:fill="8DB3E2"/>
            <w:vAlign w:val="center"/>
          </w:tcPr>
          <w:p w14:paraId="6584454A">
            <w:pPr>
              <w:spacing w:line="400" w:lineRule="exact"/>
              <w:jc w:val="center"/>
              <w:rPr>
                <w:rFonts w:hint="eastAsia" w:ascii="宋体" w:hAnsi="宋体" w:cs="宋体"/>
                <w:b/>
                <w:color w:val="000000" w:themeColor="text1"/>
                <w14:textFill>
                  <w14:solidFill>
                    <w14:schemeClr w14:val="tx1"/>
                  </w14:solidFill>
                </w14:textFill>
              </w:rPr>
            </w:pPr>
            <w:bookmarkStart w:id="13" w:name="_Toc254970701"/>
            <w:bookmarkStart w:id="14" w:name="_Toc254970560"/>
            <w:r>
              <w:rPr>
                <w:rFonts w:hint="eastAsia" w:ascii="宋体" w:hAnsi="宋体" w:cs="宋体"/>
                <w:b/>
                <w:color w:val="000000" w:themeColor="text1"/>
                <w14:textFill>
                  <w14:solidFill>
                    <w14:schemeClr w14:val="tx1"/>
                  </w14:solidFill>
                </w14:textFill>
              </w:rPr>
              <w:t>偏离情况</w:t>
            </w:r>
            <w:bookmarkEnd w:id="13"/>
            <w:bookmarkEnd w:id="14"/>
          </w:p>
          <w:p w14:paraId="26167887">
            <w:pPr>
              <w:spacing w:line="400" w:lineRule="exact"/>
              <w:jc w:val="center"/>
              <w:rPr>
                <w:rFonts w:hint="default" w:ascii="宋体" w:hAnsi="宋体" w:eastAsia="宋体" w:cs="宋体"/>
                <w:b/>
                <w:color w:val="000000" w:themeColor="text1"/>
                <w:lang w:val="en-US" w:eastAsia="zh-CN"/>
                <w14:textFill>
                  <w14:solidFill>
                    <w14:schemeClr w14:val="tx1"/>
                  </w14:solidFill>
                </w14:textFill>
              </w:rPr>
            </w:pPr>
            <w:r>
              <w:rPr>
                <w:rFonts w:hint="eastAsia" w:ascii="宋体" w:hAnsi="宋体" w:cs="宋体"/>
                <w:b/>
                <w:color w:val="000000" w:themeColor="text1"/>
                <w:sz w:val="18"/>
                <w:szCs w:val="18"/>
                <w:lang w:eastAsia="zh-CN"/>
                <w14:textFill>
                  <w14:solidFill>
                    <w14:schemeClr w14:val="tx1"/>
                  </w14:solidFill>
                </w14:textFill>
              </w:rPr>
              <w:t>（</w:t>
            </w:r>
            <w:r>
              <w:rPr>
                <w:rFonts w:hint="eastAsia" w:ascii="宋体" w:hAnsi="宋体" w:cs="宋体"/>
                <w:b/>
                <w:color w:val="000000" w:themeColor="text1"/>
                <w:sz w:val="18"/>
                <w:szCs w:val="18"/>
                <w:lang w:val="en-US" w:eastAsia="zh-CN"/>
                <w14:textFill>
                  <w14:solidFill>
                    <w14:schemeClr w14:val="tx1"/>
                  </w14:solidFill>
                </w14:textFill>
              </w:rPr>
              <w:t>正偏离/无偏离/负偏离）</w:t>
            </w:r>
          </w:p>
        </w:tc>
        <w:tc>
          <w:tcPr>
            <w:tcW w:w="2113" w:type="dxa"/>
            <w:shd w:val="clear" w:color="auto" w:fill="8DB3E2"/>
            <w:vAlign w:val="center"/>
          </w:tcPr>
          <w:p w14:paraId="47CDE9EF">
            <w:pPr>
              <w:spacing w:line="400" w:lineRule="exact"/>
              <w:jc w:val="center"/>
              <w:rPr>
                <w:rFonts w:hint="default" w:ascii="宋体" w:hAnsi="宋体" w:eastAsia="宋体" w:cs="宋体"/>
                <w:b/>
                <w:color w:val="000000" w:themeColor="text1"/>
                <w:lang w:val="en-US" w:eastAsia="zh-CN"/>
                <w14:textFill>
                  <w14:solidFill>
                    <w14:schemeClr w14:val="tx1"/>
                  </w14:solidFill>
                </w14:textFill>
              </w:rPr>
            </w:pPr>
            <w:r>
              <w:rPr>
                <w:rFonts w:hint="eastAsia" w:ascii="宋体" w:hAnsi="宋体" w:cs="宋体"/>
                <w:b/>
                <w:color w:val="000000" w:themeColor="text1"/>
                <w:lang w:val="en-US" w:eastAsia="zh-CN"/>
                <w14:textFill>
                  <w14:solidFill>
                    <w14:schemeClr w14:val="tx1"/>
                  </w14:solidFill>
                </w14:textFill>
              </w:rPr>
              <w:t>佐证材料</w:t>
            </w:r>
          </w:p>
        </w:tc>
      </w:tr>
      <w:tr w14:paraId="2F0E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82F4CA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4692F4F3">
            <w:pPr>
              <w:spacing w:line="400" w:lineRule="exact"/>
              <w:jc w:val="left"/>
              <w:rPr>
                <w:rFonts w:ascii="宋体" w:hAnsi="宋体" w:cs="宋体"/>
                <w:color w:val="000000" w:themeColor="text1"/>
                <w14:textFill>
                  <w14:solidFill>
                    <w14:schemeClr w14:val="tx1"/>
                  </w14:solidFill>
                </w14:textFill>
              </w:rPr>
            </w:pPr>
          </w:p>
        </w:tc>
        <w:tc>
          <w:tcPr>
            <w:tcW w:w="2520" w:type="dxa"/>
          </w:tcPr>
          <w:p w14:paraId="750E032E">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D227BB6">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41006566">
            <w:pPr>
              <w:spacing w:line="400" w:lineRule="exact"/>
              <w:jc w:val="left"/>
              <w:rPr>
                <w:rFonts w:ascii="宋体" w:hAnsi="宋体" w:cs="宋体"/>
                <w:color w:val="000000" w:themeColor="text1"/>
                <w14:textFill>
                  <w14:solidFill>
                    <w14:schemeClr w14:val="tx1"/>
                  </w14:solidFill>
                </w14:textFill>
              </w:rPr>
            </w:pPr>
          </w:p>
        </w:tc>
      </w:tr>
      <w:tr w14:paraId="46B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5560A32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1EDEF8FD">
            <w:pPr>
              <w:spacing w:line="400" w:lineRule="exact"/>
              <w:jc w:val="left"/>
              <w:rPr>
                <w:rFonts w:ascii="宋体" w:hAnsi="宋体" w:cs="宋体"/>
                <w:color w:val="000000" w:themeColor="text1"/>
                <w14:textFill>
                  <w14:solidFill>
                    <w14:schemeClr w14:val="tx1"/>
                  </w14:solidFill>
                </w14:textFill>
              </w:rPr>
            </w:pPr>
          </w:p>
        </w:tc>
        <w:tc>
          <w:tcPr>
            <w:tcW w:w="2520" w:type="dxa"/>
          </w:tcPr>
          <w:p w14:paraId="299C710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6F8D6926">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23698282">
            <w:pPr>
              <w:spacing w:line="400" w:lineRule="exact"/>
              <w:jc w:val="left"/>
              <w:rPr>
                <w:rFonts w:ascii="宋体" w:hAnsi="宋体" w:cs="宋体"/>
                <w:color w:val="000000" w:themeColor="text1"/>
                <w14:textFill>
                  <w14:solidFill>
                    <w14:schemeClr w14:val="tx1"/>
                  </w14:solidFill>
                </w14:textFill>
              </w:rPr>
            </w:pPr>
          </w:p>
        </w:tc>
      </w:tr>
      <w:tr w14:paraId="734E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9BF50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0BD45FDF">
            <w:pPr>
              <w:spacing w:line="400" w:lineRule="exact"/>
              <w:jc w:val="left"/>
              <w:rPr>
                <w:rFonts w:ascii="宋体" w:hAnsi="宋体" w:cs="宋体"/>
                <w:color w:val="000000" w:themeColor="text1"/>
                <w14:textFill>
                  <w14:solidFill>
                    <w14:schemeClr w14:val="tx1"/>
                  </w14:solidFill>
                </w14:textFill>
              </w:rPr>
            </w:pPr>
          </w:p>
        </w:tc>
        <w:tc>
          <w:tcPr>
            <w:tcW w:w="2520" w:type="dxa"/>
          </w:tcPr>
          <w:p w14:paraId="324E87F8">
            <w:pPr>
              <w:spacing w:line="400" w:lineRule="exact"/>
              <w:jc w:val="left"/>
              <w:rPr>
                <w:rFonts w:ascii="宋体" w:hAnsi="宋体" w:cs="宋体"/>
                <w:color w:val="000000" w:themeColor="text1"/>
                <w14:textFill>
                  <w14:solidFill>
                    <w14:schemeClr w14:val="tx1"/>
                  </w14:solidFill>
                </w14:textFill>
              </w:rPr>
            </w:pPr>
          </w:p>
        </w:tc>
        <w:tc>
          <w:tcPr>
            <w:tcW w:w="2113" w:type="dxa"/>
          </w:tcPr>
          <w:p w14:paraId="2D142A4A">
            <w:pPr>
              <w:spacing w:line="400" w:lineRule="exact"/>
              <w:jc w:val="left"/>
              <w:rPr>
                <w:rFonts w:ascii="宋体" w:hAnsi="宋体" w:cs="宋体"/>
                <w:color w:val="000000" w:themeColor="text1"/>
                <w14:textFill>
                  <w14:solidFill>
                    <w14:schemeClr w14:val="tx1"/>
                  </w14:solidFill>
                </w14:textFill>
              </w:rPr>
            </w:pPr>
          </w:p>
        </w:tc>
        <w:tc>
          <w:tcPr>
            <w:tcW w:w="2113" w:type="dxa"/>
          </w:tcPr>
          <w:p w14:paraId="16DEE1AC">
            <w:pPr>
              <w:spacing w:line="400" w:lineRule="exact"/>
              <w:jc w:val="left"/>
              <w:rPr>
                <w:rFonts w:ascii="宋体" w:hAnsi="宋体" w:cs="宋体"/>
                <w:color w:val="000000" w:themeColor="text1"/>
                <w14:textFill>
                  <w14:solidFill>
                    <w14:schemeClr w14:val="tx1"/>
                  </w14:solidFill>
                </w14:textFill>
              </w:rPr>
            </w:pPr>
          </w:p>
        </w:tc>
      </w:tr>
      <w:tr w14:paraId="1FFF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336EA2F">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70FEE7F1">
            <w:pPr>
              <w:spacing w:line="400" w:lineRule="exact"/>
              <w:jc w:val="left"/>
              <w:rPr>
                <w:rFonts w:ascii="宋体" w:hAnsi="宋体" w:cs="宋体"/>
                <w:color w:val="000000" w:themeColor="text1"/>
                <w14:textFill>
                  <w14:solidFill>
                    <w14:schemeClr w14:val="tx1"/>
                  </w14:solidFill>
                </w14:textFill>
              </w:rPr>
            </w:pPr>
          </w:p>
        </w:tc>
        <w:tc>
          <w:tcPr>
            <w:tcW w:w="2520" w:type="dxa"/>
          </w:tcPr>
          <w:p w14:paraId="0FA9E72B">
            <w:pPr>
              <w:spacing w:line="400" w:lineRule="exact"/>
              <w:jc w:val="left"/>
              <w:rPr>
                <w:rFonts w:ascii="宋体" w:hAnsi="宋体" w:cs="宋体"/>
                <w:color w:val="000000" w:themeColor="text1"/>
                <w14:textFill>
                  <w14:solidFill>
                    <w14:schemeClr w14:val="tx1"/>
                  </w14:solidFill>
                </w14:textFill>
              </w:rPr>
            </w:pPr>
          </w:p>
        </w:tc>
        <w:tc>
          <w:tcPr>
            <w:tcW w:w="2113" w:type="dxa"/>
          </w:tcPr>
          <w:p w14:paraId="67166367">
            <w:pPr>
              <w:spacing w:line="400" w:lineRule="exact"/>
              <w:jc w:val="left"/>
              <w:rPr>
                <w:rFonts w:ascii="宋体" w:hAnsi="宋体" w:cs="宋体"/>
                <w:color w:val="000000" w:themeColor="text1"/>
                <w14:textFill>
                  <w14:solidFill>
                    <w14:schemeClr w14:val="tx1"/>
                  </w14:solidFill>
                </w14:textFill>
              </w:rPr>
            </w:pPr>
          </w:p>
        </w:tc>
        <w:tc>
          <w:tcPr>
            <w:tcW w:w="2113" w:type="dxa"/>
          </w:tcPr>
          <w:p w14:paraId="4FBCEF3A">
            <w:pPr>
              <w:spacing w:line="400" w:lineRule="exact"/>
              <w:jc w:val="left"/>
              <w:rPr>
                <w:rFonts w:ascii="宋体" w:hAnsi="宋体" w:cs="宋体"/>
                <w:color w:val="000000" w:themeColor="text1"/>
                <w14:textFill>
                  <w14:solidFill>
                    <w14:schemeClr w14:val="tx1"/>
                  </w14:solidFill>
                </w14:textFill>
              </w:rPr>
            </w:pPr>
          </w:p>
        </w:tc>
      </w:tr>
      <w:tr w14:paraId="45C0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A8CD7C6">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004E94B3">
            <w:pPr>
              <w:spacing w:line="400" w:lineRule="exact"/>
              <w:jc w:val="left"/>
              <w:rPr>
                <w:rFonts w:ascii="宋体" w:hAnsi="宋体" w:cs="宋体"/>
                <w:color w:val="000000" w:themeColor="text1"/>
                <w14:textFill>
                  <w14:solidFill>
                    <w14:schemeClr w14:val="tx1"/>
                  </w14:solidFill>
                </w14:textFill>
              </w:rPr>
            </w:pPr>
          </w:p>
        </w:tc>
        <w:tc>
          <w:tcPr>
            <w:tcW w:w="2520" w:type="dxa"/>
          </w:tcPr>
          <w:p w14:paraId="57D94FD2">
            <w:pPr>
              <w:spacing w:line="400" w:lineRule="exact"/>
              <w:jc w:val="left"/>
              <w:rPr>
                <w:rFonts w:ascii="宋体" w:hAnsi="宋体" w:cs="宋体"/>
                <w:color w:val="000000" w:themeColor="text1"/>
                <w14:textFill>
                  <w14:solidFill>
                    <w14:schemeClr w14:val="tx1"/>
                  </w14:solidFill>
                </w14:textFill>
              </w:rPr>
            </w:pPr>
          </w:p>
        </w:tc>
        <w:tc>
          <w:tcPr>
            <w:tcW w:w="2113" w:type="dxa"/>
          </w:tcPr>
          <w:p w14:paraId="421231A6">
            <w:pPr>
              <w:spacing w:line="400" w:lineRule="exact"/>
              <w:jc w:val="left"/>
              <w:rPr>
                <w:rFonts w:ascii="宋体" w:hAnsi="宋体" w:cs="宋体"/>
                <w:color w:val="000000" w:themeColor="text1"/>
                <w14:textFill>
                  <w14:solidFill>
                    <w14:schemeClr w14:val="tx1"/>
                  </w14:solidFill>
                </w14:textFill>
              </w:rPr>
            </w:pPr>
          </w:p>
        </w:tc>
        <w:tc>
          <w:tcPr>
            <w:tcW w:w="2113" w:type="dxa"/>
          </w:tcPr>
          <w:p w14:paraId="7377A203">
            <w:pPr>
              <w:spacing w:line="400" w:lineRule="exact"/>
              <w:jc w:val="left"/>
              <w:rPr>
                <w:rFonts w:ascii="宋体" w:hAnsi="宋体" w:cs="宋体"/>
                <w:color w:val="000000" w:themeColor="text1"/>
                <w14:textFill>
                  <w14:solidFill>
                    <w14:schemeClr w14:val="tx1"/>
                  </w14:solidFill>
                </w14:textFill>
              </w:rPr>
            </w:pPr>
          </w:p>
        </w:tc>
      </w:tr>
      <w:tr w14:paraId="35D0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BF2101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627EE3BB">
            <w:pPr>
              <w:spacing w:line="400" w:lineRule="exact"/>
              <w:jc w:val="left"/>
              <w:rPr>
                <w:rFonts w:ascii="宋体" w:hAnsi="宋体" w:cs="宋体"/>
                <w:color w:val="000000" w:themeColor="text1"/>
                <w14:textFill>
                  <w14:solidFill>
                    <w14:schemeClr w14:val="tx1"/>
                  </w14:solidFill>
                </w14:textFill>
              </w:rPr>
            </w:pPr>
          </w:p>
        </w:tc>
        <w:tc>
          <w:tcPr>
            <w:tcW w:w="2520" w:type="dxa"/>
          </w:tcPr>
          <w:p w14:paraId="4F62E3AE">
            <w:pPr>
              <w:spacing w:line="400" w:lineRule="exact"/>
              <w:jc w:val="left"/>
              <w:rPr>
                <w:rFonts w:ascii="宋体" w:hAnsi="宋体" w:cs="宋体"/>
                <w:color w:val="000000" w:themeColor="text1"/>
                <w14:textFill>
                  <w14:solidFill>
                    <w14:schemeClr w14:val="tx1"/>
                  </w14:solidFill>
                </w14:textFill>
              </w:rPr>
            </w:pPr>
          </w:p>
        </w:tc>
        <w:tc>
          <w:tcPr>
            <w:tcW w:w="2113" w:type="dxa"/>
          </w:tcPr>
          <w:p w14:paraId="0810B869">
            <w:pPr>
              <w:spacing w:line="400" w:lineRule="exact"/>
              <w:jc w:val="left"/>
              <w:rPr>
                <w:rFonts w:ascii="宋体" w:hAnsi="宋体" w:cs="宋体"/>
                <w:color w:val="000000" w:themeColor="text1"/>
                <w14:textFill>
                  <w14:solidFill>
                    <w14:schemeClr w14:val="tx1"/>
                  </w14:solidFill>
                </w14:textFill>
              </w:rPr>
            </w:pPr>
          </w:p>
        </w:tc>
        <w:tc>
          <w:tcPr>
            <w:tcW w:w="2113" w:type="dxa"/>
          </w:tcPr>
          <w:p w14:paraId="6C08723E">
            <w:pPr>
              <w:spacing w:line="400" w:lineRule="exact"/>
              <w:jc w:val="left"/>
              <w:rPr>
                <w:rFonts w:ascii="宋体" w:hAnsi="宋体" w:cs="宋体"/>
                <w:color w:val="000000" w:themeColor="text1"/>
                <w14:textFill>
                  <w14:solidFill>
                    <w14:schemeClr w14:val="tx1"/>
                  </w14:solidFill>
                </w14:textFill>
              </w:rPr>
            </w:pPr>
          </w:p>
        </w:tc>
      </w:tr>
      <w:tr w14:paraId="70ED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9C31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0C593504">
            <w:pPr>
              <w:spacing w:line="400" w:lineRule="exact"/>
              <w:jc w:val="left"/>
              <w:rPr>
                <w:rFonts w:ascii="宋体" w:hAnsi="宋体" w:cs="宋体"/>
                <w:color w:val="000000" w:themeColor="text1"/>
                <w14:textFill>
                  <w14:solidFill>
                    <w14:schemeClr w14:val="tx1"/>
                  </w14:solidFill>
                </w14:textFill>
              </w:rPr>
            </w:pPr>
          </w:p>
        </w:tc>
        <w:tc>
          <w:tcPr>
            <w:tcW w:w="2520" w:type="dxa"/>
          </w:tcPr>
          <w:p w14:paraId="1DE3F013">
            <w:pPr>
              <w:spacing w:line="400" w:lineRule="exact"/>
              <w:jc w:val="left"/>
              <w:rPr>
                <w:rFonts w:ascii="宋体" w:hAnsi="宋体" w:cs="宋体"/>
                <w:color w:val="000000" w:themeColor="text1"/>
                <w14:textFill>
                  <w14:solidFill>
                    <w14:schemeClr w14:val="tx1"/>
                  </w14:solidFill>
                </w14:textFill>
              </w:rPr>
            </w:pPr>
          </w:p>
        </w:tc>
        <w:tc>
          <w:tcPr>
            <w:tcW w:w="2113" w:type="dxa"/>
          </w:tcPr>
          <w:p w14:paraId="61CEC060">
            <w:pPr>
              <w:spacing w:line="400" w:lineRule="exact"/>
              <w:jc w:val="left"/>
              <w:rPr>
                <w:rFonts w:ascii="宋体" w:hAnsi="宋体" w:cs="宋体"/>
                <w:color w:val="000000" w:themeColor="text1"/>
                <w14:textFill>
                  <w14:solidFill>
                    <w14:schemeClr w14:val="tx1"/>
                  </w14:solidFill>
                </w14:textFill>
              </w:rPr>
            </w:pPr>
          </w:p>
        </w:tc>
        <w:tc>
          <w:tcPr>
            <w:tcW w:w="2113" w:type="dxa"/>
          </w:tcPr>
          <w:p w14:paraId="6AA58D05">
            <w:pPr>
              <w:spacing w:line="400" w:lineRule="exact"/>
              <w:jc w:val="left"/>
              <w:rPr>
                <w:rFonts w:ascii="宋体" w:hAnsi="宋体" w:cs="宋体"/>
                <w:color w:val="000000" w:themeColor="text1"/>
                <w14:textFill>
                  <w14:solidFill>
                    <w14:schemeClr w14:val="tx1"/>
                  </w14:solidFill>
                </w14:textFill>
              </w:rPr>
            </w:pPr>
          </w:p>
        </w:tc>
      </w:tr>
      <w:tr w14:paraId="351A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0B30D19">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3710EED8">
            <w:pPr>
              <w:spacing w:line="400" w:lineRule="exact"/>
              <w:jc w:val="left"/>
              <w:rPr>
                <w:rFonts w:ascii="宋体" w:hAnsi="宋体" w:cs="宋体"/>
                <w:color w:val="000000" w:themeColor="text1"/>
                <w14:textFill>
                  <w14:solidFill>
                    <w14:schemeClr w14:val="tx1"/>
                  </w14:solidFill>
                </w14:textFill>
              </w:rPr>
            </w:pPr>
          </w:p>
        </w:tc>
        <w:tc>
          <w:tcPr>
            <w:tcW w:w="2520" w:type="dxa"/>
          </w:tcPr>
          <w:p w14:paraId="3B73C9A8">
            <w:pPr>
              <w:spacing w:line="400" w:lineRule="exact"/>
              <w:jc w:val="left"/>
              <w:rPr>
                <w:rFonts w:ascii="宋体" w:hAnsi="宋体" w:cs="宋体"/>
                <w:color w:val="000000" w:themeColor="text1"/>
                <w14:textFill>
                  <w14:solidFill>
                    <w14:schemeClr w14:val="tx1"/>
                  </w14:solidFill>
                </w14:textFill>
              </w:rPr>
            </w:pPr>
          </w:p>
        </w:tc>
        <w:tc>
          <w:tcPr>
            <w:tcW w:w="2113" w:type="dxa"/>
          </w:tcPr>
          <w:p w14:paraId="72843B3B">
            <w:pPr>
              <w:spacing w:line="400" w:lineRule="exact"/>
              <w:jc w:val="left"/>
              <w:rPr>
                <w:rFonts w:ascii="宋体" w:hAnsi="宋体" w:cs="宋体"/>
                <w:color w:val="000000" w:themeColor="text1"/>
                <w14:textFill>
                  <w14:solidFill>
                    <w14:schemeClr w14:val="tx1"/>
                  </w14:solidFill>
                </w14:textFill>
              </w:rPr>
            </w:pPr>
          </w:p>
        </w:tc>
        <w:tc>
          <w:tcPr>
            <w:tcW w:w="2113" w:type="dxa"/>
          </w:tcPr>
          <w:p w14:paraId="085F86EC">
            <w:pPr>
              <w:spacing w:line="400" w:lineRule="exact"/>
              <w:jc w:val="left"/>
              <w:rPr>
                <w:rFonts w:ascii="宋体" w:hAnsi="宋体" w:cs="宋体"/>
                <w:color w:val="000000" w:themeColor="text1"/>
                <w14:textFill>
                  <w14:solidFill>
                    <w14:schemeClr w14:val="tx1"/>
                  </w14:solidFill>
                </w14:textFill>
              </w:rPr>
            </w:pPr>
          </w:p>
        </w:tc>
      </w:tr>
      <w:tr w14:paraId="4DF3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5F2C95">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4E5F8A3B">
            <w:pPr>
              <w:spacing w:line="400" w:lineRule="exact"/>
              <w:jc w:val="left"/>
              <w:rPr>
                <w:rFonts w:ascii="宋体" w:hAnsi="宋体" w:cs="宋体"/>
                <w:color w:val="000000" w:themeColor="text1"/>
                <w14:textFill>
                  <w14:solidFill>
                    <w14:schemeClr w14:val="tx1"/>
                  </w14:solidFill>
                </w14:textFill>
              </w:rPr>
            </w:pPr>
          </w:p>
        </w:tc>
        <w:tc>
          <w:tcPr>
            <w:tcW w:w="2520" w:type="dxa"/>
          </w:tcPr>
          <w:p w14:paraId="36234D95">
            <w:pPr>
              <w:spacing w:line="400" w:lineRule="exact"/>
              <w:jc w:val="left"/>
              <w:rPr>
                <w:rFonts w:ascii="宋体" w:hAnsi="宋体" w:cs="宋体"/>
                <w:color w:val="000000" w:themeColor="text1"/>
                <w14:textFill>
                  <w14:solidFill>
                    <w14:schemeClr w14:val="tx1"/>
                  </w14:solidFill>
                </w14:textFill>
              </w:rPr>
            </w:pPr>
          </w:p>
        </w:tc>
        <w:tc>
          <w:tcPr>
            <w:tcW w:w="2113" w:type="dxa"/>
          </w:tcPr>
          <w:p w14:paraId="629D02E3">
            <w:pPr>
              <w:spacing w:line="400" w:lineRule="exact"/>
              <w:jc w:val="left"/>
              <w:rPr>
                <w:rFonts w:ascii="宋体" w:hAnsi="宋体" w:cs="宋体"/>
                <w:color w:val="000000" w:themeColor="text1"/>
                <w14:textFill>
                  <w14:solidFill>
                    <w14:schemeClr w14:val="tx1"/>
                  </w14:solidFill>
                </w14:textFill>
              </w:rPr>
            </w:pPr>
          </w:p>
        </w:tc>
        <w:tc>
          <w:tcPr>
            <w:tcW w:w="2113" w:type="dxa"/>
          </w:tcPr>
          <w:p w14:paraId="505E4BB2">
            <w:pPr>
              <w:spacing w:line="400" w:lineRule="exact"/>
              <w:jc w:val="left"/>
              <w:rPr>
                <w:rFonts w:ascii="宋体" w:hAnsi="宋体" w:cs="宋体"/>
                <w:color w:val="000000" w:themeColor="text1"/>
                <w14:textFill>
                  <w14:solidFill>
                    <w14:schemeClr w14:val="tx1"/>
                  </w14:solidFill>
                </w14:textFill>
              </w:rPr>
            </w:pPr>
          </w:p>
        </w:tc>
      </w:tr>
    </w:tbl>
    <w:p w14:paraId="4EBED6C4">
      <w:pPr>
        <w:pStyle w:val="5"/>
        <w:rPr>
          <w:rFonts w:hint="eastAsia" w:ascii="宋体" w:hAnsi="宋体" w:eastAsia="宋体" w:cs="宋体"/>
          <w:color w:val="000000" w:themeColor="text1"/>
          <w:highlight w:val="none"/>
          <w:lang w:val="en-US" w:eastAsia="zh-CN"/>
          <w14:textFill>
            <w14:solidFill>
              <w14:schemeClr w14:val="tx1"/>
            </w14:solidFill>
          </w14:textFill>
        </w:rPr>
      </w:pPr>
    </w:p>
    <w:p w14:paraId="0CA21542">
      <w:pPr>
        <w:rPr>
          <w:rFonts w:hint="eastAsia" w:ascii="宋体" w:hAnsi="宋体" w:eastAsia="宋体" w:cs="宋体"/>
          <w:color w:val="000000" w:themeColor="text1"/>
          <w:highlight w:val="none"/>
          <w:lang w:val="en-US" w:eastAsia="zh-CN"/>
          <w14:textFill>
            <w14:solidFill>
              <w14:schemeClr w14:val="tx1"/>
            </w14:solidFill>
          </w14:textFill>
        </w:rPr>
      </w:pPr>
    </w:p>
    <w:p w14:paraId="1EDB3D61">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0C77FD4">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0CB92BCD">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5BF9AF0">
      <w:pPr>
        <w:spacing w:line="240" w:lineRule="auto"/>
        <w:ind w:firstLine="450"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lang w:val="en-US" w:eastAsia="zh-CN"/>
          <w14:textFill>
            <w14:solidFill>
              <w14:schemeClr w14:val="tx1"/>
            </w14:solidFill>
          </w14:textFill>
        </w:rPr>
        <w:t>注：</w:t>
      </w:r>
      <w:r>
        <w:rPr>
          <w:rFonts w:hint="eastAsia" w:ascii="宋体" w:hAnsi="宋体" w:cs="宋体"/>
          <w:b/>
          <w:color w:val="000000" w:themeColor="text1"/>
          <w:sz w:val="15"/>
          <w:szCs w:val="15"/>
          <w14:textFill>
            <w14:solidFill>
              <w14:schemeClr w14:val="tx1"/>
            </w14:solidFill>
          </w14:textFill>
        </w:rPr>
        <w:t>1.应对照竞争性磋商文件“第三章 采购需求”中的技术需求及商务需</w:t>
      </w:r>
      <w:r>
        <w:rPr>
          <w:rFonts w:hint="eastAsia" w:ascii="宋体" w:hAnsi="宋体"/>
          <w:b/>
          <w:bCs/>
          <w:color w:val="000000" w:themeColor="text1"/>
          <w:kern w:val="21"/>
          <w:sz w:val="15"/>
          <w:szCs w:val="15"/>
          <w14:textFill>
            <w14:solidFill>
              <w14:schemeClr w14:val="tx1"/>
            </w14:solidFill>
          </w14:textFill>
        </w:rPr>
        <w:t>求</w:t>
      </w:r>
      <w:r>
        <w:rPr>
          <w:rFonts w:hint="eastAsia" w:ascii="宋体" w:hAnsi="宋体" w:cs="宋体"/>
          <w:b/>
          <w:color w:val="000000" w:themeColor="text1"/>
          <w:sz w:val="15"/>
          <w:szCs w:val="15"/>
          <w14:textFill>
            <w14:solidFill>
              <w14:schemeClr w14:val="tx1"/>
            </w14:solidFill>
          </w14:textFill>
        </w:rPr>
        <w:t>逐条实质性响应，并作出偏离说明</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lang w:val="en-US" w:eastAsia="zh-CN"/>
          <w14:textFill>
            <w14:solidFill>
              <w14:schemeClr w14:val="tx1"/>
            </w14:solidFill>
          </w14:textFill>
        </w:rPr>
        <w:t>不得对磋商文件需求参数进行修改，否则视为无效响应</w:t>
      </w:r>
      <w:r>
        <w:rPr>
          <w:rFonts w:hint="eastAsia" w:ascii="宋体" w:hAnsi="宋体" w:cs="宋体"/>
          <w:b/>
          <w:color w:val="000000" w:themeColor="text1"/>
          <w:sz w:val="15"/>
          <w:szCs w:val="15"/>
          <w14:textFill>
            <w14:solidFill>
              <w14:schemeClr w14:val="tx1"/>
            </w14:solidFill>
          </w14:textFill>
        </w:rPr>
        <w:t>。</w:t>
      </w:r>
    </w:p>
    <w:p w14:paraId="377B6C1B">
      <w:pPr>
        <w:spacing w:line="240" w:lineRule="auto"/>
        <w:ind w:firstLine="450"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2.供应商应根据自身的承诺，对照竞争性磋商文件要求在“偏离说明”中注明“正偏离</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14:textFill>
            <w14:solidFill>
              <w14:schemeClr w14:val="tx1"/>
            </w14:solidFill>
          </w14:textFill>
        </w:rPr>
        <w:t>负偏离”或者“无偏离”。既不属于“正偏离”也不属于“负偏离”即为“无偏离”。</w:t>
      </w:r>
    </w:p>
    <w:p w14:paraId="3B62CF19">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3.当本表由多页构成时，需逐页加盖磋商供应商（签章）（属自然人的须逐页签字或个人签章）。</w:t>
      </w:r>
    </w:p>
    <w:p w14:paraId="0AB8B5AD">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p>
    <w:p w14:paraId="17400AD7">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五、产品彩页或说明书、相关检测报告复印件材料.</w:t>
      </w: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48788568">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lang w:val="en-US" w:eastAsia="zh-CN"/>
        </w:rPr>
      </w:pPr>
      <w:r>
        <w:rPr>
          <w:rFonts w:hint="eastAsia" w:hAnsi="宋体"/>
          <w:b/>
          <w:bCs/>
          <w:color w:val="auto"/>
          <w:sz w:val="21"/>
          <w:szCs w:val="21"/>
          <w:highlight w:val="none"/>
          <w:lang w:val="en-US" w:eastAsia="zh-CN"/>
        </w:rPr>
        <w:t>六</w:t>
      </w:r>
      <w:r>
        <w:rPr>
          <w:rFonts w:hint="eastAsia" w:ascii="宋体" w:hAnsi="宋体"/>
          <w:b/>
          <w:bCs/>
          <w:color w:val="auto"/>
          <w:sz w:val="21"/>
          <w:szCs w:val="21"/>
          <w:highlight w:val="none"/>
          <w:lang w:val="en-US" w:eastAsia="zh-CN"/>
        </w:rPr>
        <w:t>、</w:t>
      </w:r>
      <w:r>
        <w:rPr>
          <w:rFonts w:hint="eastAsia" w:ascii="宋体" w:hAnsi="宋体"/>
          <w:color w:val="auto"/>
          <w:sz w:val="21"/>
          <w:szCs w:val="21"/>
          <w:highlight w:val="none"/>
          <w:lang w:val="en-US" w:eastAsia="zh-CN"/>
        </w:rPr>
        <w:t>售后服务（质保）承诺书</w:t>
      </w:r>
      <w:r>
        <w:rPr>
          <w:rFonts w:hint="eastAsia" w:hAnsi="宋体"/>
          <w:color w:val="auto"/>
          <w:sz w:val="21"/>
          <w:szCs w:val="21"/>
          <w:highlight w:val="none"/>
          <w:lang w:val="en-US" w:eastAsia="zh-CN"/>
        </w:rPr>
        <w:t>（对照商务需求编制，格式自拟）</w:t>
      </w:r>
    </w:p>
    <w:p w14:paraId="261BF7CD">
      <w:pPr>
        <w:pStyle w:val="7"/>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782C1EF2">
      <w:pPr>
        <w:pStyle w:val="7"/>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七、其他供应商认为需要提供的佐证材料</w:t>
      </w:r>
    </w:p>
    <w:p w14:paraId="4B569A72">
      <w:pPr>
        <w:rPr>
          <w:rFonts w:hint="eastAsia"/>
          <w:lang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A12ECC"/>
    <w:rsid w:val="0385634A"/>
    <w:rsid w:val="075C1FDF"/>
    <w:rsid w:val="08522889"/>
    <w:rsid w:val="09A165E2"/>
    <w:rsid w:val="09D01A1F"/>
    <w:rsid w:val="09E216CF"/>
    <w:rsid w:val="0A261F09"/>
    <w:rsid w:val="0A78630C"/>
    <w:rsid w:val="0C907EF4"/>
    <w:rsid w:val="0CCE1488"/>
    <w:rsid w:val="0DD323A9"/>
    <w:rsid w:val="0F4547D5"/>
    <w:rsid w:val="106C3E66"/>
    <w:rsid w:val="116C53DA"/>
    <w:rsid w:val="1270351E"/>
    <w:rsid w:val="13385187"/>
    <w:rsid w:val="136F66CF"/>
    <w:rsid w:val="14653485"/>
    <w:rsid w:val="14755F67"/>
    <w:rsid w:val="15405F41"/>
    <w:rsid w:val="15646297"/>
    <w:rsid w:val="158F0328"/>
    <w:rsid w:val="15F5735F"/>
    <w:rsid w:val="16245D2D"/>
    <w:rsid w:val="163B5ED4"/>
    <w:rsid w:val="167B7C85"/>
    <w:rsid w:val="16960ABA"/>
    <w:rsid w:val="16E429B1"/>
    <w:rsid w:val="181977A4"/>
    <w:rsid w:val="183A0746"/>
    <w:rsid w:val="18931219"/>
    <w:rsid w:val="19CC03D7"/>
    <w:rsid w:val="1B3C158C"/>
    <w:rsid w:val="1B827115"/>
    <w:rsid w:val="1C224C26"/>
    <w:rsid w:val="1C911CD4"/>
    <w:rsid w:val="1D2E34F9"/>
    <w:rsid w:val="1EDE4BB1"/>
    <w:rsid w:val="20116292"/>
    <w:rsid w:val="20C04A0E"/>
    <w:rsid w:val="21F941EF"/>
    <w:rsid w:val="226B1834"/>
    <w:rsid w:val="228D7DCA"/>
    <w:rsid w:val="22C5455D"/>
    <w:rsid w:val="23177A13"/>
    <w:rsid w:val="24831EEB"/>
    <w:rsid w:val="24B108F5"/>
    <w:rsid w:val="25627E42"/>
    <w:rsid w:val="25841CAE"/>
    <w:rsid w:val="26E8081A"/>
    <w:rsid w:val="26F31699"/>
    <w:rsid w:val="28335AC5"/>
    <w:rsid w:val="29F574D6"/>
    <w:rsid w:val="2A274666"/>
    <w:rsid w:val="2CFC6DCE"/>
    <w:rsid w:val="2E053A60"/>
    <w:rsid w:val="2E192B63"/>
    <w:rsid w:val="2E3B7996"/>
    <w:rsid w:val="2E5C5811"/>
    <w:rsid w:val="2ED26C99"/>
    <w:rsid w:val="305D4724"/>
    <w:rsid w:val="30A360A7"/>
    <w:rsid w:val="30D60600"/>
    <w:rsid w:val="328E3A88"/>
    <w:rsid w:val="32FB3683"/>
    <w:rsid w:val="34804E44"/>
    <w:rsid w:val="34DA3E98"/>
    <w:rsid w:val="35A87AF3"/>
    <w:rsid w:val="376D2502"/>
    <w:rsid w:val="387F5BEC"/>
    <w:rsid w:val="3962239D"/>
    <w:rsid w:val="3A1E39FD"/>
    <w:rsid w:val="3B2220F5"/>
    <w:rsid w:val="3BCC406B"/>
    <w:rsid w:val="3C3744B2"/>
    <w:rsid w:val="3D4211DA"/>
    <w:rsid w:val="3D6B227E"/>
    <w:rsid w:val="3E0C2BE9"/>
    <w:rsid w:val="3FE4069D"/>
    <w:rsid w:val="3FF34E8C"/>
    <w:rsid w:val="403C5C82"/>
    <w:rsid w:val="42F44377"/>
    <w:rsid w:val="436037BB"/>
    <w:rsid w:val="4470358F"/>
    <w:rsid w:val="45414AA7"/>
    <w:rsid w:val="45C609AE"/>
    <w:rsid w:val="46B579F4"/>
    <w:rsid w:val="476E5110"/>
    <w:rsid w:val="478766CA"/>
    <w:rsid w:val="47BA31C6"/>
    <w:rsid w:val="47BC742D"/>
    <w:rsid w:val="486E744E"/>
    <w:rsid w:val="488A3088"/>
    <w:rsid w:val="495031E8"/>
    <w:rsid w:val="4A28534B"/>
    <w:rsid w:val="4AA30431"/>
    <w:rsid w:val="4CCC1EC1"/>
    <w:rsid w:val="4DBB0BB6"/>
    <w:rsid w:val="4E6F6FA8"/>
    <w:rsid w:val="4F251D5C"/>
    <w:rsid w:val="4FA4766E"/>
    <w:rsid w:val="4FCB6460"/>
    <w:rsid w:val="4FF21C3E"/>
    <w:rsid w:val="500718F9"/>
    <w:rsid w:val="50B7764B"/>
    <w:rsid w:val="52142CBA"/>
    <w:rsid w:val="52391DA6"/>
    <w:rsid w:val="53416DC8"/>
    <w:rsid w:val="53EA6AC0"/>
    <w:rsid w:val="542227FC"/>
    <w:rsid w:val="54B82D62"/>
    <w:rsid w:val="550569E7"/>
    <w:rsid w:val="551E5F54"/>
    <w:rsid w:val="554B0932"/>
    <w:rsid w:val="555E7D76"/>
    <w:rsid w:val="55B92476"/>
    <w:rsid w:val="581E7EC3"/>
    <w:rsid w:val="58A232B0"/>
    <w:rsid w:val="58C46E3D"/>
    <w:rsid w:val="5BDD2F1E"/>
    <w:rsid w:val="5BE64A40"/>
    <w:rsid w:val="5D761C7E"/>
    <w:rsid w:val="5FAF6675"/>
    <w:rsid w:val="5FB06646"/>
    <w:rsid w:val="60915A2A"/>
    <w:rsid w:val="61B63550"/>
    <w:rsid w:val="633A4A17"/>
    <w:rsid w:val="644D16E1"/>
    <w:rsid w:val="64EB3DB4"/>
    <w:rsid w:val="65A76AD5"/>
    <w:rsid w:val="670B56BA"/>
    <w:rsid w:val="67304B07"/>
    <w:rsid w:val="689478DF"/>
    <w:rsid w:val="68D338D7"/>
    <w:rsid w:val="69562FB4"/>
    <w:rsid w:val="6A004D62"/>
    <w:rsid w:val="6A4E0CDE"/>
    <w:rsid w:val="6AA22B0C"/>
    <w:rsid w:val="6B854562"/>
    <w:rsid w:val="6BB9765C"/>
    <w:rsid w:val="6BC730B4"/>
    <w:rsid w:val="6C532B86"/>
    <w:rsid w:val="6CE83C2A"/>
    <w:rsid w:val="6D2F3546"/>
    <w:rsid w:val="6E2F2BE1"/>
    <w:rsid w:val="6F2968A7"/>
    <w:rsid w:val="6F2D6397"/>
    <w:rsid w:val="70E17439"/>
    <w:rsid w:val="731C766A"/>
    <w:rsid w:val="75A44ED9"/>
    <w:rsid w:val="76A474C2"/>
    <w:rsid w:val="77764E10"/>
    <w:rsid w:val="77AD62C7"/>
    <w:rsid w:val="78047EB1"/>
    <w:rsid w:val="78CD4747"/>
    <w:rsid w:val="78E21FA1"/>
    <w:rsid w:val="79E51D5D"/>
    <w:rsid w:val="7B38059E"/>
    <w:rsid w:val="7C047E00"/>
    <w:rsid w:val="7CD10E8D"/>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next w:val="1"/>
    <w:qFormat/>
    <w:uiPriority w:val="0"/>
    <w:rPr>
      <w:rFonts w:ascii="宋体" w:hAnsi="Courier New"/>
      <w:szCs w:val="20"/>
    </w:rPr>
  </w:style>
  <w:style w:type="paragraph" w:styleId="8">
    <w:name w:val="Date"/>
    <w:basedOn w:val="1"/>
    <w:next w:val="1"/>
    <w:link w:val="20"/>
    <w:semiHidden/>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paragraph" w:styleId="17">
    <w:name w:val="Quote"/>
    <w:basedOn w:val="1"/>
    <w:next w:val="1"/>
    <w:qFormat/>
    <w:uiPriority w:val="29"/>
    <w:rPr>
      <w:i/>
      <w:iCs/>
      <w:color w:val="000000" w:themeColor="text1"/>
      <w14:textFill>
        <w14:solidFill>
          <w14:schemeClr w14:val="tx1"/>
        </w14:solidFill>
      </w14:textFill>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日期 字符"/>
    <w:basedOn w:val="15"/>
    <w:link w:val="8"/>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styleId="2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2781</Words>
  <Characters>3143</Characters>
  <Lines>29</Lines>
  <Paragraphs>8</Paragraphs>
  <TotalTime>1</TotalTime>
  <ScaleCrop>false</ScaleCrop>
  <LinksUpToDate>false</LinksUpToDate>
  <CharactersWithSpaces>3298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2026-04-01T00:57:39Z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