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C2D9E">
      <w:pPr>
        <w:spacing w:line="720" w:lineRule="exact"/>
        <w:jc w:val="center"/>
        <w:rPr>
          <w:rFonts w:hint="eastAsia" w:ascii="宋体" w:hAnsi="宋体" w:cs="宋体"/>
          <w:color w:val="000000" w:themeColor="text1"/>
          <w:sz w:val="48"/>
          <w:szCs w:val="48"/>
          <w:highlight w:val="none"/>
          <w14:textFill>
            <w14:solidFill>
              <w14:schemeClr w14:val="tx1"/>
            </w14:solidFill>
          </w14:textFill>
        </w:rPr>
      </w:pPr>
      <w:bookmarkStart w:id="396" w:name="_GoBack"/>
      <w:bookmarkEnd w:id="396"/>
      <w:r>
        <w:rPr>
          <w:rFonts w:hint="eastAsia" w:ascii="华文新魏" w:hAnsi="Courier New" w:eastAsia="华文新魏"/>
          <w:b/>
          <w:bCs/>
          <w:color w:val="000000" w:themeColor="text1"/>
          <w:kern w:val="0"/>
          <w:sz w:val="68"/>
          <w:szCs w:val="68"/>
          <w:highlight w:val="none"/>
          <w14:textFill>
            <w14:solidFill>
              <w14:schemeClr w14:val="tx1"/>
            </w14:solidFill>
          </w14:textFill>
        </w:rPr>
        <w:cr/>
      </w:r>
    </w:p>
    <w:p w14:paraId="28A8ED7B">
      <w:pPr>
        <w:jc w:val="center"/>
        <w:rPr>
          <w:rFonts w:hint="eastAsia" w:ascii="Arial Unicode MS" w:hAnsi="Arial Unicode MS" w:eastAsia="Arial Unicode MS" w:cs="Arial Unicode MS"/>
          <w:sz w:val="44"/>
          <w:szCs w:val="44"/>
        </w:rPr>
      </w:pPr>
      <w:r>
        <w:rPr>
          <w:rFonts w:hint="eastAsia" w:ascii="宋体" w:hAnsi="宋体" w:cs="宋体"/>
          <w:color w:val="000000" w:themeColor="text1"/>
          <w:sz w:val="72"/>
          <w:highlight w:val="none"/>
          <w14:textFill>
            <w14:solidFill>
              <w14:schemeClr w14:val="tx1"/>
            </w14:solidFill>
          </w14:textFill>
        </w:rPr>
        <w:cr/>
      </w:r>
    </w:p>
    <w:p w14:paraId="21DC8F76">
      <w:pPr>
        <w:jc w:val="center"/>
        <w:rPr>
          <w:rFonts w:hint="eastAsia" w:ascii="Arial Unicode MS" w:hAnsi="Arial Unicode MS" w:eastAsia="Arial Unicode MS" w:cs="Arial Unicode MS"/>
          <w:sz w:val="44"/>
          <w:szCs w:val="44"/>
        </w:rPr>
      </w:pPr>
      <w:r>
        <w:rPr>
          <w:rFonts w:hint="eastAsia" w:ascii="Arial Unicode MS" w:hAnsi="Arial Unicode MS" w:eastAsia="Arial Unicode MS" w:cs="Arial Unicode MS"/>
          <w:sz w:val="44"/>
          <w:szCs w:val="44"/>
        </w:rPr>
        <w:t>竞争性磋商文件</w:t>
      </w:r>
    </w:p>
    <w:p w14:paraId="40CAB893">
      <w:pPr>
        <w:pStyle w:val="19"/>
        <w:ind w:firstLine="3990" w:firstLineChars="1900"/>
        <w:rPr>
          <w:rFonts w:hint="eastAsia" w:hAnsi="宋体" w:cs="宋体"/>
          <w:color w:val="000000" w:themeColor="text1"/>
          <w:highlight w:val="none"/>
          <w14:textFill>
            <w14:solidFill>
              <w14:schemeClr w14:val="tx1"/>
            </w14:solidFill>
          </w14:textFill>
        </w:rPr>
      </w:pPr>
    </w:p>
    <w:p w14:paraId="704A3DD7">
      <w:pPr>
        <w:rPr>
          <w:rFonts w:hint="eastAsia" w:ascii="宋体" w:hAnsi="宋体" w:cs="宋体"/>
          <w:b/>
          <w:bCs/>
          <w:color w:val="000000" w:themeColor="text1"/>
          <w:spacing w:val="40"/>
          <w:sz w:val="32"/>
          <w:highlight w:val="none"/>
          <w14:textFill>
            <w14:solidFill>
              <w14:schemeClr w14:val="tx1"/>
            </w14:solidFill>
          </w14:textFill>
        </w:rPr>
      </w:pPr>
    </w:p>
    <w:p w14:paraId="25B6D51D">
      <w:pPr>
        <w:pStyle w:val="10"/>
        <w:rPr>
          <w:rFonts w:hint="eastAsia" w:ascii="宋体" w:hAnsi="宋体" w:cs="宋体"/>
          <w:b/>
          <w:bCs/>
          <w:color w:val="000000" w:themeColor="text1"/>
          <w:spacing w:val="40"/>
          <w:sz w:val="32"/>
          <w:highlight w:val="none"/>
          <w14:textFill>
            <w14:solidFill>
              <w14:schemeClr w14:val="tx1"/>
            </w14:solidFill>
          </w14:textFill>
        </w:rPr>
      </w:pPr>
    </w:p>
    <w:p w14:paraId="23D76D8F">
      <w:pPr>
        <w:rPr>
          <w:rFonts w:hint="eastAsia"/>
          <w:color w:val="000000" w:themeColor="text1"/>
          <w14:textFill>
            <w14:solidFill>
              <w14:schemeClr w14:val="tx1"/>
            </w14:solidFill>
          </w14:textFill>
        </w:rPr>
      </w:pPr>
    </w:p>
    <w:p w14:paraId="3A57F1B6">
      <w:pPr>
        <w:keepNext w:val="0"/>
        <w:keepLines w:val="0"/>
        <w:pageBreakBefore w:val="0"/>
        <w:widowControl w:val="0"/>
        <w:kinsoku/>
        <w:wordWrap/>
        <w:overflowPunct/>
        <w:topLinePunct w:val="0"/>
        <w:autoSpaceDE/>
        <w:autoSpaceDN/>
        <w:bidi w:val="0"/>
        <w:adjustRightInd/>
        <w:snapToGrid/>
        <w:ind w:firstLine="1285" w:firstLineChars="400"/>
        <w:textAlignment w:val="auto"/>
        <w:rPr>
          <w:rFonts w:hint="eastAsia" w:ascii="宋体" w:hAnsi="宋体" w:eastAsia="宋体" w:cs="宋体"/>
          <w:sz w:val="32"/>
          <w:szCs w:val="32"/>
          <w:lang w:val="en-US" w:eastAsia="zh-CN"/>
        </w:rPr>
      </w:pPr>
      <w:r>
        <w:rPr>
          <w:rFonts w:hint="eastAsia" w:ascii="宋体" w:hAnsi="宋体" w:eastAsia="宋体" w:cs="宋体"/>
          <w:b/>
          <w:bCs/>
          <w:sz w:val="32"/>
          <w:szCs w:val="32"/>
        </w:rPr>
        <w:t>项目名称</w:t>
      </w:r>
      <w:r>
        <w:rPr>
          <w:rFonts w:hint="eastAsia" w:ascii="宋体" w:hAnsi="宋体" w:eastAsia="宋体" w:cs="宋体"/>
          <w:sz w:val="32"/>
          <w:szCs w:val="32"/>
        </w:rPr>
        <w:t>：</w:t>
      </w:r>
      <w:r>
        <w:rPr>
          <w:rFonts w:hint="eastAsia" w:ascii="宋体" w:hAnsi="宋体" w:eastAsia="宋体" w:cs="宋体"/>
          <w:sz w:val="32"/>
          <w:szCs w:val="32"/>
          <w:lang w:val="en-US" w:eastAsia="zh-CN"/>
        </w:rPr>
        <w:t>治安监控室视频监控系统维护保养项目</w:t>
      </w:r>
    </w:p>
    <w:p w14:paraId="1FA473BD">
      <w:pPr>
        <w:keepNext w:val="0"/>
        <w:keepLines w:val="0"/>
        <w:pageBreakBefore w:val="0"/>
        <w:widowControl w:val="0"/>
        <w:kinsoku/>
        <w:wordWrap/>
        <w:overflowPunct/>
        <w:topLinePunct w:val="0"/>
        <w:autoSpaceDE/>
        <w:autoSpaceDN/>
        <w:bidi w:val="0"/>
        <w:adjustRightInd/>
        <w:snapToGrid/>
        <w:ind w:firstLine="1285" w:firstLineChars="400"/>
        <w:textAlignment w:val="auto"/>
        <w:rPr>
          <w:rFonts w:hint="eastAsia" w:ascii="宋体" w:hAnsi="宋体" w:eastAsia="宋体" w:cs="宋体"/>
          <w:sz w:val="32"/>
          <w:szCs w:val="32"/>
          <w:lang w:eastAsia="zh-CN"/>
        </w:rPr>
      </w:pPr>
      <w:r>
        <w:rPr>
          <w:rFonts w:hint="eastAsia" w:ascii="宋体" w:hAnsi="宋体" w:eastAsia="宋体" w:cs="宋体"/>
          <w:b/>
          <w:bCs/>
          <w:sz w:val="32"/>
          <w:szCs w:val="32"/>
        </w:rPr>
        <w:t>项目编号</w:t>
      </w:r>
      <w:r>
        <w:rPr>
          <w:rFonts w:hint="eastAsia" w:ascii="宋体" w:hAnsi="宋体" w:eastAsia="宋体" w:cs="宋体"/>
          <w:sz w:val="32"/>
          <w:szCs w:val="32"/>
        </w:rPr>
        <w:t>：</w:t>
      </w:r>
      <w:r>
        <w:rPr>
          <w:rFonts w:hint="eastAsia" w:ascii="宋体" w:hAnsi="宋体" w:eastAsia="宋体" w:cs="宋体"/>
          <w:sz w:val="32"/>
          <w:szCs w:val="32"/>
          <w:lang w:eastAsia="zh-CN"/>
        </w:rPr>
        <w:t>GXGSYY-CGB-BZB-2026-03</w:t>
      </w:r>
    </w:p>
    <w:p w14:paraId="60EA0E00">
      <w:pPr>
        <w:keepNext w:val="0"/>
        <w:keepLines w:val="0"/>
        <w:pageBreakBefore w:val="0"/>
        <w:widowControl w:val="0"/>
        <w:kinsoku/>
        <w:wordWrap/>
        <w:overflowPunct/>
        <w:topLinePunct w:val="0"/>
        <w:autoSpaceDE/>
        <w:autoSpaceDN/>
        <w:bidi w:val="0"/>
        <w:adjustRightInd/>
        <w:snapToGrid/>
        <w:ind w:firstLine="1280" w:firstLineChars="400"/>
        <w:textAlignment w:val="auto"/>
        <w:rPr>
          <w:rFonts w:hint="eastAsia" w:ascii="宋体" w:hAnsi="宋体" w:eastAsia="宋体" w:cs="宋体"/>
          <w:sz w:val="32"/>
          <w:szCs w:val="32"/>
          <w:lang w:eastAsia="zh-CN"/>
        </w:rPr>
      </w:pPr>
      <w:r>
        <w:rPr>
          <w:rFonts w:hint="eastAsia" w:ascii="宋体" w:hAnsi="宋体" w:cs="宋体"/>
          <w:sz w:val="32"/>
          <w:szCs w:val="32"/>
          <w:lang w:val="en-US" w:eastAsia="zh-CN"/>
        </w:rPr>
        <w:t>采购人：广西骨伤医院</w:t>
      </w:r>
    </w:p>
    <w:p w14:paraId="3DE7F24E">
      <w:pPr>
        <w:pStyle w:val="10"/>
        <w:rPr>
          <w:rFonts w:hint="eastAsia" w:ascii="宋体" w:hAnsi="宋体" w:cs="宋体"/>
          <w:b/>
          <w:bCs/>
          <w:color w:val="000000" w:themeColor="text1"/>
          <w:spacing w:val="6"/>
          <w:sz w:val="32"/>
          <w:highlight w:val="none"/>
          <w14:textFill>
            <w14:solidFill>
              <w14:schemeClr w14:val="tx1"/>
            </w14:solidFill>
          </w14:textFill>
        </w:rPr>
      </w:pPr>
    </w:p>
    <w:p w14:paraId="3EA06F7B">
      <w:pPr>
        <w:rPr>
          <w:rFonts w:hint="eastAsia" w:ascii="宋体" w:hAnsi="宋体" w:cs="宋体"/>
          <w:b/>
          <w:bCs/>
          <w:color w:val="000000" w:themeColor="text1"/>
          <w:spacing w:val="6"/>
          <w:sz w:val="32"/>
          <w:highlight w:val="none"/>
          <w14:textFill>
            <w14:solidFill>
              <w14:schemeClr w14:val="tx1"/>
            </w14:solidFill>
          </w14:textFill>
        </w:rPr>
      </w:pPr>
    </w:p>
    <w:p w14:paraId="2370F4FC">
      <w:pPr>
        <w:pStyle w:val="1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1049655</wp:posOffset>
                </wp:positionH>
                <wp:positionV relativeFrom="paragraph">
                  <wp:posOffset>8106410</wp:posOffset>
                </wp:positionV>
                <wp:extent cx="5894070" cy="635"/>
                <wp:effectExtent l="0" t="23495" r="11430" b="33020"/>
                <wp:wrapNone/>
                <wp:docPr id="5" name="直接连接符 10"/>
                <wp:cNvGraphicFramePr/>
                <a:graphic xmlns:a="http://schemas.openxmlformats.org/drawingml/2006/main">
                  <a:graphicData uri="http://schemas.microsoft.com/office/word/2010/wordprocessingShape">
                    <wps:wsp>
                      <wps:cNvCnPr/>
                      <wps:spPr>
                        <a:xfrm>
                          <a:off x="0" y="0"/>
                          <a:ext cx="5894070" cy="635"/>
                        </a:xfrm>
                        <a:prstGeom prst="line">
                          <a:avLst/>
                        </a:prstGeom>
                        <a:ln w="47625" cap="flat" cmpd="thinThick">
                          <a:solidFill>
                            <a:srgbClr val="000000"/>
                          </a:solidFill>
                          <a:prstDash val="solid"/>
                          <a:headEnd type="none" w="med" len="med"/>
                          <a:tailEnd type="none" w="med" len="med"/>
                        </a:ln>
                      </wps:spPr>
                      <wps:bodyPr upright="1"/>
                    </wps:wsp>
                  </a:graphicData>
                </a:graphic>
              </wp:anchor>
            </w:drawing>
          </mc:Choice>
          <mc:Fallback>
            <w:pict>
              <v:line id="直接连接符 10" o:spid="_x0000_s1026" o:spt="20" style="position:absolute;left:0pt;margin-left:82.65pt;margin-top:638.3pt;height:0.05pt;width:464.1pt;z-index:251662336;mso-width-relative:page;mso-height-relative:page;" filled="f" stroked="t" coordsize="21600,21600" o:gfxdata="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vjDJ2wAAAA4BAAAPAAAAAAAAAAEAIAAAACIAAABkcnMvZG93&#10;bnJldi54bWxQSwECFAAUAAAACACHTuJAQJD1Gf0BAADuAwAADgAAAAAAAAABACAAAAAqAQAAZHJz&#10;L2Uyb0RvYy54bWxQSwUGAAAAAAYABgBZAQAAmQUAAAAA&#10;">
                <v:fill on="f" focussize="0,0"/>
                <v:stroke weight="3.75pt" color="#000000" linestyle="thinThick" joinstyle="round"/>
                <v:imagedata o:title=""/>
                <o:lock v:ext="edit" aspectratio="f"/>
              </v:line>
            </w:pict>
          </mc:Fallback>
        </mc:AlternateContent>
      </w: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897255</wp:posOffset>
                </wp:positionH>
                <wp:positionV relativeFrom="paragraph">
                  <wp:posOffset>7954010</wp:posOffset>
                </wp:positionV>
                <wp:extent cx="5894070" cy="635"/>
                <wp:effectExtent l="0" t="0" r="0" b="0"/>
                <wp:wrapNone/>
                <wp:docPr id="4" name="直接连接符 9"/>
                <wp:cNvGraphicFramePr/>
                <a:graphic xmlns:a="http://schemas.openxmlformats.org/drawingml/2006/main">
                  <a:graphicData uri="http://schemas.microsoft.com/office/word/2010/wordprocessingShape">
                    <wps:wsp>
                      <wps:cNvCnPr/>
                      <wps:spPr>
                        <a:xfrm>
                          <a:off x="0" y="0"/>
                          <a:ext cx="5894070" cy="635"/>
                        </a:xfrm>
                        <a:prstGeom prst="line">
                          <a:avLst/>
                        </a:prstGeom>
                        <a:ln w="25400" cap="flat" cmpd="sng">
                          <a:solidFill>
                            <a:srgbClr val="4F81BD"/>
                          </a:solidFill>
                          <a:prstDash val="solid"/>
                          <a:headEnd type="none" w="med" len="med"/>
                          <a:tailEnd type="none" w="med" len="med"/>
                        </a:ln>
                      </wps:spPr>
                      <wps:bodyPr upright="1"/>
                    </wps:wsp>
                  </a:graphicData>
                </a:graphic>
              </wp:anchor>
            </w:drawing>
          </mc:Choice>
          <mc:Fallback>
            <w:pict>
              <v:line id="直接连接符 9" o:spid="_x0000_s1026" o:spt="20" style="position:absolute;left:0pt;margin-left:70.65pt;margin-top:626.3pt;height:0.05pt;width:464.1pt;z-index:251661312;mso-width-relative:page;mso-height-relative:page;" filled="f" stroked="t" coordsize="21600,21600" o:gfxdata="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Xz2D2AAAAA4BAAAPAAAAAAAAAAEAIAAAACIAAABkcnMvZG93bnJldi54&#10;bWxQSwECFAAUAAAACACHTuJAyQm0KPoBAADnAwAADgAAAAAAAAABACAAAAAnAQAAZHJzL2Uyb0Rv&#10;Yy54bWxQSwUGAAAAAAYABgBZAQAAkwUAAAAA&#10;">
                <v:fill on="f" focussize="0,0"/>
                <v:stroke weight="2pt" color="#4F81BD" joinstyle="round"/>
                <v:imagedata o:title=""/>
                <o:lock v:ext="edit" aspectratio="f"/>
              </v:line>
            </w:pict>
          </mc:Fallback>
        </mc:AlternateContent>
      </w:r>
    </w:p>
    <w:p w14:paraId="59C08685">
      <w:pPr>
        <w:pStyle w:val="10"/>
        <w:rPr>
          <w:rFonts w:hint="eastAsia" w:ascii="宋体" w:hAnsi="宋体" w:eastAsia="宋体" w:cs="宋体"/>
          <w:color w:val="000000" w:themeColor="text1"/>
          <w:highlight w:val="none"/>
          <w14:textFill>
            <w14:solidFill>
              <w14:schemeClr w14:val="tx1"/>
            </w14:solidFill>
          </w14:textFill>
        </w:rPr>
      </w:pPr>
    </w:p>
    <w:p w14:paraId="5575C0FF">
      <w:pPr>
        <w:pStyle w:val="10"/>
        <w:rPr>
          <w:rFonts w:hint="eastAsia" w:ascii="宋体" w:hAnsi="宋体" w:eastAsia="宋体" w:cs="宋体"/>
          <w:color w:val="000000" w:themeColor="text1"/>
          <w:highlight w:val="none"/>
          <w14:textFill>
            <w14:solidFill>
              <w14:schemeClr w14:val="tx1"/>
            </w14:solidFill>
          </w14:textFill>
        </w:rPr>
      </w:pPr>
    </w:p>
    <w:p w14:paraId="0B9E7D33">
      <w:pPr>
        <w:pStyle w:val="10"/>
        <w:rPr>
          <w:rFonts w:hint="eastAsia" w:ascii="宋体" w:hAnsi="宋体" w:eastAsia="宋体" w:cs="宋体"/>
          <w:color w:val="000000" w:themeColor="text1"/>
          <w:highlight w:val="none"/>
          <w14:textFill>
            <w14:solidFill>
              <w14:schemeClr w14:val="tx1"/>
            </w14:solidFill>
          </w14:textFill>
        </w:rPr>
      </w:pPr>
    </w:p>
    <w:p w14:paraId="1EA8B008">
      <w:pPr>
        <w:pStyle w:val="10"/>
        <w:rPr>
          <w:rFonts w:hint="eastAsia"/>
          <w:color w:val="000000" w:themeColor="text1"/>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897255</wp:posOffset>
                </wp:positionH>
                <wp:positionV relativeFrom="paragraph">
                  <wp:posOffset>7954010</wp:posOffset>
                </wp:positionV>
                <wp:extent cx="5894070" cy="635"/>
                <wp:effectExtent l="0" t="0" r="0" b="0"/>
                <wp:wrapNone/>
                <wp:docPr id="3" name="直接连接符 7"/>
                <wp:cNvGraphicFramePr/>
                <a:graphic xmlns:a="http://schemas.openxmlformats.org/drawingml/2006/main">
                  <a:graphicData uri="http://schemas.microsoft.com/office/word/2010/wordprocessingShape">
                    <wps:wsp>
                      <wps:cNvCnPr/>
                      <wps:spPr>
                        <a:xfrm>
                          <a:off x="0" y="0"/>
                          <a:ext cx="5894070" cy="635"/>
                        </a:xfrm>
                        <a:prstGeom prst="line">
                          <a:avLst/>
                        </a:prstGeom>
                        <a:ln w="25400" cap="flat" cmpd="sng">
                          <a:solidFill>
                            <a:srgbClr val="4F81BD"/>
                          </a:solidFill>
                          <a:prstDash val="solid"/>
                          <a:headEnd type="none" w="med" len="med"/>
                          <a:tailEnd type="none" w="med" len="med"/>
                        </a:ln>
                      </wps:spPr>
                      <wps:bodyPr upright="1"/>
                    </wps:wsp>
                  </a:graphicData>
                </a:graphic>
              </wp:anchor>
            </w:drawing>
          </mc:Choice>
          <mc:Fallback>
            <w:pict>
              <v:line id="直接连接符 7" o:spid="_x0000_s1026" o:spt="20" style="position:absolute;left:0pt;margin-left:70.65pt;margin-top:626.3pt;height:0.05pt;width:464.1pt;z-index:251660288;mso-width-relative:page;mso-height-relative:page;" filled="f" stroked="t" coordsize="21600,21600" o:gfxdata="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l89g9gAAAAOAQAADwAAAAAAAAABACAAAAAiAAAAZHJzL2Rvd25yZXYu&#10;eG1sUEsBAhQAFAAAAAgAh07iQEgrMrf7AQAA5wMAAA4AAAAAAAAAAQAgAAAAJwEAAGRycy9lMm9E&#10;b2MueG1sUEsFBgAAAAAGAAYAWQEAAJQFAAAAAA==&#10;">
                <v:fill on="f" focussize="0,0"/>
                <v:stroke weight="2pt" color="#4F81BD" joinstyle="round"/>
                <v:imagedata o:title=""/>
                <o:lock v:ext="edit" aspectratio="f"/>
              </v:line>
            </w:pict>
          </mc:Fallback>
        </mc:AlternateContent>
      </w:r>
    </w:p>
    <w:p w14:paraId="742AA61C">
      <w:pPr>
        <w:rPr>
          <w:rFonts w:hint="eastAsia" w:ascii="宋体" w:hAnsi="宋体" w:cs="宋体"/>
          <w:color w:val="000000" w:themeColor="text1"/>
          <w:highlight w:val="none"/>
          <w14:textFill>
            <w14:solidFill>
              <w14:schemeClr w14:val="tx1"/>
            </w14:solidFill>
          </w14:textFill>
        </w:rPr>
      </w:pPr>
    </w:p>
    <w:p w14:paraId="5C41EE69">
      <w:pPr>
        <w:jc w:val="center"/>
        <w:rPr>
          <w:rFonts w:hint="eastAsia" w:ascii="宋体" w:hAnsi="宋体" w:cs="宋体"/>
          <w:b/>
          <w:bCs/>
          <w:color w:val="000000" w:themeColor="text1"/>
          <w:kern w:val="0"/>
          <w:sz w:val="30"/>
          <w:szCs w:val="30"/>
          <w:highlight w:val="none"/>
          <w14:textFill>
            <w14:solidFill>
              <w14:schemeClr w14:val="tx1"/>
            </w14:solidFill>
          </w14:textFill>
        </w:rPr>
      </w:pPr>
      <w:r>
        <w:rPr>
          <w:rFonts w:hint="eastAsia" w:ascii="宋体" w:hAnsi="宋体" w:cs="宋体"/>
          <w:b/>
          <w:bCs/>
          <w:color w:val="000000" w:themeColor="text1"/>
          <w:kern w:val="0"/>
          <w:sz w:val="30"/>
          <w:szCs w:val="30"/>
          <w:highlight w:val="none"/>
          <w14:textFill>
            <w14:solidFill>
              <w14:schemeClr w14:val="tx1"/>
            </w14:solidFill>
          </w14:textFill>
        </w:rPr>
        <w:cr/>
      </w:r>
      <w:r>
        <w:rPr>
          <w:rFonts w:hint="eastAsia" w:ascii="宋体" w:hAnsi="宋体" w:cs="宋体"/>
          <w:b/>
          <w:bCs/>
          <w:color w:val="000000" w:themeColor="text1"/>
          <w:kern w:val="0"/>
          <w:sz w:val="30"/>
          <w:szCs w:val="30"/>
          <w:highlight w:val="none"/>
          <w14:textFill>
            <w14:solidFill>
              <w14:schemeClr w14:val="tx1"/>
            </w14:solidFill>
          </w14:textFill>
        </w:rPr>
        <w:t>202</w:t>
      </w:r>
      <w:r>
        <w:rPr>
          <w:rFonts w:hint="eastAsia" w:ascii="宋体" w:hAnsi="宋体" w:cs="宋体"/>
          <w:b/>
          <w:bCs/>
          <w:color w:val="000000" w:themeColor="text1"/>
          <w:kern w:val="0"/>
          <w:sz w:val="30"/>
          <w:szCs w:val="30"/>
          <w:highlight w:val="none"/>
          <w:lang w:val="en-US" w:eastAsia="zh-CN"/>
          <w14:textFill>
            <w14:solidFill>
              <w14:schemeClr w14:val="tx1"/>
            </w14:solidFill>
          </w14:textFill>
        </w:rPr>
        <w:t>6</w:t>
      </w:r>
      <w:r>
        <w:rPr>
          <w:rFonts w:hint="eastAsia" w:ascii="宋体" w:hAnsi="宋体" w:cs="宋体"/>
          <w:b/>
          <w:bCs/>
          <w:color w:val="000000" w:themeColor="text1"/>
          <w:kern w:val="0"/>
          <w:sz w:val="30"/>
          <w:szCs w:val="30"/>
          <w:highlight w:val="none"/>
          <w14:textFill>
            <w14:solidFill>
              <w14:schemeClr w14:val="tx1"/>
            </w14:solidFill>
          </w14:textFill>
        </w:rPr>
        <w:t>年</w:t>
      </w:r>
      <w:r>
        <w:rPr>
          <w:rFonts w:hint="eastAsia" w:ascii="宋体" w:hAnsi="宋体" w:cs="宋体"/>
          <w:b/>
          <w:bCs/>
          <w:color w:val="000000" w:themeColor="text1"/>
          <w:kern w:val="0"/>
          <w:sz w:val="30"/>
          <w:szCs w:val="30"/>
          <w:highlight w:val="none"/>
          <w:lang w:val="en-US" w:eastAsia="zh-CN"/>
          <w14:textFill>
            <w14:solidFill>
              <w14:schemeClr w14:val="tx1"/>
            </w14:solidFill>
          </w14:textFill>
        </w:rPr>
        <w:t>03</w:t>
      </w:r>
      <w:r>
        <w:rPr>
          <w:rFonts w:hint="eastAsia" w:ascii="宋体" w:hAnsi="宋体" w:cs="宋体"/>
          <w:b/>
          <w:bCs/>
          <w:color w:val="000000" w:themeColor="text1"/>
          <w:kern w:val="0"/>
          <w:sz w:val="30"/>
          <w:szCs w:val="30"/>
          <w:highlight w:val="none"/>
          <w14:textFill>
            <w14:solidFill>
              <w14:schemeClr w14:val="tx1"/>
            </w14:solidFill>
          </w14:textFill>
        </w:rPr>
        <w:t>月</w:t>
      </w:r>
    </w:p>
    <w:p w14:paraId="100C863E">
      <w:pPr>
        <w:pStyle w:val="75"/>
        <w:spacing w:line="360" w:lineRule="exact"/>
        <w:jc w:val="center"/>
        <w:rPr>
          <w:rFonts w:ascii="Arial" w:hAnsi="Arial" w:eastAsia="宋体" w:cs="Arial"/>
          <w:color w:val="000000" w:themeColor="text1"/>
          <w:highlight w:val="none"/>
          <w:lang w:val="zh-CN"/>
          <w14:textFill>
            <w14:solidFill>
              <w14:schemeClr w14:val="tx1"/>
            </w14:solidFill>
          </w14:textFill>
        </w:rPr>
        <w:sectPr>
          <w:headerReference r:id="rId3" w:type="default"/>
          <w:pgSz w:w="11906" w:h="16838"/>
          <w:pgMar w:top="1440" w:right="1080" w:bottom="1440" w:left="1080" w:header="851" w:footer="992" w:gutter="0"/>
          <w:pgNumType w:fmt="decimal"/>
          <w:cols w:space="720" w:num="1"/>
          <w:docGrid w:type="lines" w:linePitch="312" w:charSpace="0"/>
        </w:sectPr>
      </w:pPr>
    </w:p>
    <w:p w14:paraId="041FDC5F">
      <w:pPr>
        <w:jc w:val="center"/>
        <w:rPr>
          <w:rFonts w:ascii="Arial" w:hAnsi="Arial" w:cs="Arial"/>
          <w:b/>
          <w:bCs/>
          <w:color w:val="000000" w:themeColor="text1"/>
          <w:sz w:val="40"/>
          <w:szCs w:val="48"/>
          <w:highlight w:val="none"/>
          <w14:textFill>
            <w14:solidFill>
              <w14:schemeClr w14:val="tx1"/>
            </w14:solidFill>
          </w14:textFill>
        </w:rPr>
      </w:pPr>
      <w:r>
        <w:rPr>
          <w:rFonts w:ascii="Arial" w:hAnsi="Arial" w:cs="Arial"/>
          <w:b/>
          <w:bCs/>
          <w:color w:val="000000" w:themeColor="text1"/>
          <w:sz w:val="40"/>
          <w:szCs w:val="48"/>
          <w:highlight w:val="none"/>
          <w14:textFill>
            <w14:solidFill>
              <w14:schemeClr w14:val="tx1"/>
            </w14:solidFill>
          </w14:textFill>
        </w:rPr>
        <w:t>目</w:t>
      </w:r>
      <w:r>
        <w:rPr>
          <w:rFonts w:hint="eastAsia" w:ascii="Arial" w:hAnsi="Arial" w:cs="Arial"/>
          <w:b/>
          <w:bCs/>
          <w:color w:val="000000" w:themeColor="text1"/>
          <w:sz w:val="40"/>
          <w:szCs w:val="48"/>
          <w:highlight w:val="none"/>
          <w:lang w:val="en-US" w:eastAsia="zh-CN"/>
          <w14:textFill>
            <w14:solidFill>
              <w14:schemeClr w14:val="tx1"/>
            </w14:solidFill>
          </w14:textFill>
        </w:rPr>
        <w:t xml:space="preserve"> </w:t>
      </w:r>
      <w:r>
        <w:rPr>
          <w:rFonts w:ascii="Arial" w:hAnsi="Arial" w:cs="Arial"/>
          <w:b/>
          <w:bCs/>
          <w:color w:val="000000" w:themeColor="text1"/>
          <w:sz w:val="40"/>
          <w:szCs w:val="48"/>
          <w:highlight w:val="none"/>
          <w14:textFill>
            <w14:solidFill>
              <w14:schemeClr w14:val="tx1"/>
            </w14:solidFill>
          </w14:textFill>
        </w:rPr>
        <w:t xml:space="preserve"> 录</w:t>
      </w:r>
    </w:p>
    <w:p w14:paraId="09738439">
      <w:pPr>
        <w:spacing w:line="360" w:lineRule="auto"/>
        <w:rPr>
          <w:rFonts w:ascii="Arial" w:hAnsi="Arial" w:cs="Arial"/>
          <w:color w:val="000000" w:themeColor="text1"/>
          <w:sz w:val="28"/>
          <w:szCs w:val="28"/>
          <w:highlight w:val="none"/>
          <w14:textFill>
            <w14:solidFill>
              <w14:schemeClr w14:val="tx1"/>
            </w14:solidFill>
          </w14:textFill>
        </w:rPr>
      </w:pPr>
    </w:p>
    <w:p w14:paraId="0513B4D3">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TOC \o "1-3" \h \u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_Toc4150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第一章  磋商公告</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_Toc4150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1</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92E1BAF">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_Toc19220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kern w:val="44"/>
          <w:sz w:val="28"/>
          <w:szCs w:val="28"/>
          <w:highlight w:val="none"/>
          <w14:textFill>
            <w14:solidFill>
              <w14:schemeClr w14:val="tx1"/>
            </w14:solidFill>
          </w14:textFill>
        </w:rPr>
        <w:t>第二章  供应商须知</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_Toc19220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4</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29642816">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_Toc88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第三章  采购需求</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_Toc88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22</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91D5B7D">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_Toc7344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第四章  评审</w:t>
      </w:r>
      <w:r>
        <w:rPr>
          <w:rFonts w:hint="eastAsia" w:ascii="宋体" w:hAnsi="宋体" w:cs="宋体"/>
          <w:bCs/>
          <w:color w:val="000000" w:themeColor="text1"/>
          <w:sz w:val="28"/>
          <w:szCs w:val="28"/>
          <w:highlight w:val="none"/>
          <w:lang w:val="en-US" w:eastAsia="zh-CN"/>
          <w14:textFill>
            <w14:solidFill>
              <w14:schemeClr w14:val="tx1"/>
            </w14:solidFill>
          </w14:textFill>
        </w:rPr>
        <w:t>标准及</w:t>
      </w:r>
      <w:r>
        <w:rPr>
          <w:rFonts w:hint="eastAsia" w:ascii="宋体" w:hAnsi="宋体" w:cs="宋体"/>
          <w:bCs/>
          <w:color w:val="000000" w:themeColor="text1"/>
          <w:sz w:val="28"/>
          <w:szCs w:val="28"/>
          <w:highlight w:val="none"/>
          <w14:textFill>
            <w14:solidFill>
              <w14:schemeClr w14:val="tx1"/>
            </w14:solidFill>
          </w14:textFill>
        </w:rPr>
        <w:t>办法</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_Toc7344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25</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58B663F2">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_Toc25587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 xml:space="preserve">第五章  </w:t>
      </w:r>
      <w:r>
        <w:rPr>
          <w:rFonts w:hint="eastAsia" w:ascii="宋体" w:hAnsi="宋体" w:cs="宋体"/>
          <w:bCs/>
          <w:color w:val="000000" w:themeColor="text1"/>
          <w:sz w:val="28"/>
          <w:szCs w:val="28"/>
          <w:highlight w:val="none"/>
          <w:lang w:val="en-US" w:eastAsia="zh-CN"/>
          <w14:textFill>
            <w14:solidFill>
              <w14:schemeClr w14:val="tx1"/>
            </w14:solidFill>
          </w14:textFill>
        </w:rPr>
        <w:t>拟</w:t>
      </w:r>
      <w:r>
        <w:rPr>
          <w:rFonts w:hint="eastAsia" w:ascii="宋体" w:hAnsi="宋体" w:cs="宋体"/>
          <w:bCs/>
          <w:color w:val="000000" w:themeColor="text1"/>
          <w:sz w:val="28"/>
          <w:szCs w:val="28"/>
          <w:highlight w:val="none"/>
          <w14:textFill>
            <w14:solidFill>
              <w14:schemeClr w14:val="tx1"/>
            </w14:solidFill>
          </w14:textFill>
        </w:rPr>
        <w:t>合同条款及格式</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_Toc25587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30</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304163BB">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_Toc23685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第六章  响应文件（格式）</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_Toc23685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30</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6DD2C36">
      <w:pPr>
        <w:spacing w:line="600" w:lineRule="auto"/>
        <w:outlineLvl w:val="0"/>
        <w:rPr>
          <w:rFonts w:ascii="Arial" w:hAnsi="Arial" w:cs="Arial"/>
          <w:color w:val="000000" w:themeColor="text1"/>
          <w:sz w:val="72"/>
          <w:szCs w:val="72"/>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end"/>
      </w:r>
    </w:p>
    <w:p w14:paraId="40FF1FDC">
      <w:pPr>
        <w:rPr>
          <w:color w:val="000000" w:themeColor="text1"/>
          <w:highlight w:val="none"/>
          <w14:textFill>
            <w14:solidFill>
              <w14:schemeClr w14:val="tx1"/>
            </w14:solidFill>
          </w14:textFill>
        </w:rPr>
      </w:pPr>
    </w:p>
    <w:p w14:paraId="42F55F9C">
      <w:pPr>
        <w:rPr>
          <w:color w:val="000000" w:themeColor="text1"/>
          <w:highlight w:val="none"/>
          <w14:textFill>
            <w14:solidFill>
              <w14:schemeClr w14:val="tx1"/>
            </w14:solidFill>
          </w14:textFill>
        </w:rPr>
      </w:pPr>
    </w:p>
    <w:p w14:paraId="39389FCB">
      <w:pPr>
        <w:rPr>
          <w:color w:val="000000" w:themeColor="text1"/>
          <w:highlight w:val="none"/>
          <w14:textFill>
            <w14:solidFill>
              <w14:schemeClr w14:val="tx1"/>
            </w14:solidFill>
          </w14:textFill>
        </w:rPr>
      </w:pPr>
    </w:p>
    <w:p w14:paraId="751F02DD">
      <w:pPr>
        <w:rPr>
          <w:color w:val="000000" w:themeColor="text1"/>
          <w:highlight w:val="none"/>
          <w14:textFill>
            <w14:solidFill>
              <w14:schemeClr w14:val="tx1"/>
            </w14:solidFill>
          </w14:textFill>
        </w:rPr>
      </w:pPr>
    </w:p>
    <w:p w14:paraId="2D41A366">
      <w:pPr>
        <w:rPr>
          <w:color w:val="000000" w:themeColor="text1"/>
          <w:highlight w:val="none"/>
          <w14:textFill>
            <w14:solidFill>
              <w14:schemeClr w14:val="tx1"/>
            </w14:solidFill>
          </w14:textFill>
        </w:rPr>
      </w:pPr>
    </w:p>
    <w:p w14:paraId="0C6C81DC">
      <w:pPr>
        <w:tabs>
          <w:tab w:val="left" w:pos="5443"/>
        </w:tabs>
        <w:jc w:val="left"/>
        <w:rPr>
          <w:color w:val="000000" w:themeColor="text1"/>
          <w:highlight w:val="none"/>
          <w14:textFill>
            <w14:solidFill>
              <w14:schemeClr w14:val="tx1"/>
            </w14:solidFill>
          </w14:textFill>
        </w:rPr>
        <w:sectPr>
          <w:pgSz w:w="11906" w:h="16838"/>
          <w:pgMar w:top="1440" w:right="1080" w:bottom="1440" w:left="1080" w:header="851" w:footer="992" w:gutter="0"/>
          <w:pgNumType w:fmt="decimal" w:start="1"/>
          <w:cols w:space="720" w:num="1"/>
          <w:docGrid w:type="lines" w:linePitch="312" w:charSpace="0"/>
        </w:sectPr>
      </w:pPr>
      <w:r>
        <w:rPr>
          <w:rFonts w:hint="eastAsia"/>
          <w:color w:val="000000" w:themeColor="text1"/>
          <w:highlight w:val="none"/>
          <w14:textFill>
            <w14:solidFill>
              <w14:schemeClr w14:val="tx1"/>
            </w14:solidFill>
          </w14:textFill>
        </w:rPr>
        <w:tab/>
      </w:r>
    </w:p>
    <w:p w14:paraId="2669BBC2">
      <w:pPr>
        <w:pStyle w:val="2"/>
        <w:rPr>
          <w:rFonts w:hint="eastAsia"/>
          <w:color w:val="000000" w:themeColor="text1"/>
          <w:highlight w:val="none"/>
          <w14:textFill>
            <w14:solidFill>
              <w14:schemeClr w14:val="tx1"/>
            </w14:solidFill>
          </w14:textFill>
        </w:rPr>
        <w:sectPr>
          <w:headerReference r:id="rId4" w:type="default"/>
          <w:footerReference r:id="rId5" w:type="default"/>
          <w:type w:val="continuous"/>
          <w:pgSz w:w="11906" w:h="16838"/>
          <w:pgMar w:top="1440" w:right="1080" w:bottom="1440" w:left="1080" w:header="851" w:footer="992" w:gutter="0"/>
          <w:pgNumType w:fmt="decimal"/>
          <w:cols w:space="720" w:num="1"/>
          <w:docGrid w:type="lines" w:linePitch="312" w:charSpace="0"/>
        </w:sectPr>
      </w:pPr>
      <w:bookmarkStart w:id="0" w:name="_Toc4150"/>
      <w:bookmarkStart w:id="1" w:name="_Toc28359001"/>
      <w:bookmarkStart w:id="2" w:name="_Toc35393789"/>
    </w:p>
    <w:p w14:paraId="6E33E330">
      <w:pPr>
        <w:pStyle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磋商</w:t>
      </w:r>
      <w:r>
        <w:rPr>
          <w:color w:val="000000" w:themeColor="text1"/>
          <w:highlight w:val="none"/>
          <w14:textFill>
            <w14:solidFill>
              <w14:schemeClr w14:val="tx1"/>
            </w14:solidFill>
          </w14:textFill>
        </w:rPr>
        <w:t>公告</w:t>
      </w:r>
      <w:bookmarkEnd w:id="0"/>
      <w:bookmarkEnd w:id="1"/>
      <w:bookmarkEnd w:id="2"/>
    </w:p>
    <w:p w14:paraId="35DAD823">
      <w:pPr>
        <w:spacing w:line="400" w:lineRule="exact"/>
        <w:ind w:firstLine="480" w:firstLineChars="200"/>
        <w:rPr>
          <w:rFonts w:ascii="仿宋" w:hAnsi="仿宋" w:eastAsia="仿宋" w:cs="仿宋"/>
          <w:sz w:val="24"/>
        </w:rPr>
      </w:pPr>
      <w:bookmarkStart w:id="3" w:name="_Toc28359079"/>
      <w:bookmarkStart w:id="4" w:name="_Toc35393621"/>
      <w:bookmarkStart w:id="5" w:name="_Toc35393790"/>
      <w:bookmarkStart w:id="6" w:name="_Toc28359002"/>
      <w:bookmarkStart w:id="7" w:name="_Hlk24379207"/>
      <w:r>
        <w:rPr>
          <w:rFonts w:hint="eastAsia" w:ascii="仿宋" w:hAnsi="仿宋" w:eastAsia="仿宋" w:cs="仿宋"/>
          <w:sz w:val="24"/>
          <w:lang w:val="en-US" w:eastAsia="zh-CN"/>
        </w:rPr>
        <w:t>根据医院业务</w:t>
      </w:r>
      <w:r>
        <w:rPr>
          <w:rFonts w:hint="eastAsia" w:ascii="仿宋" w:hAnsi="仿宋" w:eastAsia="仿宋" w:cs="仿宋"/>
          <w:sz w:val="24"/>
        </w:rPr>
        <w:t>需求，现对我院</w:t>
      </w:r>
      <w:r>
        <w:rPr>
          <w:rFonts w:hint="eastAsia" w:ascii="仿宋" w:hAnsi="仿宋" w:eastAsia="仿宋" w:cs="仿宋"/>
          <w:i w:val="0"/>
          <w:iCs w:val="0"/>
          <w:color w:val="auto"/>
          <w:kern w:val="2"/>
          <w:sz w:val="24"/>
          <w:szCs w:val="24"/>
          <w:highlight w:val="none"/>
          <w:lang w:val="en-US" w:eastAsia="zh-CN" w:bidi="ar-SA"/>
        </w:rPr>
        <w:t>治安监控室视频监控系统</w:t>
      </w:r>
      <w:r>
        <w:rPr>
          <w:rFonts w:hint="eastAsia" w:ascii="仿宋" w:hAnsi="仿宋" w:eastAsia="仿宋" w:cs="仿宋"/>
          <w:i w:val="0"/>
          <w:iCs w:val="0"/>
          <w:color w:val="auto"/>
          <w:kern w:val="2"/>
          <w:sz w:val="24"/>
          <w:szCs w:val="24"/>
          <w:highlight w:val="none"/>
          <w:lang w:val="en-US" w:eastAsia="zh-CN" w:bidi="ar-SA"/>
        </w:rPr>
        <w:t>维护保养项目</w:t>
      </w:r>
      <w:r>
        <w:rPr>
          <w:rFonts w:hint="eastAsia" w:ascii="仿宋" w:hAnsi="仿宋" w:eastAsia="仿宋" w:cs="仿宋"/>
          <w:sz w:val="24"/>
        </w:rPr>
        <w:t>公开挂网</w:t>
      </w:r>
      <w:r>
        <w:rPr>
          <w:rFonts w:hint="eastAsia" w:ascii="仿宋" w:hAnsi="仿宋" w:eastAsia="仿宋" w:cs="仿宋"/>
          <w:sz w:val="24"/>
          <w:lang w:val="en-US" w:eastAsia="zh-CN"/>
        </w:rPr>
        <w:t>遴选供应商</w:t>
      </w:r>
      <w:r>
        <w:rPr>
          <w:rFonts w:hint="eastAsia" w:ascii="仿宋" w:hAnsi="仿宋" w:eastAsia="仿宋" w:cs="仿宋"/>
          <w:sz w:val="24"/>
        </w:rPr>
        <w:t>，欢迎符合条件的供应商参加响应</w:t>
      </w:r>
      <w:r>
        <w:rPr>
          <w:rFonts w:hint="eastAsia" w:ascii="仿宋" w:hAnsi="仿宋" w:eastAsia="仿宋" w:cs="仿宋"/>
          <w:sz w:val="24"/>
          <w:lang w:eastAsia="zh-CN"/>
        </w:rPr>
        <w:t>，</w:t>
      </w:r>
      <w:r>
        <w:rPr>
          <w:rFonts w:hint="eastAsia" w:ascii="仿宋" w:hAnsi="仿宋" w:eastAsia="仿宋" w:cs="仿宋"/>
          <w:sz w:val="24"/>
          <w:lang w:val="en-US" w:eastAsia="zh-CN"/>
        </w:rPr>
        <w:t>并按要求在规定时间内递交响应文件</w:t>
      </w:r>
      <w:r>
        <w:rPr>
          <w:rFonts w:hint="eastAsia" w:ascii="仿宋" w:hAnsi="仿宋" w:eastAsia="仿宋" w:cs="仿宋"/>
          <w:sz w:val="24"/>
        </w:rPr>
        <w:t>。</w:t>
      </w:r>
    </w:p>
    <w:p w14:paraId="173D6569">
      <w:pPr>
        <w:wordWrap/>
        <w:snapToGrid/>
        <w:spacing w:line="440" w:lineRule="exact"/>
        <w:ind w:firstLine="422" w:firstLineChars="200"/>
        <w:textAlignment w:val="auto"/>
        <w:rPr>
          <w:rFonts w:hint="eastAsia" w:ascii="宋体" w:hAnsi="宋体" w:eastAsia="宋体" w:cs="宋体"/>
          <w:b/>
          <w:bCs/>
          <w:color w:val="000000" w:themeColor="text1"/>
          <w:szCs w:val="21"/>
          <w:highlight w:val="none"/>
          <w14:textFill>
            <w14:solidFill>
              <w14:schemeClr w14:val="tx1"/>
            </w14:solidFill>
          </w14:textFill>
        </w:rPr>
      </w:pPr>
    </w:p>
    <w:p w14:paraId="076ABD0F">
      <w:pPr>
        <w:wordWrap/>
        <w:snapToGrid/>
        <w:spacing w:line="440" w:lineRule="exact"/>
        <w:ind w:firstLine="422" w:firstLineChars="200"/>
        <w:textAlignment w:val="auto"/>
        <w:rPr>
          <w:rFonts w:hint="eastAsia" w:ascii="黑体" w:hAnsi="黑体" w:eastAsia="黑体" w:cs="黑体"/>
          <w:b/>
          <w:bCs/>
          <w:i w:val="0"/>
          <w:iCs w:val="0"/>
          <w:color w:val="000000" w:themeColor="text1"/>
          <w:sz w:val="21"/>
          <w:szCs w:val="21"/>
          <w:highlight w:val="none"/>
          <w14:textFill>
            <w14:solidFill>
              <w14:schemeClr w14:val="tx1"/>
            </w14:solidFill>
          </w14:textFill>
        </w:rPr>
      </w:pPr>
      <w:r>
        <w:rPr>
          <w:rFonts w:hint="eastAsia" w:ascii="黑体" w:hAnsi="黑体" w:eastAsia="黑体" w:cs="黑体"/>
          <w:b/>
          <w:bCs/>
          <w:i w:val="0"/>
          <w:iCs w:val="0"/>
          <w:color w:val="000000" w:themeColor="text1"/>
          <w:sz w:val="21"/>
          <w:szCs w:val="21"/>
          <w:highlight w:val="none"/>
          <w14:textFill>
            <w14:solidFill>
              <w14:schemeClr w14:val="tx1"/>
            </w14:solidFill>
          </w14:textFill>
        </w:rPr>
        <w:t>一、项目基本情况</w:t>
      </w:r>
      <w:bookmarkEnd w:id="3"/>
      <w:bookmarkEnd w:id="4"/>
      <w:bookmarkEnd w:id="5"/>
      <w:bookmarkEnd w:id="6"/>
    </w:p>
    <w:p w14:paraId="58E909BB">
      <w:pPr>
        <w:pStyle w:val="57"/>
        <w:wordWrap/>
        <w:snapToGrid/>
        <w:spacing w:line="440" w:lineRule="exact"/>
        <w:ind w:firstLine="420"/>
        <w:jc w:val="both"/>
        <w:textAlignment w:val="auto"/>
        <w:rPr>
          <w:rFonts w:hint="eastAsia" w:ascii="宋体" w:hAnsi="宋体" w:eastAsia="宋体" w:cs="宋体"/>
          <w:b/>
          <w:bCs/>
          <w:i w:val="0"/>
          <w:iCs w:val="0"/>
          <w:color w:val="000000" w:themeColor="text1"/>
          <w:kern w:val="2"/>
          <w:sz w:val="21"/>
          <w:szCs w:val="21"/>
          <w:highlight w:val="none"/>
          <w14:textFill>
            <w14:solidFill>
              <w14:schemeClr w14:val="tx1"/>
            </w14:solidFill>
          </w14:textFill>
        </w:rPr>
      </w:pPr>
      <w:r>
        <w:rPr>
          <w:rFonts w:hint="eastAsia" w:ascii="宋体" w:hAnsi="宋体" w:eastAsia="宋体" w:cs="宋体"/>
          <w:b/>
          <w:bCs/>
          <w:i w:val="0"/>
          <w:iCs w:val="0"/>
          <w:color w:val="000000" w:themeColor="text1"/>
          <w:kern w:val="2"/>
          <w:sz w:val="21"/>
          <w:szCs w:val="21"/>
          <w:highlight w:val="none"/>
          <w14:textFill>
            <w14:solidFill>
              <w14:schemeClr w14:val="tx1"/>
            </w14:solidFill>
          </w14:textFill>
        </w:rPr>
        <w:t>项目名称</w:t>
      </w:r>
      <w:r>
        <w:rPr>
          <w:rFonts w:hint="eastAsia" w:ascii="宋体" w:hAnsi="宋体" w:eastAsia="宋体" w:cs="宋体"/>
          <w:i w:val="0"/>
          <w:iCs w:val="0"/>
          <w:color w:val="000000" w:themeColor="text1"/>
          <w:kern w:val="2"/>
          <w:sz w:val="21"/>
          <w:szCs w:val="21"/>
          <w:highlight w:val="none"/>
          <w14:textFill>
            <w14:solidFill>
              <w14:schemeClr w14:val="tx1"/>
            </w14:solidFill>
          </w14:textFill>
        </w:rPr>
        <w:t>：</w:t>
      </w:r>
      <w:r>
        <w:rPr>
          <w:rFonts w:hint="eastAsia" w:ascii="宋体" w:hAnsi="宋体" w:eastAsia="宋体" w:cs="宋体"/>
          <w:i w:val="0"/>
          <w:iCs w:val="0"/>
          <w:color w:val="000000" w:themeColor="text1"/>
          <w:kern w:val="2"/>
          <w:sz w:val="21"/>
          <w:szCs w:val="21"/>
          <w:highlight w:val="none"/>
          <w:lang w:val="en-US" w:eastAsia="zh-CN" w:bidi="ar-SA"/>
          <w14:textFill>
            <w14:solidFill>
              <w14:schemeClr w14:val="tx1"/>
            </w14:solidFill>
          </w14:textFill>
        </w:rPr>
        <w:t>治安监控室视频监控系统维护保养项目</w:t>
      </w:r>
    </w:p>
    <w:p w14:paraId="5EF752FC">
      <w:pPr>
        <w:pStyle w:val="57"/>
        <w:wordWrap/>
        <w:snapToGrid/>
        <w:spacing w:line="440" w:lineRule="exact"/>
        <w:ind w:firstLine="420"/>
        <w:jc w:val="both"/>
        <w:textAlignment w:val="auto"/>
        <w:rPr>
          <w:rFonts w:hint="eastAsia" w:ascii="宋体" w:hAnsi="宋体" w:eastAsia="宋体" w:cs="宋体"/>
          <w:i w:val="0"/>
          <w:iCs w:val="0"/>
          <w:color w:val="000000" w:themeColor="text1"/>
          <w:kern w:val="2"/>
          <w:sz w:val="21"/>
          <w:szCs w:val="21"/>
          <w:highlight w:val="none"/>
          <w14:textFill>
            <w14:solidFill>
              <w14:schemeClr w14:val="tx1"/>
            </w14:solidFill>
          </w14:textFill>
        </w:rPr>
      </w:pPr>
      <w:r>
        <w:rPr>
          <w:rFonts w:hint="eastAsia" w:ascii="宋体" w:hAnsi="宋体" w:eastAsia="宋体" w:cs="宋体"/>
          <w:b/>
          <w:bCs/>
          <w:i w:val="0"/>
          <w:iCs w:val="0"/>
          <w:color w:val="000000" w:themeColor="text1"/>
          <w:kern w:val="2"/>
          <w:sz w:val="21"/>
          <w:szCs w:val="21"/>
          <w:highlight w:val="none"/>
          <w14:textFill>
            <w14:solidFill>
              <w14:schemeClr w14:val="tx1"/>
            </w14:solidFill>
          </w14:textFill>
        </w:rPr>
        <w:t>项目编号</w:t>
      </w:r>
      <w:r>
        <w:rPr>
          <w:rFonts w:hint="eastAsia" w:ascii="宋体" w:hAnsi="宋体" w:eastAsia="宋体" w:cs="宋体"/>
          <w:i w:val="0"/>
          <w:iCs w:val="0"/>
          <w:color w:val="000000" w:themeColor="text1"/>
          <w:kern w:val="2"/>
          <w:sz w:val="21"/>
          <w:szCs w:val="21"/>
          <w:highlight w:val="none"/>
          <w14:textFill>
            <w14:solidFill>
              <w14:schemeClr w14:val="tx1"/>
            </w14:solidFill>
          </w14:textFill>
        </w:rPr>
        <w:t>：</w:t>
      </w:r>
      <w:r>
        <w:rPr>
          <w:rFonts w:hint="eastAsia" w:ascii="宋体" w:hAnsi="宋体" w:eastAsia="宋体" w:cs="宋体"/>
          <w:i w:val="0"/>
          <w:iCs w:val="0"/>
          <w:color w:val="000000" w:themeColor="text1"/>
          <w:kern w:val="2"/>
          <w:sz w:val="21"/>
          <w:szCs w:val="21"/>
          <w:highlight w:val="none"/>
          <w:lang w:eastAsia="zh-CN"/>
          <w14:textFill>
            <w14:solidFill>
              <w14:schemeClr w14:val="tx1"/>
            </w14:solidFill>
          </w14:textFill>
        </w:rPr>
        <w:t>GXGSYY-CGB-BZB-2026-03</w:t>
      </w:r>
    </w:p>
    <w:p w14:paraId="32A1F45A">
      <w:pPr>
        <w:pStyle w:val="57"/>
        <w:wordWrap/>
        <w:snapToGrid/>
        <w:spacing w:line="440" w:lineRule="exact"/>
        <w:ind w:firstLine="420"/>
        <w:jc w:val="both"/>
        <w:textAlignment w:val="auto"/>
        <w:rPr>
          <w:rFonts w:hint="eastAsia" w:ascii="宋体" w:hAnsi="宋体" w:eastAsia="宋体" w:cs="宋体"/>
          <w:i w:val="0"/>
          <w:iCs w:val="0"/>
          <w:color w:val="000000" w:themeColor="text1"/>
          <w:kern w:val="2"/>
          <w:sz w:val="21"/>
          <w:szCs w:val="21"/>
          <w:highlight w:val="none"/>
          <w14:textFill>
            <w14:solidFill>
              <w14:schemeClr w14:val="tx1"/>
            </w14:solidFill>
          </w14:textFill>
        </w:rPr>
      </w:pPr>
      <w:r>
        <w:rPr>
          <w:rFonts w:hint="eastAsia" w:ascii="宋体" w:hAnsi="宋体" w:eastAsia="宋体" w:cs="宋体"/>
          <w:b/>
          <w:bCs/>
          <w:i w:val="0"/>
          <w:iCs w:val="0"/>
          <w:color w:val="000000" w:themeColor="text1"/>
          <w:kern w:val="2"/>
          <w:sz w:val="21"/>
          <w:szCs w:val="21"/>
          <w:highlight w:val="none"/>
          <w14:textFill>
            <w14:solidFill>
              <w14:schemeClr w14:val="tx1"/>
            </w14:solidFill>
          </w14:textFill>
        </w:rPr>
        <w:t>采购方式：</w:t>
      </w:r>
      <w:r>
        <w:rPr>
          <w:rFonts w:hint="eastAsia" w:ascii="宋体" w:hAnsi="宋体" w:eastAsia="宋体" w:cs="宋体"/>
          <w:i w:val="0"/>
          <w:iCs w:val="0"/>
          <w:color w:val="000000" w:themeColor="text1"/>
          <w:kern w:val="2"/>
          <w:sz w:val="21"/>
          <w:szCs w:val="21"/>
          <w:highlight w:val="none"/>
          <w:lang w:val="en-US" w:eastAsia="zh-CN" w:bidi="ar-SA"/>
          <w14:textFill>
            <w14:solidFill>
              <w14:schemeClr w14:val="tx1"/>
            </w14:solidFill>
          </w14:textFill>
        </w:rPr>
        <w:t>竞争性磋商</w:t>
      </w:r>
    </w:p>
    <w:p w14:paraId="2BA54138">
      <w:pPr>
        <w:pStyle w:val="57"/>
        <w:wordWrap/>
        <w:snapToGrid/>
        <w:spacing w:line="440" w:lineRule="exact"/>
        <w:ind w:firstLine="420"/>
        <w:jc w:val="both"/>
        <w:textAlignment w:val="auto"/>
        <w:rPr>
          <w:rFonts w:hint="eastAsia" w:ascii="宋体" w:hAnsi="宋体" w:eastAsia="宋体" w:cs="宋体"/>
          <w:i w:val="0"/>
          <w:iCs w:val="0"/>
          <w:color w:val="000000" w:themeColor="text1"/>
          <w:kern w:val="2"/>
          <w:sz w:val="21"/>
          <w:szCs w:val="21"/>
          <w:highlight w:val="none"/>
          <w:lang w:eastAsia="zh-CN"/>
          <w14:textFill>
            <w14:solidFill>
              <w14:schemeClr w14:val="tx1"/>
            </w14:solidFill>
          </w14:textFill>
        </w:rPr>
      </w:pPr>
      <w:r>
        <w:rPr>
          <w:rFonts w:hint="eastAsia" w:ascii="宋体" w:hAnsi="宋体" w:eastAsia="宋体" w:cs="宋体"/>
          <w:b/>
          <w:bCs/>
          <w:i w:val="0"/>
          <w:iCs w:val="0"/>
          <w:color w:val="000000" w:themeColor="text1"/>
          <w:kern w:val="2"/>
          <w:sz w:val="21"/>
          <w:szCs w:val="21"/>
          <w:highlight w:val="none"/>
          <w14:textFill>
            <w14:solidFill>
              <w14:schemeClr w14:val="tx1"/>
            </w14:solidFill>
          </w14:textFill>
        </w:rPr>
        <w:t>预算</w:t>
      </w:r>
      <w:r>
        <w:rPr>
          <w:rFonts w:hint="eastAsia" w:ascii="宋体" w:hAnsi="宋体" w:eastAsia="宋体" w:cs="宋体"/>
          <w:b/>
          <w:bCs/>
          <w:i w:val="0"/>
          <w:iCs w:val="0"/>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b/>
          <w:bCs/>
          <w:i w:val="0"/>
          <w:iCs w:val="0"/>
          <w:color w:val="000000" w:themeColor="text1"/>
          <w:kern w:val="2"/>
          <w:sz w:val="21"/>
          <w:szCs w:val="21"/>
          <w:highlight w:val="none"/>
          <w:lang w:val="en-US" w:eastAsia="zh-CN"/>
          <w14:textFill>
            <w14:solidFill>
              <w14:schemeClr w14:val="tx1"/>
            </w14:solidFill>
          </w14:textFill>
        </w:rPr>
        <w:t>控制</w:t>
      </w:r>
      <w:r>
        <w:rPr>
          <w:rFonts w:hint="eastAsia" w:ascii="宋体" w:hAnsi="宋体" w:eastAsia="宋体" w:cs="宋体"/>
          <w:b/>
          <w:bCs/>
          <w:i w:val="0"/>
          <w:iCs w:val="0"/>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b/>
          <w:bCs/>
          <w:i w:val="0"/>
          <w:iCs w:val="0"/>
          <w:color w:val="000000" w:themeColor="text1"/>
          <w:kern w:val="2"/>
          <w:sz w:val="21"/>
          <w:szCs w:val="21"/>
          <w:highlight w:val="none"/>
          <w14:textFill>
            <w14:solidFill>
              <w14:schemeClr w14:val="tx1"/>
            </w14:solidFill>
          </w14:textFill>
        </w:rPr>
        <w:t>金额（元）</w:t>
      </w:r>
      <w:r>
        <w:rPr>
          <w:rFonts w:hint="eastAsia" w:ascii="宋体" w:hAnsi="宋体" w:eastAsia="宋体" w:cs="宋体"/>
          <w:i w:val="0"/>
          <w:iCs w:val="0"/>
          <w:color w:val="000000" w:themeColor="text1"/>
          <w:kern w:val="2"/>
          <w:sz w:val="21"/>
          <w:szCs w:val="21"/>
          <w:highlight w:val="none"/>
          <w14:textFill>
            <w14:solidFill>
              <w14:schemeClr w14:val="tx1"/>
            </w14:solidFill>
          </w14:textFill>
        </w:rPr>
        <w:t>：</w:t>
      </w:r>
      <w:r>
        <w:rPr>
          <w:rFonts w:hint="eastAsia" w:ascii="宋体" w:hAnsi="宋体" w:eastAsia="宋体" w:cs="宋体"/>
          <w:i w:val="0"/>
          <w:iCs w:val="0"/>
          <w:color w:val="000000" w:themeColor="text1"/>
          <w:kern w:val="2"/>
          <w:sz w:val="21"/>
          <w:szCs w:val="21"/>
          <w:highlight w:val="none"/>
          <w:lang w:val="en-US" w:eastAsia="zh-CN"/>
          <w14:textFill>
            <w14:solidFill>
              <w14:schemeClr w14:val="tx1"/>
            </w14:solidFill>
          </w14:textFill>
        </w:rPr>
        <w:t>¥4</w:t>
      </w:r>
      <w:r>
        <w:rPr>
          <w:rFonts w:hint="eastAsia" w:ascii="宋体" w:hAnsi="宋体" w:eastAsia="宋体" w:cs="宋体"/>
          <w:i w:val="0"/>
          <w:iCs w:val="0"/>
          <w:color w:val="000000" w:themeColor="text1"/>
          <w:kern w:val="2"/>
          <w:sz w:val="21"/>
          <w:szCs w:val="21"/>
          <w:highlight w:val="none"/>
          <w:lang w:eastAsia="zh-CN"/>
          <w14:textFill>
            <w14:solidFill>
              <w14:schemeClr w14:val="tx1"/>
            </w14:solidFill>
          </w14:textFill>
        </w:rPr>
        <w:t>9</w:t>
      </w:r>
      <w:r>
        <w:rPr>
          <w:rFonts w:hint="eastAsia" w:ascii="宋体" w:hAnsi="宋体" w:eastAsia="宋体" w:cs="宋体"/>
          <w:i w:val="0"/>
          <w:iCs w:val="0"/>
          <w:color w:val="000000" w:themeColor="text1"/>
          <w:kern w:val="2"/>
          <w:sz w:val="21"/>
          <w:szCs w:val="21"/>
          <w:highlight w:val="none"/>
          <w:lang w:val="en-US" w:eastAsia="zh-CN"/>
          <w14:textFill>
            <w14:solidFill>
              <w14:schemeClr w14:val="tx1"/>
            </w14:solidFill>
          </w14:textFill>
        </w:rPr>
        <w:t>,98</w:t>
      </w:r>
      <w:r>
        <w:rPr>
          <w:rFonts w:hint="eastAsia" w:ascii="宋体" w:hAnsi="宋体" w:eastAsia="宋体" w:cs="宋体"/>
          <w:i w:val="0"/>
          <w:iCs w:val="0"/>
          <w:color w:val="000000" w:themeColor="text1"/>
          <w:kern w:val="2"/>
          <w:sz w:val="21"/>
          <w:szCs w:val="21"/>
          <w:highlight w:val="none"/>
          <w:lang w:eastAsia="zh-CN"/>
          <w14:textFill>
            <w14:solidFill>
              <w14:schemeClr w14:val="tx1"/>
            </w14:solidFill>
          </w14:textFill>
        </w:rPr>
        <w:t>0.00（</w:t>
      </w:r>
      <w:r>
        <w:rPr>
          <w:rFonts w:hint="eastAsia" w:ascii="宋体" w:hAnsi="宋体" w:eastAsia="宋体" w:cs="宋体"/>
          <w:i w:val="0"/>
          <w:iCs w:val="0"/>
          <w:color w:val="000000" w:themeColor="text1"/>
          <w:kern w:val="2"/>
          <w:sz w:val="21"/>
          <w:szCs w:val="21"/>
          <w:highlight w:val="none"/>
          <w:lang w:val="en-US" w:eastAsia="zh-CN"/>
          <w14:textFill>
            <w14:solidFill>
              <w14:schemeClr w14:val="tx1"/>
            </w14:solidFill>
          </w14:textFill>
        </w:rPr>
        <w:t>肆万玖仟玖佰捌拾元整</w:t>
      </w:r>
      <w:r>
        <w:rPr>
          <w:rFonts w:hint="eastAsia" w:ascii="宋体" w:hAnsi="宋体" w:eastAsia="宋体" w:cs="宋体"/>
          <w:i w:val="0"/>
          <w:iCs w:val="0"/>
          <w:color w:val="000000" w:themeColor="text1"/>
          <w:kern w:val="2"/>
          <w:sz w:val="21"/>
          <w:szCs w:val="21"/>
          <w:highlight w:val="none"/>
          <w:lang w:eastAsia="zh-CN"/>
          <w14:textFill>
            <w14:solidFill>
              <w14:schemeClr w14:val="tx1"/>
            </w14:solidFill>
          </w14:textFill>
        </w:rPr>
        <w:t>）</w:t>
      </w:r>
    </w:p>
    <w:p w14:paraId="51AC9485">
      <w:pPr>
        <w:pStyle w:val="57"/>
        <w:wordWrap/>
        <w:snapToGrid/>
        <w:spacing w:line="440" w:lineRule="exact"/>
        <w:ind w:firstLine="420"/>
        <w:jc w:val="both"/>
        <w:textAlignment w:val="auto"/>
        <w:rPr>
          <w:rFonts w:hint="default" w:ascii="宋体" w:hAnsi="宋体" w:eastAsia="宋体" w:cs="宋体"/>
          <w:i w:val="0"/>
          <w:i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2"/>
          <w:sz w:val="21"/>
          <w:szCs w:val="21"/>
          <w:highlight w:val="none"/>
          <w14:textFill>
            <w14:solidFill>
              <w14:schemeClr w14:val="tx1"/>
            </w14:solidFill>
          </w14:textFill>
        </w:rPr>
        <w:t>采购需求：</w:t>
      </w:r>
      <w:r>
        <w:rPr>
          <w:rFonts w:hint="eastAsia" w:ascii="宋体" w:hAnsi="宋体" w:eastAsia="宋体" w:cs="宋体"/>
          <w:i w:val="0"/>
          <w:iCs w:val="0"/>
          <w:color w:val="000000" w:themeColor="text1"/>
          <w:kern w:val="2"/>
          <w:sz w:val="21"/>
          <w:szCs w:val="21"/>
          <w:highlight w:val="none"/>
          <w:lang w:val="en-US" w:eastAsia="zh-CN" w:bidi="ar-SA"/>
          <w14:textFill>
            <w14:solidFill>
              <w14:schemeClr w14:val="tx1"/>
            </w14:solidFill>
          </w14:textFill>
        </w:rPr>
        <w:t>采购治安监控室视频监控系统维护保养服务1项，具体服务需求见磋商文件第三章需求参数。</w:t>
      </w:r>
    </w:p>
    <w:p w14:paraId="380B0C65">
      <w:pPr>
        <w:pStyle w:val="57"/>
        <w:wordWrap/>
        <w:snapToGrid/>
        <w:spacing w:line="440" w:lineRule="exact"/>
        <w:ind w:firstLine="422" w:firstLineChars="200"/>
        <w:jc w:val="both"/>
        <w:textAlignment w:val="auto"/>
        <w:rPr>
          <w:rFonts w:hint="eastAsia" w:ascii="宋体" w:hAnsi="宋体" w:eastAsia="宋体" w:cs="宋体"/>
          <w:i w:val="0"/>
          <w:iCs w:val="0"/>
          <w:color w:val="000000" w:themeColor="text1"/>
          <w:kern w:val="2"/>
          <w:sz w:val="21"/>
          <w:szCs w:val="21"/>
          <w:highlight w:val="none"/>
          <w14:textFill>
            <w14:solidFill>
              <w14:schemeClr w14:val="tx1"/>
            </w14:solidFill>
          </w14:textFill>
        </w:rPr>
      </w:pPr>
      <w:r>
        <w:rPr>
          <w:rFonts w:hint="eastAsia" w:ascii="宋体" w:hAnsi="宋体" w:eastAsia="宋体" w:cs="宋体"/>
          <w:b/>
          <w:bCs/>
          <w:i w:val="0"/>
          <w:iCs w:val="0"/>
          <w:color w:val="000000" w:themeColor="text1"/>
          <w:kern w:val="2"/>
          <w:sz w:val="21"/>
          <w:szCs w:val="21"/>
          <w:highlight w:val="none"/>
          <w14:textFill>
            <w14:solidFill>
              <w14:schemeClr w14:val="tx1"/>
            </w14:solidFill>
          </w14:textFill>
        </w:rPr>
        <w:t>合同履约期限：</w:t>
      </w:r>
      <w:r>
        <w:rPr>
          <w:rFonts w:hint="eastAsia" w:ascii="宋体" w:hAnsi="宋体" w:eastAsia="宋体" w:cs="宋体"/>
          <w:i w:val="0"/>
          <w:iCs w:val="0"/>
          <w:color w:val="000000" w:themeColor="text1"/>
          <w:kern w:val="2"/>
          <w:sz w:val="21"/>
          <w:szCs w:val="21"/>
          <w:highlight w:val="none"/>
          <w:lang w:val="en-US" w:eastAsia="zh-CN"/>
          <w14:textFill>
            <w14:solidFill>
              <w14:schemeClr w14:val="tx1"/>
            </w14:solidFill>
          </w14:textFill>
        </w:rPr>
        <w:t>自合同签订之日起3年</w:t>
      </w:r>
      <w:r>
        <w:rPr>
          <w:rFonts w:hint="eastAsia" w:ascii="宋体" w:hAnsi="宋体" w:eastAsia="宋体" w:cs="宋体"/>
          <w:i w:val="0"/>
          <w:iCs w:val="0"/>
          <w:color w:val="000000" w:themeColor="text1"/>
          <w:kern w:val="2"/>
          <w:sz w:val="21"/>
          <w:szCs w:val="21"/>
          <w:highlight w:val="none"/>
          <w14:textFill>
            <w14:solidFill>
              <w14:schemeClr w14:val="tx1"/>
            </w14:solidFill>
          </w14:textFill>
        </w:rPr>
        <w:t>。</w:t>
      </w:r>
    </w:p>
    <w:p w14:paraId="56C3F5B5">
      <w:pPr>
        <w:pStyle w:val="57"/>
        <w:wordWrap/>
        <w:snapToGrid/>
        <w:spacing w:line="440" w:lineRule="exact"/>
        <w:ind w:firstLine="420" w:firstLineChars="200"/>
        <w:jc w:val="both"/>
        <w:textAlignment w:val="auto"/>
        <w:rPr>
          <w:rFonts w:hint="eastAsia" w:ascii="宋体" w:hAnsi="宋体" w:eastAsia="宋体" w:cs="宋体"/>
          <w:i w:val="0"/>
          <w:iCs w:val="0"/>
          <w:color w:val="000000" w:themeColor="text1"/>
          <w:kern w:val="2"/>
          <w:sz w:val="21"/>
          <w:szCs w:val="21"/>
          <w:highlight w:val="none"/>
          <w:lang w:eastAsia="zh-CN"/>
          <w14:textFill>
            <w14:solidFill>
              <w14:schemeClr w14:val="tx1"/>
            </w14:solidFill>
          </w14:textFill>
        </w:rPr>
      </w:pPr>
      <w:r>
        <w:rPr>
          <w:rFonts w:hint="eastAsia" w:ascii="宋体" w:hAnsi="宋体" w:eastAsia="宋体" w:cs="宋体"/>
          <w:i w:val="0"/>
          <w:iCs w:val="0"/>
          <w:color w:val="000000" w:themeColor="text1"/>
          <w:kern w:val="2"/>
          <w:sz w:val="21"/>
          <w:szCs w:val="21"/>
          <w:highlight w:val="none"/>
          <w14:textFill>
            <w14:solidFill>
              <w14:schemeClr w14:val="tx1"/>
            </w14:solidFill>
          </w14:textFill>
        </w:rPr>
        <w:t>本</w:t>
      </w:r>
      <w:r>
        <w:rPr>
          <w:rFonts w:hint="eastAsia" w:ascii="宋体" w:hAnsi="宋体" w:eastAsia="宋体" w:cs="宋体"/>
          <w:i w:val="0"/>
          <w:iCs w:val="0"/>
          <w:color w:val="000000" w:themeColor="text1"/>
          <w:kern w:val="2"/>
          <w:sz w:val="21"/>
          <w:szCs w:val="21"/>
          <w:highlight w:val="none"/>
          <w:lang w:val="en-US" w:eastAsia="zh-CN"/>
          <w14:textFill>
            <w14:solidFill>
              <w14:schemeClr w14:val="tx1"/>
            </w14:solidFill>
          </w14:textFill>
        </w:rPr>
        <w:t>项目</w:t>
      </w:r>
      <w:r>
        <w:rPr>
          <w:rFonts w:hint="eastAsia" w:ascii="宋体" w:hAnsi="宋体" w:eastAsia="宋体" w:cs="宋体"/>
          <w:i w:val="0"/>
          <w:iCs w:val="0"/>
          <w:color w:val="000000" w:themeColor="text1"/>
          <w:kern w:val="2"/>
          <w:sz w:val="21"/>
          <w:szCs w:val="21"/>
          <w:highlight w:val="none"/>
          <w14:textFill>
            <w14:solidFill>
              <w14:schemeClr w14:val="tx1"/>
            </w14:solidFill>
          </w14:textFill>
        </w:rPr>
        <w:t>（否）接受联合体投标</w:t>
      </w:r>
      <w:r>
        <w:rPr>
          <w:rFonts w:hint="eastAsia" w:ascii="宋体" w:hAnsi="宋体" w:eastAsia="宋体" w:cs="宋体"/>
          <w:i w:val="0"/>
          <w:iCs w:val="0"/>
          <w:color w:val="000000" w:themeColor="text1"/>
          <w:kern w:val="2"/>
          <w:sz w:val="21"/>
          <w:szCs w:val="21"/>
          <w:highlight w:val="none"/>
          <w:lang w:eastAsia="zh-CN"/>
          <w14:textFill>
            <w14:solidFill>
              <w14:schemeClr w14:val="tx1"/>
            </w14:solidFill>
          </w14:textFill>
        </w:rPr>
        <w:t>，</w:t>
      </w:r>
    </w:p>
    <w:p w14:paraId="2BF4EB66">
      <w:pPr>
        <w:pStyle w:val="57"/>
        <w:wordWrap/>
        <w:snapToGrid/>
        <w:spacing w:line="440" w:lineRule="exact"/>
        <w:ind w:firstLine="420" w:firstLineChars="200"/>
        <w:jc w:val="both"/>
        <w:textAlignment w:val="auto"/>
        <w:rPr>
          <w:rFonts w:hint="default" w:ascii="宋体" w:hAnsi="宋体" w:eastAsia="宋体" w:cs="宋体"/>
          <w:i w:val="0"/>
          <w:iCs w:val="0"/>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2"/>
          <w:sz w:val="21"/>
          <w:szCs w:val="21"/>
          <w:highlight w:val="none"/>
          <w14:textFill>
            <w14:solidFill>
              <w14:schemeClr w14:val="tx1"/>
            </w14:solidFill>
          </w14:textFill>
        </w:rPr>
        <w:t>本</w:t>
      </w:r>
      <w:r>
        <w:rPr>
          <w:rFonts w:hint="eastAsia" w:ascii="宋体" w:hAnsi="宋体" w:eastAsia="宋体" w:cs="宋体"/>
          <w:i w:val="0"/>
          <w:iCs w:val="0"/>
          <w:color w:val="000000" w:themeColor="text1"/>
          <w:kern w:val="2"/>
          <w:sz w:val="21"/>
          <w:szCs w:val="21"/>
          <w:highlight w:val="none"/>
          <w:lang w:val="en-US" w:eastAsia="zh-CN"/>
          <w14:textFill>
            <w14:solidFill>
              <w14:schemeClr w14:val="tx1"/>
            </w14:solidFill>
          </w14:textFill>
        </w:rPr>
        <w:t>项目</w:t>
      </w:r>
      <w:r>
        <w:rPr>
          <w:rFonts w:hint="eastAsia" w:ascii="宋体" w:hAnsi="宋体" w:eastAsia="宋体" w:cs="宋体"/>
          <w:i w:val="0"/>
          <w:iCs w:val="0"/>
          <w:color w:val="000000" w:themeColor="text1"/>
          <w:kern w:val="2"/>
          <w:sz w:val="21"/>
          <w:szCs w:val="21"/>
          <w:highlight w:val="none"/>
          <w14:textFill>
            <w14:solidFill>
              <w14:schemeClr w14:val="tx1"/>
            </w14:solidFill>
          </w14:textFill>
        </w:rPr>
        <w:t>（否）</w:t>
      </w:r>
      <w:r>
        <w:rPr>
          <w:rFonts w:hint="eastAsia" w:ascii="宋体" w:hAnsi="宋体" w:eastAsia="宋体" w:cs="宋体"/>
          <w:i w:val="0"/>
          <w:iCs w:val="0"/>
          <w:color w:val="000000" w:themeColor="text1"/>
          <w:kern w:val="2"/>
          <w:sz w:val="21"/>
          <w:szCs w:val="21"/>
          <w:highlight w:val="none"/>
          <w:lang w:val="en-US" w:eastAsia="zh-CN"/>
          <w14:textFill>
            <w14:solidFill>
              <w14:schemeClr w14:val="tx1"/>
            </w14:solidFill>
          </w14:textFill>
        </w:rPr>
        <w:t>允许转/分包，</w:t>
      </w:r>
    </w:p>
    <w:bookmarkEnd w:id="7"/>
    <w:p w14:paraId="035984B2">
      <w:pPr>
        <w:wordWrap/>
        <w:snapToGrid/>
        <w:spacing w:line="440" w:lineRule="exact"/>
        <w:ind w:firstLine="422" w:firstLineChars="200"/>
        <w:textAlignment w:val="auto"/>
        <w:rPr>
          <w:rFonts w:hint="eastAsia" w:ascii="黑体" w:hAnsi="黑体" w:eastAsia="黑体" w:cs="黑体"/>
          <w:b/>
          <w:bCs/>
          <w:i w:val="0"/>
          <w:iCs w:val="0"/>
          <w:color w:val="000000" w:themeColor="text1"/>
          <w:sz w:val="21"/>
          <w:szCs w:val="21"/>
          <w:highlight w:val="none"/>
          <w14:textFill>
            <w14:solidFill>
              <w14:schemeClr w14:val="tx1"/>
            </w14:solidFill>
          </w14:textFill>
        </w:rPr>
      </w:pPr>
      <w:bookmarkStart w:id="8" w:name="_Toc28359003"/>
      <w:bookmarkStart w:id="9" w:name="_Toc35393622"/>
      <w:bookmarkStart w:id="10" w:name="_Toc28359080"/>
      <w:bookmarkStart w:id="11" w:name="_Toc35393791"/>
      <w:r>
        <w:rPr>
          <w:rFonts w:hint="eastAsia" w:ascii="黑体" w:hAnsi="黑体" w:eastAsia="黑体" w:cs="黑体"/>
          <w:b/>
          <w:bCs/>
          <w:i w:val="0"/>
          <w:iCs w:val="0"/>
          <w:color w:val="000000" w:themeColor="text1"/>
          <w:sz w:val="21"/>
          <w:szCs w:val="21"/>
          <w:highlight w:val="none"/>
          <w14:textFill>
            <w14:solidFill>
              <w14:schemeClr w14:val="tx1"/>
            </w14:solidFill>
          </w14:textFill>
        </w:rPr>
        <w:t>二、申请人的资格要求：</w:t>
      </w:r>
      <w:bookmarkEnd w:id="8"/>
      <w:bookmarkEnd w:id="9"/>
      <w:bookmarkEnd w:id="10"/>
      <w:bookmarkEnd w:id="11"/>
    </w:p>
    <w:p w14:paraId="5829EA3C">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14:textFill>
            <w14:solidFill>
              <w14:schemeClr w14:val="tx1"/>
            </w14:solidFill>
          </w14:textFill>
        </w:rPr>
        <w:t>1.满足《中华人民共和国政府采购法》第二十二条规定；</w:t>
      </w:r>
    </w:p>
    <w:p w14:paraId="14936076">
      <w:pPr>
        <w:adjustRightInd w:val="0"/>
        <w:snapToGrid/>
        <w:spacing w:line="440" w:lineRule="exact"/>
        <w:ind w:firstLine="42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（1）具有独立承担民事责任的能力</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独立法人）；</w:t>
      </w:r>
    </w:p>
    <w:p w14:paraId="26CAD5FE">
      <w:pPr>
        <w:adjustRightInd w:val="0"/>
        <w:snapToGrid/>
        <w:spacing w:line="440" w:lineRule="exact"/>
        <w:ind w:firstLine="42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具有良好的商业信誉和健全的财务会计制度；</w:t>
      </w:r>
    </w:p>
    <w:p w14:paraId="60042016">
      <w:pPr>
        <w:adjustRightInd w:val="0"/>
        <w:snapToGrid/>
        <w:spacing w:line="440" w:lineRule="exact"/>
        <w:ind w:firstLine="42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）有依法缴纳税收和社会保障资金的良好记录；</w:t>
      </w:r>
    </w:p>
    <w:p w14:paraId="7B666A9D">
      <w:pPr>
        <w:adjustRightInd w:val="0"/>
        <w:snapToGrid/>
        <w:spacing w:line="440" w:lineRule="exact"/>
        <w:ind w:firstLine="42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）具备履行合同所必需的设备和专业技术能力；</w:t>
      </w:r>
    </w:p>
    <w:p w14:paraId="1D91E48B">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）参加本次采购活动前三年内，在经营活动中没有重大违法记录。</w:t>
      </w:r>
    </w:p>
    <w:p w14:paraId="7AD1936A">
      <w:pPr>
        <w:wordWrap/>
        <w:snapToGrid/>
        <w:spacing w:line="440" w:lineRule="exact"/>
        <w:ind w:firstLine="420" w:firstLineChars="200"/>
        <w:textAlignment w:val="auto"/>
        <w:rPr>
          <w:rFonts w:hint="default" w:ascii="宋体" w:hAnsi="宋体" w:eastAsia="宋体" w:cs="宋体"/>
          <w:i w:val="0"/>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14:textFill>
            <w14:solidFill>
              <w14:schemeClr w14:val="tx1"/>
            </w14:solidFill>
          </w14:textFill>
        </w:rPr>
        <w:t>2</w:t>
      </w:r>
      <w:bookmarkStart w:id="12" w:name="_Toc28359081"/>
      <w:bookmarkStart w:id="13" w:name="_Toc28359004"/>
      <w:r>
        <w:rPr>
          <w:rFonts w:hint="eastAsia" w:ascii="宋体" w:hAnsi="宋体" w:eastAsia="宋体" w:cs="宋体"/>
          <w:i w:val="0"/>
          <w:iCs w:val="0"/>
          <w:color w:val="000000" w:themeColor="text1"/>
          <w:sz w:val="21"/>
          <w:szCs w:val="21"/>
          <w:highlight w:val="none"/>
          <w14:textFill>
            <w14:solidFill>
              <w14:schemeClr w14:val="tx1"/>
            </w14:solidFill>
          </w14:textFill>
        </w:rPr>
        <w:t>.落实政府采购政策需满足的资格要求：</w:t>
      </w:r>
      <w:r>
        <w:rPr>
          <w:rFonts w:hint="eastAsia" w:ascii="宋体" w:hAnsi="宋体" w:cs="宋体"/>
          <w:i w:val="0"/>
          <w:iCs w:val="0"/>
          <w:color w:val="000000" w:themeColor="text1"/>
          <w:sz w:val="21"/>
          <w:szCs w:val="21"/>
          <w:highlight w:val="none"/>
          <w:lang w:val="en-US" w:eastAsia="zh-CN"/>
          <w14:textFill>
            <w14:solidFill>
              <w14:schemeClr w14:val="tx1"/>
            </w14:solidFill>
          </w14:textFill>
        </w:rPr>
        <w:t>面向中小企业采购服务。</w:t>
      </w:r>
    </w:p>
    <w:p w14:paraId="38E6EEE3">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14:textFill>
            <w14:solidFill>
              <w14:schemeClr w14:val="tx1"/>
            </w14:solidFill>
          </w14:textFill>
        </w:rPr>
        <w:t>3.本项目的特定资格要求：</w:t>
      </w:r>
      <w:r>
        <w:rPr>
          <w:rFonts w:hint="eastAsia" w:ascii="宋体" w:hAnsi="宋体" w:eastAsia="宋体" w:cs="宋体"/>
          <w:color w:val="000000" w:themeColor="text1"/>
          <w:szCs w:val="21"/>
          <w:highlight w:val="none"/>
          <w14:textFill>
            <w14:solidFill>
              <w14:schemeClr w14:val="tx1"/>
            </w14:solidFill>
          </w14:textFill>
        </w:rPr>
        <w:t>持有有效的营业执照（经营范围包含“安防”或“监控”字样等</w:t>
      </w:r>
      <w:r>
        <w:rPr>
          <w:rFonts w:hint="eastAsia" w:ascii="宋体" w:hAnsi="宋体" w:cs="宋体"/>
          <w:color w:val="000000" w:themeColor="text1"/>
          <w:szCs w:val="21"/>
          <w:highlight w:val="none"/>
          <w:lang w:val="en-US" w:eastAsia="zh-CN"/>
          <w14:textFill>
            <w14:solidFill>
              <w14:schemeClr w14:val="tx1"/>
            </w14:solidFill>
          </w14:textFill>
        </w:rPr>
        <w:t>维</w:t>
      </w:r>
      <w:r>
        <w:rPr>
          <w:rFonts w:hint="eastAsia" w:ascii="宋体" w:hAnsi="宋体" w:eastAsia="宋体" w:cs="宋体"/>
          <w:color w:val="000000" w:themeColor="text1"/>
          <w:szCs w:val="21"/>
          <w:highlight w:val="none"/>
          <w14:textFill>
            <w14:solidFill>
              <w14:schemeClr w14:val="tx1"/>
            </w14:solidFill>
          </w14:textFill>
        </w:rPr>
        <w:t>保相关内容</w:t>
      </w:r>
      <w:r>
        <w:rPr>
          <w:rFonts w:hint="eastAsia" w:ascii="宋体" w:hAnsi="宋体" w:cs="宋体"/>
          <w:color w:val="000000" w:themeColor="text1"/>
          <w:szCs w:val="21"/>
          <w:highlight w:val="none"/>
          <w:lang w:eastAsia="zh-CN"/>
          <w14:textFill>
            <w14:solidFill>
              <w14:schemeClr w14:val="tx1"/>
            </w14:solidFill>
          </w14:textFill>
        </w:rPr>
        <w:t>。</w:t>
      </w:r>
    </w:p>
    <w:p w14:paraId="37E682B3">
      <w:pPr>
        <w:wordWrap/>
        <w:snapToGrid/>
        <w:spacing w:line="440" w:lineRule="exact"/>
        <w:ind w:firstLine="422" w:firstLineChars="200"/>
        <w:textAlignment w:val="auto"/>
        <w:rPr>
          <w:rFonts w:hint="eastAsia" w:ascii="黑体" w:hAnsi="黑体" w:eastAsia="黑体" w:cs="黑体"/>
          <w:b/>
          <w:bCs/>
          <w:i w:val="0"/>
          <w:iCs w:val="0"/>
          <w:color w:val="000000" w:themeColor="text1"/>
          <w:sz w:val="21"/>
          <w:szCs w:val="21"/>
          <w:highlight w:val="none"/>
          <w14:textFill>
            <w14:solidFill>
              <w14:schemeClr w14:val="tx1"/>
            </w14:solidFill>
          </w14:textFill>
        </w:rPr>
      </w:pPr>
      <w:bookmarkStart w:id="14" w:name="_Toc35393792"/>
      <w:bookmarkStart w:id="15" w:name="_Toc35393623"/>
      <w:r>
        <w:rPr>
          <w:rFonts w:hint="eastAsia" w:ascii="黑体" w:hAnsi="黑体" w:eastAsia="黑体" w:cs="黑体"/>
          <w:b/>
          <w:bCs/>
          <w:i w:val="0"/>
          <w:iCs w:val="0"/>
          <w:color w:val="000000" w:themeColor="text1"/>
          <w:sz w:val="21"/>
          <w:szCs w:val="21"/>
          <w:highlight w:val="none"/>
          <w14:textFill>
            <w14:solidFill>
              <w14:schemeClr w14:val="tx1"/>
            </w14:solidFill>
          </w14:textFill>
        </w:rPr>
        <w:t>三、</w:t>
      </w:r>
      <w:bookmarkEnd w:id="12"/>
      <w:bookmarkEnd w:id="13"/>
      <w:bookmarkEnd w:id="14"/>
      <w:bookmarkEnd w:id="15"/>
      <w:r>
        <w:rPr>
          <w:rFonts w:hint="eastAsia" w:ascii="黑体" w:hAnsi="黑体" w:eastAsia="黑体" w:cs="黑体"/>
          <w:b/>
          <w:bCs/>
          <w:i w:val="0"/>
          <w:iCs w:val="0"/>
          <w:color w:val="000000" w:themeColor="text1"/>
          <w:sz w:val="21"/>
          <w:szCs w:val="21"/>
          <w:highlight w:val="none"/>
          <w14:textFill>
            <w14:solidFill>
              <w14:schemeClr w14:val="tx1"/>
            </w14:solidFill>
          </w14:textFill>
        </w:rPr>
        <w:t>获取采购文件</w:t>
      </w:r>
    </w:p>
    <w:p w14:paraId="0FD9633A">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14:textFill>
            <w14:solidFill>
              <w14:schemeClr w14:val="tx1"/>
            </w14:solidFill>
          </w14:textFill>
        </w:rPr>
      </w:pPr>
      <w:bookmarkStart w:id="16" w:name="_Toc35393793"/>
      <w:bookmarkStart w:id="17" w:name="_Toc35393624"/>
      <w:bookmarkStart w:id="18" w:name="_Toc28359082"/>
      <w:bookmarkStart w:id="19" w:name="_Toc28359005"/>
      <w:r>
        <w:rPr>
          <w:rFonts w:hint="eastAsia" w:ascii="宋体" w:hAnsi="宋体" w:eastAsia="宋体" w:cs="宋体"/>
          <w:i w:val="0"/>
          <w:iCs w:val="0"/>
          <w:color w:val="000000" w:themeColor="text1"/>
          <w:sz w:val="21"/>
          <w:szCs w:val="21"/>
          <w:highlight w:val="none"/>
          <w14:textFill>
            <w14:solidFill>
              <w14:schemeClr w14:val="tx1"/>
            </w14:solidFill>
          </w14:textFill>
        </w:rPr>
        <w:t>时间</w:t>
      </w:r>
      <w:r>
        <w:rPr>
          <w:rFonts w:hint="eastAsia" w:ascii="宋体" w:hAnsi="宋体" w:cs="宋体"/>
          <w:i w:val="0"/>
          <w:iCs w:val="0"/>
          <w:color w:val="000000" w:themeColor="text1"/>
          <w:sz w:val="21"/>
          <w:szCs w:val="21"/>
          <w:highlight w:val="none"/>
          <w:lang w:eastAsia="zh-CN"/>
          <w14:textFill>
            <w14:solidFill>
              <w14:schemeClr w14:val="tx1"/>
            </w14:solidFill>
          </w14:textFill>
        </w:rPr>
        <w:t>：</w:t>
      </w:r>
      <w:r>
        <w:rPr>
          <w:rFonts w:hint="eastAsia" w:ascii="宋体" w:hAnsi="宋体" w:eastAsia="宋体" w:cs="宋体"/>
          <w:i w:val="0"/>
          <w:iCs w:val="0"/>
          <w:color w:val="000000" w:themeColor="text1"/>
          <w:sz w:val="21"/>
          <w:szCs w:val="21"/>
          <w:highlight w:val="none"/>
          <w14:textFill>
            <w14:solidFill>
              <w14:schemeClr w14:val="tx1"/>
            </w14:solidFill>
          </w14:textFill>
        </w:rPr>
        <w:t>自发布公告之时至</w:t>
      </w:r>
      <w:r>
        <w:rPr>
          <w:rFonts w:hint="eastAsia" w:ascii="宋体" w:hAnsi="宋体" w:cs="宋体"/>
          <w:i w:val="0"/>
          <w:iCs w:val="0"/>
          <w:color w:val="000000" w:themeColor="text1"/>
          <w:sz w:val="21"/>
          <w:szCs w:val="21"/>
          <w:highlight w:val="none"/>
          <w:lang w:val="en-US" w:eastAsia="zh-CN"/>
          <w14:textFill>
            <w14:solidFill>
              <w14:schemeClr w14:val="tx1"/>
            </w14:solidFill>
          </w14:textFill>
        </w:rPr>
        <w:t>2026年  月  日</w:t>
      </w:r>
      <w:r>
        <w:rPr>
          <w:rFonts w:hint="eastAsia" w:ascii="宋体" w:hAnsi="宋体" w:eastAsia="宋体" w:cs="宋体"/>
          <w:i w:val="0"/>
          <w:iCs w:val="0"/>
          <w:color w:val="000000" w:themeColor="text1"/>
          <w:sz w:val="21"/>
          <w:szCs w:val="21"/>
          <w:highlight w:val="none"/>
          <w14:textFill>
            <w14:solidFill>
              <w14:schemeClr w14:val="tx1"/>
            </w14:solidFill>
          </w14:textFill>
        </w:rPr>
        <w:t>磋商截止时间止。</w:t>
      </w:r>
    </w:p>
    <w:p w14:paraId="6500CD01">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14:textFill>
            <w14:solidFill>
              <w14:schemeClr w14:val="tx1"/>
            </w14:solidFill>
          </w14:textFill>
        </w:rPr>
        <w:t>方式</w:t>
      </w:r>
      <w:r>
        <w:rPr>
          <w:rFonts w:hint="eastAsia" w:ascii="宋体" w:hAnsi="宋体" w:cs="宋体"/>
          <w:i w:val="0"/>
          <w:iCs w:val="0"/>
          <w:color w:val="000000" w:themeColor="text1"/>
          <w:sz w:val="21"/>
          <w:szCs w:val="21"/>
          <w:highlight w:val="none"/>
          <w:lang w:eastAsia="zh-CN"/>
          <w14:textFill>
            <w14:solidFill>
              <w14:schemeClr w14:val="tx1"/>
            </w14:solidFill>
          </w14:textFill>
        </w:rPr>
        <w:t>：</w:t>
      </w:r>
      <w:r>
        <w:rPr>
          <w:rFonts w:hint="eastAsia" w:ascii="宋体" w:hAnsi="宋体" w:cs="宋体"/>
          <w:i w:val="0"/>
          <w:iCs w:val="0"/>
          <w:color w:val="000000" w:themeColor="text1"/>
          <w:sz w:val="21"/>
          <w:szCs w:val="21"/>
          <w:highlight w:val="none"/>
          <w:lang w:val="en-US" w:eastAsia="zh-CN"/>
          <w14:textFill>
            <w14:solidFill>
              <w14:schemeClr w14:val="tx1"/>
            </w14:solidFill>
          </w14:textFill>
        </w:rPr>
        <w:t>广西骨伤医院官网-招标采购-公告附件</w:t>
      </w:r>
      <w:r>
        <w:rPr>
          <w:rFonts w:hint="eastAsia" w:ascii="宋体" w:hAnsi="宋体" w:eastAsia="宋体" w:cs="宋体"/>
          <w:i w:val="0"/>
          <w:iCs w:val="0"/>
          <w:color w:val="000000" w:themeColor="text1"/>
          <w:sz w:val="21"/>
          <w:szCs w:val="21"/>
          <w:highlight w:val="none"/>
          <w14:textFill>
            <w14:solidFill>
              <w14:schemeClr w14:val="tx1"/>
            </w14:solidFill>
          </w14:textFill>
        </w:rPr>
        <w:t>获取采购文件。</w:t>
      </w:r>
    </w:p>
    <w:p w14:paraId="2DFF6765">
      <w:pPr>
        <w:wordWrap/>
        <w:snapToGrid/>
        <w:spacing w:line="440" w:lineRule="exact"/>
        <w:ind w:firstLine="422" w:firstLineChars="200"/>
        <w:textAlignment w:val="auto"/>
        <w:rPr>
          <w:rFonts w:hint="eastAsia" w:ascii="宋体" w:hAnsi="宋体" w:eastAsia="宋体" w:cs="宋体"/>
          <w:b/>
          <w:bCs/>
          <w:i w:val="0"/>
          <w:iCs w:val="0"/>
          <w:color w:val="000000" w:themeColor="text1"/>
          <w:sz w:val="21"/>
          <w:szCs w:val="21"/>
          <w:highlight w:val="none"/>
          <w14:textFill>
            <w14:solidFill>
              <w14:schemeClr w14:val="tx1"/>
            </w14:solidFill>
          </w14:textFill>
        </w:rPr>
      </w:pPr>
      <w:r>
        <w:rPr>
          <w:rFonts w:hint="eastAsia" w:ascii="黑体" w:hAnsi="黑体" w:eastAsia="黑体" w:cs="黑体"/>
          <w:b/>
          <w:bCs/>
          <w:i w:val="0"/>
          <w:iCs w:val="0"/>
          <w:color w:val="000000" w:themeColor="text1"/>
          <w:sz w:val="21"/>
          <w:szCs w:val="21"/>
          <w:highlight w:val="none"/>
          <w14:textFill>
            <w14:solidFill>
              <w14:schemeClr w14:val="tx1"/>
            </w14:solidFill>
          </w14:textFill>
        </w:rPr>
        <w:t>四、</w:t>
      </w:r>
      <w:bookmarkEnd w:id="16"/>
      <w:bookmarkEnd w:id="17"/>
      <w:bookmarkEnd w:id="18"/>
      <w:bookmarkEnd w:id="19"/>
      <w:r>
        <w:rPr>
          <w:rFonts w:hint="eastAsia" w:ascii="黑体" w:hAnsi="黑体" w:eastAsia="黑体" w:cs="黑体"/>
          <w:b/>
          <w:bCs/>
          <w:i w:val="0"/>
          <w:iCs w:val="0"/>
          <w:color w:val="000000" w:themeColor="text1"/>
          <w:sz w:val="21"/>
          <w:szCs w:val="21"/>
          <w:highlight w:val="none"/>
          <w14:textFill>
            <w14:solidFill>
              <w14:schemeClr w14:val="tx1"/>
            </w14:solidFill>
          </w14:textFill>
        </w:rPr>
        <w:t>响应文件递交</w:t>
      </w:r>
    </w:p>
    <w:p w14:paraId="543AACBA">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i w:val="0"/>
          <w:iCs w:val="0"/>
          <w:color w:val="000000" w:themeColor="text1"/>
          <w:sz w:val="21"/>
          <w:szCs w:val="21"/>
          <w:highlight w:val="none"/>
          <w:shd w:val="clear" w:color="auto" w:fill="FFFFFF"/>
          <w14:textFill>
            <w14:solidFill>
              <w14:schemeClr w14:val="tx1"/>
            </w14:solidFill>
          </w14:textFill>
        </w:rPr>
        <w:t>截止时间：202</w:t>
      </w:r>
      <w:r>
        <w:rPr>
          <w:rFonts w:hint="eastAsia" w:ascii="宋体" w:hAnsi="宋体" w:cs="宋体"/>
          <w:i w:val="0"/>
          <w:iCs w:val="0"/>
          <w:color w:val="000000" w:themeColor="text1"/>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i w:val="0"/>
          <w:iCs w:val="0"/>
          <w:color w:val="000000" w:themeColor="text1"/>
          <w:sz w:val="21"/>
          <w:szCs w:val="21"/>
          <w:highlight w:val="none"/>
          <w:shd w:val="clear" w:color="auto" w:fill="FFFFFF"/>
          <w14:textFill>
            <w14:solidFill>
              <w14:schemeClr w14:val="tx1"/>
            </w14:solidFill>
          </w14:textFill>
        </w:rPr>
        <w:t>年</w:t>
      </w:r>
      <w:r>
        <w:rPr>
          <w:rFonts w:hint="eastAsia" w:ascii="宋体" w:hAnsi="宋体" w:cs="宋体"/>
          <w:i w:val="0"/>
          <w:iCs w:val="0"/>
          <w:color w:val="000000" w:themeColor="text1"/>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i w:val="0"/>
          <w:iCs w:val="0"/>
          <w:color w:val="000000" w:themeColor="text1"/>
          <w:sz w:val="21"/>
          <w:szCs w:val="21"/>
          <w:highlight w:val="none"/>
          <w:shd w:val="clear" w:color="auto" w:fill="FFFFFF"/>
          <w14:textFill>
            <w14:solidFill>
              <w14:schemeClr w14:val="tx1"/>
            </w14:solidFill>
          </w14:textFill>
        </w:rPr>
        <w:t>月</w:t>
      </w:r>
      <w:r>
        <w:rPr>
          <w:rFonts w:hint="eastAsia" w:ascii="宋体" w:hAnsi="宋体" w:cs="宋体"/>
          <w:i w:val="0"/>
          <w:iCs w:val="0"/>
          <w:color w:val="000000" w:themeColor="text1"/>
          <w:sz w:val="21"/>
          <w:szCs w:val="21"/>
          <w:highlight w:val="yellow"/>
          <w:shd w:val="clear" w:color="auto" w:fill="FFFFFF"/>
          <w:lang w:val="en-US" w:eastAsia="zh-CN"/>
          <w14:textFill>
            <w14:solidFill>
              <w14:schemeClr w14:val="tx1"/>
            </w14:solidFill>
          </w14:textFill>
        </w:rPr>
        <w:t xml:space="preserve">  </w:t>
      </w:r>
      <w:r>
        <w:rPr>
          <w:rFonts w:hint="eastAsia" w:ascii="宋体" w:hAnsi="宋体" w:eastAsia="宋体" w:cs="宋体"/>
          <w:i w:val="0"/>
          <w:iCs w:val="0"/>
          <w:color w:val="000000" w:themeColor="text1"/>
          <w:sz w:val="21"/>
          <w:szCs w:val="21"/>
          <w:highlight w:val="none"/>
          <w:shd w:val="clear" w:color="auto" w:fill="FFFFFF"/>
          <w14:textFill>
            <w14:solidFill>
              <w14:schemeClr w14:val="tx1"/>
            </w14:solidFill>
          </w14:textFill>
        </w:rPr>
        <w:t>日</w:t>
      </w:r>
      <w:r>
        <w:rPr>
          <w:rFonts w:hint="eastAsia" w:ascii="宋体" w:hAnsi="宋体" w:eastAsia="宋体" w:cs="宋体"/>
          <w:i w:val="0"/>
          <w:iCs w:val="0"/>
          <w:color w:val="000000" w:themeColor="text1"/>
          <w:sz w:val="21"/>
          <w:szCs w:val="21"/>
          <w:highlight w:val="none"/>
          <w:shd w:val="clear" w:color="auto" w:fill="FFFFFF"/>
          <w:lang w:val="en-US" w:eastAsia="zh-CN"/>
          <w14:textFill>
            <w14:solidFill>
              <w14:schemeClr w14:val="tx1"/>
            </w14:solidFill>
          </w14:textFill>
        </w:rPr>
        <w:t>09</w:t>
      </w:r>
      <w:r>
        <w:rPr>
          <w:rFonts w:hint="eastAsia" w:ascii="宋体" w:hAnsi="宋体" w:cs="宋体"/>
          <w:i w:val="0"/>
          <w:iCs w:val="0"/>
          <w:color w:val="000000" w:themeColor="text1"/>
          <w:sz w:val="21"/>
          <w:szCs w:val="21"/>
          <w:highlight w:val="none"/>
          <w:shd w:val="clear" w:color="auto" w:fill="FFFFFF"/>
          <w:lang w:val="en-US" w:eastAsia="zh-CN"/>
          <w14:textFill>
            <w14:solidFill>
              <w14:schemeClr w14:val="tx1"/>
            </w14:solidFill>
          </w14:textFill>
        </w:rPr>
        <w:t>:30</w:t>
      </w:r>
      <w:r>
        <w:rPr>
          <w:rFonts w:hint="eastAsia" w:ascii="宋体" w:hAnsi="宋体" w:eastAsia="宋体" w:cs="宋体"/>
          <w:i w:val="0"/>
          <w:iCs w:val="0"/>
          <w:color w:val="000000" w:themeColor="text1"/>
          <w:sz w:val="21"/>
          <w:szCs w:val="21"/>
          <w:highlight w:val="none"/>
          <w:shd w:val="clear" w:color="auto" w:fill="FFFFFF"/>
          <w14:textFill>
            <w14:solidFill>
              <w14:schemeClr w14:val="tx1"/>
            </w14:solidFill>
          </w14:textFill>
        </w:rPr>
        <w:t>（北京时间）</w:t>
      </w:r>
    </w:p>
    <w:p w14:paraId="5527A318">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i w:val="0"/>
          <w:iCs w:val="0"/>
          <w:color w:val="000000" w:themeColor="text1"/>
          <w:sz w:val="21"/>
          <w:szCs w:val="21"/>
          <w:highlight w:val="none"/>
          <w:shd w:val="clear" w:color="auto" w:fill="FFFFFF"/>
          <w14:textFill>
            <w14:solidFill>
              <w14:schemeClr w14:val="tx1"/>
            </w14:solidFill>
          </w14:textFill>
        </w:rPr>
        <w:t>地点：</w:t>
      </w:r>
      <w:r>
        <w:rPr>
          <w:rFonts w:hint="eastAsia" w:ascii="宋体" w:hAnsi="宋体" w:cs="宋体"/>
          <w:bCs/>
          <w:i w:val="0"/>
          <w:iCs w:val="0"/>
          <w:color w:val="000000"/>
          <w:kern w:val="0"/>
          <w:sz w:val="21"/>
          <w:szCs w:val="21"/>
          <w:lang w:val="en-US" w:eastAsia="zh-CN"/>
        </w:rPr>
        <w:t>南宁市青秀区东葛路1号锦华副楼401采购办</w:t>
      </w:r>
    </w:p>
    <w:p w14:paraId="6DC3EDA2">
      <w:pPr>
        <w:wordWrap/>
        <w:snapToGrid/>
        <w:spacing w:line="440" w:lineRule="exact"/>
        <w:ind w:firstLine="422" w:firstLineChars="200"/>
        <w:textAlignment w:val="auto"/>
        <w:rPr>
          <w:rFonts w:hint="eastAsia" w:ascii="黑体" w:hAnsi="黑体" w:eastAsia="黑体" w:cs="黑体"/>
          <w:b/>
          <w:bCs/>
          <w:i w:val="0"/>
          <w:iCs w:val="0"/>
          <w:color w:val="000000" w:themeColor="text1"/>
          <w:sz w:val="21"/>
          <w:szCs w:val="21"/>
          <w:highlight w:val="none"/>
          <w14:textFill>
            <w14:solidFill>
              <w14:schemeClr w14:val="tx1"/>
            </w14:solidFill>
          </w14:textFill>
        </w:rPr>
      </w:pPr>
      <w:bookmarkStart w:id="20" w:name="_Toc35393625"/>
      <w:bookmarkStart w:id="21" w:name="_Toc28359007"/>
      <w:bookmarkStart w:id="22" w:name="_Toc35393794"/>
      <w:bookmarkStart w:id="23" w:name="_Toc28359084"/>
      <w:r>
        <w:rPr>
          <w:rFonts w:hint="eastAsia" w:ascii="黑体" w:hAnsi="黑体" w:eastAsia="黑体" w:cs="黑体"/>
          <w:b/>
          <w:bCs/>
          <w:i w:val="0"/>
          <w:iCs w:val="0"/>
          <w:color w:val="000000" w:themeColor="text1"/>
          <w:sz w:val="21"/>
          <w:szCs w:val="21"/>
          <w:highlight w:val="none"/>
          <w14:textFill>
            <w14:solidFill>
              <w14:schemeClr w14:val="tx1"/>
            </w14:solidFill>
          </w14:textFill>
        </w:rPr>
        <w:t>五、</w:t>
      </w:r>
      <w:r>
        <w:rPr>
          <w:rFonts w:hint="eastAsia" w:ascii="黑体" w:hAnsi="黑体" w:eastAsia="黑体" w:cs="黑体"/>
          <w:b/>
          <w:bCs/>
          <w:i w:val="0"/>
          <w:iCs w:val="0"/>
          <w:color w:val="000000" w:themeColor="text1"/>
          <w:sz w:val="21"/>
          <w:szCs w:val="21"/>
          <w:highlight w:val="none"/>
          <w:lang w:val="en-US" w:eastAsia="zh-CN"/>
          <w14:textFill>
            <w14:solidFill>
              <w14:schemeClr w14:val="tx1"/>
            </w14:solidFill>
          </w14:textFill>
        </w:rPr>
        <w:t>评标时间、地点</w:t>
      </w:r>
    </w:p>
    <w:p w14:paraId="7CED6D3C">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14:textFill>
            <w14:solidFill>
              <w14:schemeClr w14:val="tx1"/>
            </w14:solidFill>
          </w14:textFill>
        </w:rPr>
      </w:pPr>
      <w:r>
        <w:rPr>
          <w:rFonts w:hint="eastAsia" w:ascii="宋体" w:hAnsi="宋体"/>
          <w:i w:val="0"/>
          <w:iCs w:val="0"/>
          <w:color w:val="000000"/>
          <w:sz w:val="21"/>
          <w:szCs w:val="21"/>
          <w:lang w:val="en-US" w:eastAsia="zh-CN"/>
        </w:rPr>
        <w:t>采购人另行通知</w:t>
      </w:r>
    </w:p>
    <w:p w14:paraId="716DB22F">
      <w:pPr>
        <w:wordWrap/>
        <w:snapToGrid/>
        <w:spacing w:line="440" w:lineRule="exact"/>
        <w:ind w:firstLine="422" w:firstLineChars="200"/>
        <w:textAlignment w:val="auto"/>
        <w:rPr>
          <w:rFonts w:hint="eastAsia" w:ascii="宋体" w:hAnsi="宋体" w:eastAsia="宋体" w:cs="宋体"/>
          <w:b/>
          <w:bCs/>
          <w:i w:val="0"/>
          <w:iCs w:val="0"/>
          <w:color w:val="000000" w:themeColor="text1"/>
          <w:sz w:val="21"/>
          <w:szCs w:val="21"/>
          <w:highlight w:val="none"/>
          <w14:textFill>
            <w14:solidFill>
              <w14:schemeClr w14:val="tx1"/>
            </w14:solidFill>
          </w14:textFill>
        </w:rPr>
      </w:pPr>
      <w:r>
        <w:rPr>
          <w:rFonts w:hint="eastAsia" w:ascii="黑体" w:hAnsi="黑体" w:eastAsia="黑体" w:cs="黑体"/>
          <w:b/>
          <w:bCs/>
          <w:i w:val="0"/>
          <w:iCs w:val="0"/>
          <w:color w:val="000000" w:themeColor="text1"/>
          <w:sz w:val="21"/>
          <w:szCs w:val="21"/>
          <w:highlight w:val="none"/>
          <w14:textFill>
            <w14:solidFill>
              <w14:schemeClr w14:val="tx1"/>
            </w14:solidFill>
          </w14:textFill>
        </w:rPr>
        <w:t>六、公告期限</w:t>
      </w:r>
      <w:bookmarkEnd w:id="20"/>
      <w:bookmarkEnd w:id="21"/>
      <w:bookmarkEnd w:id="22"/>
      <w:bookmarkEnd w:id="23"/>
    </w:p>
    <w:p w14:paraId="77E30D89">
      <w:pPr>
        <w:wordWrap/>
        <w:snapToGrid/>
        <w:spacing w:line="440" w:lineRule="exact"/>
        <w:ind w:firstLine="420" w:firstLineChars="200"/>
        <w:textAlignment w:val="auto"/>
        <w:rPr>
          <w:rFonts w:hint="eastAsia" w:ascii="宋体" w:hAnsi="宋体" w:eastAsia="宋体" w:cs="宋体"/>
          <w:i w:val="0"/>
          <w:iCs w:val="0"/>
          <w:color w:val="000000" w:themeColor="text1"/>
          <w:kern w:val="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14:textFill>
            <w14:solidFill>
              <w14:schemeClr w14:val="tx1"/>
            </w14:solidFill>
          </w14:textFill>
        </w:rPr>
        <w:t>自本公告发布之日起</w:t>
      </w:r>
      <w:r>
        <w:rPr>
          <w:rFonts w:hint="eastAsia" w:ascii="宋体" w:hAnsi="宋体" w:cs="宋体"/>
          <w:i w:val="0"/>
          <w:iCs w:val="0"/>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14:textFill>
            <w14:solidFill>
              <w14:schemeClr w14:val="tx1"/>
            </w14:solidFill>
          </w14:textFill>
        </w:rPr>
        <w:t>个工作日。</w:t>
      </w:r>
    </w:p>
    <w:p w14:paraId="43CEE9C9">
      <w:pPr>
        <w:wordWrap/>
        <w:snapToGrid/>
        <w:spacing w:line="440" w:lineRule="exact"/>
        <w:ind w:firstLine="422" w:firstLineChars="200"/>
        <w:textAlignment w:val="auto"/>
        <w:rPr>
          <w:rFonts w:hint="eastAsia" w:ascii="黑体" w:hAnsi="黑体" w:eastAsia="黑体" w:cs="黑体"/>
          <w:b/>
          <w:bCs/>
          <w:i w:val="0"/>
          <w:iCs w:val="0"/>
          <w:color w:val="000000" w:themeColor="text1"/>
          <w:sz w:val="21"/>
          <w:szCs w:val="21"/>
          <w:highlight w:val="none"/>
          <w14:textFill>
            <w14:solidFill>
              <w14:schemeClr w14:val="tx1"/>
            </w14:solidFill>
          </w14:textFill>
        </w:rPr>
      </w:pPr>
      <w:bookmarkStart w:id="24" w:name="_Toc35393795"/>
      <w:bookmarkStart w:id="25" w:name="_Toc35393626"/>
      <w:r>
        <w:rPr>
          <w:rFonts w:hint="eastAsia" w:ascii="黑体" w:hAnsi="黑体" w:eastAsia="黑体" w:cs="黑体"/>
          <w:b/>
          <w:bCs/>
          <w:i w:val="0"/>
          <w:iCs w:val="0"/>
          <w:color w:val="000000" w:themeColor="text1"/>
          <w:sz w:val="21"/>
          <w:szCs w:val="21"/>
          <w:highlight w:val="none"/>
          <w14:textFill>
            <w14:solidFill>
              <w14:schemeClr w14:val="tx1"/>
            </w14:solidFill>
          </w14:textFill>
        </w:rPr>
        <w:t>七、其他补充事宜</w:t>
      </w:r>
      <w:bookmarkEnd w:id="24"/>
      <w:bookmarkEnd w:id="25"/>
    </w:p>
    <w:p w14:paraId="16A23C4F">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14:textFill>
            <w14:solidFill>
              <w14:schemeClr w14:val="tx1"/>
            </w14:solidFill>
          </w14:textFill>
        </w:rPr>
      </w:pPr>
      <w:r>
        <w:rPr>
          <w:rFonts w:hint="eastAsia" w:ascii="宋体" w:hAnsi="宋体" w:cs="宋体"/>
          <w:i w:val="0"/>
          <w:i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i w:val="0"/>
          <w:iCs w:val="0"/>
          <w:color w:val="000000" w:themeColor="text1"/>
          <w:sz w:val="21"/>
          <w:szCs w:val="21"/>
          <w:highlight w:val="none"/>
          <w14:textFill>
            <w14:solidFill>
              <w14:schemeClr w14:val="tx1"/>
            </w14:solidFill>
          </w14:textFill>
        </w:rPr>
        <w:t>.本项目需要落实的政府采购政策：</w:t>
      </w:r>
    </w:p>
    <w:p w14:paraId="763164A8">
      <w:pPr>
        <w:wordWrap/>
        <w:snapToGrid/>
        <w:spacing w:line="440" w:lineRule="exact"/>
        <w:ind w:firstLine="420"/>
        <w:textAlignment w:val="auto"/>
        <w:rPr>
          <w:rFonts w:hint="eastAsia" w:ascii="宋体" w:hAnsi="宋体" w:eastAsia="宋体" w:cs="宋体"/>
          <w:i w:val="0"/>
          <w:i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14:textFill>
            <w14:solidFill>
              <w14:schemeClr w14:val="tx1"/>
            </w14:solidFill>
          </w14:textFill>
        </w:rPr>
        <w:t>（1）政府采购支持监狱企业发展；</w:t>
      </w:r>
    </w:p>
    <w:p w14:paraId="2C48FA88">
      <w:pPr>
        <w:wordWrap/>
        <w:snapToGrid/>
        <w:spacing w:line="440" w:lineRule="exact"/>
        <w:ind w:firstLine="420"/>
        <w:textAlignment w:val="auto"/>
        <w:rPr>
          <w:rFonts w:hint="eastAsia" w:ascii="宋体" w:hAnsi="宋体" w:eastAsia="宋体" w:cs="宋体"/>
          <w:i w:val="0"/>
          <w:i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14:textFill>
            <w14:solidFill>
              <w14:schemeClr w14:val="tx1"/>
            </w14:solidFill>
          </w14:textFill>
        </w:rPr>
        <w:t>（</w:t>
      </w:r>
      <w:r>
        <w:rPr>
          <w:rFonts w:hint="eastAsia" w:ascii="宋体" w:hAnsi="宋体" w:cs="宋体"/>
          <w:i w:val="0"/>
          <w:iCs w:val="0"/>
          <w:color w:val="000000" w:themeColor="text1"/>
          <w:sz w:val="21"/>
          <w:szCs w:val="21"/>
          <w:highlight w:val="none"/>
          <w:lang w:eastAsia="zh-CN"/>
          <w14:textFill>
            <w14:solidFill>
              <w14:schemeClr w14:val="tx1"/>
            </w14:solidFill>
          </w14:textFill>
        </w:rPr>
        <w:t>2</w:t>
      </w:r>
      <w:r>
        <w:rPr>
          <w:rFonts w:hint="eastAsia" w:ascii="宋体" w:hAnsi="宋体" w:eastAsia="宋体" w:cs="宋体"/>
          <w:i w:val="0"/>
          <w:iCs w:val="0"/>
          <w:color w:val="000000" w:themeColor="text1"/>
          <w:sz w:val="21"/>
          <w:szCs w:val="21"/>
          <w:highlight w:val="none"/>
          <w14:textFill>
            <w14:solidFill>
              <w14:schemeClr w14:val="tx1"/>
            </w14:solidFill>
          </w14:textFill>
        </w:rPr>
        <w:t>）政府采购促进残疾人就业政策；</w:t>
      </w:r>
    </w:p>
    <w:p w14:paraId="31DD3E78">
      <w:pPr>
        <w:wordWrap/>
        <w:snapToGrid/>
        <w:spacing w:line="440" w:lineRule="exact"/>
        <w:ind w:firstLine="420"/>
        <w:textAlignment w:val="auto"/>
        <w:rPr>
          <w:rFonts w:hint="eastAsia" w:ascii="宋体" w:hAnsi="宋体" w:eastAsia="宋体" w:cs="宋体"/>
          <w:i w:val="0"/>
          <w:i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14:textFill>
            <w14:solidFill>
              <w14:schemeClr w14:val="tx1"/>
            </w14:solidFill>
          </w14:textFill>
        </w:rPr>
        <w:t>（</w:t>
      </w:r>
      <w:r>
        <w:rPr>
          <w:rFonts w:hint="eastAsia" w:ascii="宋体" w:hAnsi="宋体" w:cs="宋体"/>
          <w:i w:val="0"/>
          <w:iCs w:val="0"/>
          <w:color w:val="000000" w:themeColor="text1"/>
          <w:sz w:val="21"/>
          <w:szCs w:val="21"/>
          <w:highlight w:val="none"/>
          <w:lang w:eastAsia="zh-CN"/>
          <w14:textFill>
            <w14:solidFill>
              <w14:schemeClr w14:val="tx1"/>
            </w14:solidFill>
          </w14:textFill>
        </w:rPr>
        <w:t>3</w:t>
      </w:r>
      <w:r>
        <w:rPr>
          <w:rFonts w:hint="eastAsia" w:ascii="宋体" w:hAnsi="宋体" w:eastAsia="宋体" w:cs="宋体"/>
          <w:i w:val="0"/>
          <w:iCs w:val="0"/>
          <w:color w:val="000000" w:themeColor="text1"/>
          <w:sz w:val="21"/>
          <w:szCs w:val="21"/>
          <w:highlight w:val="none"/>
          <w14:textFill>
            <w14:solidFill>
              <w14:schemeClr w14:val="tx1"/>
            </w14:solidFill>
          </w14:textFill>
        </w:rPr>
        <w:t>）政府采购支持采用本国产品的政策；</w:t>
      </w:r>
    </w:p>
    <w:p w14:paraId="61CDB0F1">
      <w:pPr>
        <w:wordWrap/>
        <w:snapToGrid/>
        <w:spacing w:line="440" w:lineRule="exact"/>
        <w:ind w:firstLine="420"/>
        <w:textAlignment w:val="auto"/>
        <w:rPr>
          <w:rFonts w:hint="eastAsia" w:ascii="宋体" w:hAnsi="宋体" w:eastAsia="宋体" w:cs="宋体"/>
          <w:i w:val="0"/>
          <w:i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14:textFill>
            <w14:solidFill>
              <w14:schemeClr w14:val="tx1"/>
            </w14:solidFill>
          </w14:textFill>
        </w:rPr>
        <w:t>（</w:t>
      </w:r>
      <w:r>
        <w:rPr>
          <w:rFonts w:hint="eastAsia" w:ascii="宋体" w:hAnsi="宋体" w:cs="宋体"/>
          <w:i w:val="0"/>
          <w:iCs w:val="0"/>
          <w:color w:val="000000" w:themeColor="text1"/>
          <w:sz w:val="21"/>
          <w:szCs w:val="21"/>
          <w:highlight w:val="none"/>
          <w:lang w:eastAsia="zh-CN"/>
          <w14:textFill>
            <w14:solidFill>
              <w14:schemeClr w14:val="tx1"/>
            </w14:solidFill>
          </w14:textFill>
        </w:rPr>
        <w:t>4</w:t>
      </w:r>
      <w:r>
        <w:rPr>
          <w:rFonts w:hint="eastAsia" w:ascii="宋体" w:hAnsi="宋体" w:eastAsia="宋体" w:cs="宋体"/>
          <w:i w:val="0"/>
          <w:iCs w:val="0"/>
          <w:color w:val="000000" w:themeColor="text1"/>
          <w:sz w:val="21"/>
          <w:szCs w:val="21"/>
          <w:highlight w:val="none"/>
          <w14:textFill>
            <w14:solidFill>
              <w14:schemeClr w14:val="tx1"/>
            </w14:solidFill>
          </w14:textFill>
        </w:rPr>
        <w:t>）优先采购节能产品、环境标志产品。</w:t>
      </w:r>
    </w:p>
    <w:p w14:paraId="1799547E">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u w:val="single"/>
          <w14:textFill>
            <w14:solidFill>
              <w14:schemeClr w14:val="tx1"/>
            </w14:solidFill>
          </w14:textFill>
        </w:rPr>
      </w:pPr>
      <w:r>
        <w:rPr>
          <w:rFonts w:hint="eastAsia" w:ascii="宋体" w:hAnsi="宋体" w:cs="宋体"/>
          <w:i w:val="0"/>
          <w:i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i w:val="0"/>
          <w:iCs w:val="0"/>
          <w:color w:val="000000" w:themeColor="text1"/>
          <w:sz w:val="21"/>
          <w:szCs w:val="21"/>
          <w:highlight w:val="none"/>
          <w14:textFill>
            <w14:solidFill>
              <w14:schemeClr w14:val="tx1"/>
            </w14:solidFill>
          </w14:textFill>
        </w:rPr>
        <w:t>.项目所属行业：</w:t>
      </w:r>
      <w:r>
        <w:rPr>
          <w:rFonts w:hint="eastAsia" w:ascii="宋体" w:hAnsi="宋体" w:eastAsia="宋体" w:cs="宋体"/>
          <w:i w:val="0"/>
          <w:iCs w:val="0"/>
          <w:caps w:val="0"/>
          <w:color w:val="000000" w:themeColor="text1"/>
          <w:spacing w:val="0"/>
          <w:sz w:val="21"/>
          <w:szCs w:val="21"/>
          <w:highlight w:val="none"/>
          <w:u w:val="single"/>
          <w:shd w:val="clear" w:fill="auto"/>
          <w14:textFill>
            <w14:solidFill>
              <w14:schemeClr w14:val="tx1"/>
            </w14:solidFill>
          </w14:textFill>
        </w:rPr>
        <w:t>软件和信息技术服务业</w:t>
      </w:r>
    </w:p>
    <w:p w14:paraId="6A4ED220">
      <w:pPr>
        <w:wordWrap/>
        <w:snapToGrid/>
        <w:spacing w:line="440" w:lineRule="exact"/>
        <w:ind w:firstLine="420"/>
        <w:textAlignment w:val="auto"/>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t>3.响应文件递交要求：</w:t>
      </w:r>
    </w:p>
    <w:p w14:paraId="710DED74">
      <w:pPr>
        <w:wordWrap/>
        <w:snapToGrid/>
        <w:spacing w:line="440" w:lineRule="exact"/>
        <w:ind w:firstLine="420"/>
        <w:textAlignment w:val="auto"/>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t>（1）投标人应当在报名截止时间前，将响应文件密封送达首次响应文件提交地点。在首次响应文件提交截止时间后送达的响应文件为无效文件，将被拒收。</w:t>
      </w:r>
    </w:p>
    <w:p w14:paraId="3691E13B">
      <w:pPr>
        <w:wordWrap/>
        <w:snapToGrid/>
        <w:spacing w:line="440" w:lineRule="exact"/>
        <w:ind w:firstLine="420"/>
        <w:textAlignment w:val="auto"/>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t>（2）供应商在指定时间将纸质版响应文件（一正四副）递交至指定地点，并提供PDF盖章扫描版本，要求U盘拷贝或光盘刻录，与响应文件一起密封于档案袋中。</w:t>
      </w:r>
    </w:p>
    <w:p w14:paraId="612A6AFF">
      <w:pPr>
        <w:wordWrap/>
        <w:snapToGrid/>
        <w:spacing w:line="440" w:lineRule="exact"/>
        <w:ind w:firstLine="422" w:firstLineChars="200"/>
        <w:textAlignment w:val="auto"/>
        <w:rPr>
          <w:rFonts w:hint="eastAsia" w:ascii="宋体" w:hAnsi="宋体" w:eastAsia="宋体" w:cs="宋体"/>
          <w:b/>
          <w:bCs/>
          <w:i w:val="0"/>
          <w:iCs w:val="0"/>
          <w:color w:val="000000" w:themeColor="text1"/>
          <w:sz w:val="21"/>
          <w:szCs w:val="21"/>
          <w:highlight w:val="none"/>
          <w14:textFill>
            <w14:solidFill>
              <w14:schemeClr w14:val="tx1"/>
            </w14:solidFill>
          </w14:textFill>
        </w:rPr>
      </w:pPr>
      <w:bookmarkStart w:id="26" w:name="_Toc35393796"/>
      <w:bookmarkStart w:id="27" w:name="_Toc35393627"/>
      <w:bookmarkStart w:id="28" w:name="_Toc28359008"/>
      <w:bookmarkStart w:id="29" w:name="_Toc28359085"/>
      <w:r>
        <w:rPr>
          <w:rFonts w:hint="eastAsia" w:ascii="黑体" w:hAnsi="黑体" w:eastAsia="黑体" w:cs="黑体"/>
          <w:b/>
          <w:bCs/>
          <w:i w:val="0"/>
          <w:iCs w:val="0"/>
          <w:color w:val="000000" w:themeColor="text1"/>
          <w:sz w:val="21"/>
          <w:szCs w:val="21"/>
          <w:highlight w:val="none"/>
          <w14:textFill>
            <w14:solidFill>
              <w14:schemeClr w14:val="tx1"/>
            </w14:solidFill>
          </w14:textFill>
        </w:rPr>
        <w:t>八、对本次采购提出询问，请按以下方式联系。</w:t>
      </w:r>
      <w:bookmarkEnd w:id="26"/>
      <w:bookmarkEnd w:id="27"/>
      <w:bookmarkEnd w:id="28"/>
      <w:bookmarkEnd w:id="29"/>
    </w:p>
    <w:p w14:paraId="20FDE62B">
      <w:pPr>
        <w:wordWrap/>
        <w:snapToGrid/>
        <w:spacing w:line="440" w:lineRule="exact"/>
        <w:ind w:firstLine="420" w:firstLineChars="200"/>
        <w:textAlignment w:val="auto"/>
        <w:rPr>
          <w:rFonts w:hint="default" w:ascii="宋体" w:hAnsi="宋体" w:eastAsia="宋体" w:cs="宋体"/>
          <w:i w:val="0"/>
          <w:iCs w:val="0"/>
          <w:color w:val="000000" w:themeColor="text1"/>
          <w:sz w:val="21"/>
          <w:szCs w:val="21"/>
          <w:highlight w:val="none"/>
          <w:lang w:val="en-US" w:eastAsia="zh-CN"/>
          <w14:textFill>
            <w14:solidFill>
              <w14:schemeClr w14:val="tx1"/>
            </w14:solidFill>
          </w14:textFill>
        </w:rPr>
      </w:pPr>
      <w:bookmarkStart w:id="30" w:name="_Toc28359010"/>
      <w:bookmarkStart w:id="31" w:name="_Toc28359087"/>
      <w:bookmarkStart w:id="32" w:name="_Toc10387"/>
      <w:bookmarkStart w:id="33" w:name="_Toc12553"/>
      <w:r>
        <w:rPr>
          <w:rFonts w:hint="eastAsia" w:ascii="宋体" w:hAnsi="宋体" w:eastAsia="宋体" w:cs="宋体"/>
          <w:i w:val="0"/>
          <w:iCs w:val="0"/>
          <w:color w:val="000000" w:themeColor="text1"/>
          <w:sz w:val="21"/>
          <w:szCs w:val="21"/>
          <w:highlight w:val="none"/>
          <w14:textFill>
            <w14:solidFill>
              <w14:schemeClr w14:val="tx1"/>
            </w14:solidFill>
          </w14:textFill>
        </w:rPr>
        <w:t>名称：</w:t>
      </w: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t>广西骨伤医院采购办</w:t>
      </w:r>
    </w:p>
    <w:p w14:paraId="79243B83">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t>联系</w:t>
      </w:r>
      <w:r>
        <w:rPr>
          <w:rFonts w:hint="eastAsia" w:ascii="宋体" w:hAnsi="宋体" w:cs="宋体"/>
          <w:i w:val="0"/>
          <w:iCs w:val="0"/>
          <w:color w:val="000000" w:themeColor="text1"/>
          <w:sz w:val="21"/>
          <w:szCs w:val="21"/>
          <w:highlight w:val="none"/>
          <w:lang w:val="en-US" w:eastAsia="zh-CN"/>
          <w14:textFill>
            <w14:solidFill>
              <w14:schemeClr w14:val="tx1"/>
            </w14:solidFill>
          </w14:textFill>
        </w:rPr>
        <w:t>方式</w:t>
      </w: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t>：</w:t>
      </w:r>
      <w:r>
        <w:rPr>
          <w:rFonts w:hint="eastAsia" w:ascii="宋体" w:hAnsi="宋体" w:cs="宋体"/>
          <w:i w:val="0"/>
          <w:iCs w:val="0"/>
          <w:color w:val="000000" w:themeColor="text1"/>
          <w:sz w:val="21"/>
          <w:szCs w:val="21"/>
          <w:highlight w:val="none"/>
          <w:lang w:val="en-US" w:eastAsia="zh-CN"/>
          <w14:textFill>
            <w14:solidFill>
              <w14:schemeClr w14:val="tx1"/>
            </w14:solidFill>
          </w14:textFill>
        </w:rPr>
        <w:t>邓老师</w:t>
      </w: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t>，0771-2622251</w:t>
      </w:r>
    </w:p>
    <w:p w14:paraId="17793B0C">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t>邮箱：</w:t>
      </w: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fldChar w:fldCharType="begin"/>
      </w: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instrText xml:space="preserve"> HYPERLINK "mailto:gxgsyycgb@qq.com" </w:instrText>
      </w: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fldChar w:fldCharType="separate"/>
      </w: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t>gxgsyycgb@163.com</w:t>
      </w: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fldChar w:fldCharType="end"/>
      </w:r>
    </w:p>
    <w:p w14:paraId="46AE2F60">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pPr>
    </w:p>
    <w:p w14:paraId="604E86B4">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pPr>
    </w:p>
    <w:p w14:paraId="5FDF0261">
      <w:pPr>
        <w:wordWrap/>
        <w:snapToGrid/>
        <w:spacing w:line="440" w:lineRule="exact"/>
        <w:ind w:firstLine="420" w:firstLineChars="200"/>
        <w:textAlignment w:val="auto"/>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pPr>
    </w:p>
    <w:p w14:paraId="1ACEB746">
      <w:pPr>
        <w:wordWrap/>
        <w:snapToGrid/>
        <w:spacing w:line="440" w:lineRule="exact"/>
        <w:ind w:firstLine="420" w:firstLineChars="200"/>
        <w:jc w:val="right"/>
        <w:textAlignment w:val="auto"/>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t>广西骨伤医院</w:t>
      </w:r>
    </w:p>
    <w:p w14:paraId="797331AA">
      <w:pPr>
        <w:wordWrap/>
        <w:snapToGrid/>
        <w:spacing w:line="440" w:lineRule="exact"/>
        <w:ind w:firstLine="420" w:firstLineChars="200"/>
        <w:jc w:val="right"/>
        <w:textAlignment w:val="auto"/>
        <w:rPr>
          <w:rFonts w:hint="default" w:ascii="宋体" w:hAnsi="宋体" w:eastAsia="宋体" w:cs="宋体"/>
          <w:i w:val="0"/>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lang w:val="en-US" w:eastAsia="zh-CN"/>
          <w14:textFill>
            <w14:solidFill>
              <w14:schemeClr w14:val="tx1"/>
            </w14:solidFill>
          </w14:textFill>
        </w:rPr>
        <w:t>2026年  月  日</w:t>
      </w:r>
    </w:p>
    <w:bookmarkEnd w:id="30"/>
    <w:bookmarkEnd w:id="31"/>
    <w:p w14:paraId="54980D07">
      <w:pPr>
        <w:jc w:val="center"/>
        <w:outlineLvl w:val="0"/>
        <w:rPr>
          <w:rFonts w:ascii="Tahoma" w:hAnsi="Tahoma"/>
          <w:b/>
          <w:bCs/>
          <w:color w:val="000000" w:themeColor="text1"/>
          <w:kern w:val="44"/>
          <w:sz w:val="32"/>
          <w:szCs w:val="44"/>
          <w:highlight w:val="none"/>
          <w14:textFill>
            <w14:solidFill>
              <w14:schemeClr w14:val="tx1"/>
            </w14:solidFill>
          </w14:textFill>
        </w:rPr>
      </w:pPr>
      <w:r>
        <w:rPr>
          <w:rFonts w:ascii="Tahoma" w:hAnsi="Tahoma"/>
          <w:b/>
          <w:bCs/>
          <w:i w:val="0"/>
          <w:iCs w:val="0"/>
          <w:color w:val="000000" w:themeColor="text1"/>
          <w:kern w:val="44"/>
          <w:sz w:val="32"/>
          <w:szCs w:val="32"/>
          <w:highlight w:val="none"/>
          <w14:textFill>
            <w14:solidFill>
              <w14:schemeClr w14:val="tx1"/>
            </w14:solidFill>
          </w14:textFill>
        </w:rPr>
        <w:br w:type="page"/>
      </w:r>
      <w:bookmarkStart w:id="34" w:name="_Toc19220"/>
      <w:r>
        <w:rPr>
          <w:rFonts w:ascii="Tahoma" w:hAnsi="Tahoma"/>
          <w:b/>
          <w:bCs/>
          <w:color w:val="000000" w:themeColor="text1"/>
          <w:kern w:val="44"/>
          <w:sz w:val="32"/>
          <w:szCs w:val="44"/>
          <w:highlight w:val="none"/>
          <w14:textFill>
            <w14:solidFill>
              <w14:schemeClr w14:val="tx1"/>
            </w14:solidFill>
          </w14:textFill>
        </w:rPr>
        <w:t xml:space="preserve">第二章  </w:t>
      </w:r>
      <w:r>
        <w:rPr>
          <w:rFonts w:hint="eastAsia" w:ascii="Tahoma" w:hAnsi="Tahoma"/>
          <w:b/>
          <w:bCs/>
          <w:color w:val="000000" w:themeColor="text1"/>
          <w:kern w:val="44"/>
          <w:sz w:val="32"/>
          <w:szCs w:val="44"/>
          <w:highlight w:val="none"/>
          <w14:textFill>
            <w14:solidFill>
              <w14:schemeClr w14:val="tx1"/>
            </w14:solidFill>
          </w14:textFill>
        </w:rPr>
        <w:t>供应商</w:t>
      </w:r>
      <w:r>
        <w:rPr>
          <w:rFonts w:ascii="Tahoma" w:hAnsi="Tahoma"/>
          <w:b/>
          <w:bCs/>
          <w:color w:val="000000" w:themeColor="text1"/>
          <w:kern w:val="44"/>
          <w:sz w:val="32"/>
          <w:szCs w:val="44"/>
          <w:highlight w:val="none"/>
          <w14:textFill>
            <w14:solidFill>
              <w14:schemeClr w14:val="tx1"/>
            </w14:solidFill>
          </w14:textFill>
        </w:rPr>
        <w:t>须知</w:t>
      </w:r>
      <w:bookmarkEnd w:id="32"/>
      <w:bookmarkEnd w:id="33"/>
      <w:bookmarkEnd w:id="34"/>
    </w:p>
    <w:p w14:paraId="0979E0A7">
      <w:pPr>
        <w:tabs>
          <w:tab w:val="left" w:pos="1065"/>
          <w:tab w:val="center" w:pos="4411"/>
        </w:tabs>
        <w:spacing w:line="360" w:lineRule="exact"/>
        <w:jc w:val="center"/>
        <w:rPr>
          <w:rFonts w:ascii="Arial" w:hAnsi="Arial" w:cs="Arial"/>
          <w:b/>
          <w:color w:val="000000" w:themeColor="text1"/>
          <w:sz w:val="24"/>
          <w:highlight w:val="none"/>
          <w14:textFill>
            <w14:solidFill>
              <w14:schemeClr w14:val="tx1"/>
            </w14:solidFill>
          </w14:textFill>
        </w:rPr>
      </w:pPr>
      <w:bookmarkStart w:id="35" w:name="_Toc7637"/>
      <w:bookmarkStart w:id="36" w:name="_Toc1615"/>
      <w:bookmarkStart w:id="37" w:name="_Toc4694"/>
      <w:bookmarkStart w:id="38" w:name="_Toc14327"/>
      <w:bookmarkStart w:id="39" w:name="_Toc495841753"/>
      <w:bookmarkStart w:id="40" w:name="_Toc29259"/>
      <w:bookmarkStart w:id="41" w:name="_Toc14222"/>
      <w:bookmarkStart w:id="42" w:name="_Toc32042"/>
      <w:bookmarkStart w:id="43" w:name="_Toc25500"/>
      <w:bookmarkStart w:id="44" w:name="_Toc9513"/>
      <w:r>
        <w:rPr>
          <w:rFonts w:hint="eastAsia" w:ascii="Arial" w:hAnsi="Arial" w:cs="Arial"/>
          <w:b/>
          <w:color w:val="000000" w:themeColor="text1"/>
          <w:sz w:val="24"/>
          <w:highlight w:val="none"/>
          <w14:textFill>
            <w14:solidFill>
              <w14:schemeClr w14:val="tx1"/>
            </w14:solidFill>
          </w14:textFill>
        </w:rPr>
        <w:t>供应商</w:t>
      </w:r>
      <w:r>
        <w:rPr>
          <w:rFonts w:ascii="Arial" w:hAnsi="Arial" w:cs="Arial"/>
          <w:b/>
          <w:color w:val="000000" w:themeColor="text1"/>
          <w:sz w:val="24"/>
          <w:highlight w:val="none"/>
          <w14:textFill>
            <w14:solidFill>
              <w14:schemeClr w14:val="tx1"/>
            </w14:solidFill>
          </w14:textFill>
        </w:rPr>
        <w:t>须知前附表</w:t>
      </w:r>
      <w:bookmarkEnd w:id="35"/>
      <w:bookmarkEnd w:id="36"/>
      <w:bookmarkEnd w:id="37"/>
      <w:bookmarkEnd w:id="38"/>
      <w:bookmarkEnd w:id="39"/>
      <w:bookmarkEnd w:id="40"/>
      <w:bookmarkEnd w:id="41"/>
      <w:bookmarkEnd w:id="42"/>
      <w:bookmarkEnd w:id="43"/>
      <w:bookmarkEnd w:id="44"/>
    </w:p>
    <w:tbl>
      <w:tblPr>
        <w:tblStyle w:val="36"/>
        <w:tblW w:w="10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947"/>
        <w:gridCol w:w="1815"/>
        <w:gridCol w:w="6984"/>
      </w:tblGrid>
      <w:tr w14:paraId="7C1E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45" w:type="dxa"/>
            <w:shd w:val="clear" w:color="auto" w:fill="8DB3E2"/>
            <w:vAlign w:val="center"/>
          </w:tcPr>
          <w:p w14:paraId="2624C7DB">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序号</w:t>
            </w:r>
          </w:p>
        </w:tc>
        <w:tc>
          <w:tcPr>
            <w:tcW w:w="947" w:type="dxa"/>
            <w:shd w:val="clear" w:color="auto" w:fill="8DB3E2"/>
            <w:vAlign w:val="center"/>
          </w:tcPr>
          <w:p w14:paraId="38804215">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条款号</w:t>
            </w:r>
          </w:p>
        </w:tc>
        <w:tc>
          <w:tcPr>
            <w:tcW w:w="1815" w:type="dxa"/>
            <w:shd w:val="clear" w:color="auto" w:fill="8DB3E2"/>
            <w:vAlign w:val="center"/>
          </w:tcPr>
          <w:p w14:paraId="27F82E99">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条款名称</w:t>
            </w:r>
          </w:p>
        </w:tc>
        <w:tc>
          <w:tcPr>
            <w:tcW w:w="6984" w:type="dxa"/>
            <w:shd w:val="clear" w:color="auto" w:fill="8DB3E2"/>
            <w:vAlign w:val="center"/>
          </w:tcPr>
          <w:p w14:paraId="05091A59">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内容、要求</w:t>
            </w:r>
          </w:p>
        </w:tc>
      </w:tr>
      <w:tr w14:paraId="25CA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2D8BA1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w:t>
            </w:r>
          </w:p>
        </w:tc>
        <w:tc>
          <w:tcPr>
            <w:tcW w:w="947" w:type="dxa"/>
            <w:vAlign w:val="center"/>
          </w:tcPr>
          <w:p w14:paraId="5B58E80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w:t>
            </w:r>
          </w:p>
        </w:tc>
        <w:tc>
          <w:tcPr>
            <w:tcW w:w="1815" w:type="dxa"/>
            <w:vAlign w:val="center"/>
          </w:tcPr>
          <w:p w14:paraId="6B31CC6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采购项目名称及采购项目编号</w:t>
            </w:r>
          </w:p>
        </w:tc>
        <w:tc>
          <w:tcPr>
            <w:tcW w:w="6984" w:type="dxa"/>
            <w:vAlign w:val="center"/>
          </w:tcPr>
          <w:p w14:paraId="5E6D166D">
            <w:pPr>
              <w:spacing w:line="240" w:lineRule="auto"/>
              <w:rPr>
                <w:rFonts w:hint="eastAsia" w:ascii="宋体" w:hAnsi="宋体" w:eastAsia="宋体" w:cs="宋体"/>
                <w:color w:val="000000" w:themeColor="text1"/>
                <w:sz w:val="15"/>
                <w:szCs w:val="15"/>
                <w:highlight w:val="none"/>
                <w:lang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项目名称：</w:t>
            </w:r>
            <w:r>
              <w:rPr>
                <w:rFonts w:hint="eastAsia" w:ascii="宋体" w:hAnsi="宋体" w:cs="宋体"/>
                <w:color w:val="000000" w:themeColor="text1"/>
                <w:sz w:val="15"/>
                <w:szCs w:val="15"/>
                <w:highlight w:val="none"/>
                <w:lang w:eastAsia="zh-CN"/>
                <w14:textFill>
                  <w14:solidFill>
                    <w14:schemeClr w14:val="tx1"/>
                  </w14:solidFill>
                </w14:textFill>
              </w:rPr>
              <w:t>治安监控室视频监控系统维护保养项目项目</w:t>
            </w:r>
          </w:p>
          <w:p w14:paraId="51558AAF">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项目编号：</w:t>
            </w:r>
            <w:r>
              <w:rPr>
                <w:rFonts w:hint="eastAsia" w:ascii="宋体" w:hAnsi="宋体" w:cs="宋体"/>
                <w:color w:val="000000" w:themeColor="text1"/>
                <w:sz w:val="15"/>
                <w:szCs w:val="15"/>
                <w:highlight w:val="none"/>
                <w:lang w:eastAsia="zh-CN"/>
                <w14:textFill>
                  <w14:solidFill>
                    <w14:schemeClr w14:val="tx1"/>
                  </w14:solidFill>
                </w14:textFill>
              </w:rPr>
              <w:t>GXGSYY-CGB-BZB-2026-03</w:t>
            </w:r>
          </w:p>
        </w:tc>
      </w:tr>
      <w:tr w14:paraId="30DE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3FDCBC64">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w:t>
            </w:r>
          </w:p>
        </w:tc>
        <w:tc>
          <w:tcPr>
            <w:tcW w:w="947" w:type="dxa"/>
            <w:vAlign w:val="center"/>
          </w:tcPr>
          <w:p w14:paraId="2BD9666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w:t>
            </w:r>
          </w:p>
        </w:tc>
        <w:tc>
          <w:tcPr>
            <w:tcW w:w="1815" w:type="dxa"/>
            <w:vAlign w:val="center"/>
          </w:tcPr>
          <w:p w14:paraId="77F7C31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供应商资格</w:t>
            </w:r>
          </w:p>
        </w:tc>
        <w:tc>
          <w:tcPr>
            <w:tcW w:w="6984" w:type="dxa"/>
            <w:vAlign w:val="center"/>
          </w:tcPr>
          <w:p w14:paraId="0130E0B4">
            <w:pPr>
              <w:pStyle w:val="57"/>
              <w:spacing w:line="240" w:lineRule="auto"/>
              <w:rPr>
                <w:rFonts w:hint="eastAsia" w:ascii="宋体" w:hAnsi="宋体" w:eastAsia="宋体" w:cs="宋体"/>
                <w:color w:val="000000" w:themeColor="text1"/>
                <w:kern w:val="2"/>
                <w:sz w:val="15"/>
                <w:szCs w:val="15"/>
                <w:highlight w:val="none"/>
                <w14:textFill>
                  <w14:solidFill>
                    <w14:schemeClr w14:val="tx1"/>
                  </w14:solidFill>
                </w14:textFill>
              </w:rPr>
            </w:pPr>
            <w:r>
              <w:rPr>
                <w:rFonts w:hint="eastAsia" w:ascii="宋体" w:hAnsi="宋体" w:eastAsia="宋体" w:cs="宋体"/>
                <w:color w:val="000000" w:themeColor="text1"/>
                <w:kern w:val="2"/>
                <w:sz w:val="15"/>
                <w:szCs w:val="15"/>
                <w:highlight w:val="none"/>
                <w14:textFill>
                  <w14:solidFill>
                    <w14:schemeClr w14:val="tx1"/>
                  </w14:solidFill>
                </w14:textFill>
              </w:rPr>
              <w:t>4.1.满足《中华人民共和国政府采购法》第二十二条规定；</w:t>
            </w:r>
          </w:p>
          <w:p w14:paraId="753C41A6">
            <w:pPr>
              <w:pStyle w:val="57"/>
              <w:spacing w:line="240" w:lineRule="auto"/>
              <w:rPr>
                <w:rFonts w:hint="eastAsia" w:ascii="宋体" w:hAnsi="宋体" w:eastAsia="宋体" w:cs="宋体"/>
                <w:color w:val="000000" w:themeColor="text1"/>
                <w:kern w:val="2"/>
                <w:sz w:val="15"/>
                <w:szCs w:val="15"/>
                <w:highlight w:val="none"/>
                <w:lang w:eastAsia="zh-CN"/>
                <w14:textFill>
                  <w14:solidFill>
                    <w14:schemeClr w14:val="tx1"/>
                  </w14:solidFill>
                </w14:textFill>
              </w:rPr>
            </w:pPr>
            <w:r>
              <w:rPr>
                <w:rFonts w:hint="eastAsia" w:ascii="宋体" w:hAnsi="宋体" w:eastAsia="宋体" w:cs="宋体"/>
                <w:color w:val="000000" w:themeColor="text1"/>
                <w:kern w:val="2"/>
                <w:sz w:val="15"/>
                <w:szCs w:val="15"/>
                <w:highlight w:val="none"/>
                <w14:textFill>
                  <w14:solidFill>
                    <w14:schemeClr w14:val="tx1"/>
                  </w14:solidFill>
                </w14:textFill>
              </w:rPr>
              <w:t>4.2.</w:t>
            </w:r>
            <w:r>
              <w:rPr>
                <w:rFonts w:hint="eastAsia" w:ascii="宋体" w:hAnsi="宋体" w:eastAsia="宋体" w:cs="宋体"/>
                <w:bCs/>
                <w:color w:val="000000" w:themeColor="text1"/>
                <w:sz w:val="15"/>
                <w:szCs w:val="15"/>
                <w:highlight w:val="none"/>
                <w14:textFill>
                  <w14:solidFill>
                    <w14:schemeClr w14:val="tx1"/>
                  </w14:solidFill>
                </w14:textFill>
              </w:rPr>
              <w:t>落实政府采购政策需满足的资格要求：</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见磋商公告；</w:t>
            </w:r>
          </w:p>
          <w:p w14:paraId="2E076552">
            <w:pPr>
              <w:wordWrap/>
              <w:snapToGrid/>
              <w:spacing w:line="240" w:lineRule="auto"/>
              <w:textAlignment w:val="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4.3.本项目的特定资格要求：</w:t>
            </w:r>
            <w:r>
              <w:rPr>
                <w:rFonts w:hint="eastAsia" w:ascii="宋体" w:hAnsi="宋体" w:cs="宋体"/>
                <w:color w:val="000000" w:themeColor="text1"/>
                <w:sz w:val="15"/>
                <w:szCs w:val="15"/>
                <w:highlight w:val="none"/>
                <w:lang w:val="en-US" w:eastAsia="zh-CN"/>
                <w14:textFill>
                  <w14:solidFill>
                    <w14:schemeClr w14:val="tx1"/>
                  </w14:solidFill>
                </w14:textFill>
              </w:rPr>
              <w:t>见磋商公告</w:t>
            </w:r>
          </w:p>
        </w:tc>
      </w:tr>
      <w:tr w14:paraId="2586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5C0F3E1E">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w:t>
            </w:r>
          </w:p>
        </w:tc>
        <w:tc>
          <w:tcPr>
            <w:tcW w:w="947" w:type="dxa"/>
            <w:vAlign w:val="center"/>
          </w:tcPr>
          <w:p w14:paraId="3B151CE6">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5</w:t>
            </w:r>
          </w:p>
        </w:tc>
        <w:tc>
          <w:tcPr>
            <w:tcW w:w="1815" w:type="dxa"/>
            <w:vAlign w:val="center"/>
          </w:tcPr>
          <w:p w14:paraId="756B97BA">
            <w:pPr>
              <w:spacing w:line="240" w:lineRule="auto"/>
              <w:jc w:val="center"/>
              <w:rPr>
                <w:rFonts w:hint="eastAsia"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磋商费用</w:t>
            </w:r>
          </w:p>
        </w:tc>
        <w:tc>
          <w:tcPr>
            <w:tcW w:w="6984" w:type="dxa"/>
            <w:vAlign w:val="center"/>
          </w:tcPr>
          <w:p w14:paraId="70031FD1">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不论磋商结果如何，供应商均应自行承担所有与磋商有关的全部费用。</w:t>
            </w:r>
          </w:p>
        </w:tc>
      </w:tr>
      <w:tr w14:paraId="106E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AA1DB20">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w:t>
            </w:r>
          </w:p>
        </w:tc>
        <w:tc>
          <w:tcPr>
            <w:tcW w:w="947" w:type="dxa"/>
            <w:vAlign w:val="center"/>
          </w:tcPr>
          <w:p w14:paraId="59EE20DA">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6</w:t>
            </w:r>
          </w:p>
        </w:tc>
        <w:tc>
          <w:tcPr>
            <w:tcW w:w="1815" w:type="dxa"/>
            <w:vAlign w:val="center"/>
          </w:tcPr>
          <w:p w14:paraId="303E7DC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联合体磋商要求</w:t>
            </w:r>
          </w:p>
        </w:tc>
        <w:tc>
          <w:tcPr>
            <w:tcW w:w="6984" w:type="dxa"/>
            <w:vAlign w:val="center"/>
          </w:tcPr>
          <w:p w14:paraId="4F50DD92">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14:textFill>
                  <w14:solidFill>
                    <w14:schemeClr w14:val="tx1"/>
                  </w14:solidFill>
                </w14:textFill>
              </w:rPr>
              <w:t>本次采购</w:t>
            </w:r>
            <w:r>
              <w:rPr>
                <w:rFonts w:hint="eastAsia" w:ascii="宋体" w:hAnsi="宋体" w:cs="宋体"/>
                <w:b/>
                <w:bCs/>
                <w:color w:val="000000" w:themeColor="text1"/>
                <w:sz w:val="15"/>
                <w:szCs w:val="15"/>
                <w:highlight w:val="none"/>
                <w:u w:val="single"/>
                <w14:textFill>
                  <w14:solidFill>
                    <w14:schemeClr w14:val="tx1"/>
                  </w14:solidFill>
                </w14:textFill>
              </w:rPr>
              <w:t>不接受</w:t>
            </w:r>
            <w:r>
              <w:rPr>
                <w:rFonts w:hint="eastAsia" w:ascii="宋体" w:hAnsi="宋体" w:cs="宋体"/>
                <w:b/>
                <w:bCs/>
                <w:color w:val="000000" w:themeColor="text1"/>
                <w:sz w:val="15"/>
                <w:szCs w:val="15"/>
                <w:highlight w:val="none"/>
                <w14:textFill>
                  <w14:solidFill>
                    <w14:schemeClr w14:val="tx1"/>
                  </w14:solidFill>
                </w14:textFill>
              </w:rPr>
              <w:t>联合体磋商</w:t>
            </w:r>
            <w:r>
              <w:rPr>
                <w:rFonts w:hint="eastAsia" w:ascii="宋体" w:hAnsi="宋体" w:cs="宋体"/>
                <w:color w:val="000000" w:themeColor="text1"/>
                <w:sz w:val="15"/>
                <w:szCs w:val="15"/>
                <w:highlight w:val="none"/>
                <w14:textFill>
                  <w14:solidFill>
                    <w14:schemeClr w14:val="tx1"/>
                  </w14:solidFill>
                </w14:textFill>
              </w:rPr>
              <w:t>。</w:t>
            </w:r>
          </w:p>
        </w:tc>
      </w:tr>
      <w:tr w14:paraId="554C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E84495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w:t>
            </w:r>
          </w:p>
        </w:tc>
        <w:tc>
          <w:tcPr>
            <w:tcW w:w="947" w:type="dxa"/>
            <w:vAlign w:val="center"/>
          </w:tcPr>
          <w:p w14:paraId="774F1AFC">
            <w:pPr>
              <w:spacing w:line="240" w:lineRule="auto"/>
              <w:jc w:val="center"/>
              <w:rPr>
                <w:rFonts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position w:val="-2"/>
                <w:sz w:val="15"/>
                <w:szCs w:val="15"/>
                <w:highlight w:val="none"/>
                <w14:textFill>
                  <w14:solidFill>
                    <w14:schemeClr w14:val="tx1"/>
                  </w14:solidFill>
                </w14:textFill>
              </w:rPr>
              <w:t>14</w:t>
            </w:r>
          </w:p>
        </w:tc>
        <w:tc>
          <w:tcPr>
            <w:tcW w:w="1815" w:type="dxa"/>
            <w:vAlign w:val="center"/>
          </w:tcPr>
          <w:p w14:paraId="640A6707">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磋商报价及其他要求</w:t>
            </w:r>
          </w:p>
        </w:tc>
        <w:tc>
          <w:tcPr>
            <w:tcW w:w="6984" w:type="dxa"/>
            <w:vAlign w:val="center"/>
          </w:tcPr>
          <w:p w14:paraId="46DF846E">
            <w:pPr>
              <w:spacing w:line="240" w:lineRule="auto"/>
              <w:ind w:firstLine="0" w:firstLineChars="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1</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4</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1供应商必须就“采购需求”中的所有内容作完整唯一报价，有选择的或有条件的报价将不予接受。</w:t>
            </w:r>
          </w:p>
          <w:p w14:paraId="39C13D8B">
            <w:pPr>
              <w:spacing w:line="240" w:lineRule="auto"/>
              <w:ind w:firstLine="0" w:firstLineChars="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w:t>
            </w:r>
            <w:r>
              <w:rPr>
                <w:rFonts w:hint="eastAsia" w:ascii="宋体" w:hAnsi="宋体" w:eastAsia="宋体" w:cs="宋体"/>
                <w:color w:val="000000" w:themeColor="text1"/>
                <w:sz w:val="15"/>
                <w:szCs w:val="15"/>
                <w:highlight w:val="none"/>
                <w:lang w:val="en-US" w:eastAsia="zh-CN"/>
                <w14:textFill>
                  <w14:solidFill>
                    <w14:schemeClr w14:val="tx1"/>
                  </w14:solidFill>
                </w14:textFill>
              </w:rPr>
              <w:t>4</w:t>
            </w:r>
            <w:r>
              <w:rPr>
                <w:rFonts w:hint="eastAsia" w:ascii="宋体" w:hAnsi="宋体" w:eastAsia="宋体" w:cs="宋体"/>
                <w:color w:val="000000" w:themeColor="text1"/>
                <w:sz w:val="15"/>
                <w:szCs w:val="15"/>
                <w:highlight w:val="none"/>
                <w14:textFill>
                  <w14:solidFill>
                    <w14:schemeClr w14:val="tx1"/>
                  </w14:solidFill>
                </w14:textFill>
              </w:rPr>
              <w:t>.2采购预算金额</w:t>
            </w:r>
            <w:r>
              <w:rPr>
                <w:rFonts w:hint="eastAsia" w:ascii="宋体" w:hAnsi="宋体" w:cs="宋体"/>
                <w:color w:val="000000" w:themeColor="text1"/>
                <w:sz w:val="15"/>
                <w:szCs w:val="15"/>
                <w:highlight w:val="none"/>
                <w:lang w:val="en-US" w:eastAsia="zh-CN"/>
                <w14:textFill>
                  <w14:solidFill>
                    <w14:schemeClr w14:val="tx1"/>
                  </w14:solidFill>
                </w14:textFill>
              </w:rPr>
              <w:t>及</w:t>
            </w:r>
            <w:r>
              <w:rPr>
                <w:rFonts w:hint="eastAsia" w:ascii="宋体" w:hAnsi="宋体" w:eastAsia="宋体" w:cs="宋体"/>
                <w:color w:val="000000" w:themeColor="text1"/>
                <w:kern w:val="2"/>
                <w:sz w:val="15"/>
                <w:szCs w:val="15"/>
                <w:highlight w:val="none"/>
                <w14:textFill>
                  <w14:solidFill>
                    <w14:schemeClr w14:val="tx1"/>
                  </w14:solidFill>
                </w14:textFill>
              </w:rPr>
              <w:t>最高限价</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b/>
                <w:bCs/>
                <w:color w:val="000000" w:themeColor="text1"/>
                <w:sz w:val="15"/>
                <w:szCs w:val="15"/>
                <w:highlight w:val="none"/>
                <w:lang w:val="en-US" w:eastAsia="zh-CN"/>
                <w14:textFill>
                  <w14:solidFill>
                    <w14:schemeClr w14:val="tx1"/>
                  </w14:solidFill>
                </w14:textFill>
              </w:rPr>
              <w:t>¥49980.00报价超过最高限价金额，响应文件作无效处理。</w:t>
            </w:r>
          </w:p>
          <w:p w14:paraId="63AD6FBB">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lang w:eastAsia="zh-CN"/>
                <w14:textFill>
                  <w14:solidFill>
                    <w14:schemeClr w14:val="tx1"/>
                  </w14:solidFill>
                </w14:textFill>
              </w:rPr>
              <w:t>14</w:t>
            </w:r>
            <w:r>
              <w:rPr>
                <w:rFonts w:hint="eastAsia" w:ascii="宋体" w:hAnsi="宋体" w:eastAsia="宋体" w:cs="宋体"/>
                <w:color w:val="000000" w:themeColor="text1"/>
                <w:kern w:val="0"/>
                <w:sz w:val="15"/>
                <w:szCs w:val="15"/>
                <w:highlight w:val="none"/>
                <w14:textFill>
                  <w14:solidFill>
                    <w14:schemeClr w14:val="tx1"/>
                  </w14:solidFill>
                </w14:textFill>
              </w:rPr>
              <w:t>.3</w:t>
            </w:r>
            <w:r>
              <w:rPr>
                <w:rFonts w:hint="eastAsia" w:ascii="宋体" w:hAnsi="宋体" w:eastAsia="宋体" w:cs="宋体"/>
                <w:bCs/>
                <w:color w:val="000000" w:themeColor="text1"/>
                <w:sz w:val="15"/>
                <w:szCs w:val="15"/>
                <w:highlight w:val="none"/>
                <w14:textFill>
                  <w14:solidFill>
                    <w14:schemeClr w14:val="tx1"/>
                  </w14:solidFill>
                </w14:textFill>
              </w:rPr>
              <w:t>供应商磋商报价应包含</w:t>
            </w:r>
            <w:r>
              <w:rPr>
                <w:rFonts w:hint="eastAsia" w:ascii="宋体" w:hAnsi="宋体" w:cs="宋体"/>
                <w:bCs/>
                <w:color w:val="000000" w:themeColor="text1"/>
                <w:sz w:val="15"/>
                <w:szCs w:val="15"/>
                <w:highlight w:val="none"/>
                <w:lang w:eastAsia="zh-CN"/>
                <w14:textFill>
                  <w14:solidFill>
                    <w14:schemeClr w14:val="tx1"/>
                  </w14:solidFill>
                </w14:textFill>
              </w:rPr>
              <w:t>满足本次磋商全部采购需求所应提供的服务，以及伴随的服务；包含竞标服务、技术服务、咨询、税费、运营日常用品用具的消耗和折旧费、行政办公用品及资料印刷、服务清单涵盖的所有项目等全部费用；</w:t>
            </w:r>
          </w:p>
        </w:tc>
      </w:tr>
      <w:tr w14:paraId="3026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DE9D8D0">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5</w:t>
            </w:r>
          </w:p>
        </w:tc>
        <w:tc>
          <w:tcPr>
            <w:tcW w:w="947" w:type="dxa"/>
            <w:vAlign w:val="center"/>
          </w:tcPr>
          <w:p w14:paraId="04B0C29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15.1</w:t>
            </w:r>
          </w:p>
        </w:tc>
        <w:tc>
          <w:tcPr>
            <w:tcW w:w="1815" w:type="dxa"/>
            <w:vAlign w:val="center"/>
          </w:tcPr>
          <w:p w14:paraId="268432B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w:t>
            </w:r>
            <w:r>
              <w:rPr>
                <w:rFonts w:hint="eastAsia" w:ascii="宋体" w:hAnsi="宋体" w:cs="宋体"/>
                <w:color w:val="000000" w:themeColor="text1"/>
                <w:sz w:val="15"/>
                <w:szCs w:val="15"/>
                <w:highlight w:val="none"/>
                <w:lang w:val="en-US" w:eastAsia="zh-CN"/>
                <w14:textFill>
                  <w14:solidFill>
                    <w14:schemeClr w14:val="tx1"/>
                  </w14:solidFill>
                </w14:textFill>
              </w:rPr>
              <w:t>文件</w:t>
            </w:r>
            <w:r>
              <w:rPr>
                <w:rFonts w:hint="eastAsia" w:ascii="宋体" w:hAnsi="宋体" w:cs="宋体"/>
                <w:color w:val="000000" w:themeColor="text1"/>
                <w:sz w:val="15"/>
                <w:szCs w:val="15"/>
                <w:highlight w:val="none"/>
                <w14:textFill>
                  <w14:solidFill>
                    <w14:schemeClr w14:val="tx1"/>
                  </w14:solidFill>
                </w14:textFill>
              </w:rPr>
              <w:t>有效期</w:t>
            </w:r>
          </w:p>
        </w:tc>
        <w:tc>
          <w:tcPr>
            <w:tcW w:w="6984" w:type="dxa"/>
            <w:vAlign w:val="center"/>
          </w:tcPr>
          <w:p w14:paraId="630F864E">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响应截止时间之日起</w:t>
            </w:r>
            <w:r>
              <w:rPr>
                <w:rFonts w:hint="eastAsia" w:ascii="宋体" w:hAnsi="宋体" w:cs="宋体"/>
                <w:color w:val="000000" w:themeColor="text1"/>
                <w:sz w:val="15"/>
                <w:szCs w:val="15"/>
                <w:highlight w:val="none"/>
                <w:u w:val="single"/>
                <w14:textFill>
                  <w14:solidFill>
                    <w14:schemeClr w14:val="tx1"/>
                  </w14:solidFill>
                </w14:textFill>
              </w:rPr>
              <w:t>90</w:t>
            </w:r>
            <w:r>
              <w:rPr>
                <w:rFonts w:hint="eastAsia" w:ascii="宋体" w:hAnsi="宋体" w:cs="宋体"/>
                <w:color w:val="000000" w:themeColor="text1"/>
                <w:sz w:val="15"/>
                <w:szCs w:val="15"/>
                <w:highlight w:val="none"/>
                <w14:textFill>
                  <w14:solidFill>
                    <w14:schemeClr w14:val="tx1"/>
                  </w14:solidFill>
                </w14:textFill>
              </w:rPr>
              <w:t>天。</w:t>
            </w:r>
          </w:p>
        </w:tc>
      </w:tr>
      <w:tr w14:paraId="0834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F32F39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6</w:t>
            </w:r>
          </w:p>
        </w:tc>
        <w:tc>
          <w:tcPr>
            <w:tcW w:w="947" w:type="dxa"/>
            <w:vAlign w:val="center"/>
          </w:tcPr>
          <w:p w14:paraId="651A58D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16</w:t>
            </w:r>
          </w:p>
        </w:tc>
        <w:tc>
          <w:tcPr>
            <w:tcW w:w="1815" w:type="dxa"/>
            <w:vAlign w:val="center"/>
          </w:tcPr>
          <w:p w14:paraId="1ACAF606">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响应保证金</w:t>
            </w:r>
          </w:p>
        </w:tc>
        <w:tc>
          <w:tcPr>
            <w:tcW w:w="6984" w:type="dxa"/>
            <w:vAlign w:val="top"/>
          </w:tcPr>
          <w:p w14:paraId="6C7E19EF">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14:textFill>
                  <w14:solidFill>
                    <w14:schemeClr w14:val="tx1"/>
                  </w14:solidFill>
                </w14:textFill>
              </w:rPr>
              <w:t>本项目无需缴纳磋商保证金</w:t>
            </w:r>
            <w:r>
              <w:rPr>
                <w:rFonts w:hint="eastAsia" w:ascii="宋体" w:hAnsi="宋体" w:cs="宋体"/>
                <w:color w:val="000000" w:themeColor="text1"/>
                <w:sz w:val="15"/>
                <w:szCs w:val="15"/>
                <w:highlight w:val="none"/>
                <w14:textFill>
                  <w14:solidFill>
                    <w14:schemeClr w14:val="tx1"/>
                  </w14:solidFill>
                </w14:textFill>
              </w:rPr>
              <w:t>。</w:t>
            </w:r>
          </w:p>
        </w:tc>
      </w:tr>
      <w:tr w14:paraId="0703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FC55FD0">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7</w:t>
            </w:r>
          </w:p>
        </w:tc>
        <w:tc>
          <w:tcPr>
            <w:tcW w:w="947" w:type="dxa"/>
            <w:vAlign w:val="center"/>
          </w:tcPr>
          <w:p w14:paraId="00EE30E9">
            <w:pPr>
              <w:spacing w:line="240" w:lineRule="auto"/>
              <w:jc w:val="center"/>
              <w:rPr>
                <w:rFonts w:hint="eastAsia" w:ascii="宋体" w:hAnsi="宋体" w:cs="宋体"/>
                <w:color w:val="000000" w:themeColor="text1"/>
                <w:position w:val="10"/>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17</w:t>
            </w:r>
          </w:p>
        </w:tc>
        <w:tc>
          <w:tcPr>
            <w:tcW w:w="1815" w:type="dxa"/>
            <w:vAlign w:val="center"/>
          </w:tcPr>
          <w:p w14:paraId="43F4C66A">
            <w:pPr>
              <w:spacing w:line="240" w:lineRule="auto"/>
              <w:jc w:val="center"/>
              <w:rPr>
                <w:rFonts w:hint="eastAsia" w:ascii="宋体" w:hAnsi="宋体" w:cs="宋体"/>
                <w:color w:val="000000" w:themeColor="text1"/>
                <w:position w:val="10"/>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响应文件的制作</w:t>
            </w:r>
          </w:p>
        </w:tc>
        <w:tc>
          <w:tcPr>
            <w:tcW w:w="6984" w:type="dxa"/>
            <w:vAlign w:val="center"/>
          </w:tcPr>
          <w:p w14:paraId="1D250720">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lang w:val="en-US" w:eastAsia="zh-CN"/>
                <w14:textFill>
                  <w14:solidFill>
                    <w14:schemeClr w14:val="tx1"/>
                  </w14:solidFill>
                </w14:textFill>
              </w:rPr>
              <w:t>按第六章 响应文件格式编制</w:t>
            </w:r>
          </w:p>
        </w:tc>
      </w:tr>
      <w:tr w14:paraId="5F68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789B7EB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8</w:t>
            </w:r>
          </w:p>
        </w:tc>
        <w:tc>
          <w:tcPr>
            <w:tcW w:w="947" w:type="dxa"/>
            <w:vAlign w:val="center"/>
          </w:tcPr>
          <w:p w14:paraId="287D7577">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18</w:t>
            </w:r>
          </w:p>
        </w:tc>
        <w:tc>
          <w:tcPr>
            <w:tcW w:w="1815" w:type="dxa"/>
            <w:vAlign w:val="center"/>
          </w:tcPr>
          <w:p w14:paraId="54E1F08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响应文件的补充、修改和撤回</w:t>
            </w:r>
          </w:p>
        </w:tc>
        <w:tc>
          <w:tcPr>
            <w:tcW w:w="6984" w:type="dxa"/>
            <w:vAlign w:val="center"/>
          </w:tcPr>
          <w:p w14:paraId="63FB2013">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18.1响应文件递交截止时间前可以撤回</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cs="宋体"/>
                <w:color w:val="000000" w:themeColor="text1"/>
                <w:sz w:val="15"/>
                <w:szCs w:val="15"/>
                <w:highlight w:val="none"/>
                <w14:textFill>
                  <w14:solidFill>
                    <w14:schemeClr w14:val="tx1"/>
                  </w14:solidFill>
                </w14:textFill>
              </w:rPr>
              <w:t>。补充或者修改</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cs="宋体"/>
                <w:color w:val="000000" w:themeColor="text1"/>
                <w:sz w:val="15"/>
                <w:szCs w:val="15"/>
                <w:highlight w:val="none"/>
                <w14:textFill>
                  <w14:solidFill>
                    <w14:schemeClr w14:val="tx1"/>
                  </w14:solidFill>
                </w14:textFill>
              </w:rPr>
              <w:t>的，应当先行撤回原文件，补充、修改后重新递交，响应文件递交截止时间前未完成的，视为撤回响应文件。</w:t>
            </w:r>
          </w:p>
        </w:tc>
      </w:tr>
      <w:tr w14:paraId="466A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457FA269">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9</w:t>
            </w:r>
          </w:p>
        </w:tc>
        <w:tc>
          <w:tcPr>
            <w:tcW w:w="947" w:type="dxa"/>
            <w:vAlign w:val="center"/>
          </w:tcPr>
          <w:p w14:paraId="5449089D">
            <w:pPr>
              <w:spacing w:line="240" w:lineRule="auto"/>
              <w:jc w:val="center"/>
              <w:rPr>
                <w:rFonts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19.1</w:t>
            </w:r>
          </w:p>
        </w:tc>
        <w:tc>
          <w:tcPr>
            <w:tcW w:w="1815" w:type="dxa"/>
            <w:vAlign w:val="center"/>
          </w:tcPr>
          <w:p w14:paraId="1E792AC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响应文件递交</w:t>
            </w:r>
          </w:p>
        </w:tc>
        <w:tc>
          <w:tcPr>
            <w:tcW w:w="6984" w:type="dxa"/>
            <w:vAlign w:val="center"/>
          </w:tcPr>
          <w:p w14:paraId="2E06BB27">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19.1响应文件递交截止时间：</w:t>
            </w:r>
            <w:r>
              <w:rPr>
                <w:rFonts w:hint="eastAsia" w:ascii="宋体" w:hAnsi="宋体" w:cs="宋体"/>
                <w:color w:val="000000" w:themeColor="text1"/>
                <w:sz w:val="15"/>
                <w:szCs w:val="15"/>
                <w:highlight w:val="none"/>
                <w:lang w:val="en-US" w:eastAsia="zh-CN"/>
                <w14:textFill>
                  <w14:solidFill>
                    <w14:schemeClr w14:val="tx1"/>
                  </w14:solidFill>
                </w14:textFill>
              </w:rPr>
              <w:t>按磋商公告规定时间</w:t>
            </w:r>
          </w:p>
        </w:tc>
      </w:tr>
      <w:tr w14:paraId="4784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171FA76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10</w:t>
            </w:r>
          </w:p>
        </w:tc>
        <w:tc>
          <w:tcPr>
            <w:tcW w:w="947" w:type="dxa"/>
            <w:vAlign w:val="center"/>
          </w:tcPr>
          <w:p w14:paraId="3E1DA489">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19.2</w:t>
            </w:r>
          </w:p>
        </w:tc>
        <w:tc>
          <w:tcPr>
            <w:tcW w:w="1815" w:type="dxa"/>
            <w:vAlign w:val="center"/>
          </w:tcPr>
          <w:p w14:paraId="5CCA5B7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响应文件解密</w:t>
            </w:r>
          </w:p>
        </w:tc>
        <w:tc>
          <w:tcPr>
            <w:tcW w:w="6984" w:type="dxa"/>
            <w:vAlign w:val="center"/>
          </w:tcPr>
          <w:p w14:paraId="340C9512">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19.2响应文件解密时间：</w:t>
            </w:r>
            <w:r>
              <w:rPr>
                <w:rFonts w:hint="eastAsia" w:ascii="宋体" w:hAnsi="宋体" w:cs="宋体"/>
                <w:color w:val="000000" w:themeColor="text1"/>
                <w:sz w:val="15"/>
                <w:szCs w:val="15"/>
                <w:highlight w:val="none"/>
                <w:lang w:val="en-US" w:eastAsia="zh-CN"/>
                <w14:textFill>
                  <w14:solidFill>
                    <w14:schemeClr w14:val="tx1"/>
                  </w14:solidFill>
                </w14:textFill>
              </w:rPr>
              <w:t>开标现场解密</w:t>
            </w:r>
          </w:p>
        </w:tc>
      </w:tr>
      <w:tr w14:paraId="6D6B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5" w:type="dxa"/>
            <w:vAlign w:val="center"/>
          </w:tcPr>
          <w:p w14:paraId="7C14015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11</w:t>
            </w:r>
          </w:p>
        </w:tc>
        <w:tc>
          <w:tcPr>
            <w:tcW w:w="947" w:type="dxa"/>
            <w:vAlign w:val="center"/>
          </w:tcPr>
          <w:p w14:paraId="3E9DD81A">
            <w:pPr>
              <w:spacing w:line="240" w:lineRule="auto"/>
              <w:jc w:val="center"/>
              <w:rPr>
                <w:rFonts w:hint="eastAsia"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w:t>
            </w:r>
          </w:p>
        </w:tc>
        <w:tc>
          <w:tcPr>
            <w:tcW w:w="1815" w:type="dxa"/>
            <w:vAlign w:val="center"/>
          </w:tcPr>
          <w:p w14:paraId="2D89F1EA">
            <w:pPr>
              <w:spacing w:line="240" w:lineRule="auto"/>
              <w:jc w:val="center"/>
              <w:rPr>
                <w:rFonts w:hint="eastAsia"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磋商时间及地点</w:t>
            </w:r>
          </w:p>
        </w:tc>
        <w:tc>
          <w:tcPr>
            <w:tcW w:w="6984" w:type="dxa"/>
            <w:vAlign w:val="top"/>
          </w:tcPr>
          <w:p w14:paraId="05B7D42C">
            <w:pPr>
              <w:tabs>
                <w:tab w:val="left" w:pos="1305"/>
              </w:tabs>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20.1.1磋商时间：响应文件递交截止时间后。</w:t>
            </w:r>
          </w:p>
          <w:p w14:paraId="7C9135BB">
            <w:pPr>
              <w:tabs>
                <w:tab w:val="left" w:pos="1305"/>
              </w:tabs>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20.1.2磋商地点：</w:t>
            </w:r>
            <w:r>
              <w:rPr>
                <w:rFonts w:hint="eastAsia" w:ascii="宋体" w:hAnsi="宋体" w:cs="宋体"/>
                <w:color w:val="000000" w:themeColor="text1"/>
                <w:sz w:val="15"/>
                <w:szCs w:val="15"/>
                <w:highlight w:val="none"/>
                <w:lang w:val="en-US" w:eastAsia="zh-CN"/>
                <w14:textFill>
                  <w14:solidFill>
                    <w14:schemeClr w14:val="tx1"/>
                  </w14:solidFill>
                </w14:textFill>
              </w:rPr>
              <w:t>采购人指定地点</w:t>
            </w:r>
          </w:p>
          <w:p w14:paraId="7BB68193">
            <w:pPr>
              <w:tabs>
                <w:tab w:val="left" w:pos="1305"/>
              </w:tabs>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20.1.3磋商参加人员：供应商法定代表人(负责人、自然人)或相应的委托代理人参加磋商。</w:t>
            </w:r>
          </w:p>
          <w:p w14:paraId="6E47DB17">
            <w:pPr>
              <w:tabs>
                <w:tab w:val="left" w:pos="1305"/>
              </w:tabs>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20.1.4响应文件递交截止时间后，由磋商小组在评标室内开启响应文件。</w:t>
            </w:r>
          </w:p>
        </w:tc>
      </w:tr>
      <w:tr w14:paraId="184D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46E8F21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12</w:t>
            </w:r>
          </w:p>
        </w:tc>
        <w:tc>
          <w:tcPr>
            <w:tcW w:w="947" w:type="dxa"/>
            <w:vAlign w:val="center"/>
          </w:tcPr>
          <w:p w14:paraId="7F2C01B9">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23</w:t>
            </w:r>
          </w:p>
        </w:tc>
        <w:tc>
          <w:tcPr>
            <w:tcW w:w="1815" w:type="dxa"/>
            <w:vAlign w:val="center"/>
          </w:tcPr>
          <w:p w14:paraId="62CF26D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磋商小组组成</w:t>
            </w:r>
          </w:p>
        </w:tc>
        <w:tc>
          <w:tcPr>
            <w:tcW w:w="6984" w:type="dxa"/>
            <w:vAlign w:val="center"/>
          </w:tcPr>
          <w:p w14:paraId="63770C14">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磋商小组由采购人评审专家组成。磋商小组的构成：3人</w:t>
            </w:r>
            <w:r>
              <w:rPr>
                <w:rFonts w:hint="eastAsia" w:ascii="宋体" w:hAnsi="宋体" w:cs="宋体"/>
                <w:color w:val="000000" w:themeColor="text1"/>
                <w:sz w:val="15"/>
                <w:szCs w:val="15"/>
                <w:highlight w:val="none"/>
                <w:lang w:val="en-US" w:eastAsia="zh-CN"/>
                <w14:textFill>
                  <w14:solidFill>
                    <w14:schemeClr w14:val="tx1"/>
                  </w14:solidFill>
                </w14:textFill>
              </w:rPr>
              <w:t>或以上单数</w:t>
            </w:r>
          </w:p>
        </w:tc>
      </w:tr>
      <w:tr w14:paraId="225E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591D5F5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13</w:t>
            </w:r>
          </w:p>
        </w:tc>
        <w:tc>
          <w:tcPr>
            <w:tcW w:w="947" w:type="dxa"/>
            <w:vAlign w:val="center"/>
          </w:tcPr>
          <w:p w14:paraId="28E0148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24.1</w:t>
            </w:r>
          </w:p>
        </w:tc>
        <w:tc>
          <w:tcPr>
            <w:tcW w:w="1815" w:type="dxa"/>
            <w:vAlign w:val="center"/>
          </w:tcPr>
          <w:p w14:paraId="2CA9987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评审办法</w:t>
            </w:r>
          </w:p>
        </w:tc>
        <w:tc>
          <w:tcPr>
            <w:tcW w:w="6984" w:type="dxa"/>
            <w:vAlign w:val="center"/>
          </w:tcPr>
          <w:p w14:paraId="297AFD82">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综合评分法，具体评标内容及标准详见第四章。</w:t>
            </w:r>
          </w:p>
        </w:tc>
      </w:tr>
      <w:tr w14:paraId="4A25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E80689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14</w:t>
            </w:r>
          </w:p>
        </w:tc>
        <w:tc>
          <w:tcPr>
            <w:tcW w:w="947" w:type="dxa"/>
            <w:vAlign w:val="center"/>
          </w:tcPr>
          <w:p w14:paraId="3E853EB4">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31</w:t>
            </w:r>
          </w:p>
        </w:tc>
        <w:tc>
          <w:tcPr>
            <w:tcW w:w="1815" w:type="dxa"/>
            <w:vAlign w:val="center"/>
          </w:tcPr>
          <w:p w14:paraId="6BD2DB01">
            <w:pPr>
              <w:tabs>
                <w:tab w:val="left" w:pos="1140"/>
              </w:tabs>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信用查询</w:t>
            </w:r>
          </w:p>
        </w:tc>
        <w:tc>
          <w:tcPr>
            <w:tcW w:w="6984" w:type="dxa"/>
            <w:vAlign w:val="center"/>
          </w:tcPr>
          <w:p w14:paraId="175175CB">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根据《关于做好政府采购有关信用主体标识码登记及在政府采购活动中查询使用信用记录有关问题的通知》（桂财采〔2016〕37</w:t>
            </w:r>
            <w:r>
              <w:rPr>
                <w:rFonts w:hint="eastAsia" w:ascii="宋体" w:hAnsi="宋体" w:cs="宋体"/>
                <w:color w:val="000000" w:themeColor="text1"/>
                <w:sz w:val="15"/>
                <w:szCs w:val="15"/>
                <w:highlight w:val="none"/>
                <w:lang w:eastAsia="zh-CN"/>
                <w14:textFill>
                  <w14:solidFill>
                    <w14:schemeClr w14:val="tx1"/>
                  </w14:solidFill>
                </w14:textFill>
              </w:rPr>
              <w:t>号）</w:t>
            </w:r>
            <w:r>
              <w:rPr>
                <w:rFonts w:hint="eastAsia" w:ascii="宋体" w:hAnsi="宋体" w:cs="宋体"/>
                <w:color w:val="000000" w:themeColor="text1"/>
                <w:sz w:val="15"/>
                <w:szCs w:val="15"/>
                <w:highlight w:val="none"/>
                <w14:textFill>
                  <w14:solidFill>
                    <w14:schemeClr w14:val="tx1"/>
                  </w14:solidFill>
                </w14:textFill>
              </w:rPr>
              <w:t>，由采购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cs="宋体"/>
                <w:color w:val="000000" w:themeColor="text1"/>
                <w:sz w:val="15"/>
                <w:szCs w:val="15"/>
                <w:highlight w:val="none"/>
                <w14:textFill>
                  <w14:solidFill>
                    <w14:schemeClr w14:val="tx1"/>
                  </w14:solidFill>
                </w14:textFill>
              </w:rPr>
              <w:t>对第一成交候选人进行信用查询：</w:t>
            </w:r>
          </w:p>
          <w:p w14:paraId="06E93149">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⑴查询渠道：“信用中国”网站(www.creditchina.gov.cn)、中国政府采购网(www.ccgp.gov.cn)等；</w:t>
            </w:r>
          </w:p>
          <w:p w14:paraId="6C509DDC">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⑵查询截止时点：成交通知书发出前；</w:t>
            </w:r>
          </w:p>
          <w:p w14:paraId="26424541">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⑶信用信息查询记录和证据留存方式：在查询网站中直接打印查询记录，打印材料作为采购活动资料保存。</w:t>
            </w:r>
          </w:p>
          <w:p w14:paraId="458E585C">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⑷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成交候选人资格。</w:t>
            </w:r>
          </w:p>
        </w:tc>
      </w:tr>
      <w:tr w14:paraId="2040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C01866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15</w:t>
            </w:r>
          </w:p>
        </w:tc>
        <w:tc>
          <w:tcPr>
            <w:tcW w:w="947" w:type="dxa"/>
            <w:vAlign w:val="center"/>
          </w:tcPr>
          <w:p w14:paraId="20C2A3D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32</w:t>
            </w:r>
          </w:p>
        </w:tc>
        <w:tc>
          <w:tcPr>
            <w:tcW w:w="1815" w:type="dxa"/>
            <w:vAlign w:val="center"/>
          </w:tcPr>
          <w:p w14:paraId="00700FF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成交公告</w:t>
            </w:r>
          </w:p>
          <w:p w14:paraId="5FF8F31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及成交通知书</w:t>
            </w:r>
          </w:p>
        </w:tc>
        <w:tc>
          <w:tcPr>
            <w:tcW w:w="6984" w:type="dxa"/>
            <w:vAlign w:val="center"/>
          </w:tcPr>
          <w:p w14:paraId="6A3B3164">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33.1采购人按</w:t>
            </w:r>
            <w:r>
              <w:rPr>
                <w:rFonts w:hint="eastAsia" w:ascii="宋体" w:hAnsi="宋体" w:cs="宋体"/>
                <w:color w:val="000000" w:themeColor="text1"/>
                <w:sz w:val="15"/>
                <w:szCs w:val="15"/>
                <w:highlight w:val="none"/>
                <w:lang w:eastAsia="zh-CN"/>
                <w14:textFill>
                  <w14:solidFill>
                    <w14:schemeClr w14:val="tx1"/>
                  </w14:solidFill>
                </w14:textFill>
              </w:rPr>
              <w:t>成交候选人</w:t>
            </w:r>
            <w:r>
              <w:rPr>
                <w:rFonts w:hint="eastAsia" w:ascii="宋体" w:hAnsi="宋体" w:cs="宋体"/>
                <w:color w:val="000000" w:themeColor="text1"/>
                <w:sz w:val="15"/>
                <w:szCs w:val="15"/>
                <w:highlight w:val="none"/>
                <w:lang w:val="en-US" w:eastAsia="zh-CN"/>
                <w14:textFill>
                  <w14:solidFill>
                    <w14:schemeClr w14:val="tx1"/>
                  </w14:solidFill>
                </w14:textFill>
              </w:rPr>
              <w:t>入围原则</w:t>
            </w:r>
            <w:r>
              <w:rPr>
                <w:rFonts w:hint="eastAsia" w:ascii="宋体" w:hAnsi="宋体" w:cs="宋体"/>
                <w:color w:val="000000" w:themeColor="text1"/>
                <w:sz w:val="15"/>
                <w:szCs w:val="15"/>
                <w:highlight w:val="none"/>
                <w14:textFill>
                  <w14:solidFill>
                    <w14:schemeClr w14:val="tx1"/>
                  </w14:solidFill>
                </w14:textFill>
              </w:rPr>
              <w:t>确定成交供应商，并在</w:t>
            </w:r>
            <w:r>
              <w:rPr>
                <w:rFonts w:hint="eastAsia" w:ascii="宋体" w:hAnsi="宋体" w:cs="宋体"/>
                <w:color w:val="000000" w:themeColor="text1"/>
                <w:sz w:val="15"/>
                <w:szCs w:val="15"/>
                <w:highlight w:val="none"/>
                <w:lang w:val="en-US" w:eastAsia="zh-CN"/>
                <w14:textFill>
                  <w14:solidFill>
                    <w14:schemeClr w14:val="tx1"/>
                  </w14:solidFill>
                </w14:textFill>
              </w:rPr>
              <w:t>官网</w:t>
            </w:r>
            <w:r>
              <w:rPr>
                <w:rFonts w:hint="eastAsia" w:ascii="宋体" w:hAnsi="宋体" w:cs="宋体"/>
                <w:color w:val="000000" w:themeColor="text1"/>
                <w:sz w:val="15"/>
                <w:szCs w:val="15"/>
                <w:highlight w:val="none"/>
                <w14:textFill>
                  <w14:solidFill>
                    <w14:schemeClr w14:val="tx1"/>
                  </w14:solidFill>
                </w14:textFill>
              </w:rPr>
              <w:t>公告成交信息。</w:t>
            </w:r>
          </w:p>
          <w:p w14:paraId="4112EA7E">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33.2.</w:t>
            </w:r>
            <w:r>
              <w:rPr>
                <w:rFonts w:hint="eastAsia" w:ascii="宋体" w:hAnsi="宋体" w:cs="宋体"/>
                <w:color w:val="000000" w:themeColor="text1"/>
                <w:sz w:val="15"/>
                <w:szCs w:val="15"/>
                <w:highlight w:val="none"/>
                <w:lang w:val="en-US" w:eastAsia="zh-CN"/>
                <w14:textFill>
                  <w14:solidFill>
                    <w14:schemeClr w14:val="tx1"/>
                  </w14:solidFill>
                </w14:textFill>
              </w:rPr>
              <w:t>本项目采用官网公告方式通知成交信息并电话通知成交人，不再向成交人递送纸质</w:t>
            </w:r>
            <w:r>
              <w:rPr>
                <w:rFonts w:hint="eastAsia" w:ascii="宋体" w:hAnsi="宋体" w:cs="宋体"/>
                <w:color w:val="000000" w:themeColor="text1"/>
                <w:sz w:val="15"/>
                <w:szCs w:val="15"/>
                <w:highlight w:val="none"/>
                <w14:textFill>
                  <w14:solidFill>
                    <w14:schemeClr w14:val="tx1"/>
                  </w14:solidFill>
                </w14:textFill>
              </w:rPr>
              <w:t>成交通知书。</w:t>
            </w:r>
          </w:p>
        </w:tc>
      </w:tr>
      <w:tr w14:paraId="2032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36FE8CDE">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16</w:t>
            </w:r>
          </w:p>
        </w:tc>
        <w:tc>
          <w:tcPr>
            <w:tcW w:w="947" w:type="dxa"/>
            <w:vAlign w:val="center"/>
          </w:tcPr>
          <w:p w14:paraId="7FEB16B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33</w:t>
            </w:r>
          </w:p>
        </w:tc>
        <w:tc>
          <w:tcPr>
            <w:tcW w:w="1815" w:type="dxa"/>
            <w:vAlign w:val="center"/>
          </w:tcPr>
          <w:p w14:paraId="24FE789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履约保证金</w:t>
            </w:r>
          </w:p>
        </w:tc>
        <w:tc>
          <w:tcPr>
            <w:tcW w:w="6984" w:type="dxa"/>
            <w:vAlign w:val="center"/>
          </w:tcPr>
          <w:p w14:paraId="73D916D3">
            <w:pPr>
              <w:widowControl/>
              <w:spacing w:line="240" w:lineRule="auto"/>
              <w:jc w:val="left"/>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无</w:t>
            </w:r>
          </w:p>
        </w:tc>
      </w:tr>
      <w:tr w14:paraId="4E80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79C1E274">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17</w:t>
            </w:r>
          </w:p>
        </w:tc>
        <w:tc>
          <w:tcPr>
            <w:tcW w:w="947" w:type="dxa"/>
            <w:vAlign w:val="center"/>
          </w:tcPr>
          <w:p w14:paraId="3892A40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34.1</w:t>
            </w:r>
          </w:p>
        </w:tc>
        <w:tc>
          <w:tcPr>
            <w:tcW w:w="1815" w:type="dxa"/>
            <w:vAlign w:val="center"/>
          </w:tcPr>
          <w:p w14:paraId="5942E4DD">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签订合同时间</w:t>
            </w:r>
          </w:p>
        </w:tc>
        <w:tc>
          <w:tcPr>
            <w:tcW w:w="6984" w:type="dxa"/>
            <w:vAlign w:val="center"/>
          </w:tcPr>
          <w:p w14:paraId="56D436C9">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成交</w:t>
            </w:r>
            <w:r>
              <w:rPr>
                <w:rFonts w:hint="eastAsia" w:ascii="宋体" w:hAnsi="宋体" w:cs="宋体"/>
                <w:color w:val="000000" w:themeColor="text1"/>
                <w:sz w:val="15"/>
                <w:szCs w:val="15"/>
                <w:highlight w:val="none"/>
                <w:lang w:val="en-US" w:eastAsia="zh-CN"/>
                <w14:textFill>
                  <w14:solidFill>
                    <w14:schemeClr w14:val="tx1"/>
                  </w14:solidFill>
                </w14:textFill>
              </w:rPr>
              <w:t>公告发布</w:t>
            </w:r>
            <w:r>
              <w:rPr>
                <w:rFonts w:hint="eastAsia" w:ascii="宋体" w:hAnsi="宋体" w:cs="宋体"/>
                <w:color w:val="000000" w:themeColor="text1"/>
                <w:sz w:val="15"/>
                <w:szCs w:val="15"/>
                <w:highlight w:val="none"/>
                <w14:textFill>
                  <w14:solidFill>
                    <w14:schemeClr w14:val="tx1"/>
                  </w14:solidFill>
                </w14:textFill>
              </w:rPr>
              <w:t>之日起</w:t>
            </w:r>
            <w:r>
              <w:rPr>
                <w:rFonts w:hint="eastAsia" w:ascii="宋体" w:hAnsi="宋体" w:cs="宋体"/>
                <w:color w:val="000000" w:themeColor="text1"/>
                <w:sz w:val="15"/>
                <w:szCs w:val="15"/>
                <w:highlight w:val="none"/>
                <w:lang w:val="en-US" w:eastAsia="zh-CN"/>
                <w14:textFill>
                  <w14:solidFill>
                    <w14:schemeClr w14:val="tx1"/>
                  </w14:solidFill>
                </w14:textFill>
              </w:rPr>
              <w:t>15</w:t>
            </w:r>
            <w:r>
              <w:rPr>
                <w:rFonts w:hint="eastAsia" w:ascii="宋体" w:hAnsi="宋体" w:cs="宋体"/>
                <w:color w:val="000000" w:themeColor="text1"/>
                <w:sz w:val="15"/>
                <w:szCs w:val="15"/>
                <w:highlight w:val="none"/>
                <w:lang w:eastAsia="zh-CN"/>
                <w14:textFill>
                  <w14:solidFill>
                    <w14:schemeClr w14:val="tx1"/>
                  </w14:solidFill>
                </w14:textFill>
              </w:rPr>
              <w:t>日内</w:t>
            </w:r>
            <w:r>
              <w:rPr>
                <w:rFonts w:hint="eastAsia" w:ascii="宋体" w:hAnsi="宋体" w:cs="宋体"/>
                <w:color w:val="000000" w:themeColor="text1"/>
                <w:sz w:val="15"/>
                <w:szCs w:val="15"/>
                <w:highlight w:val="none"/>
                <w14:textFill>
                  <w14:solidFill>
                    <w14:schemeClr w14:val="tx1"/>
                  </w14:solidFill>
                </w14:textFill>
              </w:rPr>
              <w:t>签订合同。成交供应商应按规定与采购人签订合同。</w:t>
            </w:r>
            <w:r>
              <w:rPr>
                <w:rFonts w:hint="eastAsia" w:ascii="宋体" w:hAnsi="宋体" w:cs="宋体"/>
                <w:color w:val="000000" w:themeColor="text1"/>
                <w:sz w:val="15"/>
                <w:szCs w:val="15"/>
                <w:highlight w:val="none"/>
                <w:lang w:val="en-US" w:eastAsia="zh-CN"/>
                <w14:textFill>
                  <w14:solidFill>
                    <w14:schemeClr w14:val="tx1"/>
                  </w14:solidFill>
                </w14:textFill>
              </w:rPr>
              <w:t>否则采购人按自动放弃中标资格从有效投标人中顺位确定供应商。</w:t>
            </w:r>
          </w:p>
        </w:tc>
      </w:tr>
      <w:tr w14:paraId="1044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C881FB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18</w:t>
            </w:r>
          </w:p>
        </w:tc>
        <w:tc>
          <w:tcPr>
            <w:tcW w:w="947" w:type="dxa"/>
            <w:vAlign w:val="center"/>
          </w:tcPr>
          <w:p w14:paraId="24F6C28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34.4</w:t>
            </w:r>
          </w:p>
        </w:tc>
        <w:tc>
          <w:tcPr>
            <w:tcW w:w="1815" w:type="dxa"/>
            <w:vAlign w:val="center"/>
          </w:tcPr>
          <w:p w14:paraId="6177608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合同备案存档</w:t>
            </w:r>
          </w:p>
        </w:tc>
        <w:tc>
          <w:tcPr>
            <w:tcW w:w="6984" w:type="dxa"/>
            <w:vAlign w:val="center"/>
          </w:tcPr>
          <w:p w14:paraId="4D7B5896">
            <w:pPr>
              <w:spacing w:line="240" w:lineRule="auto"/>
              <w:rPr>
                <w:rFonts w:hint="eastAsia" w:ascii="宋体" w:hAnsi="宋体" w:eastAsia="宋体" w:cs="宋体"/>
                <w:color w:val="000000" w:themeColor="text1"/>
                <w:sz w:val="15"/>
                <w:szCs w:val="15"/>
                <w:highlight w:val="none"/>
                <w:lang w:eastAsia="zh-CN"/>
                <w14:textFill>
                  <w14:solidFill>
                    <w14:schemeClr w14:val="tx1"/>
                  </w14:solidFill>
                </w14:textFill>
              </w:rPr>
            </w:pPr>
            <w:r>
              <w:rPr>
                <w:rFonts w:hint="eastAsia" w:ascii="宋体" w:hAnsi="宋体" w:cs="宋体"/>
                <w:color w:val="000000" w:themeColor="text1"/>
                <w:sz w:val="15"/>
                <w:szCs w:val="15"/>
                <w:highlight w:val="none"/>
                <w:lang w:val="en-US" w:eastAsia="zh-CN"/>
                <w14:textFill>
                  <w14:solidFill>
                    <w14:schemeClr w14:val="tx1"/>
                  </w14:solidFill>
                </w14:textFill>
              </w:rPr>
              <w:t>无</w:t>
            </w:r>
          </w:p>
        </w:tc>
      </w:tr>
      <w:tr w14:paraId="3D41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1412F917">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w:t>
            </w:r>
          </w:p>
        </w:tc>
        <w:tc>
          <w:tcPr>
            <w:tcW w:w="947" w:type="dxa"/>
            <w:vAlign w:val="center"/>
          </w:tcPr>
          <w:p w14:paraId="7F56FC5C">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35</w:t>
            </w:r>
          </w:p>
        </w:tc>
        <w:tc>
          <w:tcPr>
            <w:tcW w:w="1815" w:type="dxa"/>
            <w:vAlign w:val="center"/>
          </w:tcPr>
          <w:p w14:paraId="02B3BEED">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采购代理服务费</w:t>
            </w:r>
          </w:p>
        </w:tc>
        <w:tc>
          <w:tcPr>
            <w:tcW w:w="6984" w:type="dxa"/>
            <w:vAlign w:val="center"/>
          </w:tcPr>
          <w:p w14:paraId="4DC1FEFC">
            <w:pPr>
              <w:widowControl w:val="0"/>
              <w:wordWrap/>
              <w:adjustRightInd/>
              <w:spacing w:line="240" w:lineRule="auto"/>
              <w:textAlignment w:val="auto"/>
              <w:rPr>
                <w:rFonts w:hint="eastAsia"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kern w:val="0"/>
                <w:sz w:val="15"/>
                <w:szCs w:val="15"/>
                <w:highlight w:val="none"/>
                <w:lang w:val="en-US" w:eastAsia="zh-CN"/>
                <w14:textFill>
                  <w14:solidFill>
                    <w14:schemeClr w14:val="tx1"/>
                  </w14:solidFill>
                </w14:textFill>
              </w:rPr>
              <w:t>无</w:t>
            </w:r>
          </w:p>
        </w:tc>
      </w:tr>
      <w:tr w14:paraId="104E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A7C96D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w:t>
            </w:r>
          </w:p>
        </w:tc>
        <w:tc>
          <w:tcPr>
            <w:tcW w:w="947" w:type="dxa"/>
            <w:vAlign w:val="center"/>
          </w:tcPr>
          <w:p w14:paraId="5E9CFCB6">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36</w:t>
            </w:r>
          </w:p>
        </w:tc>
        <w:tc>
          <w:tcPr>
            <w:tcW w:w="1815" w:type="dxa"/>
            <w:vAlign w:val="center"/>
          </w:tcPr>
          <w:p w14:paraId="5E11BAB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解释权</w:t>
            </w:r>
          </w:p>
        </w:tc>
        <w:tc>
          <w:tcPr>
            <w:tcW w:w="6984" w:type="dxa"/>
            <w:vAlign w:val="center"/>
          </w:tcPr>
          <w:p w14:paraId="0F5C45A1">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本竞争性磋商文件是根据《中华人民共和国政府采购法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14:textFill>
                  <w14:solidFill>
                    <w14:schemeClr w14:val="tx1"/>
                  </w14:solidFill>
                </w14:textFill>
              </w:rPr>
              <w:t>中华人民共和国政府采购法实施条例</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14:textFill>
                  <w14:solidFill>
                    <w14:schemeClr w14:val="tx1"/>
                  </w14:solidFill>
                </w14:textFill>
              </w:rPr>
              <w:t>政府采购非招标采购方式管理办法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14:textFill>
                  <w14:solidFill>
                    <w14:schemeClr w14:val="tx1"/>
                  </w14:solidFill>
                </w14:textFill>
              </w:rPr>
              <w:t>政府采购竞争性磋商采购方式管理暂行办法》和政府采购管理有关规定编制，本竞争性磋商文件的解释权属于采购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cs="宋体"/>
                <w:color w:val="000000" w:themeColor="text1"/>
                <w:sz w:val="15"/>
                <w:szCs w:val="15"/>
                <w:highlight w:val="none"/>
                <w14:textFill>
                  <w14:solidFill>
                    <w14:schemeClr w14:val="tx1"/>
                  </w14:solidFill>
                </w14:textFill>
              </w:rPr>
              <w:t>。</w:t>
            </w:r>
          </w:p>
        </w:tc>
      </w:tr>
      <w:tr w14:paraId="6CA2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45" w:type="dxa"/>
            <w:vAlign w:val="center"/>
          </w:tcPr>
          <w:p w14:paraId="576DAB6A">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21</w:t>
            </w:r>
          </w:p>
        </w:tc>
        <w:tc>
          <w:tcPr>
            <w:tcW w:w="947" w:type="dxa"/>
            <w:vAlign w:val="center"/>
          </w:tcPr>
          <w:p w14:paraId="380C184E">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37</w:t>
            </w:r>
          </w:p>
        </w:tc>
        <w:tc>
          <w:tcPr>
            <w:tcW w:w="1815" w:type="dxa"/>
            <w:vAlign w:val="center"/>
          </w:tcPr>
          <w:p w14:paraId="2951787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监督管理机构</w:t>
            </w:r>
          </w:p>
        </w:tc>
        <w:tc>
          <w:tcPr>
            <w:tcW w:w="6984" w:type="dxa"/>
            <w:vAlign w:val="center"/>
          </w:tcPr>
          <w:p w14:paraId="00D6576E">
            <w:pPr>
              <w:spacing w:line="240" w:lineRule="auto"/>
              <w:rPr>
                <w:rFonts w:hint="eastAsia" w:ascii="宋体" w:hAnsi="宋体" w:eastAsia="宋体" w:cs="宋体"/>
                <w:color w:val="000000" w:themeColor="text1"/>
                <w:sz w:val="15"/>
                <w:szCs w:val="15"/>
                <w:highlight w:val="none"/>
                <w:lang w:eastAsia="zh-CN"/>
                <w14:textFill>
                  <w14:solidFill>
                    <w14:schemeClr w14:val="tx1"/>
                  </w14:solidFill>
                </w14:textFill>
              </w:rPr>
            </w:pPr>
            <w:r>
              <w:rPr>
                <w:rFonts w:hint="eastAsia" w:ascii="宋体" w:hAnsi="宋体" w:cs="宋体"/>
                <w:color w:val="000000" w:themeColor="text1"/>
                <w:sz w:val="15"/>
                <w:szCs w:val="15"/>
                <w:highlight w:val="none"/>
                <w:lang w:eastAsia="zh-CN"/>
                <w14:textFill>
                  <w14:solidFill>
                    <w14:schemeClr w14:val="tx1"/>
                  </w14:solidFill>
                </w14:textFill>
              </w:rPr>
              <w:t>广西</w:t>
            </w:r>
            <w:r>
              <w:rPr>
                <w:rFonts w:hint="eastAsia" w:ascii="宋体" w:hAnsi="宋体" w:cs="宋体"/>
                <w:color w:val="000000" w:themeColor="text1"/>
                <w:sz w:val="15"/>
                <w:szCs w:val="15"/>
                <w:highlight w:val="none"/>
                <w:lang w:val="en-US" w:eastAsia="zh-CN"/>
                <w14:textFill>
                  <w14:solidFill>
                    <w14:schemeClr w14:val="tx1"/>
                  </w14:solidFill>
                </w14:textFill>
              </w:rPr>
              <w:t>骨伤医院纪检监察室、审计科</w:t>
            </w:r>
            <w:r>
              <w:rPr>
                <w:rFonts w:hint="eastAsia" w:ascii="宋体" w:hAnsi="宋体" w:cs="宋体"/>
                <w:color w:val="000000" w:themeColor="text1"/>
                <w:sz w:val="15"/>
                <w:szCs w:val="15"/>
                <w:highlight w:val="none"/>
                <w14:textFill>
                  <w14:solidFill>
                    <w14:schemeClr w14:val="tx1"/>
                  </w14:solidFill>
                </w14:textFill>
              </w:rPr>
              <w:t xml:space="preserve">     电话：0771-2869067</w:t>
            </w:r>
          </w:p>
        </w:tc>
      </w:tr>
    </w:tbl>
    <w:p w14:paraId="5E2E5CB1">
      <w:pPr>
        <w:spacing w:line="440" w:lineRule="atLeast"/>
        <w:jc w:val="center"/>
        <w:rPr>
          <w:rFonts w:hint="eastAsia" w:ascii="宋体" w:hAnsi="宋体" w:cs="宋体"/>
          <w:b/>
          <w:color w:val="000000" w:themeColor="text1"/>
          <w:szCs w:val="21"/>
          <w:highlight w:val="none"/>
          <w14:textFill>
            <w14:solidFill>
              <w14:schemeClr w14:val="tx1"/>
            </w14:solidFill>
          </w14:textFill>
        </w:rPr>
      </w:pPr>
      <w:bookmarkStart w:id="45" w:name="_Toc495841754"/>
      <w:bookmarkStart w:id="46" w:name="_Toc3679"/>
      <w:r>
        <w:rPr>
          <w:rFonts w:ascii="Arial" w:hAnsi="Arial" w:cs="Arial"/>
          <w:b/>
          <w:color w:val="000000" w:themeColor="text1"/>
          <w:sz w:val="28"/>
          <w:szCs w:val="28"/>
          <w:highlight w:val="none"/>
          <w14:textFill>
            <w14:solidFill>
              <w14:schemeClr w14:val="tx1"/>
            </w14:solidFill>
          </w14:textFill>
        </w:rPr>
        <w:br w:type="page"/>
      </w:r>
      <w:bookmarkStart w:id="47" w:name="_Toc15577"/>
      <w:bookmarkStart w:id="48" w:name="_Toc16995"/>
      <w:bookmarkStart w:id="49" w:name="_Toc4547"/>
      <w:bookmarkStart w:id="50" w:name="_Toc17191"/>
      <w:bookmarkStart w:id="51" w:name="_Toc26837"/>
      <w:bookmarkStart w:id="52" w:name="_Toc3485"/>
      <w:bookmarkStart w:id="53" w:name="_Toc20689"/>
      <w:bookmarkStart w:id="54" w:name="_Toc14426"/>
      <w:r>
        <w:rPr>
          <w:rFonts w:hint="eastAsia" w:ascii="宋体" w:hAnsi="宋体" w:cs="宋体"/>
          <w:b/>
          <w:color w:val="000000" w:themeColor="text1"/>
          <w:szCs w:val="21"/>
          <w:highlight w:val="none"/>
          <w14:textFill>
            <w14:solidFill>
              <w14:schemeClr w14:val="tx1"/>
            </w14:solidFill>
          </w14:textFill>
        </w:rPr>
        <w:t>一、总则</w:t>
      </w:r>
      <w:bookmarkEnd w:id="45"/>
      <w:bookmarkEnd w:id="46"/>
      <w:bookmarkEnd w:id="47"/>
      <w:bookmarkEnd w:id="48"/>
      <w:bookmarkEnd w:id="49"/>
      <w:bookmarkEnd w:id="50"/>
      <w:bookmarkEnd w:id="51"/>
      <w:bookmarkEnd w:id="52"/>
      <w:bookmarkEnd w:id="53"/>
      <w:bookmarkEnd w:id="54"/>
    </w:p>
    <w:p w14:paraId="236180CB">
      <w:pPr>
        <w:keepNext w:val="0"/>
        <w:keepLines w:val="0"/>
        <w:pageBreakBefore w:val="0"/>
        <w:kinsoku/>
        <w:wordWrap/>
        <w:overflowPunct/>
        <w:topLinePunct w:val="0"/>
        <w:bidi w:val="0"/>
        <w:spacing w:line="240" w:lineRule="auto"/>
        <w:rPr>
          <w:rFonts w:hint="eastAsia" w:ascii="宋体" w:hAnsi="宋体" w:eastAsia="宋体" w:cs="宋体"/>
          <w:b/>
          <w:bCs/>
          <w:color w:val="000000" w:themeColor="text1"/>
          <w:sz w:val="15"/>
          <w:szCs w:val="15"/>
          <w:highlight w:val="none"/>
          <w14:textFill>
            <w14:solidFill>
              <w14:schemeClr w14:val="tx1"/>
            </w14:solidFill>
          </w14:textFill>
        </w:rPr>
      </w:pPr>
      <w:bookmarkStart w:id="55" w:name="_Toc32460"/>
      <w:bookmarkStart w:id="56" w:name="_Toc23807"/>
      <w:bookmarkStart w:id="57" w:name="_Toc5042"/>
      <w:bookmarkStart w:id="58" w:name="_Toc3101"/>
      <w:bookmarkStart w:id="59" w:name="_Toc28947"/>
      <w:bookmarkStart w:id="60" w:name="_Toc19103"/>
      <w:bookmarkStart w:id="61" w:name="_Toc8947"/>
      <w:bookmarkStart w:id="62" w:name="_Toc6491"/>
      <w:bookmarkStart w:id="63" w:name="_Toc3690"/>
      <w:r>
        <w:rPr>
          <w:rFonts w:hint="eastAsia" w:ascii="宋体" w:hAnsi="宋体" w:eastAsia="宋体" w:cs="宋体"/>
          <w:b/>
          <w:color w:val="000000" w:themeColor="text1"/>
          <w:sz w:val="15"/>
          <w:szCs w:val="15"/>
          <w:highlight w:val="none"/>
          <w14:textFill>
            <w14:solidFill>
              <w14:schemeClr w14:val="tx1"/>
            </w14:solidFill>
          </w14:textFill>
        </w:rPr>
        <w:t>1.</w:t>
      </w:r>
      <w:bookmarkEnd w:id="55"/>
      <w:bookmarkEnd w:id="56"/>
      <w:bookmarkEnd w:id="57"/>
      <w:bookmarkEnd w:id="58"/>
      <w:bookmarkEnd w:id="59"/>
      <w:bookmarkEnd w:id="60"/>
      <w:bookmarkEnd w:id="61"/>
      <w:bookmarkEnd w:id="62"/>
      <w:bookmarkEnd w:id="63"/>
      <w:bookmarkStart w:id="64" w:name="_Toc340"/>
      <w:r>
        <w:rPr>
          <w:rFonts w:hint="eastAsia" w:ascii="宋体" w:hAnsi="宋体" w:eastAsia="宋体" w:cs="宋体"/>
          <w:b/>
          <w:bCs/>
          <w:color w:val="000000" w:themeColor="text1"/>
          <w:sz w:val="15"/>
          <w:szCs w:val="15"/>
          <w:highlight w:val="none"/>
          <w14:textFill>
            <w14:solidFill>
              <w14:schemeClr w14:val="tx1"/>
            </w14:solidFill>
          </w14:textFill>
        </w:rPr>
        <w:t>项目基本情况</w:t>
      </w:r>
    </w:p>
    <w:p w14:paraId="5EEEE5F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1.1采购项目名称及采购项目编号：详见供应商须知前附表。</w:t>
      </w:r>
    </w:p>
    <w:p w14:paraId="5E7CD373">
      <w:pPr>
        <w:keepNext w:val="0"/>
        <w:keepLines w:val="0"/>
        <w:pageBreakBefore w:val="0"/>
        <w:kinsoku/>
        <w:wordWrap/>
        <w:overflowPunct/>
        <w:topLinePunct w:val="0"/>
        <w:bidi w:val="0"/>
        <w:spacing w:line="240" w:lineRule="auto"/>
        <w:ind w:firstLine="42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1.2本竞争性磋商文件（以下简称磋商文件）适用于本磋商项目的磋商、评审、合同履约、验收、付款等行为（</w:t>
      </w:r>
      <w:r>
        <w:rPr>
          <w:rFonts w:hint="eastAsia" w:ascii="宋体" w:hAnsi="宋体" w:cs="宋体"/>
          <w:color w:val="000000" w:themeColor="text1"/>
          <w:sz w:val="15"/>
          <w:szCs w:val="15"/>
          <w:highlight w:val="none"/>
          <w:lang w:eastAsia="zh-CN"/>
          <w14:textFill>
            <w14:solidFill>
              <w14:schemeClr w14:val="tx1"/>
            </w14:solidFill>
          </w14:textFill>
        </w:rPr>
        <w:t>法律法规</w:t>
      </w:r>
      <w:r>
        <w:rPr>
          <w:rFonts w:hint="eastAsia" w:ascii="宋体" w:hAnsi="宋体" w:eastAsia="宋体" w:cs="宋体"/>
          <w:color w:val="000000" w:themeColor="text1"/>
          <w:sz w:val="15"/>
          <w:szCs w:val="15"/>
          <w:highlight w:val="none"/>
          <w14:textFill>
            <w14:solidFill>
              <w14:schemeClr w14:val="tx1"/>
            </w14:solidFill>
          </w14:textFill>
        </w:rPr>
        <w:t>另有规定的，从其规定）。</w:t>
      </w:r>
    </w:p>
    <w:bookmarkEnd w:id="64"/>
    <w:p w14:paraId="24BC3112">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65" w:name="_Toc29738"/>
      <w:bookmarkStart w:id="66" w:name="_Toc3390"/>
      <w:bookmarkStart w:id="67" w:name="_Toc22919"/>
      <w:bookmarkStart w:id="68" w:name="_Toc26622"/>
      <w:bookmarkStart w:id="69" w:name="_Toc9438"/>
      <w:bookmarkStart w:id="70" w:name="_Toc11436"/>
      <w:bookmarkStart w:id="71" w:name="_Toc18940"/>
      <w:bookmarkStart w:id="72" w:name="_Toc1895"/>
      <w:bookmarkStart w:id="73" w:name="_Toc2929"/>
      <w:r>
        <w:rPr>
          <w:rFonts w:hint="eastAsia" w:ascii="宋体" w:hAnsi="宋体" w:eastAsia="宋体" w:cs="宋体"/>
          <w:b/>
          <w:color w:val="000000" w:themeColor="text1"/>
          <w:sz w:val="15"/>
          <w:szCs w:val="15"/>
          <w:highlight w:val="none"/>
          <w14:textFill>
            <w14:solidFill>
              <w14:schemeClr w14:val="tx1"/>
            </w14:solidFill>
          </w14:textFill>
        </w:rPr>
        <w:t>2.定义</w:t>
      </w:r>
      <w:bookmarkEnd w:id="65"/>
      <w:bookmarkEnd w:id="66"/>
      <w:bookmarkEnd w:id="67"/>
      <w:bookmarkEnd w:id="68"/>
      <w:bookmarkEnd w:id="69"/>
      <w:bookmarkEnd w:id="70"/>
      <w:bookmarkEnd w:id="71"/>
      <w:bookmarkEnd w:id="72"/>
      <w:bookmarkEnd w:id="73"/>
    </w:p>
    <w:p w14:paraId="21676757">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lang w:eastAsia="zh-CN"/>
          <w14:textFill>
            <w14:solidFill>
              <w14:schemeClr w14:val="tx1"/>
            </w14:solidFill>
          </w14:textFill>
        </w:rPr>
      </w:pPr>
      <w:bookmarkStart w:id="74" w:name="_Toc12152"/>
      <w:bookmarkStart w:id="75" w:name="_Toc790"/>
      <w:bookmarkStart w:id="76" w:name="_Toc2146"/>
      <w:bookmarkStart w:id="77" w:name="_Toc15166"/>
      <w:bookmarkStart w:id="78" w:name="_Toc13623"/>
      <w:bookmarkStart w:id="79" w:name="_Toc2140"/>
      <w:bookmarkStart w:id="80" w:name="_Toc376"/>
      <w:bookmarkStart w:id="81" w:name="_Toc24964"/>
      <w:bookmarkStart w:id="82" w:name="_Toc28906"/>
      <w:r>
        <w:rPr>
          <w:rFonts w:hint="eastAsia" w:ascii="宋体" w:hAnsi="宋体" w:eastAsia="宋体" w:cs="宋体"/>
          <w:bCs/>
          <w:color w:val="000000" w:themeColor="text1"/>
          <w:sz w:val="15"/>
          <w:szCs w:val="15"/>
          <w:highlight w:val="none"/>
          <w14:textFill>
            <w14:solidFill>
              <w14:schemeClr w14:val="tx1"/>
            </w14:solidFill>
          </w14:textFill>
        </w:rPr>
        <w:t>2.1“采购人”是指：</w:t>
      </w:r>
      <w:r>
        <w:rPr>
          <w:rFonts w:hint="eastAsia" w:ascii="宋体" w:hAnsi="宋体" w:cs="宋体"/>
          <w:bCs/>
          <w:color w:val="000000" w:themeColor="text1"/>
          <w:sz w:val="15"/>
          <w:szCs w:val="15"/>
          <w:highlight w:val="none"/>
          <w:lang w:eastAsia="zh-CN"/>
          <w14:textFill>
            <w14:solidFill>
              <w14:schemeClr w14:val="tx1"/>
            </w14:solidFill>
          </w14:textFill>
        </w:rPr>
        <w:t>广西骨伤医院</w:t>
      </w:r>
    </w:p>
    <w:p w14:paraId="0D500E3C">
      <w:pPr>
        <w:keepNext w:val="0"/>
        <w:keepLines w:val="0"/>
        <w:pageBreakBefore w:val="0"/>
        <w:kinsoku/>
        <w:wordWrap/>
        <w:overflowPunct/>
        <w:topLinePunct w:val="0"/>
        <w:bidi w:val="0"/>
        <w:spacing w:line="240" w:lineRule="auto"/>
        <w:ind w:firstLine="294" w:firstLineChars="196"/>
        <w:rPr>
          <w:rFonts w:hint="default" w:ascii="宋体" w:hAnsi="宋体" w:eastAsia="宋体" w:cs="宋体"/>
          <w:bCs/>
          <w:color w:val="000000" w:themeColor="text1"/>
          <w:sz w:val="15"/>
          <w:szCs w:val="15"/>
          <w:highlight w:val="none"/>
          <w:lang w:val="en-US" w:eastAsia="zh-CN"/>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2.2“</w:t>
      </w:r>
      <w:r>
        <w:rPr>
          <w:rFonts w:hint="eastAsia" w:ascii="宋体" w:hAnsi="宋体" w:cs="宋体"/>
          <w:bCs/>
          <w:color w:val="000000" w:themeColor="text1"/>
          <w:sz w:val="15"/>
          <w:szCs w:val="15"/>
          <w:highlight w:val="none"/>
          <w:lang w:eastAsia="zh-CN"/>
          <w14:textFill>
            <w14:solidFill>
              <w14:schemeClr w14:val="tx1"/>
            </w14:solidFill>
          </w14:textFill>
        </w:rPr>
        <w:t>采购</w:t>
      </w:r>
      <w:r>
        <w:rPr>
          <w:rFonts w:hint="eastAsia" w:ascii="宋体" w:hAnsi="宋体" w:cs="宋体"/>
          <w:bCs/>
          <w:color w:val="000000" w:themeColor="text1"/>
          <w:sz w:val="15"/>
          <w:szCs w:val="15"/>
          <w:highlight w:val="none"/>
          <w:lang w:val="en-US" w:eastAsia="zh-CN"/>
          <w14:textFill>
            <w14:solidFill>
              <w14:schemeClr w14:val="tx1"/>
            </w14:solidFill>
          </w14:textFill>
        </w:rPr>
        <w:t>代理机构</w:t>
      </w:r>
      <w:r>
        <w:rPr>
          <w:rFonts w:hint="eastAsia" w:ascii="宋体" w:hAnsi="宋体" w:eastAsia="宋体" w:cs="宋体"/>
          <w:bCs/>
          <w:color w:val="000000" w:themeColor="text1"/>
          <w:sz w:val="15"/>
          <w:szCs w:val="15"/>
          <w:highlight w:val="none"/>
          <w14:textFill>
            <w14:solidFill>
              <w14:schemeClr w14:val="tx1"/>
            </w14:solidFill>
          </w14:textFill>
        </w:rPr>
        <w:t>”是指：</w:t>
      </w:r>
      <w:r>
        <w:rPr>
          <w:rFonts w:hint="eastAsia" w:ascii="宋体" w:hAnsi="宋体" w:cs="宋体"/>
          <w:bCs/>
          <w:color w:val="000000" w:themeColor="text1"/>
          <w:sz w:val="15"/>
          <w:szCs w:val="15"/>
          <w:highlight w:val="none"/>
          <w:lang w:val="en-US" w:eastAsia="zh-CN"/>
          <w14:textFill>
            <w14:solidFill>
              <w14:schemeClr w14:val="tx1"/>
            </w14:solidFill>
          </w14:textFill>
        </w:rPr>
        <w:t>采购人委托社会具有实施招标采购流程相关资质第三方机构。</w:t>
      </w:r>
    </w:p>
    <w:p w14:paraId="298FE63A">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2.3“供应商”是指符合本次采购项目的供应商资格并提交响应文件、参加磋商的供应商。如果该供应商在本次磋商中成交，即成为“成交人”。</w:t>
      </w:r>
    </w:p>
    <w:p w14:paraId="045C2091">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2.4“服务”：系指按磋商文件规定，供应商须</w:t>
      </w:r>
      <w:r>
        <w:rPr>
          <w:rFonts w:hint="eastAsia" w:ascii="宋体" w:hAnsi="宋体" w:cs="宋体"/>
          <w:bCs/>
          <w:color w:val="000000" w:themeColor="text1"/>
          <w:sz w:val="15"/>
          <w:szCs w:val="15"/>
          <w:highlight w:val="none"/>
          <w:lang w:eastAsia="zh-CN"/>
          <w14:textFill>
            <w14:solidFill>
              <w14:schemeClr w14:val="tx1"/>
            </w14:solidFill>
          </w14:textFill>
        </w:rPr>
        <w:t>承担</w:t>
      </w:r>
      <w:r>
        <w:rPr>
          <w:rFonts w:hint="eastAsia" w:ascii="宋体" w:hAnsi="宋体" w:eastAsia="宋体" w:cs="宋体"/>
          <w:bCs/>
          <w:color w:val="000000" w:themeColor="text1"/>
          <w:sz w:val="15"/>
          <w:szCs w:val="15"/>
          <w:highlight w:val="none"/>
          <w14:textFill>
            <w14:solidFill>
              <w14:schemeClr w14:val="tx1"/>
            </w14:solidFill>
          </w14:textFill>
        </w:rPr>
        <w:t>技术协助、技术指导以及其他类似的义务。</w:t>
      </w:r>
    </w:p>
    <w:p w14:paraId="6B347D1A">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2.5“竞争性磋商响应文件”简称“响应文件”，供应商根据本文件要求，编制包含报价、技术和服务等所有内容的文件。</w:t>
      </w:r>
    </w:p>
    <w:p w14:paraId="4C9E032E">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2.6“书面形式”包括信函、传真、电报等。</w:t>
      </w:r>
    </w:p>
    <w:p w14:paraId="453DCD6F">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3.采购方式、评分办法</w:t>
      </w:r>
      <w:bookmarkEnd w:id="74"/>
      <w:bookmarkEnd w:id="75"/>
      <w:bookmarkEnd w:id="76"/>
      <w:bookmarkEnd w:id="77"/>
      <w:bookmarkEnd w:id="78"/>
      <w:bookmarkEnd w:id="79"/>
      <w:bookmarkEnd w:id="80"/>
      <w:bookmarkEnd w:id="81"/>
      <w:bookmarkEnd w:id="82"/>
    </w:p>
    <w:p w14:paraId="48F9A50E">
      <w:pPr>
        <w:keepNext w:val="0"/>
        <w:keepLines w:val="0"/>
        <w:pageBreakBefore w:val="0"/>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竞争性磋商、综合评分法</w:t>
      </w:r>
    </w:p>
    <w:p w14:paraId="2A54A0B1">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83" w:name="_Toc598"/>
      <w:bookmarkStart w:id="84" w:name="_Toc20134"/>
      <w:bookmarkStart w:id="85" w:name="_Toc29127"/>
      <w:bookmarkStart w:id="86" w:name="_Toc22763"/>
      <w:bookmarkStart w:id="87" w:name="_Toc13834"/>
      <w:bookmarkStart w:id="88" w:name="_Toc17346"/>
      <w:bookmarkStart w:id="89" w:name="_Toc15441"/>
      <w:bookmarkStart w:id="90" w:name="_Toc13564"/>
      <w:bookmarkStart w:id="91" w:name="_Toc29647"/>
      <w:r>
        <w:rPr>
          <w:rFonts w:hint="eastAsia" w:ascii="宋体" w:hAnsi="宋体" w:eastAsia="宋体" w:cs="宋体"/>
          <w:b/>
          <w:color w:val="000000" w:themeColor="text1"/>
          <w:sz w:val="15"/>
          <w:szCs w:val="15"/>
          <w:highlight w:val="none"/>
          <w14:textFill>
            <w14:solidFill>
              <w14:schemeClr w14:val="tx1"/>
            </w14:solidFill>
          </w14:textFill>
        </w:rPr>
        <w:t>4.供应商资格</w:t>
      </w:r>
      <w:bookmarkEnd w:id="83"/>
      <w:bookmarkEnd w:id="84"/>
      <w:bookmarkEnd w:id="85"/>
      <w:bookmarkEnd w:id="86"/>
      <w:bookmarkEnd w:id="87"/>
      <w:bookmarkEnd w:id="88"/>
      <w:bookmarkEnd w:id="89"/>
      <w:bookmarkEnd w:id="90"/>
      <w:bookmarkEnd w:id="91"/>
    </w:p>
    <w:p w14:paraId="7FEDE7B0">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bookmarkStart w:id="92" w:name="_Toc3176"/>
      <w:bookmarkStart w:id="93" w:name="_Toc26707"/>
      <w:bookmarkStart w:id="94" w:name="_Toc22278"/>
      <w:bookmarkStart w:id="95" w:name="_Toc11361"/>
      <w:bookmarkStart w:id="96" w:name="_Toc31000"/>
      <w:bookmarkStart w:id="97" w:name="_Toc27377"/>
      <w:bookmarkStart w:id="98" w:name="_Toc29375"/>
      <w:bookmarkStart w:id="99" w:name="_Toc12882"/>
      <w:bookmarkStart w:id="100" w:name="_Toc24742"/>
      <w:r>
        <w:rPr>
          <w:rFonts w:hint="eastAsia" w:ascii="宋体" w:hAnsi="宋体" w:eastAsia="宋体" w:cs="宋体"/>
          <w:bCs/>
          <w:color w:val="000000" w:themeColor="text1"/>
          <w:sz w:val="15"/>
          <w:szCs w:val="15"/>
          <w:highlight w:val="none"/>
          <w14:textFill>
            <w14:solidFill>
              <w14:schemeClr w14:val="tx1"/>
            </w14:solidFill>
          </w14:textFill>
        </w:rPr>
        <w:t>详见供应商须知前附表。</w:t>
      </w:r>
    </w:p>
    <w:p w14:paraId="79D51C58">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5.磋商费用</w:t>
      </w:r>
      <w:bookmarkEnd w:id="92"/>
      <w:bookmarkEnd w:id="93"/>
      <w:bookmarkEnd w:id="94"/>
      <w:bookmarkEnd w:id="95"/>
      <w:bookmarkEnd w:id="96"/>
      <w:bookmarkEnd w:id="97"/>
      <w:bookmarkEnd w:id="98"/>
      <w:bookmarkEnd w:id="99"/>
      <w:bookmarkEnd w:id="100"/>
    </w:p>
    <w:p w14:paraId="7F5373B1">
      <w:pPr>
        <w:keepNext w:val="0"/>
        <w:keepLines w:val="0"/>
        <w:pageBreakBefore w:val="0"/>
        <w:kinsoku/>
        <w:wordWrap/>
        <w:overflowPunct/>
        <w:topLinePunct w:val="0"/>
        <w:bidi w:val="0"/>
        <w:spacing w:line="240" w:lineRule="auto"/>
        <w:ind w:firstLine="435"/>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不论投标结果如何，供应商均应自行承担所有与磋商有关的全部费用。</w:t>
      </w:r>
    </w:p>
    <w:p w14:paraId="3676C13D">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01" w:name="_Toc27779"/>
      <w:bookmarkStart w:id="102" w:name="_Toc1465"/>
      <w:bookmarkStart w:id="103" w:name="_Toc15748"/>
      <w:bookmarkStart w:id="104" w:name="_Toc15936"/>
      <w:bookmarkStart w:id="105" w:name="_Toc22702"/>
      <w:bookmarkStart w:id="106" w:name="_Toc3614"/>
      <w:bookmarkStart w:id="107" w:name="_Toc11612"/>
      <w:bookmarkStart w:id="108" w:name="_Toc26377"/>
      <w:bookmarkStart w:id="109" w:name="_Toc16131"/>
      <w:r>
        <w:rPr>
          <w:rFonts w:hint="eastAsia" w:ascii="宋体" w:hAnsi="宋体" w:eastAsia="宋体" w:cs="宋体"/>
          <w:b/>
          <w:color w:val="000000" w:themeColor="text1"/>
          <w:sz w:val="15"/>
          <w:szCs w:val="15"/>
          <w:highlight w:val="none"/>
          <w14:textFill>
            <w14:solidFill>
              <w14:schemeClr w14:val="tx1"/>
            </w14:solidFill>
          </w14:textFill>
        </w:rPr>
        <w:t>6.联合体投标要求</w:t>
      </w:r>
      <w:bookmarkEnd w:id="101"/>
      <w:bookmarkEnd w:id="102"/>
      <w:bookmarkEnd w:id="103"/>
      <w:bookmarkEnd w:id="104"/>
      <w:bookmarkEnd w:id="105"/>
      <w:bookmarkEnd w:id="106"/>
      <w:bookmarkEnd w:id="107"/>
      <w:bookmarkEnd w:id="108"/>
      <w:bookmarkEnd w:id="109"/>
    </w:p>
    <w:p w14:paraId="7462018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bookmarkStart w:id="110" w:name="_Toc6046"/>
      <w:bookmarkStart w:id="111" w:name="_Toc29957"/>
      <w:bookmarkStart w:id="112" w:name="_Toc7853"/>
      <w:bookmarkStart w:id="113" w:name="_Toc14641"/>
      <w:bookmarkStart w:id="114" w:name="_Toc27095"/>
      <w:bookmarkStart w:id="115" w:name="_Toc11107"/>
      <w:bookmarkStart w:id="116" w:name="_Toc8634"/>
      <w:bookmarkStart w:id="117" w:name="_Toc12345"/>
      <w:bookmarkStart w:id="118" w:name="_Toc3291"/>
      <w:r>
        <w:rPr>
          <w:rFonts w:hint="eastAsia" w:ascii="宋体" w:hAnsi="宋体" w:eastAsia="宋体" w:cs="宋体"/>
          <w:color w:val="000000" w:themeColor="text1"/>
          <w:sz w:val="15"/>
          <w:szCs w:val="15"/>
          <w:highlight w:val="none"/>
          <w14:textFill>
            <w14:solidFill>
              <w14:schemeClr w14:val="tx1"/>
            </w14:solidFill>
          </w14:textFill>
        </w:rPr>
        <w:t>本项目</w:t>
      </w:r>
      <w:r>
        <w:rPr>
          <w:rFonts w:hint="eastAsia" w:ascii="宋体" w:hAnsi="宋体" w:eastAsia="宋体" w:cs="宋体"/>
          <w:b/>
          <w:bCs/>
          <w:color w:val="000000" w:themeColor="text1"/>
          <w:sz w:val="15"/>
          <w:szCs w:val="15"/>
          <w:highlight w:val="none"/>
          <w:u w:val="single"/>
          <w14:textFill>
            <w14:solidFill>
              <w14:schemeClr w14:val="tx1"/>
            </w14:solidFill>
          </w14:textFill>
        </w:rPr>
        <w:t>不接受</w:t>
      </w:r>
      <w:r>
        <w:rPr>
          <w:rFonts w:hint="eastAsia" w:ascii="宋体" w:hAnsi="宋体" w:eastAsia="宋体" w:cs="宋体"/>
          <w:color w:val="000000" w:themeColor="text1"/>
          <w:sz w:val="15"/>
          <w:szCs w:val="15"/>
          <w:highlight w:val="none"/>
          <w14:textFill>
            <w14:solidFill>
              <w14:schemeClr w14:val="tx1"/>
            </w14:solidFill>
          </w14:textFill>
        </w:rPr>
        <w:t>联合体竞标。</w:t>
      </w:r>
    </w:p>
    <w:p w14:paraId="55E971ED">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7.转包与分包</w:t>
      </w:r>
      <w:bookmarkEnd w:id="110"/>
      <w:bookmarkEnd w:id="111"/>
      <w:bookmarkEnd w:id="112"/>
      <w:bookmarkEnd w:id="113"/>
      <w:bookmarkEnd w:id="114"/>
      <w:bookmarkEnd w:id="115"/>
      <w:bookmarkEnd w:id="116"/>
      <w:bookmarkEnd w:id="117"/>
      <w:bookmarkEnd w:id="118"/>
    </w:p>
    <w:p w14:paraId="7A698D2E">
      <w:pPr>
        <w:keepNext w:val="0"/>
        <w:keepLines w:val="0"/>
        <w:pageBreakBefore w:val="0"/>
        <w:tabs>
          <w:tab w:val="left" w:pos="163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本项目不允许转包、分包。</w:t>
      </w:r>
    </w:p>
    <w:p w14:paraId="0DE0B2C8">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19" w:name="_Toc31454"/>
      <w:bookmarkStart w:id="120" w:name="_Toc6936"/>
      <w:bookmarkStart w:id="121" w:name="_Toc19400"/>
      <w:bookmarkStart w:id="122" w:name="_Toc1504"/>
      <w:bookmarkStart w:id="123" w:name="_Toc5088"/>
      <w:bookmarkStart w:id="124" w:name="_Toc30274"/>
      <w:bookmarkStart w:id="125" w:name="_Toc18661"/>
      <w:bookmarkStart w:id="126" w:name="_Toc28953"/>
      <w:bookmarkStart w:id="127" w:name="_Toc31364"/>
      <w:r>
        <w:rPr>
          <w:rFonts w:hint="eastAsia" w:ascii="宋体" w:hAnsi="宋体" w:eastAsia="宋体" w:cs="宋体"/>
          <w:b/>
          <w:color w:val="000000" w:themeColor="text1"/>
          <w:sz w:val="15"/>
          <w:szCs w:val="15"/>
          <w:highlight w:val="none"/>
          <w14:textFill>
            <w14:solidFill>
              <w14:schemeClr w14:val="tx1"/>
            </w14:solidFill>
          </w14:textFill>
        </w:rPr>
        <w:t>8.特别说明</w:t>
      </w:r>
      <w:bookmarkEnd w:id="119"/>
      <w:bookmarkEnd w:id="120"/>
      <w:bookmarkEnd w:id="121"/>
      <w:bookmarkEnd w:id="122"/>
      <w:bookmarkEnd w:id="123"/>
      <w:bookmarkEnd w:id="124"/>
      <w:bookmarkEnd w:id="125"/>
      <w:bookmarkEnd w:id="126"/>
      <w:bookmarkEnd w:id="127"/>
    </w:p>
    <w:p w14:paraId="0B3FE822">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8.1关联供应商不得参加同一合同项下政府采购活动，否则投标文件将被视为无效：</w:t>
      </w:r>
    </w:p>
    <w:p w14:paraId="0353CDF2">
      <w:pPr>
        <w:keepNext w:val="0"/>
        <w:keepLines w:val="0"/>
        <w:pageBreakBefore w:val="0"/>
        <w:tabs>
          <w:tab w:val="left" w:pos="163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（1）单位负责人为同一人或者存在直接控股、管理关系的不同供应商，不得参加同一合同项下的政府采购活动。</w:t>
      </w:r>
    </w:p>
    <w:p w14:paraId="2410A634">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（2）为本采购项目提供整体设计、规范编制或者项目管理、监理、检测等服务的供应商，不得再参加本次采购活动。</w:t>
      </w:r>
    </w:p>
    <w:p w14:paraId="7BEA09D6">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8.2供应商应仔细阅读竞争性磋商的所有内容，按照竞争性磋商的要求提交响应文件，并对所提供的全部资料的真实性承担法律责任。</w:t>
      </w:r>
    </w:p>
    <w:p w14:paraId="30F2C60C">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8.3供应商在投标活动中提供任何虚假材料，其投标无效，并报监管部门查处；中标后发现的，成交供应商须依照《中华人民共和国消费者权益保护法》赔偿采购人，且民事赔偿并不免除违法供应商的行政与刑事责任。</w:t>
      </w:r>
    </w:p>
    <w:p w14:paraId="6F673D4C">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28" w:name="_Toc17175"/>
      <w:bookmarkStart w:id="129" w:name="_Toc303"/>
      <w:bookmarkStart w:id="130" w:name="_Toc12917"/>
      <w:bookmarkStart w:id="131" w:name="_Toc14341"/>
      <w:bookmarkStart w:id="132" w:name="_Toc25353"/>
      <w:bookmarkStart w:id="133" w:name="_Toc3986"/>
      <w:bookmarkStart w:id="134" w:name="_Toc6489"/>
      <w:bookmarkStart w:id="135" w:name="_Toc7833"/>
      <w:bookmarkStart w:id="136" w:name="_Toc6363"/>
      <w:r>
        <w:rPr>
          <w:rFonts w:hint="eastAsia" w:ascii="宋体" w:hAnsi="宋体" w:eastAsia="宋体" w:cs="宋体"/>
          <w:b/>
          <w:color w:val="000000" w:themeColor="text1"/>
          <w:sz w:val="15"/>
          <w:szCs w:val="15"/>
          <w:highlight w:val="none"/>
          <w14:textFill>
            <w14:solidFill>
              <w14:schemeClr w14:val="tx1"/>
            </w14:solidFill>
          </w14:textFill>
        </w:rPr>
        <w:t>9.质疑和投诉</w:t>
      </w:r>
      <w:bookmarkEnd w:id="128"/>
      <w:bookmarkEnd w:id="129"/>
      <w:bookmarkEnd w:id="130"/>
      <w:bookmarkEnd w:id="131"/>
      <w:bookmarkEnd w:id="132"/>
      <w:bookmarkEnd w:id="133"/>
      <w:bookmarkEnd w:id="134"/>
      <w:bookmarkEnd w:id="135"/>
      <w:bookmarkEnd w:id="136"/>
    </w:p>
    <w:p w14:paraId="30D38C69">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bookmarkStart w:id="137" w:name="_Toc8195"/>
      <w:bookmarkStart w:id="138" w:name="_Toc26087"/>
      <w:r>
        <w:rPr>
          <w:rFonts w:hint="eastAsia" w:ascii="宋体" w:hAnsi="宋体" w:eastAsia="宋体" w:cs="宋体"/>
          <w:color w:val="000000" w:themeColor="text1"/>
          <w:sz w:val="15"/>
          <w:szCs w:val="15"/>
          <w:highlight w:val="none"/>
          <w14:textFill>
            <w14:solidFill>
              <w14:schemeClr w14:val="tx1"/>
            </w14:solidFill>
          </w14:textFill>
        </w:rPr>
        <w:t>9.1供应商认为竞争性磋商使自己的合法权益受到损害的，应当在本项目招标公告期限届满之日起七个工作日内以书面形式向</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提出质疑。供应商认为招标过程或成交结果使自己的合法权益受到损害的，应当在采购程序环节结束之日或中标公告期限届满之日起七个工作日内，以书面形式向采购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eastAsia="宋体" w:cs="宋体"/>
          <w:color w:val="000000" w:themeColor="text1"/>
          <w:sz w:val="15"/>
          <w:szCs w:val="15"/>
          <w:highlight w:val="none"/>
          <w14:textFill>
            <w14:solidFill>
              <w14:schemeClr w14:val="tx1"/>
            </w14:solidFill>
          </w14:textFill>
        </w:rPr>
        <w:t>提出质疑</w:t>
      </w:r>
      <w:bookmarkEnd w:id="137"/>
      <w:bookmarkEnd w:id="138"/>
      <w:r>
        <w:rPr>
          <w:rFonts w:hint="eastAsia" w:ascii="宋体" w:hAnsi="宋体" w:eastAsia="宋体" w:cs="宋体"/>
          <w:color w:val="000000" w:themeColor="text1"/>
          <w:sz w:val="15"/>
          <w:szCs w:val="15"/>
          <w:highlight w:val="none"/>
          <w14:textFill>
            <w14:solidFill>
              <w14:schemeClr w14:val="tx1"/>
            </w14:solidFill>
          </w14:textFill>
        </w:rPr>
        <w:t>。否则，采购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eastAsia="宋体" w:cs="宋体"/>
          <w:color w:val="000000" w:themeColor="text1"/>
          <w:sz w:val="15"/>
          <w:szCs w:val="15"/>
          <w:highlight w:val="none"/>
          <w14:textFill>
            <w14:solidFill>
              <w14:schemeClr w14:val="tx1"/>
            </w14:solidFill>
          </w14:textFill>
        </w:rPr>
        <w:t>有权拒收。</w:t>
      </w:r>
    </w:p>
    <w:p w14:paraId="2776F044">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eastAsia="宋体" w:cs="宋体"/>
          <w:color w:val="000000" w:themeColor="text1"/>
          <w:sz w:val="15"/>
          <w:szCs w:val="15"/>
          <w:highlight w:val="none"/>
          <w14:textFill>
            <w14:solidFill>
              <w14:schemeClr w14:val="tx1"/>
            </w14:solidFill>
          </w14:textFill>
        </w:rPr>
        <w:t>应认真做好质疑处理工作，对于质疑供应商在法定质疑期内提出的质疑函，应当在收到质疑函后7个工作日内作出答复，并以书面形式通知质疑供应商和其他有关供应商。</w:t>
      </w:r>
    </w:p>
    <w:p w14:paraId="4E606530">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供应商在法定质疑期内应一次性提出与项目相关的质疑，供应商在提出与项目相关的质疑前应当做好全面且详细的工作，</w:t>
      </w:r>
      <w:r>
        <w:rPr>
          <w:rFonts w:hint="eastAsia" w:ascii="宋体" w:hAnsi="宋体" w:cs="宋体"/>
          <w:color w:val="000000" w:themeColor="text1"/>
          <w:sz w:val="15"/>
          <w:szCs w:val="15"/>
          <w:highlight w:val="none"/>
          <w:lang w:val="en-US"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不再受理供应商针对同一采购程序环节的再次质疑。</w:t>
      </w:r>
    </w:p>
    <w:p w14:paraId="368127B3">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9.2供应商对</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的质疑答复不满意或者</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未在规定的时间内作出答复的，可以在答复期满后十五个工作日内向采购监管部门投诉。</w:t>
      </w:r>
    </w:p>
    <w:p w14:paraId="0F4A64A9">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9.3质疑、投诉应当采用书面形式，质疑书、投诉书实行实名制，均应明确阐述竞争性磋商或成交结果中使自己合法权益受到损害的实质性内容，并提供必要的证明材料。</w:t>
      </w:r>
    </w:p>
    <w:p w14:paraId="21B71E8E">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w:t>
      </w:r>
    </w:p>
    <w:p w14:paraId="7F76110B">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（1）供应商的姓名或者名称、地址、邮编、联系人及联系电话；</w:t>
      </w:r>
    </w:p>
    <w:p w14:paraId="5A8EFD08">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（2）质疑项目的名称、编号；</w:t>
      </w:r>
    </w:p>
    <w:p w14:paraId="180785B6">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（3）具体、明确的质疑事项和与质疑事项相关的请求；</w:t>
      </w:r>
    </w:p>
    <w:p w14:paraId="4C436D37">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（4）事实依据；</w:t>
      </w:r>
    </w:p>
    <w:p w14:paraId="30463EFA">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（5）必要的法律依据；</w:t>
      </w:r>
    </w:p>
    <w:p w14:paraId="4B61978D">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（6）提出质疑的日期。</w:t>
      </w:r>
    </w:p>
    <w:p w14:paraId="75606777">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p>
    <w:p w14:paraId="69C91487">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接收质疑函方式：以书面形式（原件）递交</w:t>
      </w:r>
    </w:p>
    <w:p w14:paraId="087E6EE3">
      <w:pPr>
        <w:keepNext w:val="0"/>
        <w:keepLines w:val="0"/>
        <w:pageBreakBefore w:val="0"/>
        <w:tabs>
          <w:tab w:val="left" w:pos="2190"/>
        </w:tabs>
        <w:kinsoku/>
        <w:wordWrap/>
        <w:overflowPunct/>
        <w:topLinePunct w:val="0"/>
        <w:bidi w:val="0"/>
        <w:spacing w:line="240" w:lineRule="auto"/>
        <w:ind w:firstLine="435"/>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质疑联系部门及联系方式：</w:t>
      </w:r>
      <w:r>
        <w:rPr>
          <w:rFonts w:hint="eastAsia" w:ascii="宋体" w:hAnsi="宋体" w:cs="宋体"/>
          <w:color w:val="000000" w:themeColor="text1"/>
          <w:sz w:val="15"/>
          <w:szCs w:val="15"/>
          <w:highlight w:val="none"/>
          <w:lang w:val="en-US" w:eastAsia="zh-CN"/>
          <w14:textFill>
            <w14:solidFill>
              <w14:schemeClr w14:val="tx1"/>
            </w14:solidFill>
          </w14:textFill>
        </w:rPr>
        <w:t>见供应商须知</w:t>
      </w:r>
    </w:p>
    <w:p w14:paraId="2EA4661F">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139" w:name="_Toc16097"/>
      <w:bookmarkStart w:id="140" w:name="_Toc17998"/>
      <w:bookmarkStart w:id="141" w:name="_Toc26849"/>
      <w:bookmarkStart w:id="142" w:name="_Toc10839"/>
      <w:bookmarkStart w:id="143" w:name="_Toc2855"/>
      <w:bookmarkStart w:id="144" w:name="_Toc26766"/>
      <w:bookmarkStart w:id="145" w:name="_Toc23663"/>
      <w:bookmarkStart w:id="146" w:name="_Toc495841755"/>
      <w:bookmarkStart w:id="147" w:name="_Toc1107"/>
      <w:bookmarkStart w:id="148" w:name="_Toc3034"/>
      <w:r>
        <w:rPr>
          <w:rFonts w:hint="eastAsia" w:ascii="宋体" w:hAnsi="宋体" w:eastAsia="宋体" w:cs="宋体"/>
          <w:b/>
          <w:color w:val="000000" w:themeColor="text1"/>
          <w:sz w:val="15"/>
          <w:szCs w:val="15"/>
          <w:highlight w:val="none"/>
          <w14:textFill>
            <w14:solidFill>
              <w14:schemeClr w14:val="tx1"/>
            </w14:solidFill>
          </w14:textFill>
        </w:rPr>
        <w:t>二、磋商文件</w:t>
      </w:r>
      <w:bookmarkEnd w:id="139"/>
      <w:bookmarkEnd w:id="140"/>
      <w:bookmarkEnd w:id="141"/>
      <w:bookmarkEnd w:id="142"/>
      <w:bookmarkEnd w:id="143"/>
      <w:bookmarkEnd w:id="144"/>
      <w:bookmarkEnd w:id="145"/>
      <w:bookmarkEnd w:id="146"/>
      <w:bookmarkEnd w:id="147"/>
      <w:bookmarkEnd w:id="148"/>
    </w:p>
    <w:p w14:paraId="4391DA1B">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49" w:name="_Toc18153"/>
      <w:bookmarkStart w:id="150" w:name="_Toc26949"/>
      <w:bookmarkStart w:id="151" w:name="_Toc5514"/>
      <w:bookmarkStart w:id="152" w:name="_Toc26066"/>
      <w:bookmarkStart w:id="153" w:name="_Toc3397"/>
      <w:bookmarkStart w:id="154" w:name="_Toc10485"/>
      <w:bookmarkStart w:id="155" w:name="_Toc31701"/>
      <w:bookmarkStart w:id="156" w:name="_Toc8065"/>
      <w:bookmarkStart w:id="157" w:name="_Toc11214"/>
      <w:r>
        <w:rPr>
          <w:rFonts w:hint="eastAsia" w:ascii="宋体" w:hAnsi="宋体" w:eastAsia="宋体" w:cs="宋体"/>
          <w:b/>
          <w:color w:val="000000" w:themeColor="text1"/>
          <w:sz w:val="15"/>
          <w:szCs w:val="15"/>
          <w:highlight w:val="none"/>
          <w14:textFill>
            <w14:solidFill>
              <w14:schemeClr w14:val="tx1"/>
            </w14:solidFill>
          </w14:textFill>
        </w:rPr>
        <w:t>10.磋商文件的构成</w:t>
      </w:r>
      <w:bookmarkEnd w:id="149"/>
      <w:bookmarkEnd w:id="150"/>
      <w:bookmarkEnd w:id="151"/>
      <w:bookmarkEnd w:id="152"/>
      <w:bookmarkEnd w:id="153"/>
      <w:bookmarkEnd w:id="154"/>
      <w:bookmarkEnd w:id="155"/>
      <w:bookmarkEnd w:id="156"/>
      <w:bookmarkEnd w:id="157"/>
    </w:p>
    <w:p w14:paraId="113782D0">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（1）竞争性磋商公告；</w:t>
      </w:r>
    </w:p>
    <w:p w14:paraId="729946C9">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（2）供应商须知；</w:t>
      </w:r>
    </w:p>
    <w:p w14:paraId="10109EC8">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bookmarkStart w:id="158" w:name="_Toc26988"/>
      <w:bookmarkStart w:id="159" w:name="_Toc24416"/>
      <w:bookmarkStart w:id="160" w:name="_Toc24191"/>
      <w:bookmarkStart w:id="161" w:name="_Toc10831"/>
      <w:bookmarkStart w:id="162" w:name="_Toc17307"/>
      <w:bookmarkStart w:id="163" w:name="_Toc5481"/>
      <w:bookmarkStart w:id="164" w:name="_Toc10396"/>
      <w:bookmarkStart w:id="165" w:name="_Toc15944"/>
      <w:bookmarkStart w:id="166" w:name="_Toc15697"/>
      <w:r>
        <w:rPr>
          <w:rFonts w:hint="eastAsia" w:ascii="宋体" w:hAnsi="宋体" w:eastAsia="宋体" w:cs="宋体"/>
          <w:color w:val="000000" w:themeColor="text1"/>
          <w:sz w:val="15"/>
          <w:szCs w:val="15"/>
          <w:highlight w:val="none"/>
          <w14:textFill>
            <w14:solidFill>
              <w14:schemeClr w14:val="tx1"/>
            </w14:solidFill>
          </w14:textFill>
        </w:rPr>
        <w:t>（3）采购需求；</w:t>
      </w:r>
    </w:p>
    <w:p w14:paraId="1BB573AF">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（4）评审办法；</w:t>
      </w:r>
    </w:p>
    <w:p w14:paraId="40888CF1">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（5）合同条款及格式；</w:t>
      </w:r>
    </w:p>
    <w:p w14:paraId="6C495AB4">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（6）响应文件（格式）。</w:t>
      </w:r>
    </w:p>
    <w:p w14:paraId="0272F195">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11.磋商文件的澄清与修改</w:t>
      </w:r>
      <w:bookmarkEnd w:id="158"/>
      <w:bookmarkEnd w:id="159"/>
      <w:bookmarkEnd w:id="160"/>
      <w:bookmarkEnd w:id="161"/>
      <w:bookmarkEnd w:id="162"/>
      <w:bookmarkEnd w:id="163"/>
      <w:bookmarkEnd w:id="164"/>
      <w:bookmarkEnd w:id="165"/>
      <w:bookmarkEnd w:id="166"/>
    </w:p>
    <w:p w14:paraId="1ED0AF70">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11.1提交首次响应文件截止之日前，</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可以对已发出的磋商文件进行必要澄清或者修改，澄清或者修改的内容可能影响响应文件编制的，</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应当在提交首次响应文件递交截止时间五日前在本项目竞争性磋商公告发布的同一媒体上发布更正公告，不足五日的，应当顺延首次响应文件递交截止时间。</w:t>
      </w:r>
    </w:p>
    <w:p w14:paraId="7CC7D0E5">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11.2供应商获取竞争性磋商文件后必须实时关注相关网站了解澄清、修改等与项目有关的内容，如因供应商未及时登录相关网站了解澄清、修改等与项目有关的内容，从而导致响应文件无效的，由供应商自行承担责任。</w:t>
      </w:r>
    </w:p>
    <w:p w14:paraId="1E9E684D">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11.3澄清或者修改的内容为磋商文件的组成部分。当澄清或者修改通知就同一内容的表述不一致时，以最后发出的书面文件为准。</w:t>
      </w:r>
    </w:p>
    <w:p w14:paraId="6F2C6C04">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11.4磋商文件的澄清或者修改都应该通过本项目</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以法定形式发布，采购人非通过本机构，不得擅自澄清、答复、修改或补充磋商文件。</w:t>
      </w:r>
    </w:p>
    <w:p w14:paraId="7648CD7B">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11.5</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可以视采购具体情况，延长响应文件递交截止时间和磋商时间，并</w:t>
      </w:r>
      <w:r>
        <w:rPr>
          <w:rFonts w:hint="eastAsia" w:ascii="宋体" w:hAnsi="宋体" w:cs="宋体"/>
          <w:color w:val="000000" w:themeColor="text1"/>
          <w:sz w:val="15"/>
          <w:szCs w:val="15"/>
          <w:highlight w:val="none"/>
          <w:lang w:val="en-US" w:eastAsia="zh-CN"/>
          <w14:textFill>
            <w14:solidFill>
              <w14:schemeClr w14:val="tx1"/>
            </w14:solidFill>
          </w14:textFill>
        </w:rPr>
        <w:t>通知已递交响应文件供应商</w:t>
      </w:r>
      <w:r>
        <w:rPr>
          <w:rFonts w:hint="eastAsia" w:ascii="宋体" w:hAnsi="宋体" w:eastAsia="宋体" w:cs="宋体"/>
          <w:color w:val="000000" w:themeColor="text1"/>
          <w:sz w:val="15"/>
          <w:szCs w:val="15"/>
          <w:highlight w:val="none"/>
          <w14:textFill>
            <w14:solidFill>
              <w14:schemeClr w14:val="tx1"/>
            </w14:solidFill>
          </w14:textFill>
        </w:rPr>
        <w:t>。</w:t>
      </w:r>
    </w:p>
    <w:p w14:paraId="7BB6E65F">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167" w:name="_Toc411"/>
      <w:bookmarkStart w:id="168" w:name="_Toc12874"/>
      <w:bookmarkStart w:id="169" w:name="_Toc5878"/>
      <w:bookmarkStart w:id="170" w:name="_Toc229"/>
      <w:bookmarkStart w:id="171" w:name="_Toc24592"/>
      <w:bookmarkStart w:id="172" w:name="_Toc14821"/>
      <w:bookmarkStart w:id="173" w:name="_Toc24600"/>
      <w:bookmarkStart w:id="174" w:name="_Toc7631"/>
      <w:bookmarkStart w:id="175" w:name="_Toc495841756"/>
      <w:bookmarkStart w:id="176" w:name="_Toc9202"/>
      <w:r>
        <w:rPr>
          <w:rFonts w:hint="eastAsia" w:ascii="宋体" w:hAnsi="宋体" w:eastAsia="宋体" w:cs="宋体"/>
          <w:b/>
          <w:color w:val="000000" w:themeColor="text1"/>
          <w:sz w:val="15"/>
          <w:szCs w:val="15"/>
          <w:highlight w:val="none"/>
          <w14:textFill>
            <w14:solidFill>
              <w14:schemeClr w14:val="tx1"/>
            </w14:solidFill>
          </w14:textFill>
        </w:rPr>
        <w:t>三、</w:t>
      </w:r>
      <w:bookmarkEnd w:id="167"/>
      <w:bookmarkEnd w:id="168"/>
      <w:bookmarkEnd w:id="169"/>
      <w:bookmarkEnd w:id="170"/>
      <w:bookmarkEnd w:id="171"/>
      <w:bookmarkEnd w:id="172"/>
      <w:bookmarkEnd w:id="173"/>
      <w:bookmarkEnd w:id="174"/>
      <w:bookmarkEnd w:id="175"/>
      <w:bookmarkEnd w:id="176"/>
      <w:r>
        <w:rPr>
          <w:rFonts w:hint="eastAsia" w:ascii="宋体" w:hAnsi="宋体" w:eastAsia="宋体" w:cs="宋体"/>
          <w:b/>
          <w:color w:val="000000" w:themeColor="text1"/>
          <w:sz w:val="15"/>
          <w:szCs w:val="15"/>
          <w:highlight w:val="none"/>
          <w14:textFill>
            <w14:solidFill>
              <w14:schemeClr w14:val="tx1"/>
            </w14:solidFill>
          </w14:textFill>
        </w:rPr>
        <w:t>竞争性磋商响应文件的编制</w:t>
      </w:r>
    </w:p>
    <w:p w14:paraId="76DDC81F">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77" w:name="_Toc26339"/>
      <w:bookmarkStart w:id="178" w:name="_Toc12096"/>
      <w:bookmarkStart w:id="179" w:name="_Toc15443"/>
      <w:bookmarkStart w:id="180" w:name="_Toc18660"/>
      <w:bookmarkStart w:id="181" w:name="_Toc19723"/>
      <w:bookmarkStart w:id="182" w:name="_Toc32745"/>
      <w:bookmarkStart w:id="183" w:name="_Toc17149"/>
      <w:bookmarkStart w:id="184" w:name="_Toc26390"/>
      <w:bookmarkStart w:id="185" w:name="_Toc8620"/>
      <w:r>
        <w:rPr>
          <w:rFonts w:hint="eastAsia" w:ascii="宋体" w:hAnsi="宋体" w:eastAsia="宋体" w:cs="宋体"/>
          <w:b/>
          <w:color w:val="000000" w:themeColor="text1"/>
          <w:sz w:val="15"/>
          <w:szCs w:val="15"/>
          <w:highlight w:val="none"/>
          <w14:textFill>
            <w14:solidFill>
              <w14:schemeClr w14:val="tx1"/>
            </w14:solidFill>
          </w14:textFill>
        </w:rPr>
        <w:t>12.</w:t>
      </w:r>
      <w:bookmarkEnd w:id="177"/>
      <w:bookmarkEnd w:id="178"/>
      <w:bookmarkEnd w:id="179"/>
      <w:bookmarkEnd w:id="180"/>
      <w:bookmarkEnd w:id="181"/>
      <w:bookmarkEnd w:id="182"/>
      <w:bookmarkEnd w:id="183"/>
      <w:bookmarkEnd w:id="184"/>
      <w:bookmarkEnd w:id="185"/>
      <w:r>
        <w:rPr>
          <w:rFonts w:hint="eastAsia" w:ascii="宋体" w:hAnsi="宋体" w:eastAsia="宋体" w:cs="宋体"/>
          <w:b/>
          <w:color w:val="000000" w:themeColor="text1"/>
          <w:sz w:val="15"/>
          <w:szCs w:val="15"/>
          <w:highlight w:val="none"/>
          <w14:textFill>
            <w14:solidFill>
              <w14:schemeClr w14:val="tx1"/>
            </w14:solidFill>
          </w14:textFill>
        </w:rPr>
        <w:t>竞争性磋商响应文件编制基本要求</w:t>
      </w:r>
    </w:p>
    <w:p w14:paraId="67331291">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12.1本项目实行响应</w:t>
      </w:r>
      <w:r>
        <w:rPr>
          <w:rFonts w:hint="eastAsia" w:ascii="宋体" w:hAnsi="宋体" w:cs="宋体"/>
          <w:b/>
          <w:bCs/>
          <w:color w:val="000000" w:themeColor="text1"/>
          <w:sz w:val="15"/>
          <w:szCs w:val="15"/>
          <w:highlight w:val="none"/>
          <w:lang w:val="en-US" w:eastAsia="zh-CN"/>
          <w14:textFill>
            <w14:solidFill>
              <w14:schemeClr w14:val="tx1"/>
            </w14:solidFill>
          </w14:textFill>
        </w:rPr>
        <w:t>机制</w:t>
      </w:r>
      <w:r>
        <w:rPr>
          <w:rFonts w:hint="eastAsia" w:ascii="宋体" w:hAnsi="宋体" w:eastAsia="宋体" w:cs="宋体"/>
          <w:b/>
          <w:bCs/>
          <w:color w:val="000000" w:themeColor="text1"/>
          <w:sz w:val="15"/>
          <w:szCs w:val="15"/>
          <w:highlight w:val="none"/>
          <w14:textFill>
            <w14:solidFill>
              <w14:schemeClr w14:val="tx1"/>
            </w14:solidFill>
          </w14:textFill>
        </w:rPr>
        <w:t>，供应商应准备磋商响应文件：</w:t>
      </w:r>
    </w:p>
    <w:p w14:paraId="6286737D">
      <w:pPr>
        <w:keepNext w:val="0"/>
        <w:keepLines w:val="0"/>
        <w:pageBreakBefore w:val="0"/>
        <w:tabs>
          <w:tab w:val="left" w:pos="2190"/>
        </w:tabs>
        <w:kinsoku/>
        <w:wordWrap/>
        <w:overflowPunct/>
        <w:topLinePunct w:val="0"/>
        <w:bidi w:val="0"/>
        <w:spacing w:line="240" w:lineRule="auto"/>
        <w:ind w:firstLine="435"/>
        <w:jc w:val="left"/>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12.1.1</w:t>
      </w:r>
      <w:r>
        <w:rPr>
          <w:rFonts w:hint="eastAsia" w:ascii="宋体" w:hAnsi="宋体" w:cs="宋体"/>
          <w:b/>
          <w:bCs/>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b/>
          <w:bCs/>
          <w:color w:val="000000" w:themeColor="text1"/>
          <w:sz w:val="15"/>
          <w:szCs w:val="15"/>
          <w:highlight w:val="none"/>
          <w14:textFill>
            <w14:solidFill>
              <w14:schemeClr w14:val="tx1"/>
            </w14:solidFill>
          </w14:textFill>
        </w:rPr>
        <w:t>按</w:t>
      </w:r>
      <w:r>
        <w:rPr>
          <w:rFonts w:hint="eastAsia" w:ascii="宋体" w:hAnsi="宋体" w:cs="宋体"/>
          <w:b/>
          <w:bCs/>
          <w:color w:val="000000" w:themeColor="text1"/>
          <w:sz w:val="15"/>
          <w:szCs w:val="15"/>
          <w:highlight w:val="none"/>
          <w:lang w:val="en-US" w:eastAsia="zh-CN"/>
          <w14:textFill>
            <w14:solidFill>
              <w14:schemeClr w14:val="tx1"/>
            </w14:solidFill>
          </w14:textFill>
        </w:rPr>
        <w:t>第六章 响应文件</w:t>
      </w:r>
      <w:r>
        <w:rPr>
          <w:rFonts w:hint="eastAsia" w:ascii="宋体" w:hAnsi="宋体" w:eastAsia="宋体" w:cs="宋体"/>
          <w:b/>
          <w:bCs/>
          <w:color w:val="000000" w:themeColor="text1"/>
          <w:sz w:val="15"/>
          <w:szCs w:val="15"/>
          <w:highlight w:val="none"/>
          <w14:textFill>
            <w14:solidFill>
              <w14:schemeClr w14:val="tx1"/>
            </w14:solidFill>
          </w14:textFill>
        </w:rPr>
        <w:t>要求制作、</w:t>
      </w:r>
      <w:r>
        <w:rPr>
          <w:rFonts w:hint="eastAsia" w:ascii="宋体" w:hAnsi="宋体" w:cs="宋体"/>
          <w:b/>
          <w:bCs/>
          <w:color w:val="000000" w:themeColor="text1"/>
          <w:sz w:val="15"/>
          <w:szCs w:val="15"/>
          <w:highlight w:val="none"/>
          <w:lang w:val="en-US" w:eastAsia="zh-CN"/>
          <w14:textFill>
            <w14:solidFill>
              <w14:schemeClr w14:val="tx1"/>
            </w14:solidFill>
          </w14:textFill>
        </w:rPr>
        <w:t>密封</w:t>
      </w:r>
      <w:r>
        <w:rPr>
          <w:rFonts w:hint="eastAsia" w:ascii="宋体" w:hAnsi="宋体" w:eastAsia="宋体" w:cs="宋体"/>
          <w:b/>
          <w:bCs/>
          <w:color w:val="000000" w:themeColor="text1"/>
          <w:sz w:val="15"/>
          <w:szCs w:val="15"/>
          <w:highlight w:val="none"/>
          <w14:textFill>
            <w14:solidFill>
              <w14:schemeClr w14:val="tx1"/>
            </w14:solidFill>
          </w14:textFill>
        </w:rPr>
        <w:t>并递交。</w:t>
      </w:r>
    </w:p>
    <w:p w14:paraId="0A7C2D32">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12.2竞争性磋商响应文件（以下简称响应文件）的组成及要求</w:t>
      </w:r>
      <w:r>
        <w:rPr>
          <w:rFonts w:hint="eastAsia" w:ascii="宋体" w:hAnsi="宋体" w:eastAsia="宋体" w:cs="宋体"/>
          <w:b/>
          <w:color w:val="000000" w:themeColor="text1"/>
          <w:sz w:val="15"/>
          <w:szCs w:val="15"/>
          <w:highlight w:val="none"/>
          <w14:textFill>
            <w14:solidFill>
              <w14:schemeClr w14:val="tx1"/>
            </w14:solidFill>
          </w14:textFill>
        </w:rPr>
        <w:t>【格式见第</w:t>
      </w:r>
      <w:r>
        <w:rPr>
          <w:rFonts w:hint="eastAsia" w:ascii="宋体" w:hAnsi="宋体" w:cs="宋体"/>
          <w:b/>
          <w:color w:val="000000" w:themeColor="text1"/>
          <w:sz w:val="15"/>
          <w:szCs w:val="15"/>
          <w:highlight w:val="none"/>
          <w:lang w:val="en-US" w:eastAsia="zh-CN"/>
          <w14:textFill>
            <w14:solidFill>
              <w14:schemeClr w14:val="tx1"/>
            </w14:solidFill>
          </w14:textFill>
        </w:rPr>
        <w:t>六</w:t>
      </w:r>
      <w:r>
        <w:rPr>
          <w:rFonts w:hint="eastAsia" w:ascii="宋体" w:hAnsi="宋体" w:eastAsia="宋体" w:cs="宋体"/>
          <w:b/>
          <w:color w:val="000000" w:themeColor="text1"/>
          <w:sz w:val="15"/>
          <w:szCs w:val="15"/>
          <w:highlight w:val="none"/>
          <w14:textFill>
            <w14:solidFill>
              <w14:schemeClr w14:val="tx1"/>
            </w14:solidFill>
          </w14:textFill>
        </w:rPr>
        <w:t>章“响应文件格式”】</w:t>
      </w:r>
    </w:p>
    <w:p w14:paraId="113AEA0B">
      <w:pPr>
        <w:keepNext w:val="0"/>
        <w:keepLines w:val="0"/>
        <w:pageBreakBefore w:val="0"/>
        <w:kinsoku/>
        <w:wordWrap/>
        <w:overflowPunct/>
        <w:topLinePunct w:val="0"/>
        <w:bidi w:val="0"/>
        <w:spacing w:line="240" w:lineRule="auto"/>
        <w:ind w:firstLine="301"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12.2.1资格性响应证明材料（下列文件加盖公章，必须提供，否则竞标无效）</w:t>
      </w:r>
    </w:p>
    <w:p w14:paraId="3A1C4286">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（1）供应商相应的法定代表人、负责人身份证正反两面复印件</w:t>
      </w:r>
      <w:r>
        <w:rPr>
          <w:rFonts w:hint="eastAsia" w:ascii="宋体" w:hAnsi="宋体" w:eastAsia="宋体" w:cs="宋体"/>
          <w:b/>
          <w:color w:val="000000" w:themeColor="text1"/>
          <w:sz w:val="15"/>
          <w:szCs w:val="15"/>
          <w:highlight w:val="none"/>
          <w14:textFill>
            <w14:solidFill>
              <w14:schemeClr w14:val="tx1"/>
            </w14:solidFill>
          </w14:textFill>
        </w:rPr>
        <w:t>（必须提供）</w:t>
      </w:r>
      <w:r>
        <w:rPr>
          <w:rFonts w:hint="eastAsia" w:ascii="宋体" w:hAnsi="宋体" w:eastAsia="宋体" w:cs="宋体"/>
          <w:color w:val="000000" w:themeColor="text1"/>
          <w:sz w:val="15"/>
          <w:szCs w:val="15"/>
          <w:highlight w:val="none"/>
          <w14:textFill>
            <w14:solidFill>
              <w14:schemeClr w14:val="tx1"/>
            </w14:solidFill>
          </w14:textFill>
        </w:rPr>
        <w:t>；</w:t>
      </w:r>
    </w:p>
    <w:p w14:paraId="5577A0E5">
      <w:pPr>
        <w:pStyle w:val="19"/>
        <w:keepNext w:val="0"/>
        <w:keepLines w:val="0"/>
        <w:pageBreakBefore w:val="0"/>
        <w:kinsoku/>
        <w:wordWrap/>
        <w:overflowPunct/>
        <w:topLinePunct w:val="0"/>
        <w:bidi w:val="0"/>
        <w:spacing w:line="240" w:lineRule="auto"/>
        <w:ind w:firstLine="300"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w:t>
      </w:r>
      <w:r>
        <w:rPr>
          <w:rFonts w:hint="eastAsia" w:ascii="宋体" w:hAnsi="宋体" w:eastAsia="宋体" w:cs="宋体"/>
          <w:bCs/>
          <w:color w:val="000000" w:themeColor="text1"/>
          <w:sz w:val="15"/>
          <w:szCs w:val="15"/>
          <w:highlight w:val="none"/>
          <w14:textFill>
            <w14:solidFill>
              <w14:schemeClr w14:val="tx1"/>
            </w14:solidFill>
          </w14:textFill>
        </w:rPr>
        <w:t>供应商的授权委托书原件、委托代理人身份证正反面复印件</w:t>
      </w:r>
      <w:r>
        <w:rPr>
          <w:rFonts w:hint="eastAsia" w:ascii="宋体" w:hAnsi="宋体" w:eastAsia="宋体" w:cs="宋体"/>
          <w:b/>
          <w:color w:val="000000" w:themeColor="text1"/>
          <w:sz w:val="15"/>
          <w:szCs w:val="15"/>
          <w:highlight w:val="none"/>
          <w14:textFill>
            <w14:solidFill>
              <w14:schemeClr w14:val="tx1"/>
            </w14:solidFill>
          </w14:textFill>
        </w:rPr>
        <w:t>（委托代理时必须提供）；</w:t>
      </w:r>
    </w:p>
    <w:p w14:paraId="2311EC18">
      <w:pPr>
        <w:pStyle w:val="19"/>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（3）供应商参</w:t>
      </w:r>
      <w:r>
        <w:rPr>
          <w:rFonts w:hint="eastAsia" w:ascii="宋体" w:hAnsi="宋体" w:eastAsia="宋体" w:cs="宋体"/>
          <w:bCs/>
          <w:color w:val="000000" w:themeColor="text1"/>
          <w:sz w:val="15"/>
          <w:szCs w:val="15"/>
          <w:highlight w:val="none"/>
          <w14:textFill>
            <w14:solidFill>
              <w14:schemeClr w14:val="tx1"/>
            </w14:solidFill>
          </w14:textFill>
        </w:rPr>
        <w:t>加政府采购活动前3年内在经营活动中没有重大违法记录及有关信用信息的</w:t>
      </w:r>
      <w:r>
        <w:rPr>
          <w:rFonts w:hint="eastAsia" w:hAnsi="宋体" w:cs="宋体"/>
          <w:bCs/>
          <w:color w:val="000000" w:themeColor="text1"/>
          <w:sz w:val="15"/>
          <w:szCs w:val="15"/>
          <w:highlight w:val="none"/>
          <w:lang w:val="en-US" w:eastAsia="zh-CN"/>
          <w14:textFill>
            <w14:solidFill>
              <w14:schemeClr w14:val="tx1"/>
            </w14:solidFill>
          </w14:textFill>
        </w:rPr>
        <w:t>查询记录</w:t>
      </w:r>
      <w:r>
        <w:rPr>
          <w:rFonts w:hint="eastAsia" w:ascii="宋体" w:hAnsi="宋体" w:eastAsia="宋体" w:cs="宋体"/>
          <w:b/>
          <w:color w:val="000000" w:themeColor="text1"/>
          <w:sz w:val="15"/>
          <w:szCs w:val="15"/>
          <w:highlight w:val="none"/>
          <w14:textFill>
            <w14:solidFill>
              <w14:schemeClr w14:val="tx1"/>
            </w14:solidFill>
          </w14:textFill>
        </w:rPr>
        <w:t>；</w:t>
      </w:r>
    </w:p>
    <w:p w14:paraId="4FC06469">
      <w:pPr>
        <w:keepNext w:val="0"/>
        <w:keepLines w:val="0"/>
        <w:pageBreakBefore w:val="0"/>
        <w:kinsoku/>
        <w:wordWrap/>
        <w:overflowPunct/>
        <w:topLinePunct w:val="0"/>
        <w:bidi w:val="0"/>
        <w:spacing w:line="240" w:lineRule="auto"/>
        <w:ind w:firstLine="294" w:firstLineChars="196"/>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（4）供应商营业执照副本复印件</w:t>
      </w:r>
      <w:r>
        <w:rPr>
          <w:rFonts w:hint="eastAsia" w:ascii="宋体" w:hAnsi="宋体" w:eastAsia="宋体" w:cs="宋体"/>
          <w:b/>
          <w:bCs/>
          <w:color w:val="000000" w:themeColor="text1"/>
          <w:sz w:val="15"/>
          <w:szCs w:val="15"/>
          <w:highlight w:val="none"/>
          <w14:textFill>
            <w14:solidFill>
              <w14:schemeClr w14:val="tx1"/>
            </w14:solidFill>
          </w14:textFill>
        </w:rPr>
        <w:t>（必须提供）；</w:t>
      </w:r>
    </w:p>
    <w:p w14:paraId="1347132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14:textFill>
            <w14:solidFill>
              <w14:schemeClr w14:val="tx1"/>
            </w14:solidFill>
          </w14:textFill>
        </w:rPr>
        <w:t>）供应商参加本项目无围标串标行为的承诺函</w:t>
      </w:r>
      <w:r>
        <w:rPr>
          <w:rFonts w:hint="eastAsia" w:ascii="宋体" w:hAnsi="宋体" w:eastAsia="宋体" w:cs="宋体"/>
          <w:b/>
          <w:bCs/>
          <w:color w:val="000000" w:themeColor="text1"/>
          <w:sz w:val="15"/>
          <w:szCs w:val="15"/>
          <w:highlight w:val="none"/>
          <w14:textFill>
            <w14:solidFill>
              <w14:schemeClr w14:val="tx1"/>
            </w14:solidFill>
          </w14:textFill>
        </w:rPr>
        <w:t>（必须提供）；</w:t>
      </w:r>
    </w:p>
    <w:p w14:paraId="0B1708A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6</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本项目的特定资格要求</w:t>
      </w:r>
      <w:r>
        <w:rPr>
          <w:rFonts w:hint="eastAsia" w:ascii="宋体" w:hAnsi="宋体" w:cs="宋体"/>
          <w:color w:val="000000" w:themeColor="text1"/>
          <w:sz w:val="15"/>
          <w:szCs w:val="15"/>
          <w:highlight w:val="none"/>
          <w:lang w:val="en-US" w:eastAsia="zh-CN"/>
          <w14:textFill>
            <w14:solidFill>
              <w14:schemeClr w14:val="tx1"/>
            </w14:solidFill>
          </w14:textFill>
        </w:rPr>
        <w:t>证明材料</w:t>
      </w:r>
      <w:r>
        <w:rPr>
          <w:rFonts w:hint="eastAsia" w:ascii="宋体" w:hAnsi="宋体" w:eastAsia="宋体" w:cs="宋体"/>
          <w:b/>
          <w:bCs/>
          <w:color w:val="000000" w:themeColor="text1"/>
          <w:sz w:val="15"/>
          <w:szCs w:val="15"/>
          <w:highlight w:val="none"/>
          <w14:textFill>
            <w14:solidFill>
              <w14:schemeClr w14:val="tx1"/>
            </w14:solidFill>
          </w14:textFill>
        </w:rPr>
        <w:t>（必须提供）；</w:t>
      </w:r>
    </w:p>
    <w:p w14:paraId="40D7A7EE">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7</w:t>
      </w:r>
      <w:r>
        <w:rPr>
          <w:rFonts w:hint="eastAsia" w:ascii="宋体" w:hAnsi="宋体" w:eastAsia="宋体" w:cs="宋体"/>
          <w:color w:val="000000" w:themeColor="text1"/>
          <w:sz w:val="15"/>
          <w:szCs w:val="15"/>
          <w:highlight w:val="none"/>
          <w14:textFill>
            <w14:solidFill>
              <w14:schemeClr w14:val="tx1"/>
            </w14:solidFill>
          </w14:textFill>
        </w:rPr>
        <w:t>）供应商可结合本项目的评审办法视自身情况自行提交相关资格审查证明材料</w:t>
      </w:r>
      <w:r>
        <w:rPr>
          <w:rFonts w:hint="eastAsia" w:ascii="宋体" w:hAnsi="宋体" w:eastAsia="宋体" w:cs="宋体"/>
          <w:b/>
          <w:bCs/>
          <w:color w:val="000000" w:themeColor="text1"/>
          <w:sz w:val="15"/>
          <w:szCs w:val="15"/>
          <w:highlight w:val="none"/>
          <w14:textFill>
            <w14:solidFill>
              <w14:schemeClr w14:val="tx1"/>
            </w14:solidFill>
          </w14:textFill>
        </w:rPr>
        <w:t>（如有，请提供）；</w:t>
      </w:r>
    </w:p>
    <w:p w14:paraId="0BCC56F7">
      <w:pPr>
        <w:keepNext w:val="0"/>
        <w:keepLines w:val="0"/>
        <w:pageBreakBefore w:val="0"/>
        <w:tabs>
          <w:tab w:val="left" w:pos="1305"/>
        </w:tabs>
        <w:kinsoku/>
        <w:wordWrap/>
        <w:overflowPunct/>
        <w:topLinePunct w:val="0"/>
        <w:bidi w:val="0"/>
        <w:spacing w:line="240" w:lineRule="auto"/>
        <w:ind w:firstLine="301"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12.2.2</w:t>
      </w:r>
      <w:r>
        <w:rPr>
          <w:rFonts w:hint="eastAsia" w:ascii="宋体" w:hAnsi="宋体" w:eastAsia="宋体" w:cs="宋体"/>
          <w:b/>
          <w:color w:val="000000" w:themeColor="text1"/>
          <w:sz w:val="15"/>
          <w:szCs w:val="15"/>
          <w:highlight w:val="none"/>
          <w14:textFill>
            <w14:solidFill>
              <w14:schemeClr w14:val="tx1"/>
            </w14:solidFill>
          </w14:textFill>
        </w:rPr>
        <w:t>商务、技术性响应证明材料：</w:t>
      </w:r>
    </w:p>
    <w:p w14:paraId="1715BBAC">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（1）响应函</w:t>
      </w:r>
      <w:r>
        <w:rPr>
          <w:rFonts w:hint="eastAsia" w:ascii="宋体" w:hAnsi="宋体" w:eastAsia="宋体" w:cs="宋体"/>
          <w:b/>
          <w:bCs/>
          <w:color w:val="000000" w:themeColor="text1"/>
          <w:sz w:val="15"/>
          <w:szCs w:val="15"/>
          <w:highlight w:val="none"/>
          <w14:textFill>
            <w14:solidFill>
              <w14:schemeClr w14:val="tx1"/>
            </w14:solidFill>
          </w14:textFill>
        </w:rPr>
        <w:t>（必须提供）</w:t>
      </w:r>
      <w:r>
        <w:rPr>
          <w:rFonts w:hint="eastAsia" w:ascii="宋体" w:hAnsi="宋体" w:eastAsia="宋体" w:cs="宋体"/>
          <w:color w:val="000000" w:themeColor="text1"/>
          <w:sz w:val="15"/>
          <w:szCs w:val="15"/>
          <w:highlight w:val="none"/>
          <w14:textFill>
            <w14:solidFill>
              <w14:schemeClr w14:val="tx1"/>
            </w14:solidFill>
          </w14:textFill>
        </w:rPr>
        <w:t>；</w:t>
      </w:r>
    </w:p>
    <w:p w14:paraId="3E95D489">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（2）服务需求响应表</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（必须提供）</w:t>
      </w:r>
      <w:r>
        <w:rPr>
          <w:rFonts w:hint="eastAsia" w:ascii="宋体" w:hAnsi="宋体" w:eastAsia="宋体" w:cs="宋体"/>
          <w:b w:val="0"/>
          <w:bCs w:val="0"/>
          <w:color w:val="000000" w:themeColor="text1"/>
          <w:sz w:val="15"/>
          <w:szCs w:val="15"/>
          <w:highlight w:val="none"/>
          <w:lang w:val="en-US" w:eastAsia="zh-CN"/>
          <w14:textFill>
            <w14:solidFill>
              <w14:schemeClr w14:val="tx1"/>
            </w14:solidFill>
          </w14:textFill>
        </w:rPr>
        <w:t>；</w:t>
      </w:r>
    </w:p>
    <w:p w14:paraId="349B9E60">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3</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eastAsia="zh-CN"/>
          <w14:textFill>
            <w14:solidFill>
              <w14:schemeClr w14:val="tx1"/>
            </w14:solidFill>
          </w14:textFill>
        </w:rPr>
        <w:t>拟投入服务团队</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必须提供</w:t>
      </w:r>
      <w:r>
        <w:rPr>
          <w:rFonts w:hint="eastAsia" w:ascii="宋体" w:hAnsi="宋体" w:eastAsia="宋体" w:cs="宋体"/>
          <w:color w:val="000000" w:themeColor="text1"/>
          <w:sz w:val="15"/>
          <w:szCs w:val="15"/>
          <w:highlight w:val="none"/>
          <w14:textFill>
            <w14:solidFill>
              <w14:schemeClr w14:val="tx1"/>
            </w14:solidFill>
          </w14:textFill>
        </w:rPr>
        <w:t>）；</w:t>
      </w:r>
    </w:p>
    <w:p w14:paraId="333BA18C">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4</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维保</w:t>
      </w:r>
      <w:r>
        <w:rPr>
          <w:rFonts w:hint="eastAsia" w:ascii="宋体" w:hAnsi="宋体" w:eastAsia="宋体" w:cs="宋体"/>
          <w:color w:val="000000" w:themeColor="text1"/>
          <w:sz w:val="15"/>
          <w:szCs w:val="15"/>
          <w:highlight w:val="none"/>
          <w:lang w:eastAsia="zh-CN"/>
          <w14:textFill>
            <w14:solidFill>
              <w14:schemeClr w14:val="tx1"/>
            </w14:solidFill>
          </w14:textFill>
        </w:rPr>
        <w:t>服务方案（含服务方案、管理制度</w:t>
      </w:r>
      <w:r>
        <w:rPr>
          <w:rFonts w:hint="eastAsia" w:ascii="宋体" w:hAnsi="宋体" w:cs="宋体"/>
          <w:color w:val="000000" w:themeColor="text1"/>
          <w:sz w:val="15"/>
          <w:szCs w:val="15"/>
          <w:highlight w:val="none"/>
          <w:lang w:eastAsia="zh-CN"/>
          <w14:textFill>
            <w14:solidFill>
              <w14:schemeClr w14:val="tx1"/>
            </w14:solidFill>
          </w14:textFill>
        </w:rPr>
        <w:t>、增值服务方案，如有，请提供</w:t>
      </w: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w:t>
      </w:r>
    </w:p>
    <w:p w14:paraId="2C9DF0DB">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14:textFill>
            <w14:solidFill>
              <w14:schemeClr w14:val="tx1"/>
            </w14:solidFill>
          </w14:textFill>
        </w:rPr>
        <w:t>）供应商属于中小企业的应提供《中小企业声明函》（详见附件）；或属于监狱企业的，应当提供由省级以上监狱管理局、戒毒管理局(含新疆生产建设兵团)出具的属于监狱企业的证明文件；或符合条件的残疾人福利性单位在参加政府采购活动时，应当提供《残疾人福利性单位声明函》（详见附件），并对声明的真实性负责（如有，请提供）</w:t>
      </w:r>
      <w:r>
        <w:rPr>
          <w:rFonts w:hint="eastAsia" w:ascii="宋体" w:hAnsi="宋体" w:eastAsia="宋体" w:cs="宋体"/>
          <w:b/>
          <w:bCs/>
          <w:color w:val="000000" w:themeColor="text1"/>
          <w:sz w:val="15"/>
          <w:szCs w:val="15"/>
          <w:highlight w:val="none"/>
          <w14:textFill>
            <w14:solidFill>
              <w14:schemeClr w14:val="tx1"/>
            </w14:solidFill>
          </w14:textFill>
        </w:rPr>
        <w:t>；</w:t>
      </w:r>
    </w:p>
    <w:p w14:paraId="41844EFE">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6</w:t>
      </w:r>
      <w:r>
        <w:rPr>
          <w:rFonts w:hint="eastAsia" w:ascii="宋体" w:hAnsi="宋体" w:eastAsia="宋体" w:cs="宋体"/>
          <w:color w:val="000000" w:themeColor="text1"/>
          <w:sz w:val="15"/>
          <w:szCs w:val="15"/>
          <w:highlight w:val="none"/>
          <w:lang w:val="en-US"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供应商相关认证证书等复印件（如有请提供）</w:t>
      </w:r>
    </w:p>
    <w:p w14:paraId="2D5FF338">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7</w:t>
      </w:r>
      <w:r>
        <w:rPr>
          <w:rFonts w:hint="eastAsia" w:ascii="宋体" w:hAnsi="宋体" w:eastAsia="宋体" w:cs="宋体"/>
          <w:color w:val="000000" w:themeColor="text1"/>
          <w:sz w:val="15"/>
          <w:szCs w:val="15"/>
          <w:highlight w:val="none"/>
          <w14:textFill>
            <w14:solidFill>
              <w14:schemeClr w14:val="tx1"/>
            </w14:solidFill>
          </w14:textFill>
        </w:rPr>
        <w:t>）供应商认为有必要提供的其他资料（如有，请提供）。</w:t>
      </w:r>
    </w:p>
    <w:p w14:paraId="6F5724D0">
      <w:pPr>
        <w:keepNext w:val="0"/>
        <w:keepLines w:val="0"/>
        <w:pageBreakBefore w:val="0"/>
        <w:kinsoku/>
        <w:wordWrap/>
        <w:overflowPunct/>
        <w:topLinePunct w:val="0"/>
        <w:bidi w:val="0"/>
        <w:spacing w:line="240" w:lineRule="auto"/>
        <w:ind w:firstLine="42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供应商提供的以上相关证明材料必须真实有效，属于“必须提供”的文件应加盖供应商签章，否则响应文件按无效处理；</w:t>
      </w:r>
    </w:p>
    <w:p w14:paraId="57E81C69">
      <w:pPr>
        <w:keepNext w:val="0"/>
        <w:keepLines w:val="0"/>
        <w:pageBreakBefore w:val="0"/>
        <w:kinsoku/>
        <w:wordWrap/>
        <w:overflowPunct/>
        <w:topLinePunct w:val="0"/>
        <w:bidi w:val="0"/>
        <w:spacing w:line="240" w:lineRule="auto"/>
        <w:ind w:firstLine="42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12.3供应商应按采购文件第</w:t>
      </w:r>
      <w:r>
        <w:rPr>
          <w:rFonts w:hint="eastAsia" w:ascii="宋体" w:hAnsi="宋体" w:cs="宋体"/>
          <w:color w:val="000000" w:themeColor="text1"/>
          <w:sz w:val="15"/>
          <w:szCs w:val="15"/>
          <w:highlight w:val="none"/>
          <w:lang w:val="en-US" w:eastAsia="zh-CN"/>
          <w14:textFill>
            <w14:solidFill>
              <w14:schemeClr w14:val="tx1"/>
            </w14:solidFill>
          </w14:textFill>
        </w:rPr>
        <w:t>六</w:t>
      </w:r>
      <w:r>
        <w:rPr>
          <w:rFonts w:hint="eastAsia" w:ascii="宋体" w:hAnsi="宋体" w:eastAsia="宋体" w:cs="宋体"/>
          <w:color w:val="000000" w:themeColor="text1"/>
          <w:sz w:val="15"/>
          <w:szCs w:val="15"/>
          <w:highlight w:val="none"/>
          <w14:textFill>
            <w14:solidFill>
              <w14:schemeClr w14:val="tx1"/>
            </w14:solidFill>
          </w14:textFill>
        </w:rPr>
        <w:t>章“响应文件（格式）”编制响应文件。</w:t>
      </w:r>
    </w:p>
    <w:p w14:paraId="60744276">
      <w:pPr>
        <w:keepNext w:val="0"/>
        <w:keepLines w:val="0"/>
        <w:pageBreakBefore w:val="0"/>
        <w:kinsoku/>
        <w:wordWrap/>
        <w:overflowPunct/>
        <w:topLinePunct w:val="0"/>
        <w:bidi w:val="0"/>
        <w:spacing w:line="240" w:lineRule="auto"/>
        <w:ind w:firstLine="42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12.4响应文件应当对采购文件提出的要求和条件作出明确响应。</w:t>
      </w:r>
    </w:p>
    <w:p w14:paraId="7DC88C78">
      <w:pPr>
        <w:keepNext w:val="0"/>
        <w:keepLines w:val="0"/>
        <w:pageBreakBefore w:val="0"/>
        <w:kinsoku/>
        <w:wordWrap/>
        <w:overflowPunct/>
        <w:topLinePunct w:val="0"/>
        <w:bidi w:val="0"/>
        <w:spacing w:line="240" w:lineRule="auto"/>
        <w:ind w:firstLine="42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特别说明：</w:t>
      </w:r>
    </w:p>
    <w:p w14:paraId="10BDE7F9">
      <w:pPr>
        <w:keepNext w:val="0"/>
        <w:keepLines w:val="0"/>
        <w:pageBreakBefore w:val="0"/>
        <w:tabs>
          <w:tab w:val="left" w:pos="1305"/>
        </w:tabs>
        <w:kinsoku/>
        <w:wordWrap/>
        <w:overflowPunct/>
        <w:topLinePunct w:val="0"/>
        <w:bidi w:val="0"/>
        <w:spacing w:line="240" w:lineRule="auto"/>
        <w:ind w:firstLine="301" w:firstLineChars="200"/>
        <w:rPr>
          <w:rFonts w:hint="eastAsia" w:ascii="宋体" w:hAnsi="宋体" w:eastAsia="宋体" w:cs="宋体"/>
          <w:b/>
          <w:bCs/>
          <w:color w:val="000000" w:themeColor="text1"/>
          <w:sz w:val="15"/>
          <w:szCs w:val="15"/>
          <w:highlight w:val="none"/>
          <w14:textFill>
            <w14:solidFill>
              <w14:schemeClr w14:val="tx1"/>
            </w14:solidFill>
          </w14:textFill>
        </w:rPr>
      </w:pPr>
      <w:bookmarkStart w:id="186" w:name="_Toc11037"/>
      <w:r>
        <w:rPr>
          <w:rFonts w:hint="eastAsia" w:ascii="宋体" w:hAnsi="宋体" w:eastAsia="宋体" w:cs="宋体"/>
          <w:b/>
          <w:bCs/>
          <w:color w:val="000000" w:themeColor="text1"/>
          <w:sz w:val="15"/>
          <w:szCs w:val="15"/>
          <w:highlight w:val="none"/>
          <w14:textFill>
            <w14:solidFill>
              <w14:schemeClr w14:val="tx1"/>
            </w14:solidFill>
          </w14:textFill>
        </w:rPr>
        <w:t>（1）若响应文件中有专门标注的某关联点，并要求供应商在投标系统中作出投标响应的，如供应商未对关联点进行响应或者在投标文件</w:t>
      </w:r>
      <w:r>
        <w:rPr>
          <w:rFonts w:hint="eastAsia" w:ascii="宋体" w:hAnsi="宋体" w:cs="宋体"/>
          <w:b/>
          <w:bCs/>
          <w:color w:val="000000" w:themeColor="text1"/>
          <w:sz w:val="15"/>
          <w:szCs w:val="15"/>
          <w:highlight w:val="none"/>
          <w:lang w:eastAsia="zh-CN"/>
          <w14:textFill>
            <w14:solidFill>
              <w14:schemeClr w14:val="tx1"/>
            </w14:solidFill>
          </w14:textFill>
        </w:rPr>
        <w:t>其他</w:t>
      </w:r>
      <w:r>
        <w:rPr>
          <w:rFonts w:hint="eastAsia" w:ascii="宋体" w:hAnsi="宋体" w:eastAsia="宋体" w:cs="宋体"/>
          <w:b/>
          <w:bCs/>
          <w:color w:val="000000" w:themeColor="text1"/>
          <w:sz w:val="15"/>
          <w:szCs w:val="15"/>
          <w:highlight w:val="none"/>
          <w14:textFill>
            <w14:solidFill>
              <w14:schemeClr w14:val="tx1"/>
            </w14:solidFill>
          </w14:textFill>
        </w:rPr>
        <w:t>内容中进行描述，造成评审不能查询的责任由供应商自行承担。</w:t>
      </w:r>
    </w:p>
    <w:p w14:paraId="5BAC7ED0">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87" w:name="_Toc16072"/>
      <w:bookmarkStart w:id="188" w:name="_Toc19729"/>
      <w:bookmarkStart w:id="189" w:name="_Toc5166"/>
      <w:bookmarkStart w:id="190" w:name="_Toc27918"/>
      <w:bookmarkStart w:id="191" w:name="_Toc15181"/>
      <w:bookmarkStart w:id="192" w:name="_Toc32647"/>
      <w:bookmarkStart w:id="193" w:name="_Toc27768"/>
      <w:bookmarkStart w:id="194" w:name="_Toc21191"/>
      <w:r>
        <w:rPr>
          <w:rFonts w:hint="eastAsia" w:ascii="宋体" w:hAnsi="宋体" w:eastAsia="宋体" w:cs="宋体"/>
          <w:b/>
          <w:color w:val="000000" w:themeColor="text1"/>
          <w:sz w:val="15"/>
          <w:szCs w:val="15"/>
          <w:highlight w:val="none"/>
          <w14:textFill>
            <w14:solidFill>
              <w14:schemeClr w14:val="tx1"/>
            </w14:solidFill>
          </w14:textFill>
        </w:rPr>
        <w:t>13.响应文件的语言及计量</w:t>
      </w:r>
      <w:bookmarkEnd w:id="186"/>
      <w:bookmarkEnd w:id="187"/>
      <w:bookmarkEnd w:id="188"/>
      <w:bookmarkEnd w:id="189"/>
      <w:bookmarkEnd w:id="190"/>
      <w:bookmarkEnd w:id="191"/>
      <w:bookmarkEnd w:id="192"/>
      <w:bookmarkEnd w:id="193"/>
      <w:bookmarkEnd w:id="194"/>
    </w:p>
    <w:p w14:paraId="27306327">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13.1响应文件以及供应商与采购人就有关响应事宜的所有来往函电，均应以中文汉语书写。供应商提交的支持文件和印刷的文献可以使用别的语言，但其相应内容必须附有中文翻译文本，在解释响应文件时以中文翻译文本为主。</w:t>
      </w:r>
    </w:p>
    <w:p w14:paraId="2B2E2531">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13.2响应计量单位，采购文件已有明确规定的，使用采购文件规定的计量单位；采购文件没有规定的，应采用中华人民共和国法定计量单位（货币单位：元人民币），否则视同未响应。</w:t>
      </w:r>
    </w:p>
    <w:p w14:paraId="6220E26D">
      <w:pPr>
        <w:pStyle w:val="15"/>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95" w:name="_Toc2716"/>
      <w:bookmarkStart w:id="196" w:name="_Toc27899"/>
      <w:r>
        <w:rPr>
          <w:rFonts w:hint="eastAsia" w:ascii="宋体" w:hAnsi="宋体" w:eastAsia="宋体" w:cs="宋体"/>
          <w:b/>
          <w:color w:val="000000" w:themeColor="text1"/>
          <w:sz w:val="15"/>
          <w:szCs w:val="15"/>
          <w:highlight w:val="none"/>
          <w14:textFill>
            <w14:solidFill>
              <w14:schemeClr w14:val="tx1"/>
            </w14:solidFill>
          </w14:textFill>
        </w:rPr>
        <w:t>14.</w:t>
      </w:r>
      <w:bookmarkEnd w:id="195"/>
      <w:bookmarkEnd w:id="196"/>
      <w:bookmarkStart w:id="197" w:name="_Toc32148"/>
      <w:bookmarkStart w:id="198" w:name="_Toc28624"/>
      <w:bookmarkStart w:id="199" w:name="_Toc22333"/>
      <w:bookmarkStart w:id="200" w:name="_Toc27167"/>
      <w:bookmarkStart w:id="201" w:name="_Toc24652"/>
      <w:bookmarkStart w:id="202" w:name="_Toc12698"/>
      <w:bookmarkStart w:id="203" w:name="_Toc4075"/>
      <w:bookmarkStart w:id="204" w:name="_Toc16017"/>
      <w:bookmarkStart w:id="205" w:name="_Toc12200"/>
      <w:r>
        <w:rPr>
          <w:rFonts w:hint="eastAsia" w:ascii="宋体" w:hAnsi="宋体" w:eastAsia="宋体" w:cs="宋体"/>
          <w:b/>
          <w:color w:val="000000" w:themeColor="text1"/>
          <w:sz w:val="15"/>
          <w:szCs w:val="15"/>
          <w:highlight w:val="none"/>
          <w14:textFill>
            <w14:solidFill>
              <w14:schemeClr w14:val="tx1"/>
            </w14:solidFill>
          </w14:textFill>
        </w:rPr>
        <w:t>磋商报价及采购预算金额</w:t>
      </w:r>
    </w:p>
    <w:p w14:paraId="0BF2B276">
      <w:pPr>
        <w:pStyle w:val="15"/>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14.1供应商必须就“采购需求”中的所有内容作完整唯一报价，有选择的或有条件的报价将不予接受。</w:t>
      </w:r>
    </w:p>
    <w:p w14:paraId="0D7B3D5F">
      <w:pPr>
        <w:spacing w:line="240" w:lineRule="auto"/>
        <w:ind w:firstLine="300" w:firstLineChars="200"/>
        <w:rPr>
          <w:rFonts w:hint="default" w:ascii="宋体" w:hAnsi="宋体" w:eastAsia="宋体" w:cs="宋体"/>
          <w:bCs/>
          <w:color w:val="000000" w:themeColor="text1"/>
          <w:sz w:val="15"/>
          <w:szCs w:val="15"/>
          <w:highlight w:val="none"/>
          <w:lang w:val="en-US" w:eastAsia="zh-CN"/>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14.2</w:t>
      </w:r>
      <w:r>
        <w:rPr>
          <w:rFonts w:hint="eastAsia" w:ascii="宋体" w:hAnsi="宋体" w:eastAsia="宋体" w:cs="宋体"/>
          <w:color w:val="000000" w:themeColor="text1"/>
          <w:sz w:val="15"/>
          <w:szCs w:val="15"/>
          <w:highlight w:val="none"/>
          <w14:textFill>
            <w14:solidFill>
              <w14:schemeClr w14:val="tx1"/>
            </w14:solidFill>
          </w14:textFill>
        </w:rPr>
        <w:t>采购预算金额</w:t>
      </w:r>
      <w:r>
        <w:rPr>
          <w:rFonts w:hint="eastAsia" w:ascii="宋体" w:hAnsi="宋体" w:cs="宋体"/>
          <w:color w:val="000000" w:themeColor="text1"/>
          <w:sz w:val="15"/>
          <w:szCs w:val="15"/>
          <w:highlight w:val="none"/>
          <w:lang w:val="en-US" w:eastAsia="zh-CN"/>
          <w14:textFill>
            <w14:solidFill>
              <w14:schemeClr w14:val="tx1"/>
            </w14:solidFill>
          </w14:textFill>
        </w:rPr>
        <w:t>及</w:t>
      </w:r>
      <w:r>
        <w:rPr>
          <w:rFonts w:hint="eastAsia" w:ascii="宋体" w:hAnsi="宋体" w:eastAsia="宋体" w:cs="宋体"/>
          <w:color w:val="000000" w:themeColor="text1"/>
          <w:kern w:val="2"/>
          <w:sz w:val="15"/>
          <w:szCs w:val="15"/>
          <w:highlight w:val="none"/>
          <w14:textFill>
            <w14:solidFill>
              <w14:schemeClr w14:val="tx1"/>
            </w14:solidFill>
          </w14:textFill>
        </w:rPr>
        <w:t>最高限价</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见供应商须知</w:t>
      </w:r>
    </w:p>
    <w:p w14:paraId="2C2945E1">
      <w:pPr>
        <w:pStyle w:val="15"/>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lang w:eastAsia="zh-CN"/>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14.3供应商磋商报价应包含</w:t>
      </w:r>
      <w:r>
        <w:rPr>
          <w:rFonts w:hint="eastAsia" w:ascii="宋体" w:hAnsi="宋体" w:eastAsia="宋体" w:cs="宋体"/>
          <w:bCs/>
          <w:color w:val="000000" w:themeColor="text1"/>
          <w:sz w:val="15"/>
          <w:szCs w:val="15"/>
          <w:highlight w:val="none"/>
          <w:lang w:eastAsia="zh-CN"/>
          <w14:textFill>
            <w14:solidFill>
              <w14:schemeClr w14:val="tx1"/>
            </w14:solidFill>
          </w14:textFill>
        </w:rPr>
        <w:t>满足本次磋商全部采购需求所应提供的服务，以及伴随的服务；包含竞标服务、技术服务、咨询、税费、运营日常用品用具的消耗和折旧费、行政办公用品及资料印刷、服务清单涵盖的所有项目等全部费用；</w:t>
      </w:r>
    </w:p>
    <w:p w14:paraId="0F77F09F">
      <w:pPr>
        <w:pStyle w:val="15"/>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14.4供应商磋商报价应综合考虑总价包干（包含提供本次服务范围的所有成本、税金、利润等），报价不得超过预算金额。</w:t>
      </w:r>
    </w:p>
    <w:p w14:paraId="5E309173">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15.响应有效期</w:t>
      </w:r>
      <w:bookmarkEnd w:id="197"/>
      <w:bookmarkEnd w:id="198"/>
      <w:bookmarkEnd w:id="199"/>
      <w:bookmarkEnd w:id="200"/>
      <w:bookmarkEnd w:id="201"/>
      <w:bookmarkEnd w:id="202"/>
      <w:bookmarkEnd w:id="203"/>
      <w:bookmarkEnd w:id="204"/>
      <w:bookmarkEnd w:id="205"/>
    </w:p>
    <w:p w14:paraId="4CB599FB">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15.1响应有效期：响应截止时间之日起90天。</w:t>
      </w:r>
    </w:p>
    <w:p w14:paraId="4B756962">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15.2出现特殊情况下，需要延长响应有效期的，</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以书面形式通知供应商延长响应有效期。供应商同意延长的，原响应文件继续有效。供应商拒绝延长的，其响应无效。</w:t>
      </w:r>
    </w:p>
    <w:p w14:paraId="2A322ED9">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06" w:name="_Toc29063"/>
      <w:bookmarkStart w:id="207" w:name="_Toc18919"/>
      <w:bookmarkStart w:id="208" w:name="_Toc10671"/>
      <w:bookmarkStart w:id="209" w:name="_Toc5668"/>
      <w:bookmarkStart w:id="210" w:name="_Toc9375"/>
      <w:bookmarkStart w:id="211" w:name="_Toc20297"/>
      <w:bookmarkStart w:id="212" w:name="_Toc9210"/>
      <w:bookmarkStart w:id="213" w:name="_Toc7354"/>
      <w:bookmarkStart w:id="214" w:name="_Toc21919"/>
      <w:r>
        <w:rPr>
          <w:rFonts w:hint="eastAsia" w:ascii="宋体" w:hAnsi="宋体" w:eastAsia="宋体" w:cs="宋体"/>
          <w:b/>
          <w:color w:val="000000" w:themeColor="text1"/>
          <w:sz w:val="15"/>
          <w:szCs w:val="15"/>
          <w:highlight w:val="none"/>
          <w14:textFill>
            <w14:solidFill>
              <w14:schemeClr w14:val="tx1"/>
            </w14:solidFill>
          </w14:textFill>
        </w:rPr>
        <w:t>16.投标保证金</w:t>
      </w:r>
      <w:bookmarkEnd w:id="206"/>
      <w:bookmarkEnd w:id="207"/>
      <w:bookmarkEnd w:id="208"/>
      <w:bookmarkEnd w:id="209"/>
      <w:bookmarkEnd w:id="210"/>
      <w:bookmarkEnd w:id="211"/>
      <w:bookmarkEnd w:id="212"/>
      <w:bookmarkEnd w:id="213"/>
      <w:bookmarkEnd w:id="214"/>
    </w:p>
    <w:p w14:paraId="4F149F4C">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本项目无需缴纳投标保证金。</w:t>
      </w:r>
    </w:p>
    <w:p w14:paraId="26FF7FE8">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15" w:name="_Toc6809"/>
      <w:bookmarkStart w:id="216" w:name="_Toc30873"/>
      <w:bookmarkStart w:id="217" w:name="_Toc17461"/>
      <w:bookmarkStart w:id="218" w:name="_Toc22059"/>
      <w:bookmarkStart w:id="219" w:name="_Toc995"/>
      <w:bookmarkStart w:id="220" w:name="_Toc19430"/>
      <w:bookmarkStart w:id="221" w:name="_Toc14725"/>
      <w:bookmarkStart w:id="222" w:name="_Toc9895"/>
      <w:bookmarkStart w:id="223" w:name="_Toc4967"/>
      <w:bookmarkStart w:id="224" w:name="_Toc6820"/>
      <w:bookmarkStart w:id="225" w:name="_Toc19052"/>
      <w:bookmarkStart w:id="226" w:name="_Toc24490"/>
      <w:r>
        <w:rPr>
          <w:rFonts w:hint="eastAsia" w:ascii="宋体" w:hAnsi="宋体" w:eastAsia="宋体" w:cs="宋体"/>
          <w:b/>
          <w:color w:val="000000" w:themeColor="text1"/>
          <w:sz w:val="15"/>
          <w:szCs w:val="15"/>
          <w:highlight w:val="none"/>
          <w14:textFill>
            <w14:solidFill>
              <w14:schemeClr w14:val="tx1"/>
            </w14:solidFill>
          </w14:textFill>
        </w:rPr>
        <w:t>17.响应文件的</w:t>
      </w:r>
      <w:bookmarkEnd w:id="215"/>
      <w:bookmarkEnd w:id="216"/>
      <w:bookmarkEnd w:id="217"/>
      <w:r>
        <w:rPr>
          <w:rFonts w:hint="eastAsia" w:ascii="宋体" w:hAnsi="宋体" w:eastAsia="宋体" w:cs="宋体"/>
          <w:b/>
          <w:color w:val="000000" w:themeColor="text1"/>
          <w:sz w:val="15"/>
          <w:szCs w:val="15"/>
          <w:highlight w:val="none"/>
          <w14:textFill>
            <w14:solidFill>
              <w14:schemeClr w14:val="tx1"/>
            </w14:solidFill>
          </w14:textFill>
        </w:rPr>
        <w:t>制作</w:t>
      </w:r>
      <w:bookmarkEnd w:id="218"/>
      <w:bookmarkEnd w:id="219"/>
      <w:bookmarkEnd w:id="220"/>
      <w:bookmarkEnd w:id="221"/>
      <w:bookmarkEnd w:id="222"/>
      <w:bookmarkEnd w:id="223"/>
      <w:bookmarkEnd w:id="224"/>
      <w:bookmarkEnd w:id="225"/>
    </w:p>
    <w:bookmarkEnd w:id="226"/>
    <w:p w14:paraId="52A27E11">
      <w:pPr>
        <w:keepNext w:val="0"/>
        <w:keepLines w:val="0"/>
        <w:pageBreakBefore w:val="0"/>
        <w:kinsoku/>
        <w:wordWrap/>
        <w:overflowPunct/>
        <w:topLinePunct w:val="0"/>
        <w:bidi w:val="0"/>
        <w:spacing w:line="240" w:lineRule="auto"/>
        <w:ind w:firstLine="300" w:firstLineChars="200"/>
        <w:rPr>
          <w:rFonts w:hint="default" w:ascii="宋体" w:hAnsi="宋体" w:eastAsia="宋体" w:cs="宋体"/>
          <w:color w:val="000000" w:themeColor="text1"/>
          <w:sz w:val="15"/>
          <w:szCs w:val="15"/>
          <w:highlight w:val="none"/>
          <w:lang w:val="en-US" w:eastAsia="zh-CN"/>
          <w14:textFill>
            <w14:solidFill>
              <w14:schemeClr w14:val="tx1"/>
            </w14:solidFill>
          </w14:textFill>
        </w:rPr>
      </w:pPr>
      <w:bookmarkStart w:id="227" w:name="_Toc1108"/>
      <w:bookmarkStart w:id="228" w:name="_Toc12348"/>
      <w:bookmarkStart w:id="229" w:name="_Toc15098"/>
      <w:bookmarkStart w:id="230" w:name="_Toc31572"/>
      <w:r>
        <w:rPr>
          <w:rFonts w:hint="eastAsia" w:ascii="宋体" w:hAnsi="宋体" w:eastAsia="宋体" w:cs="宋体"/>
          <w:color w:val="000000" w:themeColor="text1"/>
          <w:sz w:val="15"/>
          <w:szCs w:val="15"/>
          <w:highlight w:val="none"/>
          <w14:textFill>
            <w14:solidFill>
              <w14:schemeClr w14:val="tx1"/>
            </w14:solidFill>
          </w14:textFill>
        </w:rPr>
        <w:t>17.1</w:t>
      </w:r>
      <w:r>
        <w:rPr>
          <w:rFonts w:hint="eastAsia" w:ascii="宋体" w:hAnsi="宋体" w:cs="宋体"/>
          <w:color w:val="000000" w:themeColor="text1"/>
          <w:sz w:val="15"/>
          <w:szCs w:val="15"/>
          <w:highlight w:val="none"/>
          <w:lang w:val="en-US" w:eastAsia="zh-CN"/>
          <w14:textFill>
            <w14:solidFill>
              <w14:schemeClr w14:val="tx1"/>
            </w14:solidFill>
          </w14:textFill>
        </w:rPr>
        <w:t>按响应文件格式要求编制</w:t>
      </w:r>
    </w:p>
    <w:p w14:paraId="4B24ED94">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31" w:name="_Toc7332"/>
      <w:bookmarkStart w:id="232" w:name="_Toc9519"/>
      <w:bookmarkStart w:id="233" w:name="_Toc23220"/>
      <w:bookmarkStart w:id="234" w:name="_Toc17050"/>
      <w:bookmarkStart w:id="235" w:name="_Toc12731"/>
      <w:bookmarkStart w:id="236" w:name="_Toc2478"/>
      <w:bookmarkStart w:id="237" w:name="_Toc6100"/>
      <w:r>
        <w:rPr>
          <w:rFonts w:hint="eastAsia" w:ascii="宋体" w:hAnsi="宋体" w:eastAsia="宋体" w:cs="宋体"/>
          <w:b/>
          <w:color w:val="000000" w:themeColor="text1"/>
          <w:sz w:val="15"/>
          <w:szCs w:val="15"/>
          <w:highlight w:val="none"/>
          <w14:textFill>
            <w14:solidFill>
              <w14:schemeClr w14:val="tx1"/>
            </w14:solidFill>
          </w14:textFill>
        </w:rPr>
        <w:t>18.响应文件的补充、修改和撤回</w:t>
      </w:r>
      <w:bookmarkEnd w:id="227"/>
      <w:bookmarkEnd w:id="228"/>
      <w:bookmarkEnd w:id="229"/>
      <w:bookmarkEnd w:id="231"/>
      <w:bookmarkEnd w:id="232"/>
      <w:bookmarkEnd w:id="233"/>
      <w:bookmarkEnd w:id="234"/>
      <w:bookmarkEnd w:id="235"/>
      <w:bookmarkEnd w:id="236"/>
      <w:bookmarkEnd w:id="237"/>
    </w:p>
    <w:p w14:paraId="5354D5B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18.1</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文件递交截止时间前可以撤回</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color w:val="000000" w:themeColor="text1"/>
          <w:sz w:val="15"/>
          <w:szCs w:val="15"/>
          <w:highlight w:val="none"/>
          <w14:textFill>
            <w14:solidFill>
              <w14:schemeClr w14:val="tx1"/>
            </w14:solidFill>
          </w14:textFill>
        </w:rPr>
        <w:t>。补充或者修改</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color w:val="000000" w:themeColor="text1"/>
          <w:sz w:val="15"/>
          <w:szCs w:val="15"/>
          <w:highlight w:val="none"/>
          <w14:textFill>
            <w14:solidFill>
              <w14:schemeClr w14:val="tx1"/>
            </w14:solidFill>
          </w14:textFill>
        </w:rPr>
        <w:t>的，应当先行撤回原文件，补充、修改后重新递交，</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文件递交截止时间前未完成的，视为撤回</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w:t>
      </w:r>
    </w:p>
    <w:p w14:paraId="1C075FB8">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18.2在</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文件递交截止时间后的</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文件有效期内，供应商不得撤回其</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w:t>
      </w:r>
    </w:p>
    <w:bookmarkEnd w:id="230"/>
    <w:p w14:paraId="3584E67D">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38" w:name="_Toc13713"/>
      <w:bookmarkStart w:id="239" w:name="_Toc11459"/>
      <w:bookmarkStart w:id="240" w:name="_Toc21050"/>
      <w:bookmarkStart w:id="241" w:name="_Toc15145"/>
      <w:bookmarkStart w:id="242" w:name="_Toc16743"/>
      <w:bookmarkStart w:id="243" w:name="_Toc25735"/>
      <w:bookmarkStart w:id="244" w:name="_Toc31942"/>
      <w:bookmarkStart w:id="245" w:name="_Toc25303"/>
      <w:bookmarkStart w:id="246" w:name="_Toc16777"/>
      <w:bookmarkStart w:id="247" w:name="_Toc14058"/>
      <w:r>
        <w:rPr>
          <w:rFonts w:hint="eastAsia" w:ascii="宋体" w:hAnsi="宋体" w:eastAsia="宋体" w:cs="宋体"/>
          <w:b/>
          <w:color w:val="000000" w:themeColor="text1"/>
          <w:sz w:val="15"/>
          <w:szCs w:val="15"/>
          <w:highlight w:val="none"/>
          <w14:textFill>
            <w14:solidFill>
              <w14:schemeClr w14:val="tx1"/>
            </w14:solidFill>
          </w14:textFill>
        </w:rPr>
        <w:t>19.响应文件的递交</w:t>
      </w:r>
      <w:bookmarkEnd w:id="238"/>
      <w:r>
        <w:rPr>
          <w:rFonts w:hint="eastAsia" w:ascii="宋体" w:hAnsi="宋体" w:eastAsia="宋体" w:cs="宋体"/>
          <w:b/>
          <w:color w:val="000000" w:themeColor="text1"/>
          <w:sz w:val="15"/>
          <w:szCs w:val="15"/>
          <w:highlight w:val="none"/>
          <w14:textFill>
            <w14:solidFill>
              <w14:schemeClr w14:val="tx1"/>
            </w14:solidFill>
          </w14:textFill>
        </w:rPr>
        <w:t>和解密</w:t>
      </w:r>
      <w:bookmarkEnd w:id="239"/>
      <w:bookmarkEnd w:id="240"/>
      <w:bookmarkEnd w:id="241"/>
      <w:bookmarkEnd w:id="242"/>
      <w:bookmarkEnd w:id="243"/>
      <w:bookmarkEnd w:id="244"/>
      <w:bookmarkEnd w:id="245"/>
      <w:bookmarkEnd w:id="246"/>
      <w:bookmarkEnd w:id="247"/>
    </w:p>
    <w:p w14:paraId="7395FD8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19.1响应文件递交截止时间：</w:t>
      </w:r>
      <w:r>
        <w:rPr>
          <w:rFonts w:hint="eastAsia" w:ascii="宋体" w:hAnsi="宋体" w:eastAsia="宋体" w:cs="宋体"/>
          <w:bCs/>
          <w:color w:val="000000" w:themeColor="text1"/>
          <w:sz w:val="15"/>
          <w:szCs w:val="15"/>
          <w:highlight w:val="none"/>
          <w14:textFill>
            <w14:solidFill>
              <w14:schemeClr w14:val="tx1"/>
            </w14:solidFill>
          </w14:textFill>
        </w:rPr>
        <w:t>详见《供应商须知前附表》第9条</w:t>
      </w:r>
      <w:r>
        <w:rPr>
          <w:rFonts w:hint="eastAsia" w:ascii="宋体" w:hAnsi="宋体" w:eastAsia="宋体" w:cs="宋体"/>
          <w:color w:val="000000" w:themeColor="text1"/>
          <w:sz w:val="15"/>
          <w:szCs w:val="15"/>
          <w:highlight w:val="none"/>
          <w14:textFill>
            <w14:solidFill>
              <w14:schemeClr w14:val="tx1"/>
            </w14:solidFill>
          </w14:textFill>
        </w:rPr>
        <w:t>。</w:t>
      </w:r>
    </w:p>
    <w:p w14:paraId="1E4B102B">
      <w:pPr>
        <w:keepNext w:val="0"/>
        <w:keepLines w:val="0"/>
        <w:pageBreakBefore w:val="0"/>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19.2响应文件解密时间：</w:t>
      </w:r>
      <w:r>
        <w:rPr>
          <w:rFonts w:hint="eastAsia" w:ascii="宋体" w:hAnsi="宋体" w:eastAsia="宋体" w:cs="宋体"/>
          <w:bCs/>
          <w:color w:val="000000" w:themeColor="text1"/>
          <w:sz w:val="15"/>
          <w:szCs w:val="15"/>
          <w:highlight w:val="none"/>
          <w14:textFill>
            <w14:solidFill>
              <w14:schemeClr w14:val="tx1"/>
            </w14:solidFill>
          </w14:textFill>
        </w:rPr>
        <w:t>详见《供应商须知前附表》第10条。</w:t>
      </w:r>
    </w:p>
    <w:p w14:paraId="68AD235B">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19.3除采购文件另有规定外，供应商所递交的响应文件不予退还。</w:t>
      </w:r>
    </w:p>
    <w:p w14:paraId="4604E582">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19.4</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color w:val="000000" w:themeColor="text1"/>
          <w:sz w:val="15"/>
          <w:szCs w:val="15"/>
          <w:highlight w:val="none"/>
          <w14:textFill>
            <w14:solidFill>
              <w14:schemeClr w14:val="tx1"/>
            </w14:solidFill>
          </w14:textFill>
        </w:rPr>
        <w:t>的相关说明</w:t>
      </w:r>
    </w:p>
    <w:p w14:paraId="720F8465">
      <w:pPr>
        <w:keepNext w:val="0"/>
        <w:keepLines w:val="0"/>
        <w:pageBreakBefore w:val="0"/>
        <w:kinsoku/>
        <w:wordWrap/>
        <w:overflowPunct/>
        <w:topLinePunct w:val="0"/>
        <w:bidi w:val="0"/>
        <w:spacing w:line="240" w:lineRule="auto"/>
        <w:ind w:firstLine="300" w:firstLineChars="200"/>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w:t>
      </w:r>
      <w:r>
        <w:rPr>
          <w:rFonts w:hint="eastAsia" w:ascii="宋体" w:hAnsi="宋体" w:cs="宋体"/>
          <w:color w:val="000000" w:themeColor="text1"/>
          <w:sz w:val="15"/>
          <w:szCs w:val="15"/>
          <w:highlight w:val="none"/>
          <w:lang w:val="en-US" w:eastAsia="zh-CN"/>
          <w14:textFill>
            <w14:solidFill>
              <w14:schemeClr w14:val="tx1"/>
            </w14:solidFill>
          </w14:textFill>
        </w:rPr>
        <w:t>见磋商公告第七条</w:t>
      </w:r>
    </w:p>
    <w:p w14:paraId="1E493A1C">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（2）如有特殊情况，</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延长截止时间和开标时间，</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和供应商的权利和义务将受到新的截止时间和开标时间的约束。</w:t>
      </w:r>
    </w:p>
    <w:p w14:paraId="33675CD4">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248" w:name="_Toc11101"/>
      <w:bookmarkStart w:id="249" w:name="_Toc307"/>
      <w:bookmarkStart w:id="250" w:name="_Toc1327"/>
      <w:bookmarkStart w:id="251" w:name="_Toc495841757"/>
      <w:bookmarkStart w:id="252" w:name="_Toc9336"/>
      <w:bookmarkStart w:id="253" w:name="_Toc15422"/>
      <w:bookmarkStart w:id="254" w:name="_Toc16916"/>
      <w:bookmarkStart w:id="255" w:name="_Toc27866"/>
      <w:bookmarkStart w:id="256" w:name="_Toc15658"/>
      <w:bookmarkStart w:id="257" w:name="_Toc28414"/>
      <w:r>
        <w:rPr>
          <w:rFonts w:hint="eastAsia" w:ascii="宋体" w:hAnsi="宋体" w:eastAsia="宋体" w:cs="宋体"/>
          <w:b/>
          <w:color w:val="000000" w:themeColor="text1"/>
          <w:sz w:val="15"/>
          <w:szCs w:val="15"/>
          <w:highlight w:val="none"/>
          <w14:textFill>
            <w14:solidFill>
              <w14:schemeClr w14:val="tx1"/>
            </w14:solidFill>
          </w14:textFill>
        </w:rPr>
        <w:t>四、开标</w:t>
      </w:r>
      <w:bookmarkEnd w:id="248"/>
      <w:bookmarkEnd w:id="249"/>
      <w:bookmarkEnd w:id="250"/>
      <w:bookmarkEnd w:id="251"/>
      <w:bookmarkEnd w:id="252"/>
      <w:bookmarkEnd w:id="253"/>
      <w:bookmarkEnd w:id="254"/>
      <w:bookmarkEnd w:id="255"/>
      <w:bookmarkEnd w:id="256"/>
      <w:bookmarkEnd w:id="257"/>
    </w:p>
    <w:p w14:paraId="0C0C1F44">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58" w:name="_Toc25198"/>
      <w:bookmarkStart w:id="259" w:name="_Toc17568"/>
      <w:bookmarkStart w:id="260" w:name="_Toc29865"/>
      <w:bookmarkStart w:id="261" w:name="_Toc17073"/>
      <w:bookmarkStart w:id="262" w:name="_Toc19384"/>
      <w:bookmarkStart w:id="263" w:name="_Toc9558"/>
      <w:bookmarkStart w:id="264" w:name="_Toc18990"/>
      <w:bookmarkStart w:id="265" w:name="_Toc26511"/>
      <w:bookmarkStart w:id="266" w:name="_Toc17938"/>
      <w:bookmarkStart w:id="267" w:name="_Toc5291"/>
      <w:bookmarkStart w:id="268" w:name="_Toc12561"/>
      <w:bookmarkStart w:id="269" w:name="_Toc13013"/>
      <w:bookmarkStart w:id="270" w:name="_Toc495841758"/>
      <w:r>
        <w:rPr>
          <w:rFonts w:hint="eastAsia" w:ascii="宋体" w:hAnsi="宋体" w:eastAsia="宋体" w:cs="宋体"/>
          <w:b/>
          <w:color w:val="000000" w:themeColor="text1"/>
          <w:sz w:val="15"/>
          <w:szCs w:val="15"/>
          <w:highlight w:val="none"/>
          <w14:textFill>
            <w14:solidFill>
              <w14:schemeClr w14:val="tx1"/>
            </w14:solidFill>
          </w14:textFill>
        </w:rPr>
        <w:t>20.开标时间及地点</w:t>
      </w:r>
      <w:bookmarkEnd w:id="258"/>
      <w:bookmarkEnd w:id="259"/>
      <w:bookmarkEnd w:id="260"/>
      <w:bookmarkEnd w:id="261"/>
      <w:bookmarkEnd w:id="262"/>
      <w:bookmarkEnd w:id="263"/>
      <w:bookmarkEnd w:id="264"/>
      <w:bookmarkEnd w:id="265"/>
      <w:bookmarkEnd w:id="266"/>
      <w:bookmarkEnd w:id="267"/>
      <w:bookmarkEnd w:id="268"/>
    </w:p>
    <w:p w14:paraId="4456C00A">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20.1开标时间及地点：</w:t>
      </w:r>
    </w:p>
    <w:p w14:paraId="581CF8E1">
      <w:pPr>
        <w:keepNext w:val="0"/>
        <w:keepLines w:val="0"/>
        <w:pageBreakBefore w:val="0"/>
        <w:kinsoku/>
        <w:wordWrap/>
        <w:overflowPunct/>
        <w:topLinePunct w:val="0"/>
        <w:bidi w:val="0"/>
        <w:spacing w:line="240" w:lineRule="auto"/>
        <w:ind w:firstLine="450" w:firstLineChars="3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开标时间：详见《供应商须知前附表》。</w:t>
      </w:r>
    </w:p>
    <w:p w14:paraId="1C1674C2">
      <w:pPr>
        <w:keepNext w:val="0"/>
        <w:keepLines w:val="0"/>
        <w:pageBreakBefore w:val="0"/>
        <w:kinsoku/>
        <w:wordWrap/>
        <w:overflowPunct/>
        <w:topLinePunct w:val="0"/>
        <w:bidi w:val="0"/>
        <w:spacing w:line="240" w:lineRule="auto"/>
        <w:ind w:firstLine="450" w:firstLineChars="300"/>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地点：</w:t>
      </w:r>
      <w:r>
        <w:rPr>
          <w:rFonts w:hint="eastAsia" w:ascii="宋体" w:hAnsi="宋体" w:cs="宋体"/>
          <w:color w:val="000000" w:themeColor="text1"/>
          <w:sz w:val="15"/>
          <w:szCs w:val="15"/>
          <w:highlight w:val="none"/>
          <w:shd w:val="clear" w:color="auto" w:fill="FFFFFF"/>
          <w:lang w:val="en-US" w:eastAsia="zh-CN"/>
          <w14:textFill>
            <w14:solidFill>
              <w14:schemeClr w14:val="tx1"/>
            </w14:solidFill>
          </w14:textFill>
        </w:rPr>
        <w:t>采购人指定地点</w:t>
      </w:r>
    </w:p>
    <w:p w14:paraId="44AEDF44">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20.2供应商不足3家的，不得开标，采购人或者</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应当重新组织采购。</w:t>
      </w:r>
    </w:p>
    <w:p w14:paraId="56DCE1A9">
      <w:pPr>
        <w:keepNext w:val="0"/>
        <w:keepLines w:val="0"/>
        <w:pageBreakBefore w:val="0"/>
        <w:kinsoku/>
        <w:wordWrap/>
        <w:overflowPunct/>
        <w:topLinePunct w:val="0"/>
        <w:bidi w:val="0"/>
        <w:spacing w:line="240" w:lineRule="auto"/>
        <w:rPr>
          <w:rFonts w:hint="eastAsia" w:ascii="宋体" w:hAnsi="宋体" w:eastAsia="宋体" w:cs="宋体"/>
          <w:b/>
          <w:bCs/>
          <w:color w:val="000000" w:themeColor="text1"/>
          <w:sz w:val="15"/>
          <w:szCs w:val="15"/>
          <w:highlight w:val="none"/>
          <w14:textFill>
            <w14:solidFill>
              <w14:schemeClr w14:val="tx1"/>
            </w14:solidFill>
          </w14:textFill>
        </w:rPr>
      </w:pPr>
      <w:bookmarkStart w:id="271" w:name="_Toc8462"/>
      <w:bookmarkStart w:id="272" w:name="_Toc11217"/>
      <w:bookmarkStart w:id="273" w:name="_Toc15515"/>
      <w:r>
        <w:rPr>
          <w:rFonts w:hint="eastAsia" w:ascii="宋体" w:hAnsi="宋体" w:eastAsia="宋体" w:cs="宋体"/>
          <w:b/>
          <w:bCs/>
          <w:color w:val="000000" w:themeColor="text1"/>
          <w:sz w:val="15"/>
          <w:szCs w:val="15"/>
          <w:highlight w:val="none"/>
          <w14:textFill>
            <w14:solidFill>
              <w14:schemeClr w14:val="tx1"/>
            </w14:solidFill>
          </w14:textFill>
        </w:rPr>
        <w:t>21.开标程序</w:t>
      </w:r>
      <w:bookmarkEnd w:id="271"/>
      <w:bookmarkEnd w:id="272"/>
      <w:bookmarkEnd w:id="273"/>
    </w:p>
    <w:p w14:paraId="65DA7C94">
      <w:pPr>
        <w:keepNext w:val="0"/>
        <w:keepLines w:val="0"/>
        <w:pageBreakBefore w:val="0"/>
        <w:kinsoku/>
        <w:wordWrap/>
        <w:overflowPunct/>
        <w:topLinePunct w:val="0"/>
        <w:bidi w:val="0"/>
        <w:spacing w:line="240" w:lineRule="auto"/>
        <w:ind w:firstLine="301"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21.1开标准备</w:t>
      </w:r>
    </w:p>
    <w:p w14:paraId="7F6B509D">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21.1.1.开标的准备工作由</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负责落实；</w:t>
      </w:r>
    </w:p>
    <w:p w14:paraId="6FF34F2B">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21.1.2.</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将按照竞争性磋商规定的时间组织开标、开启响应文件，所有供应商均应当准时参加。供应商如不参加开标会的，视同认可开标结果，事后不得对采购相关人员、开标过程和开标结果提出异议，一切后果由供应商自己承担。</w:t>
      </w:r>
    </w:p>
    <w:p w14:paraId="42F8BE0A">
      <w:pPr>
        <w:keepNext w:val="0"/>
        <w:keepLines w:val="0"/>
        <w:pageBreakBefore w:val="0"/>
        <w:kinsoku/>
        <w:wordWrap/>
        <w:overflowPunct/>
        <w:topLinePunct w:val="0"/>
        <w:bidi w:val="0"/>
        <w:spacing w:line="240" w:lineRule="auto"/>
        <w:ind w:firstLine="301"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22.1开标程序</w:t>
      </w:r>
    </w:p>
    <w:p w14:paraId="6C21798F">
      <w:pPr>
        <w:keepNext w:val="0"/>
        <w:keepLines w:val="0"/>
        <w:pageBreakBefore w:val="0"/>
        <w:kinsoku/>
        <w:wordWrap/>
        <w:overflowPunct/>
        <w:topLinePunct w:val="0"/>
        <w:bidi w:val="0"/>
        <w:spacing w:line="240" w:lineRule="auto"/>
        <w:ind w:firstLine="300"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由采购人按竞争性磋商程序进行开标</w:t>
      </w:r>
      <w:r>
        <w:rPr>
          <w:rFonts w:hint="eastAsia" w:ascii="宋体" w:hAnsi="宋体" w:eastAsia="宋体" w:cs="宋体"/>
          <w:b/>
          <w:bCs/>
          <w:color w:val="000000" w:themeColor="text1"/>
          <w:sz w:val="15"/>
          <w:szCs w:val="15"/>
          <w:highlight w:val="none"/>
          <w14:textFill>
            <w14:solidFill>
              <w14:schemeClr w14:val="tx1"/>
            </w14:solidFill>
          </w14:textFill>
        </w:rPr>
        <w:t>。</w:t>
      </w:r>
    </w:p>
    <w:p w14:paraId="15E86C26">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274" w:name="_Toc27381"/>
      <w:bookmarkStart w:id="275" w:name="_Toc1563"/>
      <w:bookmarkStart w:id="276" w:name="_Toc30016"/>
      <w:bookmarkStart w:id="277" w:name="_Toc19671"/>
      <w:bookmarkStart w:id="278" w:name="_Toc31385"/>
      <w:bookmarkStart w:id="279" w:name="_Toc19819"/>
      <w:bookmarkStart w:id="280" w:name="_Toc30458"/>
      <w:bookmarkStart w:id="281" w:name="_Toc21248"/>
      <w:r>
        <w:rPr>
          <w:rFonts w:hint="eastAsia" w:ascii="宋体" w:hAnsi="宋体" w:eastAsia="宋体" w:cs="宋体"/>
          <w:b/>
          <w:color w:val="000000" w:themeColor="text1"/>
          <w:sz w:val="15"/>
          <w:szCs w:val="15"/>
          <w:highlight w:val="none"/>
          <w14:textFill>
            <w14:solidFill>
              <w14:schemeClr w14:val="tx1"/>
            </w14:solidFill>
          </w14:textFill>
        </w:rPr>
        <w:t>五、</w:t>
      </w:r>
      <w:bookmarkEnd w:id="269"/>
      <w:bookmarkEnd w:id="270"/>
      <w:bookmarkEnd w:id="274"/>
      <w:bookmarkEnd w:id="275"/>
      <w:bookmarkEnd w:id="276"/>
      <w:bookmarkEnd w:id="277"/>
      <w:bookmarkEnd w:id="278"/>
      <w:bookmarkEnd w:id="279"/>
      <w:bookmarkEnd w:id="280"/>
      <w:bookmarkEnd w:id="281"/>
      <w:bookmarkStart w:id="282" w:name="_Toc31543"/>
      <w:bookmarkStart w:id="283" w:name="_Toc495841760"/>
      <w:r>
        <w:rPr>
          <w:rFonts w:hint="eastAsia" w:ascii="宋体" w:hAnsi="宋体" w:eastAsia="宋体" w:cs="宋体"/>
          <w:b/>
          <w:color w:val="000000" w:themeColor="text1"/>
          <w:sz w:val="15"/>
          <w:szCs w:val="15"/>
          <w:highlight w:val="none"/>
          <w14:textFill>
            <w14:solidFill>
              <w14:schemeClr w14:val="tx1"/>
            </w14:solidFill>
          </w14:textFill>
        </w:rPr>
        <w:t>竞争性磋商（简称磋商）与评审</w:t>
      </w:r>
    </w:p>
    <w:p w14:paraId="67747630">
      <w:pPr>
        <w:keepNext w:val="0"/>
        <w:keepLines w:val="0"/>
        <w:pageBreakBefore w:val="0"/>
        <w:tabs>
          <w:tab w:val="center" w:pos="4411"/>
          <w:tab w:val="left" w:pos="5475"/>
        </w:tabs>
        <w:kinsoku/>
        <w:wordWrap/>
        <w:overflowPunct/>
        <w:topLinePunct w:val="0"/>
        <w:bidi w:val="0"/>
        <w:spacing w:line="240" w:lineRule="auto"/>
        <w:jc w:val="left"/>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23.磋商小组组成及磋商时间、地点、人员</w:t>
      </w:r>
    </w:p>
    <w:p w14:paraId="40D24CDB">
      <w:pPr>
        <w:keepNext w:val="0"/>
        <w:keepLines w:val="0"/>
        <w:pageBreakBefore w:val="0"/>
        <w:kinsoku/>
        <w:wordWrap/>
        <w:overflowPunct/>
        <w:topLinePunct w:val="0"/>
        <w:bidi w:val="0"/>
        <w:spacing w:line="240" w:lineRule="auto"/>
        <w:ind w:firstLine="435"/>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23.1磋商小组组成：</w:t>
      </w:r>
    </w:p>
    <w:p w14:paraId="51A8BBA8">
      <w:pPr>
        <w:keepNext w:val="0"/>
        <w:keepLines w:val="0"/>
        <w:pageBreakBefore w:val="0"/>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磋商及评审工作由</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负责组织，具体磋商、评审工作由依法组建的磋商小组负责，磋商小组由采购人有关方面的专家组成。磋商小组的构成：</w:t>
      </w:r>
      <w:r>
        <w:rPr>
          <w:rFonts w:hint="eastAsia" w:ascii="宋体" w:hAnsi="宋体" w:eastAsia="宋体" w:cs="宋体"/>
          <w:color w:val="000000" w:themeColor="text1"/>
          <w:sz w:val="15"/>
          <w:szCs w:val="15"/>
          <w:highlight w:val="none"/>
          <w:u w:val="single"/>
          <w14:textFill>
            <w14:solidFill>
              <w14:schemeClr w14:val="tx1"/>
            </w14:solidFill>
          </w14:textFill>
        </w:rPr>
        <w:t>3</w:t>
      </w:r>
      <w:r>
        <w:rPr>
          <w:rFonts w:hint="eastAsia" w:ascii="宋体" w:hAnsi="宋体" w:eastAsia="宋体" w:cs="宋体"/>
          <w:color w:val="000000" w:themeColor="text1"/>
          <w:sz w:val="15"/>
          <w:szCs w:val="15"/>
          <w:highlight w:val="none"/>
          <w14:textFill>
            <w14:solidFill>
              <w14:schemeClr w14:val="tx1"/>
            </w14:solidFill>
          </w14:textFill>
        </w:rPr>
        <w:t>人</w:t>
      </w:r>
      <w:r>
        <w:rPr>
          <w:rFonts w:hint="eastAsia" w:ascii="宋体" w:hAnsi="宋体" w:cs="宋体"/>
          <w:color w:val="000000" w:themeColor="text1"/>
          <w:sz w:val="15"/>
          <w:szCs w:val="15"/>
          <w:highlight w:val="none"/>
          <w:lang w:val="en-US" w:eastAsia="zh-CN"/>
          <w14:textFill>
            <w14:solidFill>
              <w14:schemeClr w14:val="tx1"/>
            </w14:solidFill>
          </w14:textFill>
        </w:rPr>
        <w:t>或以上单数</w:t>
      </w:r>
      <w:r>
        <w:rPr>
          <w:rFonts w:hint="eastAsia" w:ascii="宋体" w:hAnsi="宋体" w:eastAsia="宋体" w:cs="宋体"/>
          <w:color w:val="000000" w:themeColor="text1"/>
          <w:sz w:val="15"/>
          <w:szCs w:val="15"/>
          <w:highlight w:val="none"/>
          <w14:textFill>
            <w14:solidFill>
              <w14:schemeClr w14:val="tx1"/>
            </w14:solidFill>
          </w14:textFill>
        </w:rPr>
        <w:t>，专家确定方式：</w:t>
      </w:r>
      <w:r>
        <w:rPr>
          <w:rFonts w:hint="eastAsia" w:ascii="宋体" w:hAnsi="宋体" w:eastAsia="宋体" w:cs="宋体"/>
          <w:color w:val="000000" w:themeColor="text1"/>
          <w:sz w:val="15"/>
          <w:szCs w:val="15"/>
          <w:highlight w:val="none"/>
          <w:u w:val="single"/>
          <w14:textFill>
            <w14:solidFill>
              <w14:schemeClr w14:val="tx1"/>
            </w14:solidFill>
          </w14:textFill>
        </w:rPr>
        <w:t>由</w:t>
      </w:r>
      <w:r>
        <w:rPr>
          <w:rFonts w:hint="eastAsia" w:ascii="宋体" w:hAnsi="宋体" w:cs="宋体"/>
          <w:color w:val="000000" w:themeColor="text1"/>
          <w:sz w:val="15"/>
          <w:szCs w:val="15"/>
          <w:highlight w:val="none"/>
          <w:u w:val="single"/>
          <w:lang w:eastAsia="zh-CN"/>
          <w14:textFill>
            <w14:solidFill>
              <w14:schemeClr w14:val="tx1"/>
            </w14:solidFill>
          </w14:textFill>
        </w:rPr>
        <w:t>采购人</w:t>
      </w:r>
      <w:r>
        <w:rPr>
          <w:rFonts w:hint="eastAsia" w:ascii="宋体" w:hAnsi="宋体" w:eastAsia="宋体" w:cs="宋体"/>
          <w:color w:val="000000" w:themeColor="text1"/>
          <w:sz w:val="15"/>
          <w:szCs w:val="15"/>
          <w:highlight w:val="none"/>
          <w:u w:val="single"/>
          <w14:textFill>
            <w14:solidFill>
              <w14:schemeClr w14:val="tx1"/>
            </w14:solidFill>
          </w14:textFill>
        </w:rPr>
        <w:t>从</w:t>
      </w:r>
      <w:r>
        <w:rPr>
          <w:rFonts w:hint="eastAsia" w:ascii="宋体" w:hAnsi="宋体" w:cs="宋体"/>
          <w:color w:val="000000" w:themeColor="text1"/>
          <w:sz w:val="15"/>
          <w:szCs w:val="15"/>
          <w:highlight w:val="none"/>
          <w:u w:val="single"/>
          <w:lang w:val="en-US" w:eastAsia="zh-CN"/>
          <w14:textFill>
            <w14:solidFill>
              <w14:schemeClr w14:val="tx1"/>
            </w14:solidFill>
          </w14:textFill>
        </w:rPr>
        <w:t>院内评审</w:t>
      </w:r>
      <w:r>
        <w:rPr>
          <w:rFonts w:hint="eastAsia" w:ascii="宋体" w:hAnsi="宋体" w:eastAsia="宋体" w:cs="宋体"/>
          <w:color w:val="000000" w:themeColor="text1"/>
          <w:sz w:val="15"/>
          <w:szCs w:val="15"/>
          <w:highlight w:val="none"/>
          <w:u w:val="single"/>
          <w14:textFill>
            <w14:solidFill>
              <w14:schemeClr w14:val="tx1"/>
            </w14:solidFill>
          </w14:textFill>
        </w:rPr>
        <w:t>专家库中通过电脑随机抽取</w:t>
      </w:r>
      <w:r>
        <w:rPr>
          <w:rFonts w:hint="eastAsia" w:ascii="宋体" w:hAnsi="宋体" w:eastAsia="宋体" w:cs="宋体"/>
          <w:color w:val="000000" w:themeColor="text1"/>
          <w:sz w:val="15"/>
          <w:szCs w:val="15"/>
          <w:highlight w:val="none"/>
          <w14:textFill>
            <w14:solidFill>
              <w14:schemeClr w14:val="tx1"/>
            </w14:solidFill>
          </w14:textFill>
        </w:rPr>
        <w:t>。</w:t>
      </w:r>
    </w:p>
    <w:p w14:paraId="392BB84A">
      <w:pPr>
        <w:keepNext w:val="0"/>
        <w:keepLines w:val="0"/>
        <w:pageBreakBefore w:val="0"/>
        <w:tabs>
          <w:tab w:val="left" w:pos="1140"/>
        </w:tabs>
        <w:kinsoku/>
        <w:wordWrap/>
        <w:overflowPunct/>
        <w:topLinePunct w:val="0"/>
        <w:bidi w:val="0"/>
        <w:spacing w:line="240" w:lineRule="auto"/>
        <w:ind w:firstLine="301"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23.2磋商时间、地点、人员：</w:t>
      </w:r>
    </w:p>
    <w:p w14:paraId="2CC37D3F">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23.2.1磋商时间：响应文件递交截止时间后。</w:t>
      </w:r>
    </w:p>
    <w:p w14:paraId="43273E86">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23.2.2磋商地点：详见供应商须知前附表。</w:t>
      </w:r>
    </w:p>
    <w:p w14:paraId="39B7B678">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23.2.3磋商参加人员：详见供应商须知前附表</w:t>
      </w:r>
      <w:r>
        <w:rPr>
          <w:rFonts w:hint="eastAsia" w:ascii="宋体" w:hAnsi="宋体" w:eastAsia="宋体" w:cs="宋体"/>
          <w:b/>
          <w:color w:val="000000" w:themeColor="text1"/>
          <w:sz w:val="15"/>
          <w:szCs w:val="15"/>
          <w:highlight w:val="none"/>
          <w14:textFill>
            <w14:solidFill>
              <w14:schemeClr w14:val="tx1"/>
            </w14:solidFill>
          </w14:textFill>
        </w:rPr>
        <w:t>。</w:t>
      </w:r>
    </w:p>
    <w:p w14:paraId="59DFCB4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position w:val="-2"/>
          <w:sz w:val="15"/>
          <w:szCs w:val="15"/>
          <w:highlight w:val="none"/>
          <w14:textFill>
            <w14:solidFill>
              <w14:schemeClr w14:val="tx1"/>
            </w14:solidFill>
          </w14:textFill>
        </w:rPr>
        <w:t>23.2.4</w:t>
      </w:r>
      <w:r>
        <w:rPr>
          <w:rFonts w:hint="eastAsia" w:ascii="宋体" w:hAnsi="宋体" w:eastAsia="宋体" w:cs="宋体"/>
          <w:bCs/>
          <w:color w:val="000000" w:themeColor="text1"/>
          <w:sz w:val="15"/>
          <w:szCs w:val="15"/>
          <w:highlight w:val="none"/>
          <w14:textFill>
            <w14:solidFill>
              <w14:schemeClr w14:val="tx1"/>
            </w14:solidFill>
          </w14:textFill>
        </w:rPr>
        <w:t>响应文件递交截止时间后，由磋商小组在评标室内开启响应文件。</w:t>
      </w:r>
    </w:p>
    <w:p w14:paraId="1EE346B9">
      <w:pPr>
        <w:keepNext w:val="0"/>
        <w:keepLines w:val="0"/>
        <w:pageBreakBefore w:val="0"/>
        <w:tabs>
          <w:tab w:val="left" w:pos="1140"/>
        </w:tabs>
        <w:kinsoku/>
        <w:wordWrap/>
        <w:overflowPunct/>
        <w:topLinePunct w:val="0"/>
        <w:bidi w:val="0"/>
        <w:spacing w:line="240" w:lineRule="auto"/>
        <w:ind w:left="59" w:hanging="42" w:hangingChars="28"/>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24.评审原则和评审办法</w:t>
      </w:r>
    </w:p>
    <w:p w14:paraId="4C8F123A">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24.1磋商小组必须坚持公平、公正、科学和择优的原则。</w:t>
      </w:r>
    </w:p>
    <w:p w14:paraId="0D12D85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24.2评审办法：具体详见第</w:t>
      </w:r>
      <w:r>
        <w:rPr>
          <w:rFonts w:hint="eastAsia" w:ascii="宋体" w:hAnsi="宋体" w:cs="宋体"/>
          <w:color w:val="000000" w:themeColor="text1"/>
          <w:sz w:val="15"/>
          <w:szCs w:val="15"/>
          <w:highlight w:val="none"/>
          <w:lang w:val="en-US" w:eastAsia="zh-CN"/>
          <w14:textFill>
            <w14:solidFill>
              <w14:schemeClr w14:val="tx1"/>
            </w14:solidFill>
          </w14:textFill>
        </w:rPr>
        <w:t>四</w:t>
      </w:r>
      <w:r>
        <w:rPr>
          <w:rFonts w:hint="eastAsia" w:ascii="宋体" w:hAnsi="宋体" w:eastAsia="宋体" w:cs="宋体"/>
          <w:color w:val="000000" w:themeColor="text1"/>
          <w:sz w:val="15"/>
          <w:szCs w:val="15"/>
          <w:highlight w:val="none"/>
          <w14:textFill>
            <w14:solidFill>
              <w14:schemeClr w14:val="tx1"/>
            </w14:solidFill>
          </w14:textFill>
        </w:rPr>
        <w:t>章评审办法。</w:t>
      </w:r>
    </w:p>
    <w:p w14:paraId="4868B543">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24.3磋商小组应按磋商文件进行评审，不得擅自更改评审办法。</w:t>
      </w:r>
    </w:p>
    <w:p w14:paraId="783E45F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24.4在评审过程中，磋商小组任何人不得对某个供应商发表任何倾向性意见，不得向其他磋商小组成员明示或者暗示自己的评审意见。</w:t>
      </w:r>
    </w:p>
    <w:p w14:paraId="7C89F29D">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24.5磋商小组成员对需要共同认定的事项存在争议的，按照少数服从多数的原则作出结论。持不同意见的磋商小组成员应当在评审报告上签署不同意见并说明理由，否则视为同意。</w:t>
      </w:r>
    </w:p>
    <w:p w14:paraId="619AE730">
      <w:pPr>
        <w:keepNext w:val="0"/>
        <w:keepLines w:val="0"/>
        <w:pageBreakBefore w:val="0"/>
        <w:tabs>
          <w:tab w:val="left" w:pos="1140"/>
        </w:tabs>
        <w:kinsoku/>
        <w:wordWrap/>
        <w:overflowPunct/>
        <w:topLinePunct w:val="0"/>
        <w:bidi w:val="0"/>
        <w:spacing w:line="240" w:lineRule="auto"/>
        <w:ind w:left="59" w:hanging="42" w:hangingChars="28"/>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25.评审程序及磋商要求</w:t>
      </w:r>
    </w:p>
    <w:p w14:paraId="2E7383E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核实磋商小组成员身份，告知回避要求，宣布评审工作纪律和程序，统一保管通讯工具或相关设备，推选磋商小组组长。</w:t>
      </w:r>
    </w:p>
    <w:p w14:paraId="693959B8">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25.2磋商小组应当对发布公告的竞争性磋商文件（简称磋商文件）进行确认，审查供应商的响应文件并作出评价；要求供应商解释或者澄清其响应文件；编写评审报告；告知</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在评审过程中发现的供应商的违法违规行为。</w:t>
      </w:r>
    </w:p>
    <w:p w14:paraId="3380EA4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25.3磋商小组依据法律法规和竞争性磋商文件的规定，首先对响应文件中的资格证明等进行资格性审查，以确定供应商是否具备本项目供应商资格；</w:t>
      </w:r>
    </w:p>
    <w:p w14:paraId="29AB85C3">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eastAsia="宋体" w:cs="宋体"/>
          <w:b/>
          <w:bCs/>
          <w:color w:val="000000" w:themeColor="text1"/>
          <w:kern w:val="0"/>
          <w:sz w:val="15"/>
          <w:szCs w:val="15"/>
          <w:highlight w:val="none"/>
          <w14:textFill>
            <w14:solidFill>
              <w14:schemeClr w14:val="tx1"/>
            </w14:solidFill>
          </w14:textFill>
        </w:rPr>
        <w:t>在进行资格性审查时，磋商小组将进入《国家企业信用信息公示系统》对企业股东及出资等信息进行查询，对存在《中华人民共和国政府采购法实施条例》第十八条第一款情形的，其响应文件将被视为无效文件。</w:t>
      </w:r>
    </w:p>
    <w:p w14:paraId="2536894E">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eastAsia="宋体" w:cs="宋体"/>
          <w:b/>
          <w:bCs/>
          <w:color w:val="000000" w:themeColor="text1"/>
          <w:kern w:val="0"/>
          <w:sz w:val="15"/>
          <w:szCs w:val="15"/>
          <w:highlight w:val="none"/>
          <w14:textFill>
            <w14:solidFill>
              <w14:schemeClr w14:val="tx1"/>
            </w14:solidFill>
          </w14:textFill>
        </w:rPr>
        <w:t>审查流程</w:t>
      </w:r>
    </w:p>
    <w:p w14:paraId="1DEC8050">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1.</w:t>
      </w:r>
      <w:r>
        <w:rPr>
          <w:rFonts w:hint="eastAsia" w:ascii="宋体" w:hAnsi="宋体" w:eastAsia="宋体" w:cs="宋体"/>
          <w:b/>
          <w:bCs/>
          <w:color w:val="000000" w:themeColor="text1"/>
          <w:kern w:val="0"/>
          <w:sz w:val="15"/>
          <w:szCs w:val="15"/>
          <w:highlight w:val="none"/>
          <w14:textFill>
            <w14:solidFill>
              <w14:schemeClr w14:val="tx1"/>
            </w14:solidFill>
          </w14:textFill>
        </w:rPr>
        <w:t>进入《国家企业信用信息公示系统》（网址：http://www.gsxt.gov.cn/index.html），输入企业名称，进入企业信息主页面。</w:t>
      </w:r>
    </w:p>
    <w:p w14:paraId="33ACF811">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2.</w:t>
      </w:r>
      <w:r>
        <w:rPr>
          <w:rFonts w:hint="eastAsia" w:ascii="宋体" w:hAnsi="宋体" w:eastAsia="宋体" w:cs="宋体"/>
          <w:b/>
          <w:bCs/>
          <w:color w:val="000000" w:themeColor="text1"/>
          <w:kern w:val="0"/>
          <w:sz w:val="15"/>
          <w:szCs w:val="15"/>
          <w:highlight w:val="none"/>
          <w14:textFill>
            <w14:solidFill>
              <w14:schemeClr w14:val="tx1"/>
            </w14:solidFill>
          </w14:textFill>
        </w:rPr>
        <w:t>查看主页“股东及出资信息”栏，或年报中的“股东及出资信息”栏信息。</w:t>
      </w:r>
    </w:p>
    <w:p w14:paraId="42A19726">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3.</w:t>
      </w:r>
      <w:r>
        <w:rPr>
          <w:rFonts w:hint="eastAsia" w:ascii="宋体" w:hAnsi="宋体" w:eastAsia="宋体" w:cs="宋体"/>
          <w:b/>
          <w:bCs/>
          <w:color w:val="000000" w:themeColor="text1"/>
          <w:kern w:val="0"/>
          <w:sz w:val="15"/>
          <w:szCs w:val="15"/>
          <w:highlight w:val="none"/>
          <w14:textFill>
            <w14:solidFill>
              <w14:schemeClr w14:val="tx1"/>
            </w14:solidFill>
          </w14:textFill>
        </w:rPr>
        <w:t>将各供应商的股东及出资信息进行比对，如发现存在单位负责人为同一人或者存在直接控股、管理关系的不同供应商参加同一合同项下的政府采购活动，按无效处理。</w:t>
      </w:r>
    </w:p>
    <w:p w14:paraId="3CD2683F">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4.</w:t>
      </w:r>
      <w:r>
        <w:rPr>
          <w:rFonts w:hint="eastAsia" w:ascii="宋体" w:hAnsi="宋体" w:eastAsia="宋体" w:cs="宋体"/>
          <w:b/>
          <w:bCs/>
          <w:color w:val="000000" w:themeColor="text1"/>
          <w:kern w:val="0"/>
          <w:sz w:val="15"/>
          <w:szCs w:val="15"/>
          <w:highlight w:val="none"/>
          <w14:textFill>
            <w14:solidFill>
              <w14:schemeClr w14:val="tx1"/>
            </w14:solidFill>
          </w14:textFill>
        </w:rPr>
        <w:t>将相关资料打印存档。</w:t>
      </w:r>
    </w:p>
    <w:p w14:paraId="76168A8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再对通过资格性审查的供应商响应文件的有效性、完整性和对磋商文件的响应程度进行符合性审查，以确定是否对磋商文件的实质性要求做出响应。</w:t>
      </w:r>
    </w:p>
    <w:p w14:paraId="5F8EBF90">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25.4磋商小组如发现供应商提供采购需求要求的证明文件不齐全或不符合规定格式的，应一次性告知供应商，供应商应在规定的时间内当场补正或更正。</w:t>
      </w:r>
    </w:p>
    <w:p w14:paraId="1C65119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负责人或相应的授权委托代表签字或者加盖供应商公章。</w:t>
      </w:r>
    </w:p>
    <w:p w14:paraId="7559A3CB">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根据磋商文件规定的程序、评定成交的标准等事项与实质性响应竞争性磋商文件要求的供应商进行磋商。未实质性响应磋商文件</w:t>
      </w:r>
      <w:r>
        <w:rPr>
          <w:rFonts w:hint="eastAsia" w:ascii="宋体" w:hAnsi="宋体" w:cs="宋体"/>
          <w:color w:val="000000" w:themeColor="text1"/>
          <w:sz w:val="15"/>
          <w:szCs w:val="15"/>
          <w:highlight w:val="none"/>
          <w:lang w:val="en-US" w:eastAsia="zh-CN"/>
          <w14:textFill>
            <w14:solidFill>
              <w14:schemeClr w14:val="tx1"/>
            </w14:solidFill>
          </w14:textFill>
        </w:rPr>
        <w:t>或未按规定格式要求编制</w:t>
      </w:r>
      <w:r>
        <w:rPr>
          <w:rFonts w:hint="eastAsia" w:ascii="宋体" w:hAnsi="宋体" w:eastAsia="宋体" w:cs="宋体"/>
          <w:color w:val="000000" w:themeColor="text1"/>
          <w:sz w:val="15"/>
          <w:szCs w:val="15"/>
          <w:highlight w:val="none"/>
          <w14:textFill>
            <w14:solidFill>
              <w14:schemeClr w14:val="tx1"/>
            </w14:solidFill>
          </w14:textFill>
        </w:rPr>
        <w:t>的响应文件按无效处理，磋商小组应当告知有关供应商。</w:t>
      </w:r>
    </w:p>
    <w:p w14:paraId="5E7AF19E">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磋商小组所有成员应当按已确定的磋商顺序集中与单一供应商分别进行磋商，并给予所有实质性响应竞争性磋商文件要求的供应商平等的磋商机会。</w:t>
      </w:r>
    </w:p>
    <w:p w14:paraId="009192D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磋商中，磋商小组不得透露与磋商有关的其他供应商的技术资料、价格和其他信息。</w:t>
      </w:r>
    </w:p>
    <w:p w14:paraId="4248FAD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对磋商过程和重要磋商内容进行记录，磋商双方在记录上签字确认。</w:t>
      </w:r>
    </w:p>
    <w:p w14:paraId="282CF65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25.6在磋商过程中，磋商小组可以根据磋商文件和磋商情况实质性变动项目需求中的技术、服务要求以及合同草案条款，但不得变动磋商文件中的其他内容。实质性变动的内容，须经采购人代表确认。</w:t>
      </w:r>
    </w:p>
    <w:p w14:paraId="750DB65E">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对磋商文件作出的实质性变动是磋商文件的有效组成部分，磋商小组应当及时以书面形式同时通知所有参加磋商的供应商。</w:t>
      </w:r>
    </w:p>
    <w:p w14:paraId="15736587">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供应商应当按照磋商文件的变动情况和磋商小组的要求重新提交响应文件，并由其法定代表人、负责人或相应的授权委托代表签字或者加盖供应商公章。逾时不交的，视同放弃磋商。</w:t>
      </w:r>
    </w:p>
    <w:p w14:paraId="0B6F7DE9">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25.8最后报价</w:t>
      </w:r>
    </w:p>
    <w:p w14:paraId="5B13253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25.8.1磋商文件能够详细列明采购标的的技术、服务要求的，磋商结束后，磋商小组应当要求所有继续参加磋商的供应商在规定时间内密封提交最后报价，提交最后报价的供应商不得少于3家。</w:t>
      </w:r>
    </w:p>
    <w:p w14:paraId="49C890D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25.8.2磋商文件不能详细列明采购标的的技术、服务要求的，需由磋商供应商提供最终设计方案或解决方案的，磋商结束后，磋商小组应当按照少数服从多数的原则投票推荐3家以上（含3家）供应商的设计方案或者解决方案，并要求其在规定时间内密封提交最后报价。</w:t>
      </w:r>
    </w:p>
    <w:p w14:paraId="6F48F83F">
      <w:pPr>
        <w:pStyle w:val="15"/>
        <w:spacing w:line="240" w:lineRule="auto"/>
        <w:ind w:firstLine="300" w:firstLineChars="200"/>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pPr>
      <w:r>
        <w:rPr>
          <w:rFonts w:hint="eastAsia" w:ascii="宋体" w:hAnsi="宋体" w:cs="宋体"/>
          <w:color w:val="000000" w:themeColor="text1"/>
          <w:kern w:val="2"/>
          <w:sz w:val="15"/>
          <w:szCs w:val="15"/>
          <w:highlight w:val="none"/>
          <w:lang w:val="en-US" w:eastAsia="zh-CN" w:bidi="ar-SA"/>
          <w14:textFill>
            <w14:solidFill>
              <w14:schemeClr w14:val="tx1"/>
            </w14:solidFill>
          </w14:textFill>
        </w:rPr>
        <w:t>25.8.3</w:t>
      </w:r>
      <w:r>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t xml:space="preserve">根据《财政部关于政府采购竞争性磋商采购方式管理暂行办法有关问题的补充通知》(财库〔2014〕214 号)的规定，如采购项目为政府购买服务项目（含政府和社会资本合作项目），在采购过程中符合要求的供应商（社会资本）只有 2 家的，竞争性磋商采购活动可以继续进行，并要求其在规定时间内线上提交最后报价；采购过程中符合要求的供应商（社会资本）只有 1 家的，采购人或者采购人应当终止竞争性磋商采购活动，发布项目终止公告并说明原因，重新开展采购活动。 </w:t>
      </w:r>
    </w:p>
    <w:p w14:paraId="4CD2D5EF">
      <w:pPr>
        <w:pStyle w:val="15"/>
        <w:spacing w:line="240" w:lineRule="auto"/>
        <w:ind w:firstLine="300" w:firstLineChars="200"/>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pPr>
      <w:r>
        <w:rPr>
          <w:rFonts w:hint="eastAsia" w:ascii="宋体" w:hAnsi="宋体" w:cs="宋体"/>
          <w:color w:val="000000" w:themeColor="text1"/>
          <w:kern w:val="2"/>
          <w:sz w:val="15"/>
          <w:szCs w:val="15"/>
          <w:highlight w:val="none"/>
          <w:lang w:val="en-US" w:eastAsia="zh-CN" w:bidi="ar-SA"/>
          <w14:textFill>
            <w14:solidFill>
              <w14:schemeClr w14:val="tx1"/>
            </w14:solidFill>
          </w14:textFill>
        </w:rPr>
        <w:t>25.8.4</w:t>
      </w:r>
      <w:r>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t>根据《政府采购竞争性磋商采购方式管理暂行办法》(财库〔2014〕214 号)的规定：最后报价是供应商响应文件的有效组成部分。 符合本办法(财库〔2014〕214号文)第三条第四项情形的，提交最后报价的供应商可以为2家。</w:t>
      </w:r>
    </w:p>
    <w:p w14:paraId="58B7D17C">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w:t>
      </w:r>
      <w:r>
        <w:rPr>
          <w:rFonts w:hint="eastAsia" w:ascii="宋体" w:hAnsi="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14:textFill>
            <w14:solidFill>
              <w14:schemeClr w14:val="tx1"/>
            </w14:solidFill>
          </w14:textFill>
        </w:rPr>
        <w:t>最后报价是供应商响应文件的有效组成部分。</w:t>
      </w:r>
    </w:p>
    <w:p w14:paraId="3424727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25.9已提交响应文件的供应商，在提交最后报价之前，可以根据磋商情况书面退出磋商。</w:t>
      </w:r>
    </w:p>
    <w:p w14:paraId="126EC8B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未书面退出磋商的供应商在规定时间内密封提交最后报价，其最后报价超过预算金额导致已通过评审的响应文件无效的，按供应商在提交响应文件截止时间后撤销响应文件处理。</w:t>
      </w:r>
    </w:p>
    <w:p w14:paraId="08BBCCDE">
      <w:pPr>
        <w:keepNext w:val="0"/>
        <w:keepLines w:val="0"/>
        <w:pageBreakBefore w:val="0"/>
        <w:widowControl/>
        <w:tabs>
          <w:tab w:val="left" w:pos="540"/>
        </w:tabs>
        <w:kinsoku/>
        <w:wordWrap/>
        <w:overflowPunct/>
        <w:topLinePunct w:val="0"/>
        <w:bidi w:val="0"/>
        <w:spacing w:line="240" w:lineRule="auto"/>
        <w:ind w:firstLine="300" w:firstLineChars="200"/>
        <w:jc w:val="left"/>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25.10评审报告</w:t>
      </w:r>
    </w:p>
    <w:p w14:paraId="6767FE5A">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磋商小组应当从质量和服务均能满足磋商文件全部实质性响应要求的供应商中，按照最后综合得分由高到低的顺序提出3名以上（含3名）成交候选人，并编写评审报告。</w:t>
      </w:r>
    </w:p>
    <w:p w14:paraId="715936CC">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25.11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发现磋商小组有明显的违规倾向或歧视现象，或不按评审办法进行，或其他不正常行为的，应当及时制止。如制止无效，应及时向采购监督管理机构报告。</w:t>
      </w:r>
    </w:p>
    <w:p w14:paraId="5E6CA159">
      <w:pPr>
        <w:pStyle w:val="19"/>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26.确定成交供应商</w:t>
      </w:r>
    </w:p>
    <w:p w14:paraId="19BC306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（1）磋商小组应当根据综合得分由高到低排列次序，若得分相同时，以最后报价由低到高顺序排列；若仍相同的，依次按</w:t>
      </w:r>
      <w:r>
        <w:rPr>
          <w:rFonts w:hint="eastAsia" w:ascii="宋体" w:hAnsi="宋体" w:eastAsia="宋体" w:cs="宋体"/>
          <w:color w:val="000000" w:themeColor="text1"/>
          <w:kern w:val="0"/>
          <w:sz w:val="15"/>
          <w:szCs w:val="15"/>
          <w:highlight w:val="none"/>
          <w:lang w:eastAsia="zh-CN"/>
          <w14:textFill>
            <w14:solidFill>
              <w14:schemeClr w14:val="tx1"/>
            </w14:solidFill>
          </w14:textFill>
        </w:rPr>
        <w:t>服务方案</w:t>
      </w:r>
      <w:r>
        <w:rPr>
          <w:rFonts w:hint="eastAsia" w:ascii="宋体" w:hAnsi="宋体" w:eastAsia="宋体" w:cs="宋体"/>
          <w:color w:val="000000" w:themeColor="text1"/>
          <w:kern w:val="0"/>
          <w:sz w:val="15"/>
          <w:szCs w:val="15"/>
          <w:highlight w:val="none"/>
          <w14:textFill>
            <w14:solidFill>
              <w14:schemeClr w14:val="tx1"/>
            </w14:solidFill>
          </w14:textFill>
        </w:rPr>
        <w:t>分、服务承诺分、企业实力分由高到低顺序排列并推荐成交候选供应商。</w:t>
      </w:r>
    </w:p>
    <w:p w14:paraId="19028B5D">
      <w:pPr>
        <w:keepNext w:val="0"/>
        <w:keepLines w:val="0"/>
        <w:pageBreakBefore w:val="0"/>
        <w:tabs>
          <w:tab w:val="left" w:pos="4214"/>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（2）磋商小组可推荐前三名为中标候选人，采购人应当确定磋商小组推荐排名第一的中标候选人为成交供应商。</w:t>
      </w:r>
    </w:p>
    <w:p w14:paraId="5FE8E834">
      <w:pPr>
        <w:keepNext w:val="0"/>
        <w:keepLines w:val="0"/>
        <w:pageBreakBefore w:val="0"/>
        <w:kinsoku/>
        <w:wordWrap/>
        <w:overflowPunct/>
        <w:topLinePunct w:val="0"/>
        <w:bidi w:val="0"/>
        <w:snapToGrid w:val="0"/>
        <w:spacing w:line="240" w:lineRule="auto"/>
        <w:ind w:firstLine="300" w:firstLineChars="200"/>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排名第一的中标候选人放弃中标、因不可抗力提出不能履行合同，或者磋商文件规定应当提交履约保证金而在规定的期限内未能提交的，或因失信行为被取消中标候选人资格的，采购人可以确定排名第二的中标候选人为成交供应商或者重新组织招标。</w:t>
      </w:r>
    </w:p>
    <w:p w14:paraId="13735048">
      <w:pPr>
        <w:keepNext w:val="0"/>
        <w:keepLines w:val="0"/>
        <w:pageBreakBefore w:val="0"/>
        <w:widowControl/>
        <w:shd w:val="clear" w:color="auto" w:fill="FFFFFF"/>
        <w:kinsoku/>
        <w:wordWrap/>
        <w:overflowPunct/>
        <w:topLinePunct w:val="0"/>
        <w:bidi w:val="0"/>
        <w:spacing w:line="240" w:lineRule="auto"/>
        <w:jc w:val="left"/>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27.</w:t>
      </w:r>
      <w:r>
        <w:rPr>
          <w:rFonts w:hint="eastAsia" w:ascii="宋体" w:hAnsi="宋体" w:eastAsia="宋体" w:cs="宋体"/>
          <w:b/>
          <w:color w:val="000000" w:themeColor="text1"/>
          <w:sz w:val="15"/>
          <w:szCs w:val="15"/>
          <w:highlight w:val="none"/>
          <w14:textFill>
            <w14:solidFill>
              <w14:schemeClr w14:val="tx1"/>
            </w14:solidFill>
          </w14:textFill>
        </w:rPr>
        <w:t>属于下列情况之一者，响应文件无效：</w:t>
      </w:r>
    </w:p>
    <w:p w14:paraId="4090150F">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（1）未按磋商文件规定完整线上提交响应文件或未按规定要求线上签字、签章的；</w:t>
      </w:r>
    </w:p>
    <w:p w14:paraId="2D647E7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（2）不具备磋商文件规定的资格要求的；</w:t>
      </w:r>
    </w:p>
    <w:p w14:paraId="4B22C8F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（3）响应文件未按磋商文件的内容和要求编制，或提供虚假材料的；</w:t>
      </w:r>
    </w:p>
    <w:p w14:paraId="653811A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（4）供应商未就“项目要求”中的所有内容作完整唯一报价的，或报价超过上限控制价的；</w:t>
      </w:r>
    </w:p>
    <w:p w14:paraId="7FCA2F2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（5）未在磋商小组规定的时间内提交响应文件(包括最后报价)的；</w:t>
      </w:r>
    </w:p>
    <w:p w14:paraId="2747664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（6）超越了按照法律法规规定必须获得行政许可或者行政审批的经营范围的；</w:t>
      </w:r>
    </w:p>
    <w:p w14:paraId="5C829EBA">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（7）未满足磋商文件实质性要求的或者响应文件有采购人不能接受的附加条件的；</w:t>
      </w:r>
    </w:p>
    <w:p w14:paraId="538A036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（8）响应文件实质性要求未</w:t>
      </w:r>
      <w:r>
        <w:rPr>
          <w:rFonts w:hint="eastAsia" w:ascii="宋体" w:hAnsi="宋体" w:cs="宋体"/>
          <w:color w:val="000000" w:themeColor="text1"/>
          <w:sz w:val="15"/>
          <w:szCs w:val="15"/>
          <w:highlight w:val="none"/>
          <w:lang w:eastAsia="zh-CN"/>
          <w14:textFill>
            <w14:solidFill>
              <w14:schemeClr w14:val="tx1"/>
            </w14:solidFill>
          </w14:textFill>
        </w:rPr>
        <w:t>作变动</w:t>
      </w:r>
      <w:r>
        <w:rPr>
          <w:rFonts w:hint="eastAsia" w:ascii="宋体" w:hAnsi="宋体" w:eastAsia="宋体" w:cs="宋体"/>
          <w:color w:val="000000" w:themeColor="text1"/>
          <w:sz w:val="15"/>
          <w:szCs w:val="15"/>
          <w:highlight w:val="none"/>
          <w14:textFill>
            <w14:solidFill>
              <w14:schemeClr w14:val="tx1"/>
            </w14:solidFill>
          </w14:textFill>
        </w:rPr>
        <w:t>，供应商最后报价高于第一次报价的；</w:t>
      </w:r>
    </w:p>
    <w:p w14:paraId="16847BC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（9）不符合</w:t>
      </w:r>
      <w:r>
        <w:rPr>
          <w:rFonts w:hint="eastAsia" w:ascii="宋体" w:hAnsi="宋体" w:cs="宋体"/>
          <w:color w:val="000000" w:themeColor="text1"/>
          <w:sz w:val="15"/>
          <w:szCs w:val="15"/>
          <w:highlight w:val="none"/>
          <w:lang w:eastAsia="zh-CN"/>
          <w14:textFill>
            <w14:solidFill>
              <w14:schemeClr w14:val="tx1"/>
            </w14:solidFill>
          </w14:textFill>
        </w:rPr>
        <w:t>法律法规</w:t>
      </w:r>
      <w:r>
        <w:rPr>
          <w:rFonts w:hint="eastAsia" w:ascii="宋体" w:hAnsi="宋体" w:eastAsia="宋体" w:cs="宋体"/>
          <w:color w:val="000000" w:themeColor="text1"/>
          <w:sz w:val="15"/>
          <w:szCs w:val="15"/>
          <w:highlight w:val="none"/>
          <w14:textFill>
            <w14:solidFill>
              <w14:schemeClr w14:val="tx1"/>
            </w14:solidFill>
          </w14:textFill>
        </w:rPr>
        <w:t>和磋商文件规定的其他实质性要求和条件的。</w:t>
      </w:r>
    </w:p>
    <w:p w14:paraId="10C955D1">
      <w:pPr>
        <w:keepNext w:val="0"/>
        <w:keepLines w:val="0"/>
        <w:pageBreakBefore w:val="0"/>
        <w:kinsoku/>
        <w:wordWrap/>
        <w:overflowPunct/>
        <w:topLinePunct w:val="0"/>
        <w:bidi w:val="0"/>
        <w:snapToGrid w:val="0"/>
        <w:spacing w:line="240" w:lineRule="auto"/>
        <w:ind w:firstLine="375" w:firstLineChars="249"/>
        <w:outlineLvl w:val="4"/>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供应商有下列情形之一的，视为串通磋商，关联供应商响应文件将全部被视为无效：</w:t>
      </w:r>
    </w:p>
    <w:p w14:paraId="5BFAEA1F">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（1）不同供应商的响应文件由同一单位或者个人编制；或不同供应商报名的地址一致的；</w:t>
      </w:r>
    </w:p>
    <w:p w14:paraId="0AC19A4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（2）不同供应商委托同一单位或者个人办理磋商事宜；</w:t>
      </w:r>
    </w:p>
    <w:p w14:paraId="782E58DC">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（3）不同的供应商的响应文件载明的项目管理员为同一个人；</w:t>
      </w:r>
    </w:p>
    <w:p w14:paraId="0D803A4D">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（4）不同供应商的响应文件异常一致或磋商报价呈规律性差异；</w:t>
      </w:r>
    </w:p>
    <w:p w14:paraId="0C5989B9">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（5）不同供应商的响应文件相互混装；</w:t>
      </w:r>
    </w:p>
    <w:p w14:paraId="034120C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（6）响应文件实质性要求未</w:t>
      </w:r>
      <w:r>
        <w:rPr>
          <w:rFonts w:hint="eastAsia" w:ascii="宋体" w:hAnsi="宋体" w:cs="宋体"/>
          <w:color w:val="000000" w:themeColor="text1"/>
          <w:sz w:val="15"/>
          <w:szCs w:val="15"/>
          <w:highlight w:val="none"/>
          <w:lang w:eastAsia="zh-CN"/>
          <w14:textFill>
            <w14:solidFill>
              <w14:schemeClr w14:val="tx1"/>
            </w14:solidFill>
          </w14:textFill>
        </w:rPr>
        <w:t>作变动</w:t>
      </w:r>
      <w:r>
        <w:rPr>
          <w:rFonts w:hint="eastAsia" w:ascii="宋体" w:hAnsi="宋体" w:eastAsia="宋体" w:cs="宋体"/>
          <w:color w:val="000000" w:themeColor="text1"/>
          <w:sz w:val="15"/>
          <w:szCs w:val="15"/>
          <w:highlight w:val="none"/>
          <w14:textFill>
            <w14:solidFill>
              <w14:schemeClr w14:val="tx1"/>
            </w14:solidFill>
          </w14:textFill>
        </w:rPr>
        <w:t>，供应商最终报价高于第一次报价的。</w:t>
      </w:r>
    </w:p>
    <w:p w14:paraId="268826D9">
      <w:pPr>
        <w:keepNext w:val="0"/>
        <w:keepLines w:val="0"/>
        <w:pageBreakBefore w:val="0"/>
        <w:kinsoku/>
        <w:wordWrap/>
        <w:overflowPunct/>
        <w:topLinePunct w:val="0"/>
        <w:bidi w:val="0"/>
        <w:snapToGrid w:val="0"/>
        <w:spacing w:line="240" w:lineRule="auto"/>
        <w:outlineLvl w:val="4"/>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28.出现下列情形之一的，采购人或者</w:t>
      </w:r>
      <w:r>
        <w:rPr>
          <w:rFonts w:hint="eastAsia" w:ascii="宋体" w:hAnsi="宋体" w:cs="宋体"/>
          <w:b/>
          <w:color w:val="000000" w:themeColor="text1"/>
          <w:sz w:val="15"/>
          <w:szCs w:val="15"/>
          <w:highlight w:val="none"/>
          <w:lang w:eastAsia="zh-CN"/>
          <w14:textFill>
            <w14:solidFill>
              <w14:schemeClr w14:val="tx1"/>
            </w14:solidFill>
          </w14:textFill>
        </w:rPr>
        <w:t>采购人</w:t>
      </w:r>
      <w:r>
        <w:rPr>
          <w:rFonts w:hint="eastAsia" w:ascii="宋体" w:hAnsi="宋体" w:eastAsia="宋体" w:cs="宋体"/>
          <w:b/>
          <w:color w:val="000000" w:themeColor="text1"/>
          <w:sz w:val="15"/>
          <w:szCs w:val="15"/>
          <w:highlight w:val="none"/>
          <w14:textFill>
            <w14:solidFill>
              <w14:schemeClr w14:val="tx1"/>
            </w14:solidFill>
          </w14:textFill>
        </w:rPr>
        <w:t>应当终止竞争性磋商采购活动，发布项目终止公告并说明原因，重新开展采购活动：</w:t>
      </w:r>
    </w:p>
    <w:p w14:paraId="4F65099E">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（1）因情况变化，不再符合规定的竞争性磋商采购方式适用情形的；</w:t>
      </w:r>
    </w:p>
    <w:p w14:paraId="6D7372B6">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（2）出现影响采购公正的违法、违规行为的；</w:t>
      </w:r>
    </w:p>
    <w:p w14:paraId="641A82CB">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（3）在采购过程中符合竞争要求的供应商或者报价未超过采购预算的供应商不足3家的。</w:t>
      </w:r>
    </w:p>
    <w:p w14:paraId="0AD98263">
      <w:pPr>
        <w:keepNext w:val="0"/>
        <w:keepLines w:val="0"/>
        <w:pageBreakBefore w:val="0"/>
        <w:kinsoku/>
        <w:wordWrap/>
        <w:overflowPunct/>
        <w:topLinePunct w:val="0"/>
        <w:bidi w:val="0"/>
        <w:snapToGrid w:val="0"/>
        <w:spacing w:line="240" w:lineRule="auto"/>
        <w:outlineLvl w:val="4"/>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29.磋商过程的监控</w:t>
      </w:r>
    </w:p>
    <w:p w14:paraId="0CB7CEA5">
      <w:pPr>
        <w:pStyle w:val="19"/>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本项目磋商过程实行全程录音、录像监控，供应商在磋商过程中所进行的试图影响磋商结果的不公正活动，可能导致其磋商被拒绝。</w:t>
      </w:r>
    </w:p>
    <w:p w14:paraId="381905A9">
      <w:pPr>
        <w:pStyle w:val="19"/>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30.成交公告及成交通知书</w:t>
      </w:r>
    </w:p>
    <w:p w14:paraId="4A9DE876">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cs="宋体"/>
          <w:color w:val="000000" w:themeColor="text1"/>
          <w:sz w:val="15"/>
          <w:szCs w:val="15"/>
          <w:highlight w:val="none"/>
          <w:lang w:val="en-US" w:eastAsia="zh-CN"/>
          <w14:textFill>
            <w14:solidFill>
              <w14:schemeClr w14:val="tx1"/>
            </w14:solidFill>
          </w14:textFill>
        </w:rPr>
        <w:t>按</w:t>
      </w:r>
      <w:r>
        <w:rPr>
          <w:rFonts w:hint="eastAsia" w:ascii="宋体" w:hAnsi="宋体" w:eastAsia="宋体" w:cs="宋体"/>
          <w:color w:val="000000" w:themeColor="text1"/>
          <w:sz w:val="15"/>
          <w:szCs w:val="15"/>
          <w:highlight w:val="none"/>
          <w14:textFill>
            <w14:solidFill>
              <w14:schemeClr w14:val="tx1"/>
            </w14:solidFill>
          </w14:textFill>
        </w:rPr>
        <w:t>评审报告推荐的成交候选人中按顺序确定成交供应商，</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在成交供应商确定之日起两个工作日内在指定媒体上公告成交信息。</w:t>
      </w:r>
    </w:p>
    <w:p w14:paraId="4E2FF184">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25.2</w:t>
      </w:r>
      <w:r>
        <w:rPr>
          <w:rFonts w:hint="eastAsia" w:ascii="宋体" w:hAnsi="宋体" w:cs="宋体"/>
          <w:color w:val="000000" w:themeColor="text1"/>
          <w:sz w:val="15"/>
          <w:szCs w:val="15"/>
          <w:highlight w:val="none"/>
          <w:lang w:val="en-US" w:eastAsia="zh-CN"/>
          <w14:textFill>
            <w14:solidFill>
              <w14:schemeClr w14:val="tx1"/>
            </w14:solidFill>
          </w14:textFill>
        </w:rPr>
        <w:t>采购结果采用公开公告方式，不再向乙方发送纸质通知</w:t>
      </w:r>
      <w:r>
        <w:rPr>
          <w:rFonts w:hint="eastAsia" w:ascii="宋体" w:hAnsi="宋体" w:eastAsia="宋体" w:cs="宋体"/>
          <w:color w:val="000000" w:themeColor="text1"/>
          <w:sz w:val="15"/>
          <w:szCs w:val="15"/>
          <w:highlight w:val="none"/>
          <w14:textFill>
            <w14:solidFill>
              <w14:schemeClr w14:val="tx1"/>
            </w14:solidFill>
          </w14:textFill>
        </w:rPr>
        <w:t>。</w:t>
      </w:r>
    </w:p>
    <w:p w14:paraId="2BD9A815">
      <w:pPr>
        <w:pStyle w:val="19"/>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25.3</w:t>
      </w:r>
      <w:r>
        <w:rPr>
          <w:rFonts w:hint="eastAsia"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无义务向未成交的供应商解释未成交原因和退还响应文件。</w:t>
      </w:r>
    </w:p>
    <w:p w14:paraId="111D0CD2">
      <w:pPr>
        <w:pStyle w:val="19"/>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31.信用查询</w:t>
      </w:r>
    </w:p>
    <w:p w14:paraId="2F2F2B45">
      <w:pPr>
        <w:keepNext w:val="0"/>
        <w:keepLines w:val="0"/>
        <w:pageBreakBefore w:val="0"/>
        <w:kinsoku/>
        <w:wordWrap/>
        <w:overflowPunct/>
        <w:topLinePunct w:val="0"/>
        <w:autoSpaceDE w:val="0"/>
        <w:autoSpaceDN w:val="0"/>
        <w:bidi w:val="0"/>
        <w:snapToGrid w:val="0"/>
        <w:spacing w:line="240" w:lineRule="auto"/>
        <w:ind w:firstLine="300" w:firstLineChars="200"/>
        <w:textAlignment w:val="bottom"/>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由</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对第一成交候选人进行信用查询：</w:t>
      </w:r>
    </w:p>
    <w:p w14:paraId="704A2DB1">
      <w:pPr>
        <w:keepNext w:val="0"/>
        <w:keepLines w:val="0"/>
        <w:pageBreakBefore w:val="0"/>
        <w:kinsoku/>
        <w:wordWrap/>
        <w:overflowPunct/>
        <w:topLinePunct w:val="0"/>
        <w:autoSpaceDE w:val="0"/>
        <w:autoSpaceDN w:val="0"/>
        <w:bidi w:val="0"/>
        <w:snapToGrid w:val="0"/>
        <w:spacing w:line="240" w:lineRule="auto"/>
        <w:ind w:firstLine="300" w:firstLineChars="200"/>
        <w:textAlignment w:val="bottom"/>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⑴查询渠道：“信用中国”网站(www.creditchina.gov.cn)等；</w:t>
      </w:r>
    </w:p>
    <w:p w14:paraId="0D553079">
      <w:pPr>
        <w:keepNext w:val="0"/>
        <w:keepLines w:val="0"/>
        <w:pageBreakBefore w:val="0"/>
        <w:kinsoku/>
        <w:wordWrap/>
        <w:overflowPunct/>
        <w:topLinePunct w:val="0"/>
        <w:autoSpaceDE w:val="0"/>
        <w:autoSpaceDN w:val="0"/>
        <w:bidi w:val="0"/>
        <w:snapToGrid w:val="0"/>
        <w:spacing w:line="240" w:lineRule="auto"/>
        <w:ind w:firstLine="300" w:firstLineChars="200"/>
        <w:textAlignment w:val="bottom"/>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⑵查询截止时点：成交通知书发出前；</w:t>
      </w:r>
    </w:p>
    <w:p w14:paraId="604CAAD5">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⑶信用信息查询记录和证据留存方式：在查询网站中直接打印查询记录，打印材料作为采购活动资料保存。</w:t>
      </w:r>
    </w:p>
    <w:p w14:paraId="53831B75">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⑷信用信息使用规则：对在“信用中国”网站(www.creditchina.gov.cn)等渠道列入失信被执行人、重大税收违法案件当事人名单、政府采购严重违法失信行为记录名单及其他不符合《中华人民共和国政府采购法》第二十二条规定条件的供应商，取消其成交候选人资格。</w:t>
      </w:r>
    </w:p>
    <w:p w14:paraId="1CBA1EC9">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84" w:name="_Toc28418"/>
      <w:bookmarkStart w:id="285" w:name="_Toc5190"/>
      <w:bookmarkStart w:id="286" w:name="_Toc30671"/>
      <w:bookmarkStart w:id="287" w:name="_Toc2338"/>
      <w:bookmarkStart w:id="288" w:name="_Toc2554"/>
      <w:bookmarkStart w:id="289" w:name="_Toc27551"/>
      <w:bookmarkStart w:id="290" w:name="_Toc25576"/>
      <w:bookmarkStart w:id="291" w:name="_Toc28208"/>
      <w:r>
        <w:rPr>
          <w:rFonts w:hint="eastAsia" w:ascii="宋体" w:hAnsi="宋体" w:eastAsia="宋体" w:cs="宋体"/>
          <w:b/>
          <w:color w:val="000000" w:themeColor="text1"/>
          <w:sz w:val="15"/>
          <w:szCs w:val="15"/>
          <w:highlight w:val="none"/>
          <w14:textFill>
            <w14:solidFill>
              <w14:schemeClr w14:val="tx1"/>
            </w14:solidFill>
          </w14:textFill>
        </w:rPr>
        <w:t>32.成交公告及成交通知书</w:t>
      </w:r>
    </w:p>
    <w:p w14:paraId="6D2FCE46">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32.1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cs="宋体"/>
          <w:color w:val="000000" w:themeColor="text1"/>
          <w:sz w:val="15"/>
          <w:szCs w:val="15"/>
          <w:highlight w:val="none"/>
          <w:lang w:val="en-US" w:eastAsia="zh-CN"/>
          <w14:textFill>
            <w14:solidFill>
              <w14:schemeClr w14:val="tx1"/>
            </w14:solidFill>
          </w14:textFill>
        </w:rPr>
        <w:t>按</w:t>
      </w:r>
      <w:r>
        <w:rPr>
          <w:rFonts w:hint="eastAsia" w:ascii="宋体" w:hAnsi="宋体" w:eastAsia="宋体" w:cs="宋体"/>
          <w:color w:val="000000" w:themeColor="text1"/>
          <w:sz w:val="15"/>
          <w:szCs w:val="15"/>
          <w:highlight w:val="none"/>
          <w14:textFill>
            <w14:solidFill>
              <w14:schemeClr w14:val="tx1"/>
            </w14:solidFill>
          </w14:textFill>
        </w:rPr>
        <w:t>评审报告推荐的成交候选人中按顺序确定成交供应商，</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在成交供应商确定之日起两个工作日内在指定媒体上公告成交信息。</w:t>
      </w:r>
      <w:r>
        <w:rPr>
          <w:rFonts w:hint="eastAsia" w:ascii="宋体" w:hAnsi="宋体" w:cs="宋体"/>
          <w:color w:val="000000" w:themeColor="text1"/>
          <w:sz w:val="15"/>
          <w:szCs w:val="15"/>
          <w:highlight w:val="none"/>
          <w:lang w:val="en-US" w:eastAsia="zh-CN"/>
          <w14:textFill>
            <w14:solidFill>
              <w14:schemeClr w14:val="tx1"/>
            </w14:solidFill>
          </w14:textFill>
        </w:rPr>
        <w:t>采购结果采用公开公告方式，不再向乙方发送纸质通知</w:t>
      </w:r>
      <w:r>
        <w:rPr>
          <w:rFonts w:hint="eastAsia" w:ascii="宋体" w:hAnsi="宋体" w:eastAsia="宋体" w:cs="宋体"/>
          <w:color w:val="000000" w:themeColor="text1"/>
          <w:sz w:val="15"/>
          <w:szCs w:val="15"/>
          <w:highlight w:val="none"/>
          <w14:textFill>
            <w14:solidFill>
              <w14:schemeClr w14:val="tx1"/>
            </w14:solidFill>
          </w14:textFill>
        </w:rPr>
        <w:t>。</w:t>
      </w:r>
    </w:p>
    <w:p w14:paraId="3D20591D">
      <w:pPr>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32.2中小企业在政府采购活动过程中，请根据自己的真实情况出具《中小企业声明函》。采购人在公告成交结果时，同时公告其《中小企业声明函》，接受社会监督。</w:t>
      </w:r>
    </w:p>
    <w:p w14:paraId="5D0CE63A">
      <w:pPr>
        <w:keepNext w:val="0"/>
        <w:keepLines w:val="0"/>
        <w:pageBreakBefore w:val="0"/>
        <w:kinsoku/>
        <w:wordWrap/>
        <w:overflowPunct/>
        <w:topLinePunct w:val="0"/>
        <w:bidi w:val="0"/>
        <w:spacing w:line="240" w:lineRule="auto"/>
        <w:ind w:firstLine="300"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32.3</w:t>
      </w:r>
      <w:r>
        <w:rPr>
          <w:rFonts w:hint="eastAsia" w:ascii="宋体" w:hAnsi="宋体" w:cs="宋体"/>
          <w:bCs/>
          <w:color w:val="000000" w:themeColor="text1"/>
          <w:sz w:val="15"/>
          <w:szCs w:val="15"/>
          <w:highlight w:val="none"/>
          <w:lang w:eastAsia="zh-CN"/>
          <w14:textFill>
            <w14:solidFill>
              <w14:schemeClr w14:val="tx1"/>
            </w14:solidFill>
          </w14:textFill>
        </w:rPr>
        <w:t>采购人</w:t>
      </w:r>
      <w:r>
        <w:rPr>
          <w:rFonts w:hint="eastAsia" w:ascii="宋体" w:hAnsi="宋体" w:eastAsia="宋体" w:cs="宋体"/>
          <w:bCs/>
          <w:color w:val="000000" w:themeColor="text1"/>
          <w:sz w:val="15"/>
          <w:szCs w:val="15"/>
          <w:highlight w:val="none"/>
          <w14:textFill>
            <w14:solidFill>
              <w14:schemeClr w14:val="tx1"/>
            </w14:solidFill>
          </w14:textFill>
        </w:rPr>
        <w:t>无义务向未成交的供应商解释未成交原因和退还响应文件。</w:t>
      </w:r>
    </w:p>
    <w:p w14:paraId="486A14D1">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六、履约保证金及签订合同</w:t>
      </w:r>
      <w:bookmarkEnd w:id="282"/>
      <w:bookmarkEnd w:id="283"/>
      <w:bookmarkEnd w:id="284"/>
      <w:bookmarkEnd w:id="285"/>
      <w:bookmarkEnd w:id="286"/>
      <w:bookmarkEnd w:id="287"/>
      <w:bookmarkEnd w:id="288"/>
      <w:bookmarkEnd w:id="289"/>
      <w:bookmarkEnd w:id="290"/>
      <w:bookmarkEnd w:id="291"/>
    </w:p>
    <w:p w14:paraId="1B8D93FA">
      <w:pPr>
        <w:keepNext w:val="0"/>
        <w:keepLines w:val="0"/>
        <w:pageBreakBefore w:val="0"/>
        <w:kinsoku/>
        <w:wordWrap/>
        <w:overflowPunct/>
        <w:topLinePunct w:val="0"/>
        <w:bidi w:val="0"/>
        <w:spacing w:line="240" w:lineRule="auto"/>
        <w:rPr>
          <w:rFonts w:hint="eastAsia" w:ascii="宋体" w:hAnsi="宋体" w:eastAsia="宋体" w:cs="宋体"/>
          <w:color w:val="000000" w:themeColor="text1"/>
          <w:sz w:val="15"/>
          <w:szCs w:val="15"/>
          <w:highlight w:val="none"/>
          <w14:textFill>
            <w14:solidFill>
              <w14:schemeClr w14:val="tx1"/>
            </w14:solidFill>
          </w14:textFill>
        </w:rPr>
      </w:pPr>
      <w:bookmarkStart w:id="292" w:name="_Toc12652"/>
      <w:bookmarkStart w:id="293" w:name="_Toc30853"/>
      <w:bookmarkStart w:id="294" w:name="_Toc18671"/>
      <w:bookmarkStart w:id="295" w:name="_Toc19555"/>
      <w:bookmarkStart w:id="296" w:name="_Toc25841"/>
      <w:bookmarkStart w:id="297" w:name="_Toc6994"/>
      <w:bookmarkStart w:id="298" w:name="_Toc75"/>
      <w:bookmarkStart w:id="299" w:name="_Toc23694"/>
      <w:bookmarkStart w:id="300" w:name="_Toc6419"/>
      <w:r>
        <w:rPr>
          <w:rFonts w:hint="eastAsia" w:ascii="宋体" w:hAnsi="宋体" w:eastAsia="宋体" w:cs="宋体"/>
          <w:b/>
          <w:color w:val="000000" w:themeColor="text1"/>
          <w:sz w:val="15"/>
          <w:szCs w:val="15"/>
          <w:highlight w:val="none"/>
          <w14:textFill>
            <w14:solidFill>
              <w14:schemeClr w14:val="tx1"/>
            </w14:solidFill>
          </w14:textFill>
        </w:rPr>
        <w:t>33.履约保证金</w:t>
      </w:r>
      <w:bookmarkEnd w:id="292"/>
      <w:bookmarkEnd w:id="293"/>
      <w:bookmarkEnd w:id="294"/>
      <w:bookmarkEnd w:id="295"/>
      <w:bookmarkEnd w:id="296"/>
      <w:bookmarkEnd w:id="297"/>
      <w:bookmarkEnd w:id="298"/>
      <w:bookmarkEnd w:id="299"/>
      <w:bookmarkEnd w:id="300"/>
      <w:r>
        <w:rPr>
          <w:rFonts w:hint="eastAsia" w:ascii="宋体" w:hAnsi="宋体" w:eastAsia="宋体" w:cs="宋体"/>
          <w:b/>
          <w:color w:val="000000" w:themeColor="text1"/>
          <w:sz w:val="15"/>
          <w:szCs w:val="15"/>
          <w:highlight w:val="none"/>
          <w14:textFill>
            <w14:solidFill>
              <w14:schemeClr w14:val="tx1"/>
            </w14:solidFill>
          </w14:textFill>
        </w:rPr>
        <w:t>：“无”</w:t>
      </w:r>
    </w:p>
    <w:p w14:paraId="1E1927DC">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301" w:name="_Toc29802"/>
      <w:bookmarkStart w:id="302" w:name="_Toc15903"/>
      <w:bookmarkStart w:id="303" w:name="_Toc1860"/>
      <w:bookmarkStart w:id="304" w:name="_Toc18160"/>
      <w:bookmarkStart w:id="305" w:name="_Toc26689"/>
      <w:bookmarkStart w:id="306" w:name="_Toc7237"/>
      <w:bookmarkStart w:id="307" w:name="_Toc19699"/>
      <w:bookmarkStart w:id="308" w:name="_Toc11201"/>
      <w:bookmarkStart w:id="309" w:name="_Toc7195"/>
      <w:r>
        <w:rPr>
          <w:rFonts w:hint="eastAsia" w:ascii="宋体" w:hAnsi="宋体" w:eastAsia="宋体" w:cs="宋体"/>
          <w:b/>
          <w:color w:val="000000" w:themeColor="text1"/>
          <w:sz w:val="15"/>
          <w:szCs w:val="15"/>
          <w:highlight w:val="none"/>
          <w14:textFill>
            <w14:solidFill>
              <w14:schemeClr w14:val="tx1"/>
            </w14:solidFill>
          </w14:textFill>
        </w:rPr>
        <w:t>34.签订合同</w:t>
      </w:r>
      <w:bookmarkEnd w:id="301"/>
      <w:bookmarkEnd w:id="302"/>
      <w:bookmarkEnd w:id="303"/>
      <w:bookmarkEnd w:id="304"/>
      <w:bookmarkEnd w:id="305"/>
      <w:bookmarkEnd w:id="306"/>
      <w:bookmarkEnd w:id="307"/>
      <w:bookmarkEnd w:id="308"/>
      <w:bookmarkEnd w:id="309"/>
    </w:p>
    <w:p w14:paraId="5FFB4E2C">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34.1签订合同时间：成交通知书发出之日起</w:t>
      </w:r>
      <w:r>
        <w:rPr>
          <w:rFonts w:hint="eastAsia" w:ascii="宋体" w:hAnsi="宋体" w:cs="宋体"/>
          <w:color w:val="000000" w:themeColor="text1"/>
          <w:sz w:val="15"/>
          <w:szCs w:val="15"/>
          <w:highlight w:val="none"/>
          <w:lang w:val="en-US" w:eastAsia="zh-CN"/>
          <w14:textFill>
            <w14:solidFill>
              <w14:schemeClr w14:val="tx1"/>
            </w14:solidFill>
          </w14:textFill>
        </w:rPr>
        <w:t>15</w:t>
      </w:r>
      <w:r>
        <w:rPr>
          <w:rFonts w:hint="eastAsia" w:ascii="宋体" w:hAnsi="宋体" w:eastAsia="宋体" w:cs="宋体"/>
          <w:color w:val="000000" w:themeColor="text1"/>
          <w:sz w:val="15"/>
          <w:szCs w:val="15"/>
          <w:highlight w:val="none"/>
          <w:lang w:eastAsia="zh-CN"/>
          <w14:textFill>
            <w14:solidFill>
              <w14:schemeClr w14:val="tx1"/>
            </w14:solidFill>
          </w14:textFill>
        </w:rPr>
        <w:t>日内</w:t>
      </w:r>
      <w:r>
        <w:rPr>
          <w:rFonts w:hint="eastAsia" w:ascii="宋体" w:hAnsi="宋体" w:eastAsia="宋体" w:cs="宋体"/>
          <w:color w:val="000000" w:themeColor="text1"/>
          <w:sz w:val="15"/>
          <w:szCs w:val="15"/>
          <w:highlight w:val="none"/>
          <w14:textFill>
            <w14:solidFill>
              <w14:schemeClr w14:val="tx1"/>
            </w14:solidFill>
          </w14:textFill>
        </w:rPr>
        <w:t>。成交供应商应按规定与采购人签订合同。</w:t>
      </w:r>
    </w:p>
    <w:p w14:paraId="64153D46">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34.2如中标供应商有下列情形之一的，情节严重的，由财政部门将其列入不良行为记录名单，在一至三年内禁止参加政府采购活动，并予以通报。采购人可从磋商小组推荐的中标候选供应商中按顺序重新确定中标供应商或重新组织磋商。</w:t>
      </w:r>
    </w:p>
    <w:p w14:paraId="7252F7DC">
      <w:pPr>
        <w:keepNext w:val="0"/>
        <w:keepLines w:val="0"/>
        <w:pageBreakBefore w:val="0"/>
        <w:kinsoku/>
        <w:wordWrap/>
        <w:overflowPunct/>
        <w:topLinePunct w:val="0"/>
        <w:bidi w:val="0"/>
        <w:spacing w:line="240" w:lineRule="auto"/>
        <w:ind w:firstLine="225" w:firstLineChars="15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（1）中标后不与采购人签订合同的（不可抗力除外）；</w:t>
      </w:r>
    </w:p>
    <w:p w14:paraId="2959F304">
      <w:pPr>
        <w:keepNext w:val="0"/>
        <w:keepLines w:val="0"/>
        <w:pageBreakBefore w:val="0"/>
        <w:kinsoku/>
        <w:wordWrap/>
        <w:overflowPunct/>
        <w:topLinePunct w:val="0"/>
        <w:bidi w:val="0"/>
        <w:spacing w:line="240" w:lineRule="auto"/>
        <w:ind w:firstLine="225" w:firstLineChars="15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（2）将中标项目转让给他人，或者在响应文件中未说明，且未经采购人同意，将中标项目分包给他人的；</w:t>
      </w:r>
    </w:p>
    <w:p w14:paraId="020E28B6">
      <w:pPr>
        <w:keepNext w:val="0"/>
        <w:keepLines w:val="0"/>
        <w:pageBreakBefore w:val="0"/>
        <w:kinsoku/>
        <w:wordWrap/>
        <w:overflowPunct/>
        <w:topLinePunct w:val="0"/>
        <w:bidi w:val="0"/>
        <w:spacing w:line="240" w:lineRule="auto"/>
        <w:ind w:firstLine="225" w:firstLineChars="15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（3）拒绝履行合同义务的。</w:t>
      </w:r>
    </w:p>
    <w:p w14:paraId="058FEFC9">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34.3合同备案存档：</w:t>
      </w:r>
      <w:r>
        <w:rPr>
          <w:rFonts w:hint="eastAsia" w:ascii="宋体" w:hAnsi="宋体" w:cs="宋体"/>
          <w:color w:val="000000" w:themeColor="text1"/>
          <w:sz w:val="15"/>
          <w:szCs w:val="15"/>
          <w:highlight w:val="none"/>
          <w:lang w:val="en-US" w:eastAsia="zh-CN"/>
          <w14:textFill>
            <w14:solidFill>
              <w14:schemeClr w14:val="tx1"/>
            </w14:solidFill>
          </w14:textFill>
        </w:rPr>
        <w:t>无</w:t>
      </w:r>
      <w:r>
        <w:rPr>
          <w:rFonts w:hint="eastAsia" w:ascii="宋体" w:hAnsi="宋体" w:eastAsia="宋体" w:cs="宋体"/>
          <w:color w:val="000000" w:themeColor="text1"/>
          <w:sz w:val="15"/>
          <w:szCs w:val="15"/>
          <w:highlight w:val="none"/>
          <w14:textFill>
            <w14:solidFill>
              <w14:schemeClr w14:val="tx1"/>
            </w14:solidFill>
          </w14:textFill>
        </w:rPr>
        <w:t>。</w:t>
      </w:r>
    </w:p>
    <w:p w14:paraId="3D96E5A9">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310" w:name="_Toc5538"/>
      <w:bookmarkStart w:id="311" w:name="_Toc19724"/>
      <w:bookmarkStart w:id="312" w:name="_Toc15739"/>
      <w:bookmarkStart w:id="313" w:name="_Toc16119"/>
      <w:bookmarkStart w:id="314" w:name="_Toc5916"/>
      <w:bookmarkStart w:id="315" w:name="_Toc10925"/>
      <w:bookmarkStart w:id="316" w:name="_Toc495841761"/>
      <w:bookmarkStart w:id="317" w:name="_Toc23824"/>
      <w:bookmarkStart w:id="318" w:name="_Toc1909"/>
      <w:bookmarkStart w:id="319" w:name="_Toc12109"/>
      <w:r>
        <w:rPr>
          <w:rFonts w:hint="eastAsia" w:ascii="宋体" w:hAnsi="宋体" w:eastAsia="宋体" w:cs="宋体"/>
          <w:b/>
          <w:color w:val="000000" w:themeColor="text1"/>
          <w:sz w:val="15"/>
          <w:szCs w:val="15"/>
          <w:highlight w:val="none"/>
          <w14:textFill>
            <w14:solidFill>
              <w14:schemeClr w14:val="tx1"/>
            </w14:solidFill>
          </w14:textFill>
        </w:rPr>
        <w:t>七、其他事项</w:t>
      </w:r>
      <w:bookmarkEnd w:id="310"/>
      <w:bookmarkEnd w:id="311"/>
      <w:bookmarkEnd w:id="312"/>
      <w:bookmarkEnd w:id="313"/>
      <w:bookmarkEnd w:id="314"/>
      <w:bookmarkEnd w:id="315"/>
      <w:bookmarkEnd w:id="316"/>
      <w:bookmarkEnd w:id="317"/>
      <w:bookmarkEnd w:id="318"/>
      <w:bookmarkEnd w:id="319"/>
    </w:p>
    <w:p w14:paraId="14CD069B">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320" w:name="_Toc8046"/>
      <w:bookmarkStart w:id="321" w:name="_Toc2437"/>
      <w:bookmarkStart w:id="322" w:name="_Toc16252"/>
      <w:bookmarkStart w:id="323" w:name="_Toc319"/>
      <w:bookmarkStart w:id="324" w:name="_Toc8239"/>
      <w:bookmarkStart w:id="325" w:name="_Toc1652"/>
      <w:bookmarkStart w:id="326" w:name="_Toc4309"/>
      <w:bookmarkStart w:id="327" w:name="_Toc27055"/>
      <w:bookmarkStart w:id="328" w:name="_Toc21456"/>
      <w:bookmarkStart w:id="329" w:name="_Toc5655"/>
      <w:bookmarkStart w:id="330" w:name="_Toc17643"/>
      <w:bookmarkStart w:id="331" w:name="_Toc19503"/>
      <w:bookmarkStart w:id="332" w:name="_Toc32243"/>
      <w:r>
        <w:rPr>
          <w:rFonts w:hint="eastAsia" w:ascii="宋体" w:hAnsi="宋体" w:eastAsia="宋体" w:cs="宋体"/>
          <w:b/>
          <w:color w:val="000000" w:themeColor="text1"/>
          <w:sz w:val="15"/>
          <w:szCs w:val="15"/>
          <w:highlight w:val="none"/>
          <w14:textFill>
            <w14:solidFill>
              <w14:schemeClr w14:val="tx1"/>
            </w14:solidFill>
          </w14:textFill>
        </w:rPr>
        <w:t>35.采购代理服务费</w:t>
      </w:r>
      <w:bookmarkEnd w:id="320"/>
      <w:bookmarkEnd w:id="321"/>
      <w:bookmarkEnd w:id="322"/>
      <w:bookmarkEnd w:id="323"/>
      <w:bookmarkEnd w:id="324"/>
      <w:bookmarkEnd w:id="325"/>
      <w:bookmarkEnd w:id="326"/>
      <w:bookmarkEnd w:id="327"/>
      <w:bookmarkEnd w:id="328"/>
      <w:bookmarkEnd w:id="329"/>
      <w:bookmarkEnd w:id="330"/>
      <w:bookmarkEnd w:id="331"/>
    </w:p>
    <w:p w14:paraId="2C301F8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lang w:val="en-US" w:eastAsia="zh-CN"/>
          <w14:textFill>
            <w14:solidFill>
              <w14:schemeClr w14:val="tx1"/>
            </w14:solidFill>
          </w14:textFill>
        </w:rPr>
      </w:pPr>
      <w:bookmarkStart w:id="333" w:name="_Toc19529"/>
      <w:bookmarkStart w:id="334" w:name="_Toc293"/>
      <w:bookmarkStart w:id="335" w:name="_Toc2754"/>
      <w:bookmarkStart w:id="336" w:name="_Toc27278"/>
      <w:bookmarkStart w:id="337" w:name="_Toc25183"/>
      <w:bookmarkStart w:id="338" w:name="_Toc13720"/>
      <w:bookmarkStart w:id="339" w:name="_Toc31960"/>
      <w:bookmarkStart w:id="340" w:name="_Toc11469"/>
      <w:r>
        <w:rPr>
          <w:rFonts w:hint="eastAsia" w:ascii="宋体" w:hAnsi="宋体" w:eastAsia="宋体" w:cs="宋体"/>
          <w:color w:val="000000" w:themeColor="text1"/>
          <w:sz w:val="15"/>
          <w:szCs w:val="15"/>
          <w:highlight w:val="none"/>
          <w:lang w:val="en-US" w:eastAsia="zh-CN"/>
          <w14:textFill>
            <w14:solidFill>
              <w14:schemeClr w14:val="tx1"/>
            </w14:solidFill>
          </w14:textFill>
        </w:rPr>
        <w:t>无</w:t>
      </w:r>
    </w:p>
    <w:p w14:paraId="73FD62DA">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36.解释权</w:t>
      </w:r>
      <w:bookmarkEnd w:id="333"/>
      <w:bookmarkEnd w:id="334"/>
      <w:bookmarkEnd w:id="335"/>
      <w:bookmarkEnd w:id="336"/>
      <w:bookmarkEnd w:id="337"/>
      <w:bookmarkEnd w:id="338"/>
      <w:bookmarkEnd w:id="339"/>
      <w:bookmarkEnd w:id="340"/>
    </w:p>
    <w:p w14:paraId="73F4CCAF">
      <w:pPr>
        <w:keepNext w:val="0"/>
        <w:keepLines w:val="0"/>
        <w:pageBreakBefore w:val="0"/>
        <w:kinsoku/>
        <w:wordWrap/>
        <w:overflowPunct/>
        <w:topLinePunct w:val="0"/>
        <w:bidi w:val="0"/>
        <w:snapToGrid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本竞争性磋商文件是根据《中华人民共和国政府采购法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中华人民共和国政府采购法实施条例</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政府采购非招标采购方式管理办法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政府采购竞争性磋商采购方式管理暂行办法》和政府采购管理有关规定编制，本竞争性磋商文件的解释权属于</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w:t>
      </w:r>
      <w:bookmarkEnd w:id="332"/>
    </w:p>
    <w:p w14:paraId="60045F7C">
      <w:pPr>
        <w:pStyle w:val="2"/>
        <w:rPr>
          <w:rFonts w:hint="eastAsia" w:ascii="宋体" w:hAnsi="宋体" w:cs="宋体"/>
          <w:color w:val="000000" w:themeColor="text1"/>
          <w:highlight w:val="none"/>
          <w14:textFill>
            <w14:solidFill>
              <w14:schemeClr w14:val="tx1"/>
            </w14:solidFill>
          </w14:textFill>
        </w:rPr>
      </w:pPr>
      <w:bookmarkStart w:id="341" w:name="_Toc17907"/>
      <w:bookmarkStart w:id="342" w:name="_Toc23297"/>
      <w:r>
        <w:rPr>
          <w:rStyle w:val="53"/>
          <w:b w:val="0"/>
          <w:bCs w:val="0"/>
          <w:color w:val="000000" w:themeColor="text1"/>
          <w:highlight w:val="none"/>
          <w14:textFill>
            <w14:solidFill>
              <w14:schemeClr w14:val="tx1"/>
            </w14:solidFill>
          </w14:textFill>
        </w:rPr>
        <w:br w:type="page"/>
      </w:r>
      <w:bookmarkEnd w:id="341"/>
      <w:bookmarkStart w:id="343" w:name="_Toc88"/>
      <w:r>
        <w:rPr>
          <w:rFonts w:hint="eastAsia" w:ascii="宋体" w:hAnsi="宋体" w:cs="宋体"/>
          <w:color w:val="000000" w:themeColor="text1"/>
          <w:highlight w:val="none"/>
          <w14:textFill>
            <w14:solidFill>
              <w14:schemeClr w14:val="tx1"/>
            </w14:solidFill>
          </w14:textFill>
        </w:rPr>
        <w:t>第三章  采购需求</w:t>
      </w:r>
      <w:bookmarkEnd w:id="343"/>
    </w:p>
    <w:p w14:paraId="245A17E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说明：</w:t>
      </w:r>
    </w:p>
    <w:p w14:paraId="07192945">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1.“实质性要求”是指采购需求中带“▲”的条款或者不能负偏离的条款或者已经指明不满足按响应文件作无效处理的条款。</w:t>
      </w:r>
    </w:p>
    <w:p w14:paraId="7D533D8B">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2.供应商应根据自身实际情况如实响应竞争性磋商文件</w:t>
      </w:r>
      <w:r>
        <w:rPr>
          <w:rFonts w:hint="eastAsia" w:ascii="宋体" w:hAnsi="宋体" w:cs="宋体"/>
          <w:color w:val="000000" w:themeColor="text1"/>
          <w:sz w:val="18"/>
          <w:szCs w:val="18"/>
          <w:lang w:val="en-US" w:eastAsia="zh-CN"/>
          <w14:textFill>
            <w14:solidFill>
              <w14:schemeClr w14:val="tx1"/>
            </w14:solidFill>
          </w14:textFill>
        </w:rPr>
        <w:t>中技术（服务）和商务需求参数</w:t>
      </w:r>
      <w:r>
        <w:rPr>
          <w:rFonts w:hint="eastAsia" w:ascii="宋体" w:hAnsi="宋体" w:eastAsia="宋体" w:cs="宋体"/>
          <w:color w:val="000000" w:themeColor="text1"/>
          <w:sz w:val="18"/>
          <w:szCs w:val="18"/>
          <w14:textFill>
            <w14:solidFill>
              <w14:schemeClr w14:val="tx1"/>
            </w14:solidFill>
          </w14:textFill>
        </w:rPr>
        <w:t>。</w:t>
      </w:r>
    </w:p>
    <w:p w14:paraId="5D8D4020">
      <w:pPr>
        <w:keepNext w:val="0"/>
        <w:keepLines w:val="0"/>
        <w:pageBreakBefore w:val="0"/>
        <w:widowControl/>
        <w:kinsoku/>
        <w:wordWrap/>
        <w:overflowPunct/>
        <w:topLinePunct w:val="0"/>
        <w:autoSpaceDE/>
        <w:autoSpaceDN/>
        <w:bidi w:val="0"/>
        <w:adjustRightInd/>
        <w:snapToGrid/>
        <w:spacing w:line="240" w:lineRule="auto"/>
        <w:ind w:firstLine="363" w:firstLineChars="202"/>
        <w:jc w:val="left"/>
        <w:textAlignment w:val="auto"/>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w:t>
      </w:r>
      <w:r>
        <w:rPr>
          <w:rFonts w:hint="eastAsia" w:ascii="宋体" w:hAnsi="宋体" w:cs="宋体"/>
          <w:color w:val="000000" w:themeColor="text1"/>
          <w:sz w:val="18"/>
          <w:szCs w:val="18"/>
          <w:lang w:val="en-US" w:eastAsia="zh-CN" w:bidi="ar"/>
          <w14:textFill>
            <w14:solidFill>
              <w14:schemeClr w14:val="tx1"/>
            </w14:solidFill>
          </w14:textFill>
        </w:rPr>
        <w:t>本项目允许负偏离条款数为：（1）技术（服务）需求参数  0  条；（2）商务需求参数</w:t>
      </w:r>
    </w:p>
    <w:tbl>
      <w:tblPr>
        <w:tblStyle w:val="36"/>
        <w:tblpPr w:leftFromText="180" w:rightFromText="180" w:vertAnchor="text" w:horzAnchor="page" w:tblpX="872" w:tblpY="63"/>
        <w:tblOverlap w:val="never"/>
        <w:tblW w:w="104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3332"/>
        <w:gridCol w:w="1575"/>
        <w:gridCol w:w="3695"/>
      </w:tblGrid>
      <w:tr w14:paraId="5DCDE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1804" w:type="dxa"/>
            <w:tcBorders>
              <w:top w:val="single" w:color="auto" w:sz="4" w:space="0"/>
              <w:left w:val="single" w:color="auto" w:sz="4" w:space="0"/>
              <w:bottom w:val="single" w:color="auto" w:sz="4" w:space="0"/>
            </w:tcBorders>
            <w:noWrap w:val="0"/>
            <w:vAlign w:val="center"/>
          </w:tcPr>
          <w:p w14:paraId="548BEF6C">
            <w:pPr>
              <w:keepNext w:val="0"/>
              <w:keepLines w:val="0"/>
              <w:pageBreakBefore w:val="0"/>
              <w:tabs>
                <w:tab w:val="left" w:pos="180"/>
                <w:tab w:val="left" w:pos="1620"/>
              </w:tabs>
              <w:kinsoku/>
              <w:overflowPunct/>
              <w:autoSpaceDE/>
              <w:autoSpaceDN/>
              <w:bidi w:val="0"/>
              <w:spacing w:line="400" w:lineRule="exact"/>
              <w:jc w:val="center"/>
              <w:textAlignment w:val="auto"/>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项目名称</w:t>
            </w:r>
          </w:p>
        </w:tc>
        <w:tc>
          <w:tcPr>
            <w:tcW w:w="8602" w:type="dxa"/>
            <w:gridSpan w:val="3"/>
            <w:tcBorders>
              <w:top w:val="single" w:color="auto" w:sz="4" w:space="0"/>
              <w:bottom w:val="single" w:color="auto" w:sz="4" w:space="0"/>
              <w:right w:val="single" w:color="auto" w:sz="4" w:space="0"/>
            </w:tcBorders>
            <w:noWrap w:val="0"/>
            <w:vAlign w:val="center"/>
          </w:tcPr>
          <w:p w14:paraId="4F466E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sz w:val="18"/>
                <w:szCs w:val="18"/>
                <w:highlight w:val="none"/>
              </w:rPr>
            </w:pPr>
            <w:r>
              <w:rPr>
                <w:rFonts w:hint="eastAsia" w:ascii="宋体" w:hAnsi="宋体" w:eastAsia="宋体" w:cs="宋体"/>
                <w:b w:val="0"/>
                <w:bCs w:val="0"/>
                <w:sz w:val="18"/>
                <w:szCs w:val="18"/>
                <w:lang w:val="en-US" w:eastAsia="zh-CN"/>
              </w:rPr>
              <w:t>广西骨伤医院治安监控室视频监控系统维护保养</w:t>
            </w:r>
            <w:r>
              <w:rPr>
                <w:rFonts w:hint="eastAsia" w:ascii="宋体" w:hAnsi="宋体" w:eastAsia="宋体" w:cs="宋体"/>
                <w:b w:val="0"/>
                <w:bCs w:val="0"/>
                <w:sz w:val="18"/>
                <w:szCs w:val="18"/>
              </w:rPr>
              <w:t>项目</w:t>
            </w:r>
          </w:p>
        </w:tc>
      </w:tr>
      <w:tr w14:paraId="5B2B2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1804" w:type="dxa"/>
            <w:tcBorders>
              <w:top w:val="single" w:color="auto" w:sz="4" w:space="0"/>
              <w:left w:val="single" w:color="auto" w:sz="4" w:space="0"/>
              <w:bottom w:val="single" w:color="auto" w:sz="4" w:space="0"/>
            </w:tcBorders>
            <w:noWrap w:val="0"/>
            <w:vAlign w:val="center"/>
          </w:tcPr>
          <w:p w14:paraId="2EA65173">
            <w:pPr>
              <w:keepNext w:val="0"/>
              <w:keepLines w:val="0"/>
              <w:pageBreakBefore w:val="0"/>
              <w:tabs>
                <w:tab w:val="left" w:pos="180"/>
                <w:tab w:val="left" w:pos="1620"/>
              </w:tabs>
              <w:kinsoku/>
              <w:overflowPunct/>
              <w:autoSpaceDE/>
              <w:autoSpaceDN/>
              <w:bidi w:val="0"/>
              <w:adjustRightInd/>
              <w:spacing w:line="320" w:lineRule="exact"/>
              <w:jc w:val="center"/>
              <w:textAlignment w:val="auto"/>
              <w:rPr>
                <w:rFonts w:hint="default" w:ascii="宋体" w:hAnsi="宋体" w:cs="宋体"/>
                <w:color w:val="000000"/>
                <w:sz w:val="18"/>
                <w:szCs w:val="18"/>
                <w:highlight w:val="none"/>
                <w:lang w:val="en-US" w:eastAsia="zh-CN"/>
              </w:rPr>
            </w:pPr>
            <w:bookmarkStart w:id="344" w:name="OLE_LINK20" w:colFirst="0" w:colLast="1"/>
            <w:r>
              <w:rPr>
                <w:rFonts w:hint="eastAsia" w:ascii="宋体" w:hAnsi="宋体" w:cs="宋体"/>
                <w:color w:val="000000"/>
                <w:sz w:val="18"/>
                <w:szCs w:val="18"/>
                <w:highlight w:val="none"/>
                <w:lang w:val="en-US" w:eastAsia="zh-CN"/>
              </w:rPr>
              <w:t>采购数量</w:t>
            </w:r>
          </w:p>
        </w:tc>
        <w:tc>
          <w:tcPr>
            <w:tcW w:w="3332" w:type="dxa"/>
            <w:tcBorders>
              <w:top w:val="single" w:color="auto" w:sz="4" w:space="0"/>
              <w:bottom w:val="single" w:color="auto" w:sz="4" w:space="0"/>
              <w:right w:val="single" w:color="auto" w:sz="4" w:space="0"/>
            </w:tcBorders>
            <w:noWrap w:val="0"/>
            <w:vAlign w:val="center"/>
          </w:tcPr>
          <w:p w14:paraId="42D2BE7C">
            <w:pPr>
              <w:keepNext w:val="0"/>
              <w:keepLines w:val="0"/>
              <w:pageBreakBefore w:val="0"/>
              <w:tabs>
                <w:tab w:val="left" w:pos="180"/>
                <w:tab w:val="left" w:pos="1620"/>
              </w:tabs>
              <w:kinsoku/>
              <w:overflowPunct/>
              <w:autoSpaceDE/>
              <w:autoSpaceDN/>
              <w:bidi w:val="0"/>
              <w:adjustRightInd/>
              <w:spacing w:line="320" w:lineRule="exact"/>
              <w:jc w:val="center"/>
              <w:textAlignment w:val="auto"/>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1项</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110DEB1">
            <w:pPr>
              <w:keepNext w:val="0"/>
              <w:keepLines w:val="0"/>
              <w:pageBreakBefore w:val="0"/>
              <w:tabs>
                <w:tab w:val="left" w:pos="180"/>
                <w:tab w:val="left" w:pos="1620"/>
              </w:tabs>
              <w:kinsoku/>
              <w:overflowPunct/>
              <w:autoSpaceDE/>
              <w:autoSpaceDN/>
              <w:bidi w:val="0"/>
              <w:adjustRightInd/>
              <w:spacing w:line="320" w:lineRule="exact"/>
              <w:jc w:val="center"/>
              <w:textAlignment w:val="auto"/>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上控价（元）</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587A977B">
            <w:pPr>
              <w:keepNext w:val="0"/>
              <w:keepLines w:val="0"/>
              <w:pageBreakBefore w:val="0"/>
              <w:tabs>
                <w:tab w:val="left" w:pos="180"/>
                <w:tab w:val="left" w:pos="1620"/>
              </w:tabs>
              <w:kinsoku/>
              <w:overflowPunct/>
              <w:autoSpaceDE/>
              <w:autoSpaceDN/>
              <w:bidi w:val="0"/>
              <w:adjustRightInd/>
              <w:spacing w:line="320" w:lineRule="exact"/>
              <w:jc w:val="center"/>
              <w:textAlignment w:val="auto"/>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 xml:space="preserve">49980.00                </w:t>
            </w:r>
          </w:p>
        </w:tc>
      </w:tr>
      <w:tr w14:paraId="11778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10406" w:type="dxa"/>
            <w:gridSpan w:val="4"/>
            <w:tcBorders>
              <w:top w:val="single" w:color="auto" w:sz="4" w:space="0"/>
            </w:tcBorders>
            <w:noWrap w:val="0"/>
            <w:vAlign w:val="center"/>
          </w:tcPr>
          <w:p w14:paraId="0C08A171">
            <w:pPr>
              <w:keepNext w:val="0"/>
              <w:keepLines w:val="0"/>
              <w:pageBreakBefore w:val="0"/>
              <w:tabs>
                <w:tab w:val="left" w:pos="180"/>
                <w:tab w:val="left" w:pos="1620"/>
              </w:tabs>
              <w:kinsoku/>
              <w:wordWrap/>
              <w:overflowPunct/>
              <w:topLinePunct w:val="0"/>
              <w:autoSpaceDE/>
              <w:autoSpaceDN/>
              <w:bidi w:val="0"/>
              <w:adjustRightInd/>
              <w:spacing w:line="320" w:lineRule="exact"/>
              <w:jc w:val="center"/>
              <w:textAlignment w:val="auto"/>
              <w:rPr>
                <w:rFonts w:hint="eastAsia" w:ascii="黑体" w:hAnsi="黑体" w:eastAsia="黑体" w:cs="黑体"/>
                <w:sz w:val="18"/>
                <w:szCs w:val="18"/>
                <w:highlight w:val="none"/>
                <w:lang w:val="en-US" w:eastAsia="zh-CN"/>
              </w:rPr>
            </w:pPr>
            <w:r>
              <w:rPr>
                <w:rFonts w:hint="eastAsia" w:ascii="黑体" w:hAnsi="黑体" w:eastAsia="黑体" w:cs="黑体"/>
                <w:sz w:val="18"/>
                <w:szCs w:val="18"/>
                <w:highlight w:val="none"/>
              </w:rPr>
              <w:t>技术</w:t>
            </w:r>
            <w:r>
              <w:rPr>
                <w:rFonts w:hint="eastAsia" w:ascii="黑体" w:hAnsi="黑体" w:eastAsia="黑体" w:cs="黑体"/>
                <w:sz w:val="18"/>
                <w:szCs w:val="18"/>
                <w:highlight w:val="none"/>
                <w:lang w:val="en-US" w:eastAsia="zh-CN"/>
              </w:rPr>
              <w:t>需求参数</w:t>
            </w:r>
          </w:p>
          <w:p w14:paraId="1A98E7B6">
            <w:pPr>
              <w:keepNext w:val="0"/>
              <w:keepLines w:val="0"/>
              <w:pageBreakBefore w:val="0"/>
              <w:widowControl/>
              <w:kinsoku/>
              <w:wordWrap/>
              <w:overflowPunct/>
              <w:topLinePunct w:val="0"/>
              <w:autoSpaceDE/>
              <w:autoSpaceDN/>
              <w:bidi w:val="0"/>
              <w:adjustRightInd/>
              <w:snapToGrid w:val="0"/>
              <w:spacing w:line="320" w:lineRule="exact"/>
              <w:ind w:firstLine="360" w:firstLineChars="200"/>
              <w:jc w:val="center"/>
              <w:textAlignment w:val="auto"/>
              <w:rPr>
                <w:rFonts w:hint="eastAsia"/>
                <w:sz w:val="18"/>
                <w:szCs w:val="18"/>
              </w:rPr>
            </w:pPr>
            <w:r>
              <w:rPr>
                <w:rFonts w:hint="eastAsia" w:ascii="Times New Roman" w:hAnsi="Times New Roman" w:eastAsia="宋体" w:cs="Times New Roman"/>
                <w:sz w:val="18"/>
                <w:szCs w:val="18"/>
                <w:highlight w:val="none"/>
                <w:lang w:val="en-US" w:eastAsia="zh-CN"/>
              </w:rPr>
              <w:t>（对服务的内容、时间、成果质量等详细要求）</w:t>
            </w:r>
          </w:p>
        </w:tc>
      </w:tr>
      <w:tr w14:paraId="2026E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trPr>
        <w:tc>
          <w:tcPr>
            <w:tcW w:w="10406" w:type="dxa"/>
            <w:gridSpan w:val="4"/>
            <w:noWrap w:val="0"/>
            <w:vAlign w:val="center"/>
          </w:tcPr>
          <w:p w14:paraId="5D36EAF3">
            <w:pPr>
              <w:keepNext w:val="0"/>
              <w:keepLines w:val="0"/>
              <w:pageBreakBefore w:val="0"/>
              <w:widowControl/>
              <w:kinsoku/>
              <w:overflowPunct/>
              <w:autoSpaceDE/>
              <w:autoSpaceDN/>
              <w:bidi w:val="0"/>
              <w:adjustRightInd/>
              <w:snapToGrid w:val="0"/>
              <w:spacing w:line="320" w:lineRule="exact"/>
              <w:jc w:val="left"/>
              <w:textAlignment w:val="auto"/>
              <w:rPr>
                <w:rFonts w:hint="eastAsia" w:ascii="黑体" w:hAnsi="黑体" w:eastAsia="黑体" w:cs="黑体"/>
                <w:b/>
                <w:bCs/>
                <w:sz w:val="18"/>
                <w:szCs w:val="18"/>
                <w:highlight w:val="none"/>
                <w:lang w:eastAsia="zh-CN"/>
              </w:rPr>
            </w:pPr>
            <w:bookmarkStart w:id="345" w:name="OLE_LINK17"/>
            <w:r>
              <w:rPr>
                <w:rFonts w:hint="eastAsia" w:ascii="黑体" w:hAnsi="黑体" w:eastAsia="黑体" w:cs="黑体"/>
                <w:b/>
                <w:bCs/>
                <w:sz w:val="18"/>
                <w:szCs w:val="18"/>
                <w:highlight w:val="none"/>
                <w:lang w:val="en-US" w:eastAsia="zh-CN"/>
              </w:rPr>
              <w:t>一</w:t>
            </w:r>
            <w:r>
              <w:rPr>
                <w:rFonts w:hint="eastAsia" w:ascii="黑体" w:hAnsi="黑体" w:eastAsia="黑体" w:cs="黑体"/>
                <w:b/>
                <w:bCs/>
                <w:sz w:val="18"/>
                <w:szCs w:val="18"/>
                <w:highlight w:val="none"/>
              </w:rPr>
              <w:t>、</w:t>
            </w:r>
            <w:r>
              <w:rPr>
                <w:rFonts w:hint="eastAsia" w:ascii="黑体" w:hAnsi="黑体" w:eastAsia="黑体" w:cs="黑体"/>
                <w:b/>
                <w:bCs/>
                <w:sz w:val="18"/>
                <w:szCs w:val="18"/>
                <w:highlight w:val="none"/>
                <w:lang w:val="en-US" w:eastAsia="zh-CN"/>
              </w:rPr>
              <w:t>服务内容</w:t>
            </w:r>
          </w:p>
          <w:p w14:paraId="7A01700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z w:val="18"/>
                <w:szCs w:val="18"/>
              </w:rPr>
            </w:pPr>
            <w:r>
              <w:rPr>
                <w:rFonts w:hint="eastAsia" w:ascii="宋体" w:hAnsi="宋体" w:eastAsia="宋体" w:cs="宋体"/>
                <w:sz w:val="18"/>
                <w:szCs w:val="18"/>
              </w:rPr>
              <w:t>1.对</w:t>
            </w:r>
            <w:r>
              <w:rPr>
                <w:rFonts w:hint="eastAsia" w:ascii="宋体" w:hAnsi="宋体"/>
                <w:sz w:val="18"/>
                <w:szCs w:val="18"/>
                <w:highlight w:val="none"/>
                <w:u w:val="none"/>
                <w:lang w:val="en-US" w:eastAsia="zh-CN"/>
              </w:rPr>
              <w:t>广西骨伤医院本部、锦华办公区、长虹社区卫生服务中心、方园社区卫生服务中心及民生路门诊</w:t>
            </w:r>
            <w:r>
              <w:rPr>
                <w:rFonts w:hint="eastAsia" w:ascii="宋体" w:hAnsi="宋体" w:eastAsia="宋体" w:cs="宋体"/>
                <w:sz w:val="18"/>
                <w:szCs w:val="18"/>
              </w:rPr>
              <w:t>所有的监控设备每周一次负责进行日常维修维护，并确保各系统正常运行。</w:t>
            </w:r>
          </w:p>
          <w:p w14:paraId="5353D13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z w:val="18"/>
                <w:szCs w:val="18"/>
              </w:rPr>
            </w:pPr>
            <w:r>
              <w:rPr>
                <w:rFonts w:hint="eastAsia" w:ascii="宋体" w:hAnsi="宋体" w:eastAsia="宋体" w:cs="宋体"/>
                <w:sz w:val="18"/>
                <w:szCs w:val="18"/>
              </w:rPr>
              <w:t>2.每月对所有的监控设备进行</w:t>
            </w:r>
            <w:r>
              <w:rPr>
                <w:rFonts w:hint="eastAsia" w:ascii="宋体" w:hAnsi="宋体" w:eastAsia="宋体" w:cs="宋体"/>
                <w:sz w:val="18"/>
                <w:szCs w:val="18"/>
                <w:lang w:val="en-US" w:eastAsia="zh-CN"/>
              </w:rPr>
              <w:t>三</w:t>
            </w:r>
            <w:r>
              <w:rPr>
                <w:rFonts w:hint="eastAsia" w:ascii="宋体" w:hAnsi="宋体" w:eastAsia="宋体" w:cs="宋体"/>
                <w:sz w:val="18"/>
                <w:szCs w:val="18"/>
              </w:rPr>
              <w:t>到</w:t>
            </w:r>
            <w:r>
              <w:rPr>
                <w:rFonts w:hint="eastAsia" w:ascii="宋体" w:hAnsi="宋体" w:eastAsia="宋体" w:cs="宋体"/>
                <w:sz w:val="18"/>
                <w:szCs w:val="18"/>
                <w:lang w:val="en-US" w:eastAsia="zh-CN"/>
              </w:rPr>
              <w:t>四</w:t>
            </w:r>
            <w:r>
              <w:rPr>
                <w:rFonts w:hint="eastAsia" w:ascii="宋体" w:hAnsi="宋体" w:eastAsia="宋体" w:cs="宋体"/>
                <w:sz w:val="18"/>
                <w:szCs w:val="18"/>
              </w:rPr>
              <w:t>次的巡检，对发现的问题和隐患进行排除。</w:t>
            </w:r>
          </w:p>
          <w:p w14:paraId="468158F7">
            <w:pPr>
              <w:keepNext w:val="0"/>
              <w:keepLines w:val="0"/>
              <w:pageBreakBefore w:val="0"/>
              <w:widowControl w:val="0"/>
              <w:tabs>
                <w:tab w:val="left" w:pos="840"/>
              </w:tabs>
              <w:kinsoku/>
              <w:wordWrap/>
              <w:overflowPunct/>
              <w:topLinePunct w:val="0"/>
              <w:autoSpaceDE/>
              <w:autoSpaceDN/>
              <w:bidi w:val="0"/>
              <w:adjustRightInd/>
              <w:snapToGrid/>
              <w:spacing w:line="320" w:lineRule="exact"/>
              <w:jc w:val="left"/>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3.</w:t>
            </w:r>
            <w:r>
              <w:rPr>
                <w:rFonts w:hint="eastAsia" w:ascii="宋体" w:hAnsi="宋体" w:eastAsia="宋体" w:cs="宋体"/>
                <w:sz w:val="18"/>
                <w:szCs w:val="18"/>
                <w:lang w:val="en-US" w:eastAsia="zh-CN"/>
              </w:rPr>
              <w:t>对前端设备和控制端（监控室）设备进行除尘去污。</w:t>
            </w:r>
          </w:p>
          <w:p w14:paraId="653685E0">
            <w:pPr>
              <w:keepNext w:val="0"/>
              <w:keepLines w:val="0"/>
              <w:pageBreakBefore w:val="0"/>
              <w:widowControl w:val="0"/>
              <w:tabs>
                <w:tab w:val="left" w:pos="840"/>
              </w:tabs>
              <w:kinsoku/>
              <w:wordWrap/>
              <w:overflowPunct/>
              <w:topLinePunct w:val="0"/>
              <w:autoSpaceDE/>
              <w:autoSpaceDN/>
              <w:bidi w:val="0"/>
              <w:adjustRightInd/>
              <w:snapToGrid/>
              <w:spacing w:line="320" w:lineRule="exact"/>
              <w:jc w:val="lef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4.环境变化需要调整的监控点进行调整。</w:t>
            </w:r>
          </w:p>
          <w:p w14:paraId="07460C8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提供免费</w:t>
            </w:r>
            <w:r>
              <w:rPr>
                <w:rFonts w:hint="eastAsia" w:ascii="宋体" w:hAnsi="宋体" w:eastAsia="宋体" w:cs="宋体"/>
                <w:snapToGrid w:val="0"/>
                <w:sz w:val="18"/>
                <w:szCs w:val="18"/>
              </w:rPr>
              <w:t>培训，确保</w:t>
            </w:r>
            <w:r>
              <w:rPr>
                <w:rFonts w:hint="eastAsia" w:ascii="宋体" w:hAnsi="宋体" w:eastAsia="宋体" w:cs="宋体"/>
                <w:snapToGrid w:val="0"/>
                <w:sz w:val="18"/>
                <w:szCs w:val="18"/>
                <w:lang w:val="en-US" w:eastAsia="zh-CN"/>
              </w:rPr>
              <w:t>新换岗</w:t>
            </w:r>
            <w:r>
              <w:rPr>
                <w:rFonts w:hint="eastAsia" w:ascii="宋体" w:hAnsi="宋体" w:eastAsia="宋体" w:cs="宋体"/>
                <w:snapToGrid w:val="0"/>
                <w:sz w:val="18"/>
                <w:szCs w:val="18"/>
              </w:rPr>
              <w:t>人员掌握一般操作能力和一定的维护能力，</w:t>
            </w:r>
            <w:r>
              <w:rPr>
                <w:rFonts w:hint="eastAsia" w:ascii="宋体" w:hAnsi="宋体" w:eastAsia="宋体" w:cs="宋体"/>
                <w:sz w:val="18"/>
                <w:szCs w:val="18"/>
              </w:rPr>
              <w:t>熟悉日常维护工作，有能力处理一般性问题，并消除系统因使用或操作不当而引起的故障，减少突发故障的发生。</w:t>
            </w:r>
          </w:p>
          <w:p w14:paraId="66D35221">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eastAsia" w:ascii="黑体" w:hAnsi="黑体" w:eastAsia="黑体" w:cs="黑体"/>
                <w:b/>
                <w:bCs/>
                <w:sz w:val="18"/>
                <w:szCs w:val="18"/>
                <w:highlight w:val="none"/>
                <w:lang w:eastAsia="zh-CN"/>
              </w:rPr>
            </w:pPr>
            <w:r>
              <w:rPr>
                <w:rFonts w:hint="eastAsia" w:ascii="黑体" w:hAnsi="黑体" w:eastAsia="黑体" w:cs="黑体"/>
                <w:b/>
                <w:bCs/>
                <w:sz w:val="18"/>
                <w:szCs w:val="18"/>
                <w:highlight w:val="none"/>
                <w:lang w:val="en-US" w:eastAsia="zh-CN"/>
              </w:rPr>
              <w:t>二</w:t>
            </w:r>
            <w:r>
              <w:rPr>
                <w:rFonts w:hint="eastAsia" w:ascii="黑体" w:hAnsi="黑体" w:eastAsia="黑体" w:cs="黑体"/>
                <w:b/>
                <w:bCs/>
                <w:sz w:val="18"/>
                <w:szCs w:val="18"/>
                <w:highlight w:val="none"/>
              </w:rPr>
              <w:t>、服务要求</w:t>
            </w:r>
            <w:r>
              <w:rPr>
                <w:rFonts w:hint="eastAsia" w:ascii="黑体" w:hAnsi="黑体" w:eastAsia="黑体" w:cs="黑体"/>
                <w:b/>
                <w:bCs/>
                <w:sz w:val="18"/>
                <w:szCs w:val="18"/>
                <w:highlight w:val="none"/>
                <w:lang w:eastAsia="zh-CN"/>
              </w:rPr>
              <w:t>：</w:t>
            </w:r>
          </w:p>
          <w:p w14:paraId="684832C8">
            <w:pPr>
              <w:pStyle w:val="4"/>
              <w:keepNext w:val="0"/>
              <w:keepLines w:val="0"/>
              <w:pageBreakBefore w:val="0"/>
              <w:widowControl/>
              <w:suppressLineNumbers w:val="0"/>
              <w:kinsoku/>
              <w:wordWrap/>
              <w:overflowPunct/>
              <w:topLinePunct w:val="0"/>
              <w:autoSpaceDE/>
              <w:autoSpaceDN/>
              <w:bidi w:val="0"/>
              <w:adjustRightInd/>
              <w:spacing w:before="0" w:after="0" w:line="320" w:lineRule="exact"/>
              <w:jc w:val="left"/>
              <w:textAlignment w:val="auto"/>
              <w:rPr>
                <w:sz w:val="18"/>
                <w:szCs w:val="18"/>
                <w:vertAlign w:val="baseline"/>
              </w:rPr>
            </w:pPr>
            <w:bookmarkStart w:id="346" w:name="OLE_LINK3"/>
            <w:r>
              <w:rPr>
                <w:rFonts w:hint="eastAsia"/>
                <w:sz w:val="18"/>
                <w:szCs w:val="18"/>
                <w:lang w:eastAsia="zh-CN"/>
              </w:rPr>
              <w:t>（</w:t>
            </w:r>
            <w:r>
              <w:rPr>
                <w:rFonts w:hint="eastAsia"/>
                <w:sz w:val="18"/>
                <w:szCs w:val="18"/>
                <w:lang w:val="en-US" w:eastAsia="zh-CN"/>
              </w:rPr>
              <w:t>一</w:t>
            </w:r>
            <w:r>
              <w:rPr>
                <w:rFonts w:hint="eastAsia"/>
                <w:sz w:val="18"/>
                <w:szCs w:val="18"/>
                <w:lang w:eastAsia="zh-CN"/>
              </w:rPr>
              <w:t>）、</w:t>
            </w:r>
            <w:r>
              <w:rPr>
                <w:sz w:val="18"/>
                <w:szCs w:val="18"/>
              </w:rPr>
              <w:t>维</w:t>
            </w:r>
            <w:bookmarkStart w:id="347" w:name="OLE_LINK4"/>
            <w:r>
              <w:rPr>
                <w:sz w:val="18"/>
                <w:szCs w:val="18"/>
              </w:rPr>
              <w:t>护保养范围及设施明细</w:t>
            </w:r>
            <w:bookmarkEnd w:id="347"/>
          </w:p>
          <w:tbl>
            <w:tblPr>
              <w:tblStyle w:val="37"/>
              <w:tblW w:w="10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747"/>
              <w:gridCol w:w="1455"/>
              <w:gridCol w:w="5923"/>
            </w:tblGrid>
            <w:tr w14:paraId="54F8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065" w:type="dxa"/>
                  <w:noWrap w:val="0"/>
                  <w:vAlign w:val="top"/>
                </w:tcPr>
                <w:p w14:paraId="4D2955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bookmarkStart w:id="348" w:name="OLE_LINK12"/>
                  <w:r>
                    <w:rPr>
                      <w:rFonts w:hint="eastAsia" w:ascii="宋体" w:hAnsi="宋体" w:eastAsia="宋体" w:cs="宋体"/>
                      <w:color w:val="auto"/>
                      <w:sz w:val="18"/>
                      <w:szCs w:val="18"/>
                      <w:lang w:val="en-US" w:eastAsia="zh-CN"/>
                    </w:rPr>
                    <w:t>设施类别</w:t>
                  </w:r>
                </w:p>
              </w:tc>
              <w:tc>
                <w:tcPr>
                  <w:tcW w:w="1747" w:type="dxa"/>
                  <w:noWrap w:val="0"/>
                  <w:vAlign w:val="top"/>
                </w:tcPr>
                <w:p w14:paraId="717A3B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具体设施名称</w:t>
                  </w:r>
                </w:p>
              </w:tc>
              <w:tc>
                <w:tcPr>
                  <w:tcW w:w="1455" w:type="dxa"/>
                  <w:noWrap w:val="0"/>
                  <w:vAlign w:val="top"/>
                </w:tcPr>
                <w:p w14:paraId="00529E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数量估算</w:t>
                  </w:r>
                </w:p>
              </w:tc>
              <w:tc>
                <w:tcPr>
                  <w:tcW w:w="5923" w:type="dxa"/>
                  <w:noWrap w:val="0"/>
                  <w:vAlign w:val="top"/>
                </w:tcPr>
                <w:p w14:paraId="1610EB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bookmarkStart w:id="349" w:name="OLE_LINK6"/>
                  <w:r>
                    <w:rPr>
                      <w:rFonts w:hint="eastAsia" w:ascii="宋体" w:hAnsi="宋体" w:eastAsia="宋体" w:cs="宋体"/>
                      <w:color w:val="auto"/>
                      <w:sz w:val="18"/>
                      <w:szCs w:val="18"/>
                      <w:lang w:val="en-US" w:eastAsia="zh-CN"/>
                    </w:rPr>
                    <w:t>维护保养核心要点（必达标准）</w:t>
                  </w:r>
                  <w:bookmarkEnd w:id="349"/>
                </w:p>
              </w:tc>
            </w:tr>
            <w:tr w14:paraId="4D5D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1065" w:type="dxa"/>
                  <w:vMerge w:val="restart"/>
                  <w:noWrap w:val="0"/>
                  <w:vAlign w:val="top"/>
                </w:tcPr>
                <w:p w14:paraId="1BD6A34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lang w:val="en-US" w:eastAsia="zh-CN"/>
                    </w:rPr>
                  </w:pPr>
                  <w:bookmarkStart w:id="350" w:name="OLE_LINK9" w:colFirst="0" w:colLast="0"/>
                </w:p>
                <w:p w14:paraId="388EBA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p>
                <w:p w14:paraId="3C61CF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监</w:t>
                  </w:r>
                </w:p>
                <w:p w14:paraId="332557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控</w:t>
                  </w:r>
                </w:p>
                <w:p w14:paraId="56A557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室</w:t>
                  </w:r>
                </w:p>
                <w:p w14:paraId="55DE0FA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控</w:t>
                  </w:r>
                </w:p>
                <w:p w14:paraId="70F8A34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制</w:t>
                  </w:r>
                </w:p>
                <w:p w14:paraId="17B83F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设</w:t>
                  </w:r>
                  <w:bookmarkStart w:id="351" w:name="OLE_LINK10"/>
                </w:p>
                <w:p w14:paraId="5A9066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备</w:t>
                  </w:r>
                  <w:bookmarkEnd w:id="351"/>
                </w:p>
              </w:tc>
              <w:tc>
                <w:tcPr>
                  <w:tcW w:w="1747" w:type="dxa"/>
                  <w:noWrap w:val="0"/>
                  <w:vAlign w:val="center"/>
                </w:tcPr>
                <w:p w14:paraId="7D3D6E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视频监控主机</w:t>
                  </w:r>
                  <w:bookmarkStart w:id="352" w:name="OLE_LINK16"/>
                  <w:r>
                    <w:rPr>
                      <w:rFonts w:hint="eastAsia" w:ascii="宋体" w:hAnsi="宋体" w:eastAsia="宋体" w:cs="宋体"/>
                      <w:color w:val="auto"/>
                      <w:sz w:val="18"/>
                      <w:szCs w:val="18"/>
                      <w:lang w:val="en-US" w:eastAsia="zh-CN"/>
                    </w:rPr>
                    <w:t>（NVR）</w:t>
                  </w:r>
                  <w:bookmarkEnd w:id="352"/>
                </w:p>
              </w:tc>
              <w:tc>
                <w:tcPr>
                  <w:tcW w:w="1455" w:type="dxa"/>
                  <w:noWrap w:val="0"/>
                  <w:vAlign w:val="center"/>
                </w:tcPr>
                <w:p w14:paraId="284C5A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bookmarkStart w:id="353" w:name="OLE_LINK7"/>
                  <w:r>
                    <w:rPr>
                      <w:rFonts w:hint="eastAsia" w:ascii="宋体" w:hAnsi="宋体" w:eastAsia="宋体" w:cs="宋体"/>
                      <w:color w:val="auto"/>
                      <w:sz w:val="18"/>
                      <w:szCs w:val="18"/>
                      <w:lang w:val="en-US" w:eastAsia="zh-CN"/>
                    </w:rPr>
                    <w:t>1台</w:t>
                  </w:r>
                  <w:bookmarkEnd w:id="353"/>
                </w:p>
              </w:tc>
              <w:tc>
                <w:tcPr>
                  <w:tcW w:w="5923" w:type="dxa"/>
                  <w:noWrap w:val="0"/>
                  <w:vAlign w:val="top"/>
                </w:tcPr>
                <w:p w14:paraId="7A3634A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1. 每周检查主机运行状态、硬盘存储健康度，清理机身及接口灰尘、系统缓存；2. 每月测试录像回放、检索功能，确保录像保存时长≥30天，无漏录、断录；3. 每季度检测主备电切换功能（切换时间≤3秒），备份系统配置，排查主板、接口故障。</w:t>
                  </w:r>
                </w:p>
              </w:tc>
            </w:tr>
            <w:tr w14:paraId="0A0F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continue"/>
                  <w:noWrap w:val="0"/>
                  <w:vAlign w:val="top"/>
                </w:tcPr>
                <w:p w14:paraId="1516506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p>
              </w:tc>
              <w:tc>
                <w:tcPr>
                  <w:tcW w:w="1747" w:type="dxa"/>
                  <w:noWrap w:val="0"/>
                  <w:vAlign w:val="center"/>
                </w:tcPr>
                <w:p w14:paraId="5637C89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监控显示器</w:t>
                  </w:r>
                </w:p>
              </w:tc>
              <w:tc>
                <w:tcPr>
                  <w:tcW w:w="1455" w:type="dxa"/>
                  <w:noWrap w:val="0"/>
                  <w:vAlign w:val="center"/>
                </w:tcPr>
                <w:p w14:paraId="4DC3E4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1台</w:t>
                  </w:r>
                </w:p>
                <w:p w14:paraId="5E30F9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（院区监控室）</w:t>
                  </w:r>
                </w:p>
              </w:tc>
              <w:tc>
                <w:tcPr>
                  <w:tcW w:w="5923" w:type="dxa"/>
                  <w:noWrap w:val="0"/>
                  <w:vAlign w:val="top"/>
                </w:tcPr>
                <w:p w14:paraId="77BEAED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1. 每周检查显示清晰度（分辨率达标）、画面稳定性，清理屏幕灰尘、机身污渍；2. 每月测试显示器切换、分屏显示功能，排查黑屏、花屏、闪屏故障，确保画面无卡顿；3. 每季度检查显示器接线牢固性，校准显示色彩、亮度</w:t>
                  </w:r>
                </w:p>
              </w:tc>
            </w:tr>
            <w:tr w14:paraId="1261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continue"/>
                  <w:noWrap w:val="0"/>
                  <w:vAlign w:val="top"/>
                </w:tcPr>
                <w:p w14:paraId="3E4BABE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p>
              </w:tc>
              <w:tc>
                <w:tcPr>
                  <w:tcW w:w="1747" w:type="dxa"/>
                  <w:noWrap w:val="0"/>
                  <w:vAlign w:val="center"/>
                </w:tcPr>
                <w:p w14:paraId="3ED5C1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控制台及操作设备（电脑）</w:t>
                  </w:r>
                </w:p>
              </w:tc>
              <w:tc>
                <w:tcPr>
                  <w:tcW w:w="1455" w:type="dxa"/>
                  <w:noWrap w:val="0"/>
                  <w:vAlign w:val="center"/>
                </w:tcPr>
                <w:p w14:paraId="00E9C7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1套（院区、锦华办公区）</w:t>
                  </w:r>
                </w:p>
              </w:tc>
              <w:tc>
                <w:tcPr>
                  <w:tcW w:w="5923" w:type="dxa"/>
                  <w:noWrap w:val="0"/>
                  <w:vAlign w:val="top"/>
                </w:tcPr>
                <w:p w14:paraId="6D94113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1. 每月检查控制台接线牢固性，清理键盘、鼠标灰尘、污渍，测试按键、鼠标灵敏度；2. 每月：测试设备联动操作准确性，排查操作卡顿、失灵问题；3. 每季度：整理控制台线路，做好标识，检查控制台散热情况</w:t>
                  </w:r>
                </w:p>
              </w:tc>
            </w:tr>
            <w:tr w14:paraId="3385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continue"/>
                  <w:noWrap w:val="0"/>
                  <w:vAlign w:val="top"/>
                </w:tcPr>
                <w:p w14:paraId="48EF7CF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bookmarkStart w:id="354" w:name="OLE_LINK11" w:colFirst="0" w:colLast="0"/>
                </w:p>
              </w:tc>
              <w:tc>
                <w:tcPr>
                  <w:tcW w:w="1747" w:type="dxa"/>
                  <w:noWrap w:val="0"/>
                  <w:vAlign w:val="center"/>
                </w:tcPr>
                <w:p w14:paraId="453924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color w:val="auto"/>
                      <w:sz w:val="18"/>
                      <w:szCs w:val="18"/>
                      <w:lang w:val="en-US" w:eastAsia="zh-CN"/>
                    </w:rPr>
                    <w:t>2×2电视墙</w:t>
                  </w:r>
                </w:p>
              </w:tc>
              <w:tc>
                <w:tcPr>
                  <w:tcW w:w="1455" w:type="dxa"/>
                  <w:noWrap w:val="0"/>
                  <w:vAlign w:val="center"/>
                </w:tcPr>
                <w:p w14:paraId="51598C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1套</w:t>
                  </w:r>
                </w:p>
              </w:tc>
              <w:tc>
                <w:tcPr>
                  <w:tcW w:w="5923" w:type="dxa"/>
                  <w:noWrap w:val="0"/>
                  <w:vAlign w:val="top"/>
                </w:tcPr>
                <w:p w14:paraId="729EADD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 每周检查显示清晰度（分辨率达标）、画面稳定性，清理屏幕灰尘、机身污渍；2. 每月：测试显示器切换、分屏显示功能，排查黑屏、花屏、闪屏故障，确保画面无卡顿；3. 每季度：检查显示器接线牢固性，校准显示色彩、亮度</w:t>
                  </w:r>
                </w:p>
              </w:tc>
            </w:tr>
            <w:tr w14:paraId="3824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continue"/>
                  <w:noWrap w:val="0"/>
                  <w:vAlign w:val="top"/>
                </w:tcPr>
                <w:p w14:paraId="5485549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p>
              </w:tc>
              <w:tc>
                <w:tcPr>
                  <w:tcW w:w="1747" w:type="dxa"/>
                  <w:noWrap w:val="0"/>
                  <w:vAlign w:val="center"/>
                </w:tcPr>
                <w:p w14:paraId="65556AB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auto"/>
                      <w:sz w:val="18"/>
                      <w:szCs w:val="18"/>
                      <w:lang w:val="en-US" w:eastAsia="zh-CN"/>
                    </w:rPr>
                  </w:pPr>
                  <w:bookmarkStart w:id="355" w:name="OLE_LINK15"/>
                  <w:r>
                    <w:rPr>
                      <w:rFonts w:hint="eastAsia"/>
                      <w:color w:val="auto"/>
                      <w:sz w:val="18"/>
                      <w:szCs w:val="18"/>
                      <w:lang w:val="en-US" w:eastAsia="zh-CN"/>
                    </w:rPr>
                    <w:t>64路硬盘录像机</w:t>
                  </w:r>
                  <w:bookmarkEnd w:id="355"/>
                </w:p>
              </w:tc>
              <w:tc>
                <w:tcPr>
                  <w:tcW w:w="1455" w:type="dxa"/>
                  <w:noWrap w:val="0"/>
                  <w:vAlign w:val="center"/>
                </w:tcPr>
                <w:p w14:paraId="0618D6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3台（院区、锦华办公区2台；长虹社区卫生服务中心1台）</w:t>
                  </w:r>
                </w:p>
              </w:tc>
              <w:tc>
                <w:tcPr>
                  <w:tcW w:w="5923" w:type="dxa"/>
                  <w:noWrap w:val="0"/>
                  <w:vAlign w:val="top"/>
                </w:tcPr>
                <w:p w14:paraId="75DEC8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pacing w:before="0" w:beforeAutospacing="0" w:after="0" w:afterAutospacing="0" w:line="320" w:lineRule="exact"/>
                    <w:ind w:left="0" w:right="0"/>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1.每周</w:t>
                  </w:r>
                  <w:r>
                    <w:rPr>
                      <w:rFonts w:hint="eastAsia" w:ascii="宋体" w:hAnsi="宋体" w:eastAsia="宋体" w:cs="宋体"/>
                      <w:b w:val="0"/>
                      <w:bCs w:val="0"/>
                      <w:color w:val="auto"/>
                      <w:sz w:val="18"/>
                      <w:szCs w:val="18"/>
                    </w:rPr>
                    <w:t>检查设备面板指示灯</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后台快速核查</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检查设备运行状态</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2.每月进行</w:t>
                  </w:r>
                  <w:r>
                    <w:rPr>
                      <w:rFonts w:hint="eastAsia" w:ascii="宋体" w:hAnsi="宋体" w:eastAsia="宋体" w:cs="宋体"/>
                      <w:b w:val="0"/>
                      <w:bCs w:val="0"/>
                      <w:color w:val="auto"/>
                      <w:sz w:val="18"/>
                      <w:szCs w:val="18"/>
                    </w:rPr>
                    <w:t>硬盘维护（重中之重）</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散热系统清洁</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接口与线路防护</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3.每季度</w:t>
                  </w:r>
                  <w:r>
                    <w:rPr>
                      <w:rFonts w:hint="eastAsia" w:ascii="宋体" w:hAnsi="宋体" w:eastAsia="宋体" w:cs="宋体"/>
                      <w:b w:val="0"/>
                      <w:bCs w:val="0"/>
                      <w:color w:val="auto"/>
                      <w:sz w:val="18"/>
                      <w:szCs w:val="18"/>
                    </w:rPr>
                    <w:t>根据医院监控数据留存规范（常规≥30 天，关键区域 &lt;</w:t>
                  </w:r>
                  <w:r>
                    <w:rPr>
                      <w:rFonts w:hint="eastAsia" w:ascii="宋体" w:hAnsi="宋体" w:eastAsia="宋体" w:cs="宋体"/>
                      <w:b w:val="0"/>
                      <w:bCs w:val="0"/>
                      <w:color w:val="auto"/>
                      <w:sz w:val="18"/>
                      <w:szCs w:val="18"/>
                      <w:lang w:val="en-US" w:eastAsia="zh-CN"/>
                    </w:rPr>
                    <w:t>重点部位</w:t>
                  </w:r>
                  <w:r>
                    <w:rPr>
                      <w:rFonts w:hint="eastAsia" w:ascii="宋体" w:hAnsi="宋体" w:eastAsia="宋体" w:cs="宋体"/>
                      <w:b w:val="0"/>
                      <w:bCs w:val="0"/>
                      <w:color w:val="auto"/>
                      <w:sz w:val="18"/>
                      <w:szCs w:val="18"/>
                    </w:rPr>
                    <w:t>&gt;≥90 天），设置循环覆盖，查看存储容量，64 路高存储压力下，可通过 “调整非关键区域码流、设置移动侦测录像” 优化存储负载，避免满容量停止录像；</w:t>
                  </w:r>
                  <w:r>
                    <w:rPr>
                      <w:rFonts w:hint="eastAsia" w:ascii="宋体" w:hAnsi="宋体" w:eastAsia="宋体" w:cs="宋体"/>
                      <w:b w:val="0"/>
                      <w:bCs w:val="0"/>
                      <w:color w:val="auto"/>
                      <w:sz w:val="18"/>
                      <w:szCs w:val="18"/>
                      <w:lang w:val="en-US" w:eastAsia="zh-CN"/>
                    </w:rPr>
                    <w:t>4.</w:t>
                  </w:r>
                  <w:r>
                    <w:rPr>
                      <w:rFonts w:hint="eastAsia" w:ascii="宋体" w:hAnsi="宋体" w:eastAsia="宋体" w:cs="宋体"/>
                      <w:b w:val="0"/>
                      <w:bCs w:val="0"/>
                      <w:color w:val="auto"/>
                      <w:sz w:val="18"/>
                      <w:szCs w:val="18"/>
                    </w:rPr>
                    <w:t>维保台账管理（一台一档，符合医院设备管理规范，可追溯）</w:t>
                  </w:r>
                  <w:r>
                    <w:rPr>
                      <w:rFonts w:hint="eastAsia" w:ascii="宋体" w:hAnsi="宋体" w:eastAsia="宋体" w:cs="宋体"/>
                      <w:b w:val="0"/>
                      <w:bCs w:val="0"/>
                      <w:color w:val="auto"/>
                      <w:kern w:val="0"/>
                      <w:sz w:val="18"/>
                      <w:szCs w:val="18"/>
                      <w:lang w:val="en-US" w:eastAsia="zh-CN" w:bidi="ar"/>
                    </w:rPr>
                    <w:t>建立 64 路 NVR“一台一档” 维保台账 ，详细记录：设备型号、安装位置（如监控机房 1 号柜）、启用时间、硬盘数量 / 型号 / 容量、64 路通道对应监控区域、日常巡检记录、清洁 / 检测结果、故障处理详情（时间、原因、处理方式）、硬盘更换记录、配置 / 固件升级记录；台账实时更新，每月汇总、年度盘点，便于设备全生命周期管理和问题追溯。</w:t>
                  </w:r>
                </w:p>
              </w:tc>
            </w:tr>
            <w:bookmarkEnd w:id="350"/>
            <w:tr w14:paraId="2D15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restart"/>
                  <w:noWrap w:val="0"/>
                  <w:vAlign w:val="center"/>
                </w:tcPr>
                <w:p w14:paraId="6B52BCF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18"/>
                      <w:szCs w:val="18"/>
                      <w:lang w:val="en-US" w:eastAsia="zh-CN"/>
                    </w:rPr>
                  </w:pPr>
                </w:p>
                <w:p w14:paraId="63245A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前</w:t>
                  </w:r>
                </w:p>
                <w:p w14:paraId="679304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端</w:t>
                  </w:r>
                </w:p>
                <w:p w14:paraId="0D9B9D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监</w:t>
                  </w:r>
                </w:p>
                <w:p w14:paraId="2390C5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控</w:t>
                  </w:r>
                </w:p>
                <w:p w14:paraId="1083AF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设</w:t>
                  </w:r>
                </w:p>
                <w:p w14:paraId="31DFD5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备</w:t>
                  </w:r>
                </w:p>
              </w:tc>
              <w:tc>
                <w:tcPr>
                  <w:tcW w:w="1747" w:type="dxa"/>
                  <w:noWrap w:val="0"/>
                  <w:vAlign w:val="center"/>
                </w:tcPr>
                <w:p w14:paraId="4D0516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网络高清枪式</w:t>
                  </w:r>
                </w:p>
                <w:p w14:paraId="547927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摄像</w:t>
                  </w:r>
                  <w:bookmarkStart w:id="356" w:name="OLE_LINK8"/>
                  <w:r>
                    <w:rPr>
                      <w:rFonts w:hint="eastAsia" w:ascii="宋体" w:hAnsi="宋体" w:eastAsia="宋体" w:cs="宋体"/>
                      <w:color w:val="auto"/>
                      <w:sz w:val="18"/>
                      <w:szCs w:val="18"/>
                      <w:lang w:val="en-US" w:eastAsia="zh-CN"/>
                    </w:rPr>
                    <w:t>机</w:t>
                  </w:r>
                  <w:bookmarkEnd w:id="356"/>
                </w:p>
              </w:tc>
              <w:tc>
                <w:tcPr>
                  <w:tcW w:w="1455" w:type="dxa"/>
                  <w:noWrap w:val="0"/>
                  <w:vAlign w:val="center"/>
                </w:tcPr>
                <w:p w14:paraId="062F2F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61个</w:t>
                  </w:r>
                </w:p>
                <w:p w14:paraId="3C2997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（院区、锦华办公区）</w:t>
                  </w:r>
                </w:p>
              </w:tc>
              <w:tc>
                <w:tcPr>
                  <w:tcW w:w="5923" w:type="dxa"/>
                  <w:noWrap w:val="0"/>
                  <w:vAlign w:val="top"/>
                </w:tcPr>
                <w:p w14:paraId="56C0A15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1. 每月检查机身固定牢固性、镜头清洁度，排查画面遮挡、模糊问题；2. 每月测试红外夜视功能（夜视距离达标，无盲区），调整镜头角度（如需）；3. 每季度检查防水、防尘密封性能，测试摄像机供电稳定性，排查图像偏色、卡顿故障</w:t>
                  </w:r>
                </w:p>
              </w:tc>
            </w:tr>
            <w:tr w14:paraId="425E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continue"/>
                  <w:noWrap w:val="0"/>
                  <w:vAlign w:val="top"/>
                </w:tcPr>
                <w:p w14:paraId="0CB1F08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lang w:val="en-US" w:eastAsia="zh-CN"/>
                    </w:rPr>
                  </w:pPr>
                </w:p>
              </w:tc>
              <w:tc>
                <w:tcPr>
                  <w:tcW w:w="1747" w:type="dxa"/>
                  <w:noWrap w:val="0"/>
                  <w:vAlign w:val="center"/>
                </w:tcPr>
                <w:p w14:paraId="130971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网络高清球机</w:t>
                  </w:r>
                </w:p>
              </w:tc>
              <w:tc>
                <w:tcPr>
                  <w:tcW w:w="1455" w:type="dxa"/>
                  <w:noWrap w:val="0"/>
                  <w:vAlign w:val="center"/>
                </w:tcPr>
                <w:p w14:paraId="5C1276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1个</w:t>
                  </w:r>
                </w:p>
                <w:p w14:paraId="59F0864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（门诊广场）</w:t>
                  </w:r>
                </w:p>
              </w:tc>
              <w:tc>
                <w:tcPr>
                  <w:tcW w:w="5923" w:type="dxa"/>
                  <w:noWrap w:val="0"/>
                  <w:vAlign w:val="top"/>
                </w:tcPr>
                <w:p w14:paraId="4B7011D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 每月检查机身固定牢固性、镜头清洁度，排查画面遮挡、模糊问题；2. 每月测试红外夜视功能（夜视距离达标，无盲区），调整镜头角度（如需）；3. 每季度检查防水、防尘密封性能，测试摄像机供电稳定性，排查图像偏色、卡顿故障</w:t>
                  </w:r>
                </w:p>
              </w:tc>
            </w:tr>
            <w:tr w14:paraId="0F7A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continue"/>
                  <w:noWrap w:val="0"/>
                  <w:vAlign w:val="top"/>
                </w:tcPr>
                <w:p w14:paraId="3050611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p>
              </w:tc>
              <w:tc>
                <w:tcPr>
                  <w:tcW w:w="1747" w:type="dxa"/>
                  <w:noWrap w:val="0"/>
                  <w:vAlign w:val="center"/>
                </w:tcPr>
                <w:p w14:paraId="68C47C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网络高清半球</w:t>
                  </w:r>
                </w:p>
                <w:p w14:paraId="21ACD2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摄像机</w:t>
                  </w:r>
                </w:p>
              </w:tc>
              <w:tc>
                <w:tcPr>
                  <w:tcW w:w="1455" w:type="dxa"/>
                  <w:noWrap w:val="0"/>
                  <w:vAlign w:val="center"/>
                </w:tcPr>
                <w:p w14:paraId="744CA5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169个</w:t>
                  </w:r>
                </w:p>
                <w:p w14:paraId="738C00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（院区、锦华办公区）</w:t>
                  </w:r>
                </w:p>
              </w:tc>
              <w:tc>
                <w:tcPr>
                  <w:tcW w:w="5923" w:type="dxa"/>
                  <w:noWrap w:val="0"/>
                  <w:vAlign w:val="top"/>
                </w:tcPr>
                <w:p w14:paraId="13F3858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1.  每月测试变焦、云台旋转功能（如有），确保画面清晰、角度覆盖到位；2.每月清理镜头灰尘、机身污渍，检查安装牢固性，排查画面遮挡；3. 每季度检查半球外壳密封性，测试供电、网络连接稳定性</w:t>
                  </w:r>
                </w:p>
              </w:tc>
            </w:tr>
            <w:tr w14:paraId="2D44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continue"/>
                  <w:noWrap w:val="0"/>
                  <w:vAlign w:val="top"/>
                </w:tcPr>
                <w:p w14:paraId="0BA9326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p>
              </w:tc>
              <w:tc>
                <w:tcPr>
                  <w:tcW w:w="1747" w:type="dxa"/>
                  <w:noWrap w:val="0"/>
                  <w:vAlign w:val="center"/>
                </w:tcPr>
                <w:p w14:paraId="66F93E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监控支架、护罩</w:t>
                  </w:r>
                </w:p>
              </w:tc>
              <w:tc>
                <w:tcPr>
                  <w:tcW w:w="1455" w:type="dxa"/>
                  <w:noWrap w:val="0"/>
                  <w:vAlign w:val="center"/>
                </w:tcPr>
                <w:p w14:paraId="6B3CAC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231套（与摄像机配套）</w:t>
                  </w:r>
                </w:p>
              </w:tc>
              <w:tc>
                <w:tcPr>
                  <w:tcW w:w="5923" w:type="dxa"/>
                  <w:noWrap w:val="0"/>
                  <w:vAlign w:val="top"/>
                </w:tcPr>
                <w:p w14:paraId="086820E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1. 每月检查支架固定牢固性，排查松动、锈蚀问题；2. 每月清理护罩灰尘、污渍，检查护罩玻璃完整性；3. 每季度对锈蚀部位进行除锈处理，加固松动支架</w:t>
                  </w:r>
                </w:p>
              </w:tc>
            </w:tr>
            <w:bookmarkEnd w:id="354"/>
            <w:tr w14:paraId="27AB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restart"/>
                  <w:noWrap w:val="0"/>
                  <w:vAlign w:val="center"/>
                </w:tcPr>
                <w:p w14:paraId="5203BC5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18"/>
                      <w:szCs w:val="18"/>
                      <w:lang w:val="en-US" w:eastAsia="zh-CN"/>
                    </w:rPr>
                  </w:pPr>
                </w:p>
                <w:p w14:paraId="44D7B4F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传</w:t>
                  </w:r>
                </w:p>
                <w:p w14:paraId="79D3D8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输</w:t>
                  </w:r>
                </w:p>
                <w:p w14:paraId="17CE95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及</w:t>
                  </w:r>
                </w:p>
                <w:p w14:paraId="780F5B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供</w:t>
                  </w:r>
                </w:p>
                <w:p w14:paraId="033997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电</w:t>
                  </w:r>
                </w:p>
                <w:p w14:paraId="4E193B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设</w:t>
                  </w:r>
                </w:p>
                <w:p w14:paraId="58080C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备</w:t>
                  </w:r>
                </w:p>
              </w:tc>
              <w:tc>
                <w:tcPr>
                  <w:tcW w:w="1747" w:type="dxa"/>
                  <w:noWrap w:val="0"/>
                  <w:vAlign w:val="center"/>
                </w:tcPr>
                <w:p w14:paraId="73EC9D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网络交换机</w:t>
                  </w:r>
                </w:p>
                <w:p w14:paraId="4122AF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（监控专用）</w:t>
                  </w:r>
                </w:p>
              </w:tc>
              <w:tc>
                <w:tcPr>
                  <w:tcW w:w="1455" w:type="dxa"/>
                  <w:noWrap w:val="0"/>
                  <w:vAlign w:val="center"/>
                </w:tcPr>
                <w:p w14:paraId="1DB7CA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rPr>
                  </w:pPr>
                  <w:bookmarkStart w:id="357" w:name="OLE_LINK5"/>
                  <w:r>
                    <w:rPr>
                      <w:rFonts w:hint="eastAsia" w:ascii="宋体" w:hAnsi="宋体" w:eastAsia="宋体" w:cs="宋体"/>
                      <w:color w:val="auto"/>
                      <w:sz w:val="18"/>
                      <w:szCs w:val="18"/>
                      <w:lang w:val="en-US" w:eastAsia="zh-CN"/>
                    </w:rPr>
                    <w:t>核心交换机2台、楼层交换机23台</w:t>
                  </w:r>
                  <w:bookmarkEnd w:id="357"/>
                  <w:r>
                    <w:rPr>
                      <w:rFonts w:hint="eastAsia" w:ascii="宋体" w:hAnsi="宋体" w:eastAsia="宋体" w:cs="宋体"/>
                      <w:color w:val="auto"/>
                      <w:sz w:val="18"/>
                      <w:szCs w:val="18"/>
                      <w:lang w:val="en-US" w:eastAsia="zh-CN"/>
                    </w:rPr>
                    <w:t>（院区、锦华办公区核心交换机1台、楼层交换机18台；长虹社区卫生服中心核心交换机1台、楼层交换机5台）</w:t>
                  </w:r>
                </w:p>
              </w:tc>
              <w:tc>
                <w:tcPr>
                  <w:tcW w:w="5923" w:type="dxa"/>
                  <w:noWrap w:val="0"/>
                  <w:vAlign w:val="top"/>
                </w:tcPr>
                <w:p w14:paraId="38AA58FE">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1.每周检查交换机运行状态、指示灯显示，清理机身灰尘；</w:t>
                  </w:r>
                </w:p>
                <w:p w14:paraId="25E91F7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 每月测试端口连接稳定性，排查网络卡顿、丢包问题，备份交换机配置；</w:t>
                  </w:r>
                </w:p>
                <w:p w14:paraId="283A7868">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3. 每季度检查接线牢固性，测试交换机散热功能，排查端口故障</w:t>
                  </w:r>
                </w:p>
              </w:tc>
            </w:tr>
            <w:tr w14:paraId="68EA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continue"/>
                  <w:noWrap w:val="0"/>
                  <w:vAlign w:val="center"/>
                </w:tcPr>
                <w:p w14:paraId="471155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p>
              </w:tc>
              <w:tc>
                <w:tcPr>
                  <w:tcW w:w="1747" w:type="dxa"/>
                  <w:noWrap w:val="0"/>
                  <w:vAlign w:val="center"/>
                </w:tcPr>
                <w:p w14:paraId="062BBE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color w:val="auto"/>
                      <w:sz w:val="18"/>
                      <w:szCs w:val="18"/>
                      <w:lang w:val="en-US" w:eastAsia="zh-CN"/>
                    </w:rPr>
                    <w:t>光收发器</w:t>
                  </w:r>
                </w:p>
              </w:tc>
              <w:tc>
                <w:tcPr>
                  <w:tcW w:w="1455" w:type="dxa"/>
                  <w:noWrap w:val="0"/>
                  <w:vAlign w:val="center"/>
                </w:tcPr>
                <w:p w14:paraId="7C7A0E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2套</w:t>
                  </w:r>
                </w:p>
              </w:tc>
              <w:tc>
                <w:tcPr>
                  <w:tcW w:w="5923" w:type="dxa"/>
                  <w:noWrap w:val="0"/>
                  <w:vAlign w:val="top"/>
                </w:tcPr>
                <w:p w14:paraId="198DC1B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b w:val="0"/>
                      <w:bCs w:val="0"/>
                      <w:color w:val="auto"/>
                      <w:sz w:val="18"/>
                      <w:szCs w:val="18"/>
                      <w:lang w:val="en-US" w:eastAsia="zh-CN"/>
                    </w:rPr>
                    <w:t>1.</w:t>
                  </w:r>
                  <w:r>
                    <w:rPr>
                      <w:rFonts w:ascii="宋体" w:hAnsi="宋体" w:eastAsia="宋体" w:cs="宋体"/>
                      <w:b w:val="0"/>
                      <w:bCs w:val="0"/>
                      <w:color w:val="auto"/>
                      <w:sz w:val="18"/>
                      <w:szCs w:val="18"/>
                    </w:rPr>
                    <w:t>每</w:t>
                  </w:r>
                  <w:r>
                    <w:rPr>
                      <w:rFonts w:hint="eastAsia" w:ascii="宋体" w:hAnsi="宋体" w:eastAsia="宋体" w:cs="宋体"/>
                      <w:b w:val="0"/>
                      <w:bCs w:val="0"/>
                      <w:color w:val="auto"/>
                      <w:sz w:val="18"/>
                      <w:szCs w:val="18"/>
                      <w:lang w:val="en-US" w:eastAsia="zh-CN"/>
                    </w:rPr>
                    <w:t>月</w:t>
                  </w:r>
                  <w:r>
                    <w:rPr>
                      <w:rFonts w:ascii="宋体" w:hAnsi="宋体" w:eastAsia="宋体" w:cs="宋体"/>
                      <w:b w:val="0"/>
                      <w:bCs w:val="0"/>
                      <w:color w:val="auto"/>
                      <w:sz w:val="18"/>
                      <w:szCs w:val="18"/>
                    </w:rPr>
                    <w:t>常规检查运行指示灯（电源、光信号、网口链路灯），确保无闪烁、熄灭；每周细致巡检设备运行温度，无发烫、异响，发现异常立即停机报备，避免设备烧毁影响监控传输</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2.</w:t>
                  </w:r>
                  <w:r>
                    <w:rPr>
                      <w:rFonts w:ascii="宋体" w:hAnsi="宋体" w:eastAsia="宋体" w:cs="宋体"/>
                      <w:b w:val="0"/>
                      <w:bCs w:val="0"/>
                      <w:color w:val="auto"/>
                      <w:sz w:val="18"/>
                      <w:szCs w:val="18"/>
                    </w:rPr>
                    <w:t>每月对设备表面、散热口做防尘清洁，使用干燥软毛刷轻扫灰尘，禁止用湿布擦拭；清洁光口前必须</w:t>
                  </w:r>
                  <w:r>
                    <w:rPr>
                      <w:rStyle w:val="39"/>
                      <w:rFonts w:ascii="宋体" w:hAnsi="宋体" w:eastAsia="宋体" w:cs="宋体"/>
                      <w:b w:val="0"/>
                      <w:bCs w:val="0"/>
                      <w:color w:val="auto"/>
                      <w:sz w:val="18"/>
                      <w:szCs w:val="18"/>
                    </w:rPr>
                    <w:t>断电拔纤</w:t>
                  </w:r>
                  <w:r>
                    <w:rPr>
                      <w:rFonts w:ascii="宋体" w:hAnsi="宋体" w:eastAsia="宋体" w:cs="宋体"/>
                      <w:b w:val="0"/>
                      <w:bCs w:val="0"/>
                      <w:color w:val="auto"/>
                      <w:sz w:val="18"/>
                      <w:szCs w:val="18"/>
                    </w:rPr>
                    <w:t>，用专用光纤清洁笔擦拭光模块接口，杜绝灰尘、污渍导致光信号衰耗、断连</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3.</w:t>
                  </w:r>
                  <w:r>
                    <w:rPr>
                      <w:rFonts w:ascii="宋体" w:hAnsi="宋体" w:eastAsia="宋体" w:cs="宋体"/>
                      <w:b w:val="0"/>
                      <w:bCs w:val="0"/>
                      <w:color w:val="auto"/>
                      <w:sz w:val="18"/>
                      <w:szCs w:val="18"/>
                    </w:rPr>
                    <w:t>每季度用光功率计测试光收发光功率，确保在设备标定范围内，避免光信号过强 / 过弱导致监控画面卡顿、花屏；对使用超 3 年的光模块、老化电源线及时更换，提前规避故障。</w:t>
                  </w:r>
                </w:p>
              </w:tc>
            </w:tr>
            <w:tr w14:paraId="787C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continue"/>
                  <w:noWrap w:val="0"/>
                  <w:vAlign w:val="top"/>
                </w:tcPr>
                <w:p w14:paraId="2BA9F17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lang w:val="en-US" w:eastAsia="zh-CN"/>
                    </w:rPr>
                  </w:pPr>
                </w:p>
              </w:tc>
              <w:tc>
                <w:tcPr>
                  <w:tcW w:w="1747" w:type="dxa"/>
                  <w:noWrap w:val="0"/>
                  <w:vAlign w:val="center"/>
                </w:tcPr>
                <w:p w14:paraId="6C3A84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监控专用线缆、接口</w:t>
                  </w:r>
                </w:p>
              </w:tc>
              <w:tc>
                <w:tcPr>
                  <w:tcW w:w="1455" w:type="dxa"/>
                  <w:noWrap w:val="0"/>
                  <w:vAlign w:val="center"/>
                </w:tcPr>
                <w:p w14:paraId="2BCD5C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按需（覆盖全院区、锦华办公区）</w:t>
                  </w:r>
                </w:p>
              </w:tc>
              <w:tc>
                <w:tcPr>
                  <w:tcW w:w="5923" w:type="dxa"/>
                  <w:noWrap w:val="0"/>
                  <w:vAlign w:val="top"/>
                </w:tcPr>
                <w:p w14:paraId="3EEAAF7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 每月检查线缆走向、固定情况，排查破损、老化、脱落问题；2. 每月检查接口连接牢固性，测试信号传输稳定性；3. 每季度整理凌乱线缆，做好标识，对破损线缆进行修复或更换（小额耗材由维保方承担）</w:t>
                  </w:r>
                </w:p>
              </w:tc>
            </w:tr>
            <w:tr w14:paraId="0D63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continue"/>
                  <w:noWrap w:val="0"/>
                  <w:vAlign w:val="top"/>
                </w:tcPr>
                <w:p w14:paraId="4FB5ADB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lang w:val="en-US" w:eastAsia="zh-CN"/>
                    </w:rPr>
                  </w:pPr>
                </w:p>
              </w:tc>
              <w:tc>
                <w:tcPr>
                  <w:tcW w:w="1747" w:type="dxa"/>
                  <w:noWrap w:val="0"/>
                  <w:vAlign w:val="center"/>
                </w:tcPr>
                <w:p w14:paraId="7FBBC3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监控专用电源适配器/电源箱</w:t>
                  </w:r>
                </w:p>
              </w:tc>
              <w:tc>
                <w:tcPr>
                  <w:tcW w:w="1455" w:type="dxa"/>
                  <w:noWrap w:val="0"/>
                  <w:vAlign w:val="center"/>
                </w:tcPr>
                <w:p w14:paraId="3D85904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231个（与摄像机配套）</w:t>
                  </w:r>
                </w:p>
              </w:tc>
              <w:tc>
                <w:tcPr>
                  <w:tcW w:w="5923" w:type="dxa"/>
                  <w:noWrap w:val="0"/>
                  <w:vAlign w:val="top"/>
                </w:tcPr>
                <w:p w14:paraId="15B0D02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 每月检查电源运行状态，排查过热、松动问题；2. 每月测试供电电压稳定性，确保符合设备要求；3. 每季度清理电源箱灰尘，检查防水、防尘性能，更换老化电源适配器（小额耗材由维保方承担）</w:t>
                  </w:r>
                </w:p>
              </w:tc>
            </w:tr>
            <w:bookmarkEnd w:id="348"/>
          </w:tbl>
          <w:p w14:paraId="1C78EEB6">
            <w:pPr>
              <w:keepNext w:val="0"/>
              <w:keepLines w:val="0"/>
              <w:pageBreakBefore w:val="0"/>
              <w:numPr>
                <w:ilvl w:val="0"/>
                <w:numId w:val="0"/>
              </w:numPr>
              <w:kinsoku/>
              <w:overflowPunct/>
              <w:autoSpaceDE/>
              <w:autoSpaceDN/>
              <w:bidi w:val="0"/>
              <w:adjustRightInd/>
              <w:spacing w:line="320" w:lineRule="exact"/>
              <w:textAlignment w:val="auto"/>
              <w:rPr>
                <w:rFonts w:hint="eastAsia" w:ascii="宋体" w:hAnsi="宋体" w:eastAsia="宋体" w:cs="宋体"/>
                <w:b/>
                <w:bCs/>
                <w:sz w:val="18"/>
                <w:szCs w:val="18"/>
              </w:rPr>
            </w:pPr>
            <w:r>
              <w:rPr>
                <w:rFonts w:hint="eastAsia" w:ascii="宋体" w:hAnsi="宋体" w:eastAsia="宋体" w:cs="宋体"/>
                <w:b/>
                <w:bCs/>
                <w:sz w:val="18"/>
                <w:szCs w:val="18"/>
                <w:lang w:eastAsia="zh-CN"/>
              </w:rPr>
              <w:t>（</w:t>
            </w:r>
            <w:r>
              <w:rPr>
                <w:rFonts w:hint="eastAsia" w:ascii="宋体" w:hAnsi="宋体" w:eastAsia="宋体" w:cs="宋体"/>
                <w:b/>
                <w:bCs/>
                <w:sz w:val="18"/>
                <w:szCs w:val="18"/>
                <w:lang w:val="en-US" w:eastAsia="zh-CN"/>
              </w:rPr>
              <w:t>二</w:t>
            </w:r>
            <w:r>
              <w:rPr>
                <w:rFonts w:hint="eastAsia" w:ascii="宋体" w:hAnsi="宋体" w:eastAsia="宋体" w:cs="宋体"/>
                <w:b/>
                <w:bCs/>
                <w:sz w:val="18"/>
                <w:szCs w:val="18"/>
                <w:lang w:eastAsia="zh-CN"/>
              </w:rPr>
              <w:t>）</w:t>
            </w:r>
            <w:r>
              <w:rPr>
                <w:rFonts w:hint="eastAsia" w:ascii="宋体" w:hAnsi="宋体" w:eastAsia="宋体" w:cs="宋体"/>
                <w:b/>
                <w:bCs/>
                <w:sz w:val="18"/>
                <w:szCs w:val="18"/>
              </w:rPr>
              <w:t>核心服务要求（必满足）</w:t>
            </w:r>
          </w:p>
          <w:p w14:paraId="26B709D4">
            <w:pPr>
              <w:keepNext w:val="0"/>
              <w:keepLines w:val="0"/>
              <w:pageBreakBefore w:val="0"/>
              <w:numPr>
                <w:ilvl w:val="0"/>
                <w:numId w:val="0"/>
              </w:numPr>
              <w:kinsoku/>
              <w:overflowPunct/>
              <w:autoSpaceDE/>
              <w:autoSpaceDN/>
              <w:bidi w:val="0"/>
              <w:adjustRightInd/>
              <w:spacing w:line="320" w:lineRule="exact"/>
              <w:textAlignment w:val="auto"/>
              <w:rPr>
                <w:rFonts w:hint="eastAsia" w:ascii="宋体" w:hAnsi="宋体" w:eastAsia="宋体" w:cs="宋体"/>
                <w:b/>
                <w:bCs/>
                <w:sz w:val="18"/>
                <w:szCs w:val="18"/>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有专人对接医院安装维护工作（至少配备</w:t>
            </w:r>
            <w:r>
              <w:rPr>
                <w:rFonts w:hint="eastAsia" w:ascii="宋体" w:hAnsi="宋体" w:eastAsia="宋体" w:cs="宋体"/>
                <w:sz w:val="18"/>
                <w:szCs w:val="18"/>
                <w:highlight w:val="none"/>
                <w:lang w:val="en-US" w:eastAsia="zh-CN"/>
              </w:rPr>
              <w:t>1名工程师</w:t>
            </w:r>
            <w:r>
              <w:rPr>
                <w:rFonts w:hint="eastAsia" w:ascii="宋体" w:hAnsi="宋体" w:eastAsia="宋体" w:cs="宋体"/>
                <w:sz w:val="18"/>
                <w:szCs w:val="18"/>
                <w:highlight w:val="none"/>
              </w:rPr>
              <w:t>），有紧急任务时，半小时内能到达处理问题。</w:t>
            </w:r>
          </w:p>
          <w:p w14:paraId="20C6160A">
            <w:pPr>
              <w:keepNext w:val="0"/>
              <w:keepLines w:val="0"/>
              <w:pageBreakBefore w:val="0"/>
              <w:kinsoku/>
              <w:overflowPunct/>
              <w:autoSpaceDE/>
              <w:autoSpaceDN/>
              <w:bidi w:val="0"/>
              <w:adjustRightInd/>
              <w:spacing w:line="320" w:lineRule="exact"/>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培训要求：免费提供不少于2次专项培训（首次在服务启动后15日内，第二次在服务中期），覆盖医院监控室操作人员及换岗人员，确保参训人员熟练掌握设备日常操作、简单故障排查、应急处置流程，培训后留存签到表及培训记录。</w:t>
            </w:r>
          </w:p>
          <w:bookmarkEnd w:id="346"/>
          <w:p w14:paraId="6D379C1A">
            <w:pPr>
              <w:keepNext w:val="0"/>
              <w:keepLines w:val="0"/>
              <w:pageBreakBefore w:val="0"/>
              <w:numPr>
                <w:ilvl w:val="0"/>
                <w:numId w:val="0"/>
              </w:numPr>
              <w:kinsoku/>
              <w:wordWrap/>
              <w:overflowPunct/>
              <w:topLinePunct w:val="0"/>
              <w:autoSpaceDE/>
              <w:autoSpaceDN/>
              <w:bidi w:val="0"/>
              <w:adjustRightInd/>
              <w:spacing w:line="320" w:lineRule="exact"/>
              <w:textAlignment w:val="auto"/>
              <w:rPr>
                <w:rFonts w:hint="eastAsia"/>
                <w:sz w:val="18"/>
                <w:szCs w:val="18"/>
                <w:highlight w:val="none"/>
              </w:rPr>
            </w:pPr>
          </w:p>
        </w:tc>
      </w:tr>
      <w:tr w14:paraId="30A1CA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60DE0C6C">
            <w:pPr>
              <w:keepNext w:val="0"/>
              <w:keepLines w:val="0"/>
              <w:pageBreakBefore w:val="0"/>
              <w:tabs>
                <w:tab w:val="left" w:pos="180"/>
                <w:tab w:val="left" w:pos="1620"/>
              </w:tabs>
              <w:kinsoku/>
              <w:overflowPunct/>
              <w:autoSpaceDE/>
              <w:autoSpaceDN/>
              <w:bidi w:val="0"/>
              <w:adjustRightInd/>
              <w:spacing w:line="320" w:lineRule="exact"/>
              <w:jc w:val="center"/>
              <w:textAlignment w:val="auto"/>
              <w:rPr>
                <w:rFonts w:hint="default" w:ascii="黑体" w:hAnsi="黑体" w:eastAsia="黑体" w:cs="黑体"/>
                <w:sz w:val="18"/>
                <w:szCs w:val="18"/>
                <w:highlight w:val="none"/>
                <w:lang w:val="en-US" w:eastAsia="zh-CN"/>
              </w:rPr>
            </w:pPr>
            <w:r>
              <w:rPr>
                <w:rFonts w:hint="eastAsia" w:ascii="黑体" w:hAnsi="黑体" w:eastAsia="黑体" w:cs="黑体"/>
                <w:sz w:val="18"/>
                <w:szCs w:val="18"/>
                <w:highlight w:val="none"/>
                <w:lang w:val="en-US" w:eastAsia="zh-CN"/>
              </w:rPr>
              <w:t>商务要求参数</w:t>
            </w:r>
          </w:p>
          <w:p w14:paraId="6D7EBECB">
            <w:pPr>
              <w:keepNext w:val="0"/>
              <w:keepLines w:val="0"/>
              <w:pageBreakBefore w:val="0"/>
              <w:widowControl/>
              <w:numPr>
                <w:ilvl w:val="0"/>
                <w:numId w:val="0"/>
              </w:numPr>
              <w:kinsoku/>
              <w:overflowPunct/>
              <w:autoSpaceDE/>
              <w:autoSpaceDN/>
              <w:bidi w:val="0"/>
              <w:adjustRightInd/>
              <w:snapToGrid w:val="0"/>
              <w:spacing w:line="320" w:lineRule="exact"/>
              <w:jc w:val="center"/>
              <w:textAlignment w:val="auto"/>
              <w:rPr>
                <w:sz w:val="18"/>
                <w:szCs w:val="18"/>
              </w:rPr>
            </w:pPr>
            <w:r>
              <w:rPr>
                <w:rFonts w:hint="eastAsia" w:ascii="宋体" w:hAnsi="宋体" w:eastAsia="宋体" w:cs="宋体"/>
                <w:sz w:val="18"/>
                <w:szCs w:val="18"/>
                <w:highlight w:val="none"/>
                <w:lang w:val="en-US" w:eastAsia="zh-CN"/>
              </w:rPr>
              <w:t>（对供应商资质、报价、履约、售后等详细要求）</w:t>
            </w:r>
          </w:p>
        </w:tc>
      </w:tr>
      <w:tr w14:paraId="3F95B6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4" w:type="dxa"/>
            <w:tcBorders>
              <w:top w:val="single" w:color="auto" w:sz="4" w:space="0"/>
              <w:left w:val="single" w:color="auto" w:sz="4" w:space="0"/>
              <w:bottom w:val="single" w:color="auto" w:sz="4" w:space="0"/>
              <w:right w:val="single" w:color="auto" w:sz="4" w:space="0"/>
            </w:tcBorders>
            <w:noWrap w:val="0"/>
            <w:vAlign w:val="center"/>
          </w:tcPr>
          <w:p w14:paraId="29928E7E">
            <w:pPr>
              <w:keepNext w:val="0"/>
              <w:keepLines w:val="0"/>
              <w:pageBreakBefore w:val="0"/>
              <w:kinsoku/>
              <w:overflowPunct/>
              <w:autoSpaceDE/>
              <w:autoSpaceDN/>
              <w:bidi w:val="0"/>
              <w:adjustRightInd/>
              <w:spacing w:line="320" w:lineRule="exact"/>
              <w:jc w:val="center"/>
              <w:textAlignment w:val="auto"/>
              <w:rPr>
                <w:rFonts w:hint="default" w:ascii="宋体" w:hAnsi="宋体" w:eastAsia="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一.供应商资质</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94B41F7">
            <w:pPr>
              <w:keepNext w:val="0"/>
              <w:keepLines w:val="0"/>
              <w:pageBreakBefore w:val="0"/>
              <w:widowControl/>
              <w:numPr>
                <w:ilvl w:val="0"/>
                <w:numId w:val="0"/>
              </w:numPr>
              <w:kinsoku/>
              <w:overflowPunct/>
              <w:autoSpaceDE/>
              <w:autoSpaceDN/>
              <w:bidi w:val="0"/>
              <w:adjustRightInd/>
              <w:snapToGrid w:val="0"/>
              <w:spacing w:line="320" w:lineRule="exact"/>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lang w:val="en-US" w:eastAsia="zh-CN" w:bidi="ar-SA"/>
              </w:rPr>
              <w:t>1.</w:t>
            </w:r>
            <w:r>
              <w:rPr>
                <w:rFonts w:hint="eastAsia" w:ascii="宋体" w:hAnsi="宋体" w:eastAsia="宋体" w:cs="宋体"/>
                <w:color w:val="auto"/>
                <w:sz w:val="18"/>
                <w:szCs w:val="18"/>
                <w:highlight w:val="none"/>
                <w:lang w:val="en-US" w:eastAsia="zh-CN"/>
              </w:rPr>
              <w:t>符合</w:t>
            </w:r>
            <w:r>
              <w:rPr>
                <w:rFonts w:hint="eastAsia" w:ascii="宋体" w:hAnsi="宋体" w:eastAsia="宋体" w:cs="宋体"/>
                <w:color w:val="auto"/>
                <w:sz w:val="18"/>
                <w:szCs w:val="18"/>
                <w:highlight w:val="none"/>
              </w:rPr>
              <w:t>政府采购法第二十二条规定的条件</w:t>
            </w:r>
            <w:r>
              <w:rPr>
                <w:rFonts w:hint="eastAsia" w:ascii="宋体" w:hAnsi="宋体" w:eastAsia="宋体" w:cs="宋体"/>
                <w:color w:val="auto"/>
                <w:sz w:val="18"/>
                <w:szCs w:val="18"/>
                <w:highlight w:val="none"/>
                <w:lang w:eastAsia="zh-CN"/>
              </w:rPr>
              <w:t>；</w:t>
            </w:r>
          </w:p>
          <w:p w14:paraId="3799F63C">
            <w:pPr>
              <w:keepNext w:val="0"/>
              <w:keepLines w:val="0"/>
              <w:pageBreakBefore w:val="0"/>
              <w:widowControl/>
              <w:numPr>
                <w:ilvl w:val="0"/>
                <w:numId w:val="0"/>
              </w:numPr>
              <w:kinsoku/>
              <w:overflowPunct/>
              <w:autoSpaceDE/>
              <w:autoSpaceDN/>
              <w:bidi w:val="0"/>
              <w:adjustRightInd/>
              <w:snapToGrid w:val="0"/>
              <w:spacing w:line="32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2</w:t>
            </w:r>
            <w:r>
              <w:rPr>
                <w:rFonts w:hint="eastAsia" w:ascii="宋体" w:hAnsi="宋体" w:eastAsia="宋体" w:cs="宋体"/>
                <w:color w:val="auto"/>
                <w:sz w:val="18"/>
                <w:szCs w:val="18"/>
              </w:rPr>
              <w:t>.资质要求：投标方需具备独立法人资格，持有有效的营业执照（经营范围包含“安防”或“监控”字样等保相关内容）；经在“国家企业信用信息公示系统”查询，无经营异常、无严重违法失信行为</w:t>
            </w:r>
          </w:p>
          <w:p w14:paraId="3E6216C0">
            <w:pPr>
              <w:keepNext w:val="0"/>
              <w:keepLines w:val="0"/>
              <w:pageBreakBefore w:val="0"/>
              <w:widowControl/>
              <w:numPr>
                <w:ilvl w:val="0"/>
                <w:numId w:val="0"/>
              </w:numPr>
              <w:kinsoku/>
              <w:overflowPunct/>
              <w:autoSpaceDE/>
              <w:autoSpaceDN/>
              <w:bidi w:val="0"/>
              <w:adjustRightInd/>
              <w:snapToGrid w:val="0"/>
              <w:spacing w:line="32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w:t>
            </w:r>
            <w:r>
              <w:rPr>
                <w:rFonts w:hint="eastAsia" w:ascii="宋体" w:hAnsi="宋体" w:eastAsia="宋体" w:cs="宋体"/>
                <w:color w:val="auto"/>
                <w:sz w:val="18"/>
                <w:szCs w:val="18"/>
              </w:rPr>
              <w:t xml:space="preserve">. </w:t>
            </w:r>
            <w:r>
              <w:rPr>
                <w:rFonts w:hint="eastAsia" w:ascii="宋体" w:hAnsi="宋体" w:eastAsia="宋体" w:cs="宋体"/>
                <w:color w:val="auto"/>
                <w:sz w:val="18"/>
                <w:szCs w:val="18"/>
                <w:lang w:val="en-US" w:eastAsia="zh-CN"/>
              </w:rPr>
              <w:t>投标人必须是在中华人民共和国境内注册，具有独立法人资格的企业，提供有效的营业执照副本、税务登记证副本、组织机构代码证副本（或三证合一营业执照副本）。</w:t>
            </w:r>
          </w:p>
          <w:p w14:paraId="7EE0A516">
            <w:pPr>
              <w:keepNext w:val="0"/>
              <w:keepLines w:val="0"/>
              <w:pageBreakBefore w:val="0"/>
              <w:widowControl/>
              <w:numPr>
                <w:ilvl w:val="0"/>
                <w:numId w:val="0"/>
              </w:numPr>
              <w:kinsoku/>
              <w:overflowPunct/>
              <w:autoSpaceDE/>
              <w:autoSpaceDN/>
              <w:bidi w:val="0"/>
              <w:adjustRightInd/>
              <w:snapToGrid w:val="0"/>
              <w:spacing w:line="32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4.</w:t>
            </w:r>
            <w:r>
              <w:rPr>
                <w:rFonts w:hint="eastAsia" w:ascii="宋体" w:hAnsi="宋体" w:eastAsia="宋体" w:cs="宋体"/>
                <w:color w:val="auto"/>
                <w:sz w:val="18"/>
                <w:szCs w:val="18"/>
              </w:rPr>
              <w:t>投标人、拟派项目负责人不得为失信被执行人(以评标阶段“信用中国”网站wwsreditchina.gov.cn)查询信息为准)。</w:t>
            </w:r>
          </w:p>
          <w:p w14:paraId="3A239B2F">
            <w:pPr>
              <w:keepNext w:val="0"/>
              <w:keepLines w:val="0"/>
              <w:pageBreakBefore w:val="0"/>
              <w:widowControl/>
              <w:numPr>
                <w:ilvl w:val="0"/>
                <w:numId w:val="0"/>
              </w:numPr>
              <w:kinsoku/>
              <w:overflowPunct/>
              <w:autoSpaceDE/>
              <w:autoSpaceDN/>
              <w:bidi w:val="0"/>
              <w:adjustRightInd/>
              <w:snapToGrid w:val="0"/>
              <w:spacing w:line="32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5.</w:t>
            </w:r>
            <w:r>
              <w:rPr>
                <w:rFonts w:hint="eastAsia" w:ascii="宋体" w:hAnsi="宋体" w:eastAsia="宋体" w:cs="宋体"/>
                <w:color w:val="auto"/>
                <w:sz w:val="18"/>
                <w:szCs w:val="18"/>
              </w:rPr>
              <w:t>投标人拟派项目负责人不得是列为企业或个人诚信不良、黑名单、失信联合惩戒的投标人、项目负责人。(以评标阶段全国建筑市场监管公共服务平台(htt://izss:"gk&amp;d.gov.&amp;/home)查询信息为准)</w:t>
            </w:r>
          </w:p>
          <w:p w14:paraId="2FA529DC">
            <w:pPr>
              <w:keepNext w:val="0"/>
              <w:keepLines w:val="0"/>
              <w:pageBreakBefore w:val="0"/>
              <w:widowControl/>
              <w:numPr>
                <w:ilvl w:val="0"/>
                <w:numId w:val="0"/>
              </w:numPr>
              <w:kinsoku/>
              <w:overflowPunct/>
              <w:autoSpaceDE/>
              <w:autoSpaceDN/>
              <w:bidi w:val="0"/>
              <w:adjustRightInd/>
              <w:snapToGrid w:val="0"/>
              <w:spacing w:line="32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6.</w:t>
            </w:r>
            <w:r>
              <w:rPr>
                <w:rFonts w:hint="eastAsia" w:ascii="宋体" w:hAnsi="宋体" w:eastAsia="宋体" w:cs="宋体"/>
                <w:color w:val="auto"/>
                <w:sz w:val="18"/>
                <w:szCs w:val="18"/>
              </w:rPr>
              <w:t>近三年内投标人或其法定代表人不得有行贿犯罪行为(以评标阶段“中国裁判文书”网站(httes://wenshu.court.gov.sn)查询信息为准)。</w:t>
            </w:r>
          </w:p>
          <w:p w14:paraId="6C0B797E">
            <w:pPr>
              <w:keepNext w:val="0"/>
              <w:keepLines w:val="0"/>
              <w:pageBreakBefore w:val="0"/>
              <w:widowControl/>
              <w:numPr>
                <w:ilvl w:val="0"/>
                <w:numId w:val="0"/>
              </w:numPr>
              <w:kinsoku/>
              <w:overflowPunct/>
              <w:autoSpaceDE/>
              <w:autoSpaceDN/>
              <w:bidi w:val="0"/>
              <w:adjustRightInd/>
              <w:snapToGrid w:val="0"/>
              <w:spacing w:line="320" w:lineRule="exact"/>
              <w:textAlignment w:val="auto"/>
              <w:rPr>
                <w:rFonts w:hint="eastAsia" w:ascii="宋体" w:hAnsi="宋体" w:eastAsia="宋体" w:cs="宋体"/>
                <w:sz w:val="18"/>
                <w:szCs w:val="18"/>
                <w:highlight w:val="none"/>
                <w:lang w:val="en-US" w:eastAsia="zh-CN"/>
              </w:rPr>
            </w:pPr>
            <w:r>
              <w:rPr>
                <w:rFonts w:hint="eastAsia" w:ascii="宋体" w:hAnsi="宋体" w:eastAsia="宋体" w:cs="宋体"/>
                <w:color w:val="auto"/>
                <w:kern w:val="0"/>
                <w:sz w:val="18"/>
                <w:szCs w:val="18"/>
                <w:lang w:val="en-US" w:eastAsia="zh-CN" w:bidi="ar"/>
              </w:rPr>
              <w:t>7.</w:t>
            </w:r>
            <w:r>
              <w:rPr>
                <w:rFonts w:hint="eastAsia" w:ascii="宋体" w:hAnsi="宋体" w:eastAsia="宋体" w:cs="宋体"/>
                <w:sz w:val="18"/>
                <w:szCs w:val="18"/>
                <w:highlight w:val="none"/>
                <w:lang w:val="en-US" w:eastAsia="zh-CN"/>
              </w:rPr>
              <w:t>.是否接收联合体投标：□是   ☑否</w:t>
            </w:r>
          </w:p>
          <w:p w14:paraId="25D6DB55">
            <w:pPr>
              <w:keepNext w:val="0"/>
              <w:keepLines w:val="0"/>
              <w:pageBreakBefore w:val="0"/>
              <w:widowControl/>
              <w:numPr>
                <w:ilvl w:val="0"/>
                <w:numId w:val="0"/>
              </w:numPr>
              <w:kinsoku/>
              <w:overflowPunct/>
              <w:autoSpaceDE/>
              <w:autoSpaceDN/>
              <w:bidi w:val="0"/>
              <w:adjustRightInd/>
              <w:snapToGrid w:val="0"/>
              <w:spacing w:line="320" w:lineRule="exact"/>
              <w:textAlignment w:val="auto"/>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8</w:t>
            </w:r>
            <w:r>
              <w:rPr>
                <w:rFonts w:hint="eastAsia" w:ascii="宋体" w:hAnsi="宋体" w:eastAsia="宋体" w:cs="宋体"/>
                <w:sz w:val="18"/>
                <w:szCs w:val="18"/>
                <w:highlight w:val="none"/>
                <w:lang w:val="en-US" w:eastAsia="zh-CN"/>
              </w:rPr>
              <w:t>.落实政府采购政策需满足的资格要求：是否面向中小微企业（☑是      □否）</w:t>
            </w:r>
          </w:p>
          <w:p w14:paraId="7AD14D9E">
            <w:pPr>
              <w:keepNext w:val="0"/>
              <w:keepLines w:val="0"/>
              <w:pageBreakBefore w:val="0"/>
              <w:widowControl/>
              <w:numPr>
                <w:ilvl w:val="0"/>
                <w:numId w:val="0"/>
              </w:numPr>
              <w:kinsoku/>
              <w:overflowPunct/>
              <w:autoSpaceDE/>
              <w:autoSpaceDN/>
              <w:bidi w:val="0"/>
              <w:adjustRightInd/>
              <w:snapToGrid w:val="0"/>
              <w:spacing w:line="320" w:lineRule="exact"/>
              <w:textAlignment w:val="auto"/>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9</w:t>
            </w:r>
            <w:r>
              <w:rPr>
                <w:rFonts w:hint="eastAsia" w:ascii="宋体" w:hAnsi="宋体" w:eastAsia="宋体" w:cs="宋体"/>
                <w:sz w:val="18"/>
                <w:szCs w:val="18"/>
                <w:highlight w:val="none"/>
                <w:lang w:val="en-US" w:eastAsia="zh-CN"/>
              </w:rPr>
              <w:t>.是否允许分包/转包：□是   ☑否</w:t>
            </w:r>
          </w:p>
          <w:p w14:paraId="09982E89">
            <w:pPr>
              <w:keepNext w:val="0"/>
              <w:keepLines w:val="0"/>
              <w:pageBreakBefore w:val="0"/>
              <w:widowControl/>
              <w:numPr>
                <w:ilvl w:val="0"/>
                <w:numId w:val="0"/>
              </w:numPr>
              <w:kinsoku/>
              <w:overflowPunct/>
              <w:autoSpaceDE/>
              <w:autoSpaceDN/>
              <w:bidi w:val="0"/>
              <w:adjustRightInd/>
              <w:snapToGrid w:val="0"/>
              <w:spacing w:line="320" w:lineRule="exact"/>
              <w:textAlignment w:val="auto"/>
              <w:rPr>
                <w:rFonts w:hint="eastAsia" w:ascii="宋体" w:hAnsi="宋体" w:eastAsia="宋体" w:cs="宋体"/>
                <w:color w:val="000000"/>
                <w:sz w:val="18"/>
                <w:szCs w:val="18"/>
              </w:rPr>
            </w:pPr>
            <w:r>
              <w:rPr>
                <w:rFonts w:hint="eastAsia" w:ascii="宋体" w:hAnsi="宋体" w:cs="宋体"/>
                <w:b w:val="0"/>
                <w:bCs w:val="0"/>
                <w:sz w:val="18"/>
                <w:szCs w:val="18"/>
                <w:highlight w:val="none"/>
                <w:lang w:val="en-US" w:eastAsia="zh-CN"/>
              </w:rPr>
              <w:t>10</w:t>
            </w:r>
            <w:r>
              <w:rPr>
                <w:rFonts w:hint="eastAsia" w:ascii="宋体" w:hAnsi="宋体" w:eastAsia="宋体" w:cs="宋体"/>
                <w:b w:val="0"/>
                <w:bCs w:val="0"/>
                <w:sz w:val="18"/>
                <w:szCs w:val="18"/>
                <w:highlight w:val="none"/>
                <w:lang w:val="en-US" w:eastAsia="zh-CN"/>
              </w:rPr>
              <w:t>.单位负责人为同一人或者存在直接控股、管理关系的不同供应商，不得参加同一合同项下的政府采购活动。</w:t>
            </w:r>
          </w:p>
        </w:tc>
      </w:tr>
      <w:tr w14:paraId="478044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4" w:type="dxa"/>
            <w:tcBorders>
              <w:top w:val="single" w:color="auto" w:sz="4" w:space="0"/>
              <w:left w:val="single" w:color="auto" w:sz="4" w:space="0"/>
              <w:bottom w:val="single" w:color="auto" w:sz="4" w:space="0"/>
              <w:right w:val="single" w:color="auto" w:sz="4" w:space="0"/>
            </w:tcBorders>
            <w:noWrap w:val="0"/>
            <w:vAlign w:val="center"/>
          </w:tcPr>
          <w:p w14:paraId="70B124B5">
            <w:pPr>
              <w:keepNext w:val="0"/>
              <w:keepLines w:val="0"/>
              <w:pageBreakBefore w:val="0"/>
              <w:kinsoku/>
              <w:overflowPunct/>
              <w:autoSpaceDE/>
              <w:autoSpaceDN/>
              <w:bidi w:val="0"/>
              <w:adjustRightInd/>
              <w:spacing w:line="320" w:lineRule="exact"/>
              <w:jc w:val="center"/>
              <w:textAlignment w:val="auto"/>
              <w:rPr>
                <w:rFonts w:hint="eastAsia" w:ascii="宋体" w:hAnsi="宋体" w:cs="宋体"/>
                <w:b/>
                <w:bCs/>
                <w:color w:val="000000"/>
                <w:sz w:val="18"/>
                <w:szCs w:val="18"/>
                <w:highlight w:val="none"/>
              </w:rPr>
            </w:pPr>
            <w:r>
              <w:rPr>
                <w:rFonts w:hint="eastAsia" w:ascii="宋体" w:hAnsi="宋体" w:cs="宋体"/>
                <w:b/>
                <w:bCs/>
                <w:color w:val="000000"/>
                <w:sz w:val="18"/>
                <w:szCs w:val="18"/>
                <w:highlight w:val="none"/>
                <w:lang w:val="en-US" w:eastAsia="zh-CN"/>
              </w:rPr>
              <w:t>二.服务</w:t>
            </w:r>
            <w:r>
              <w:rPr>
                <w:rFonts w:hint="eastAsia" w:ascii="宋体" w:hAnsi="宋体" w:cs="宋体"/>
                <w:b/>
                <w:bCs/>
                <w:color w:val="000000"/>
                <w:sz w:val="18"/>
                <w:szCs w:val="18"/>
                <w:highlight w:val="none"/>
              </w:rPr>
              <w:t>期限和地点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DB73ED9">
            <w:pPr>
              <w:keepNext w:val="0"/>
              <w:keepLines w:val="0"/>
              <w:pageBreakBefore w:val="0"/>
              <w:kinsoku/>
              <w:overflowPunct/>
              <w:autoSpaceDE/>
              <w:autoSpaceDN/>
              <w:bidi w:val="0"/>
              <w:adjustRightInd/>
              <w:spacing w:line="320" w:lineRule="exact"/>
              <w:ind w:left="315" w:hanging="270" w:hangingChars="150"/>
              <w:textAlignment w:val="auto"/>
              <w:rPr>
                <w:rFonts w:ascii="宋体" w:hAnsi="宋体"/>
                <w:color w:val="FF0000"/>
                <w:sz w:val="18"/>
                <w:szCs w:val="18"/>
                <w:highlight w:val="none"/>
              </w:rPr>
            </w:pPr>
            <w:r>
              <w:rPr>
                <w:rFonts w:hint="eastAsia" w:ascii="宋体" w:hAnsi="宋体"/>
                <w:sz w:val="18"/>
                <w:szCs w:val="18"/>
                <w:highlight w:val="none"/>
              </w:rPr>
              <w:t>1</w:t>
            </w:r>
            <w:r>
              <w:rPr>
                <w:rFonts w:hint="eastAsia" w:ascii="宋体" w:hAnsi="宋体"/>
                <w:sz w:val="18"/>
                <w:szCs w:val="18"/>
                <w:highlight w:val="none"/>
                <w:lang w:val="en-US" w:eastAsia="zh-CN"/>
              </w:rPr>
              <w:t>.</w:t>
            </w:r>
            <w:r>
              <w:rPr>
                <w:rFonts w:hint="eastAsia" w:ascii="宋体" w:hAnsi="宋体"/>
                <w:sz w:val="18"/>
                <w:szCs w:val="18"/>
                <w:highlight w:val="none"/>
              </w:rPr>
              <w:t>服务期限：自签订合同之日起</w:t>
            </w:r>
            <w:r>
              <w:rPr>
                <w:rFonts w:hint="eastAsia" w:ascii="宋体" w:hAnsi="宋体"/>
                <w:sz w:val="18"/>
                <w:szCs w:val="18"/>
                <w:highlight w:val="none"/>
                <w:u w:val="single"/>
                <w:lang w:val="en-US" w:eastAsia="zh-CN"/>
              </w:rPr>
              <w:t xml:space="preserve">  叁年  </w:t>
            </w:r>
            <w:r>
              <w:rPr>
                <w:rFonts w:hint="eastAsia" w:ascii="宋体" w:hAnsi="宋体"/>
                <w:sz w:val="18"/>
                <w:szCs w:val="18"/>
                <w:highlight w:val="none"/>
              </w:rPr>
              <w:t>。</w:t>
            </w:r>
          </w:p>
          <w:p w14:paraId="354A2D13">
            <w:pPr>
              <w:keepNext w:val="0"/>
              <w:keepLines w:val="0"/>
              <w:pageBreakBefore w:val="0"/>
              <w:kinsoku/>
              <w:overflowPunct/>
              <w:autoSpaceDE/>
              <w:autoSpaceDN/>
              <w:bidi w:val="0"/>
              <w:adjustRightInd/>
              <w:spacing w:line="320" w:lineRule="exact"/>
              <w:textAlignment w:val="auto"/>
              <w:rPr>
                <w:rFonts w:hint="eastAsia" w:ascii="宋体" w:hAnsi="宋体"/>
                <w:sz w:val="18"/>
                <w:szCs w:val="18"/>
                <w:highlight w:val="none"/>
              </w:rPr>
            </w:pPr>
            <w:r>
              <w:rPr>
                <w:rFonts w:hint="eastAsia" w:ascii="宋体" w:hAnsi="宋体"/>
                <w:sz w:val="18"/>
                <w:szCs w:val="18"/>
                <w:highlight w:val="none"/>
              </w:rPr>
              <w:t>2</w:t>
            </w:r>
            <w:r>
              <w:rPr>
                <w:rFonts w:hint="eastAsia" w:ascii="宋体" w:hAnsi="宋体"/>
                <w:sz w:val="18"/>
                <w:szCs w:val="18"/>
                <w:highlight w:val="none"/>
                <w:lang w:val="en-US" w:eastAsia="zh-CN"/>
              </w:rPr>
              <w:t>.</w:t>
            </w:r>
            <w:r>
              <w:rPr>
                <w:rFonts w:hint="eastAsia" w:ascii="宋体" w:hAnsi="宋体"/>
                <w:sz w:val="18"/>
                <w:szCs w:val="18"/>
                <w:highlight w:val="none"/>
              </w:rPr>
              <w:t>服务地点：</w:t>
            </w:r>
            <w:r>
              <w:rPr>
                <w:rFonts w:hint="eastAsia" w:ascii="宋体" w:hAnsi="宋体"/>
                <w:sz w:val="18"/>
                <w:szCs w:val="18"/>
                <w:highlight w:val="none"/>
                <w:lang w:val="en-US" w:eastAsia="zh-CN"/>
              </w:rPr>
              <w:t xml:space="preserve"> </w:t>
            </w:r>
            <w:r>
              <w:rPr>
                <w:rFonts w:hint="eastAsia" w:ascii="宋体" w:hAnsi="宋体"/>
                <w:sz w:val="18"/>
                <w:szCs w:val="18"/>
                <w:highlight w:val="none"/>
                <w:u w:val="single"/>
                <w:lang w:val="en-US" w:eastAsia="zh-CN"/>
              </w:rPr>
              <w:t xml:space="preserve"> </w:t>
            </w:r>
            <w:bookmarkStart w:id="358" w:name="OLE_LINK1"/>
            <w:r>
              <w:rPr>
                <w:rFonts w:hint="eastAsia" w:ascii="宋体" w:hAnsi="宋体"/>
                <w:sz w:val="18"/>
                <w:szCs w:val="18"/>
                <w:highlight w:val="none"/>
                <w:u w:val="single"/>
                <w:lang w:val="en-US" w:eastAsia="zh-CN"/>
              </w:rPr>
              <w:t xml:space="preserve">广西骨伤医院本部、锦华办公区、长虹社区卫生服务中心、方园社区卫生服务中心及民生路门诊 </w:t>
            </w:r>
            <w:bookmarkEnd w:id="358"/>
            <w:r>
              <w:rPr>
                <w:rFonts w:hint="eastAsia" w:ascii="宋体" w:hAnsi="宋体"/>
                <w:sz w:val="18"/>
                <w:szCs w:val="18"/>
                <w:highlight w:val="none"/>
              </w:rPr>
              <w:t>。</w:t>
            </w:r>
          </w:p>
        </w:tc>
      </w:tr>
      <w:tr w14:paraId="01B04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4" w:type="dxa"/>
            <w:tcBorders>
              <w:top w:val="single" w:color="auto" w:sz="4" w:space="0"/>
              <w:left w:val="single" w:color="auto" w:sz="4" w:space="0"/>
              <w:bottom w:val="single" w:color="auto" w:sz="4" w:space="0"/>
              <w:right w:val="single" w:color="auto" w:sz="4" w:space="0"/>
            </w:tcBorders>
            <w:noWrap w:val="0"/>
            <w:vAlign w:val="center"/>
          </w:tcPr>
          <w:p w14:paraId="47DE81ED">
            <w:pPr>
              <w:keepNext w:val="0"/>
              <w:keepLines w:val="0"/>
              <w:pageBreakBefore w:val="0"/>
              <w:kinsoku/>
              <w:overflowPunct/>
              <w:autoSpaceDE/>
              <w:autoSpaceDN/>
              <w:bidi w:val="0"/>
              <w:adjustRightInd/>
              <w:spacing w:line="320" w:lineRule="exact"/>
              <w:jc w:val="center"/>
              <w:textAlignment w:val="auto"/>
              <w:rPr>
                <w:rFonts w:hint="default" w:ascii="宋体" w:hAnsi="宋体" w:eastAsia="宋体" w:cs="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三.合同签订期限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598920F">
            <w:pPr>
              <w:keepNext w:val="0"/>
              <w:keepLines w:val="0"/>
              <w:pageBreakBefore w:val="0"/>
              <w:kinsoku/>
              <w:overflowPunct/>
              <w:autoSpaceDE/>
              <w:autoSpaceDN/>
              <w:bidi w:val="0"/>
              <w:adjustRightInd/>
              <w:spacing w:line="320" w:lineRule="exact"/>
              <w:textAlignment w:val="auto"/>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自成交通知书发出之日起</w:t>
            </w:r>
            <w:r>
              <w:rPr>
                <w:rFonts w:hint="eastAsia" w:ascii="宋体" w:hAnsi="宋体"/>
                <w:sz w:val="18"/>
                <w:szCs w:val="18"/>
                <w:highlight w:val="none"/>
                <w:u w:val="single"/>
                <w:lang w:val="en-US" w:eastAsia="zh-CN"/>
              </w:rPr>
              <w:t>15</w:t>
            </w:r>
            <w:r>
              <w:rPr>
                <w:rFonts w:hint="eastAsia" w:ascii="宋体" w:hAnsi="宋体"/>
                <w:sz w:val="18"/>
                <w:szCs w:val="18"/>
                <w:highlight w:val="none"/>
                <w:lang w:val="en-US" w:eastAsia="zh-CN"/>
              </w:rPr>
              <w:t>个工作日</w:t>
            </w:r>
          </w:p>
        </w:tc>
      </w:tr>
      <w:tr w14:paraId="02BC15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804" w:type="dxa"/>
            <w:tcBorders>
              <w:top w:val="single" w:color="auto" w:sz="4" w:space="0"/>
              <w:left w:val="single" w:color="auto" w:sz="4" w:space="0"/>
              <w:bottom w:val="single" w:color="auto" w:sz="4" w:space="0"/>
              <w:right w:val="single" w:color="auto" w:sz="4" w:space="0"/>
            </w:tcBorders>
            <w:noWrap w:val="0"/>
            <w:vAlign w:val="center"/>
          </w:tcPr>
          <w:p w14:paraId="64ABB426">
            <w:pPr>
              <w:keepNext w:val="0"/>
              <w:keepLines w:val="0"/>
              <w:pageBreakBefore w:val="0"/>
              <w:kinsoku/>
              <w:overflowPunct/>
              <w:autoSpaceDE/>
              <w:autoSpaceDN/>
              <w:bidi w:val="0"/>
              <w:adjustRightInd/>
              <w:spacing w:line="320" w:lineRule="exact"/>
              <w:jc w:val="center"/>
              <w:textAlignment w:val="auto"/>
              <w:rPr>
                <w:b/>
                <w:bCs/>
                <w:color w:val="000000"/>
                <w:sz w:val="18"/>
                <w:szCs w:val="18"/>
                <w:highlight w:val="none"/>
              </w:rPr>
            </w:pPr>
            <w:r>
              <w:rPr>
                <w:rFonts w:hint="eastAsia" w:ascii="宋体" w:hAnsi="宋体" w:eastAsia="宋体" w:cs="宋体"/>
                <w:b/>
                <w:bCs/>
                <w:color w:val="000000"/>
                <w:sz w:val="18"/>
                <w:szCs w:val="18"/>
                <w:highlight w:val="none"/>
                <w:lang w:val="en-US" w:eastAsia="zh-CN"/>
              </w:rPr>
              <w:t>四.报价要求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1878FB4">
            <w:pPr>
              <w:keepNext w:val="0"/>
              <w:keepLines w:val="0"/>
              <w:pageBreakBefore w:val="0"/>
              <w:kinsoku/>
              <w:wordWrap w:val="0"/>
              <w:overflowPunct/>
              <w:topLinePunct/>
              <w:autoSpaceDE/>
              <w:autoSpaceDN/>
              <w:bidi w:val="0"/>
              <w:adjustRightInd/>
              <w:snapToGrid w:val="0"/>
              <w:spacing w:line="320" w:lineRule="exact"/>
              <w:textAlignment w:val="auto"/>
              <w:rPr>
                <w:rFonts w:hint="eastAsia" w:ascii="宋体" w:hAnsi="宋体" w:eastAsia="宋体" w:cs="宋体"/>
                <w:sz w:val="18"/>
                <w:szCs w:val="18"/>
                <w:highlight w:val="none"/>
                <w:lang w:val="en-US"/>
              </w:rPr>
            </w:pPr>
            <w:r>
              <w:rPr>
                <w:rFonts w:hint="eastAsia" w:ascii="宋体" w:hAnsi="宋体" w:eastAsia="宋体" w:cs="宋体"/>
                <w:sz w:val="18"/>
                <w:szCs w:val="18"/>
                <w:highlight w:val="none"/>
                <w:lang w:val="en-US" w:eastAsia="zh-CN"/>
              </w:rPr>
              <w:t>本项目采用</w:t>
            </w:r>
            <w:r>
              <w:rPr>
                <w:rFonts w:hint="eastAsia" w:ascii="宋体" w:hAnsi="宋体" w:eastAsia="宋体" w:cs="宋体"/>
                <w:b/>
                <w:bCs/>
                <w:sz w:val="18"/>
                <w:szCs w:val="18"/>
                <w:highlight w:val="none"/>
                <w:lang w:val="en-US" w:eastAsia="zh-CN"/>
              </w:rPr>
              <w:t>全包总价</w:t>
            </w:r>
            <w:r>
              <w:rPr>
                <w:rFonts w:hint="eastAsia" w:ascii="宋体" w:hAnsi="宋体" w:eastAsia="宋体" w:cs="宋体"/>
                <w:sz w:val="18"/>
                <w:szCs w:val="18"/>
                <w:highlight w:val="none"/>
                <w:lang w:val="en-US" w:eastAsia="zh-CN"/>
              </w:rPr>
              <w:t>报价方式：即投标人按完成项目全包价进行报价。</w:t>
            </w:r>
          </w:p>
          <w:p w14:paraId="4A279058">
            <w:pPr>
              <w:keepNext w:val="0"/>
              <w:keepLines w:val="0"/>
              <w:pageBreakBefore w:val="0"/>
              <w:kinsoku/>
              <w:wordWrap w:val="0"/>
              <w:overflowPunct/>
              <w:topLinePunct/>
              <w:autoSpaceDE/>
              <w:autoSpaceDN/>
              <w:bidi w:val="0"/>
              <w:adjustRightInd/>
              <w:snapToGrid w:val="0"/>
              <w:spacing w:line="320" w:lineRule="exact"/>
              <w:textAlignment w:val="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2.报价必须含以下部分，包括：</w:t>
            </w:r>
          </w:p>
          <w:p w14:paraId="03046431">
            <w:pPr>
              <w:keepNext w:val="0"/>
              <w:keepLines w:val="0"/>
              <w:pageBreakBefore w:val="0"/>
              <w:kinsoku/>
              <w:wordWrap w:val="0"/>
              <w:overflowPunct/>
              <w:topLinePunct/>
              <w:autoSpaceDE/>
              <w:autoSpaceDN/>
              <w:bidi w:val="0"/>
              <w:adjustRightInd/>
              <w:snapToGrid w:val="0"/>
              <w:spacing w:line="320" w:lineRule="exact"/>
              <w:textAlignment w:val="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（1）满足本项目全部采购需求，包含投标服务、货物、工程的成本、运输（含保险）、安装（如有）、调试、检验、技术服务、培训等所有费用。</w:t>
            </w:r>
          </w:p>
          <w:p w14:paraId="48E8A19E">
            <w:pPr>
              <w:keepNext w:val="0"/>
              <w:keepLines w:val="0"/>
              <w:pageBreakBefore w:val="0"/>
              <w:kinsoku/>
              <w:wordWrap w:val="0"/>
              <w:overflowPunct/>
              <w:topLinePunct/>
              <w:autoSpaceDE/>
              <w:autoSpaceDN/>
              <w:bidi w:val="0"/>
              <w:adjustRightInd/>
              <w:snapToGrid w:val="0"/>
              <w:spacing w:line="320" w:lineRule="exact"/>
              <w:textAlignment w:val="auto"/>
              <w:rPr>
                <w:rFonts w:hint="eastAsia" w:ascii="宋体" w:hAnsi="宋体" w:eastAsia="宋体" w:cs="宋体"/>
                <w:color w:val="000000"/>
                <w:sz w:val="18"/>
                <w:szCs w:val="18"/>
                <w:highlight w:val="none"/>
              </w:rPr>
            </w:pPr>
            <w:r>
              <w:rPr>
                <w:rFonts w:hint="eastAsia" w:ascii="宋体" w:hAnsi="宋体" w:eastAsia="宋体" w:cs="宋体"/>
                <w:sz w:val="18"/>
                <w:szCs w:val="18"/>
                <w:highlight w:val="none"/>
                <w:lang w:val="en-US" w:eastAsia="zh-CN"/>
              </w:rPr>
              <w:t>（2）必要的保险费用和各项税金；</w:t>
            </w:r>
          </w:p>
        </w:tc>
      </w:tr>
      <w:tr w14:paraId="3598F7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1804" w:type="dxa"/>
            <w:tcBorders>
              <w:top w:val="single" w:color="auto" w:sz="4" w:space="0"/>
              <w:left w:val="single" w:color="auto" w:sz="4" w:space="0"/>
              <w:bottom w:val="single" w:color="auto" w:sz="4" w:space="0"/>
              <w:right w:val="single" w:color="auto" w:sz="4" w:space="0"/>
            </w:tcBorders>
            <w:noWrap w:val="0"/>
            <w:vAlign w:val="center"/>
          </w:tcPr>
          <w:p w14:paraId="1367108E">
            <w:pPr>
              <w:keepNext w:val="0"/>
              <w:keepLines w:val="0"/>
              <w:pageBreakBefore w:val="0"/>
              <w:kinsoku/>
              <w:wordWrap w:val="0"/>
              <w:overflowPunct/>
              <w:topLinePunct/>
              <w:autoSpaceDE/>
              <w:autoSpaceDN/>
              <w:bidi w:val="0"/>
              <w:adjustRightInd/>
              <w:snapToGrid w:val="0"/>
              <w:spacing w:line="320" w:lineRule="exact"/>
              <w:jc w:val="center"/>
              <w:textAlignment w:val="auto"/>
              <w:rPr>
                <w:color w:val="000000"/>
                <w:sz w:val="18"/>
                <w:szCs w:val="18"/>
                <w:highlight w:val="none"/>
              </w:rPr>
            </w:pPr>
            <w:r>
              <w:rPr>
                <w:rFonts w:hint="eastAsia" w:ascii="宋体" w:hAnsi="宋体" w:cs="宋体"/>
                <w:b/>
                <w:sz w:val="18"/>
                <w:szCs w:val="18"/>
                <w:highlight w:val="none"/>
                <w:lang w:val="en-US" w:eastAsia="zh-CN"/>
              </w:rPr>
              <w:t>五.</w:t>
            </w:r>
            <w:r>
              <w:rPr>
                <w:rFonts w:hint="eastAsia" w:ascii="宋体" w:hAnsi="宋体" w:cs="宋体"/>
                <w:b/>
                <w:sz w:val="18"/>
                <w:szCs w:val="18"/>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90C6F7A">
            <w:pPr>
              <w:keepNext w:val="0"/>
              <w:keepLines w:val="0"/>
              <w:pageBreakBefore w:val="0"/>
              <w:numPr>
                <w:ilvl w:val="0"/>
                <w:numId w:val="0"/>
              </w:numPr>
              <w:kinsoku/>
              <w:overflowPunct/>
              <w:autoSpaceDE/>
              <w:autoSpaceDN/>
              <w:bidi w:val="0"/>
              <w:adjustRightInd/>
              <w:spacing w:line="320" w:lineRule="exact"/>
              <w:textAlignment w:val="auto"/>
              <w:rPr>
                <w:rFonts w:hint="eastAsia" w:ascii="宋体" w:hAnsi="宋体" w:eastAsia="宋体" w:cs="宋体"/>
                <w:b/>
                <w:bCs/>
                <w:sz w:val="18"/>
                <w:szCs w:val="18"/>
              </w:rPr>
            </w:pPr>
            <w:r>
              <w:rPr>
                <w:rFonts w:hint="eastAsia" w:ascii="宋体" w:hAnsi="宋体" w:eastAsia="宋体" w:cs="宋体"/>
                <w:b/>
                <w:bCs/>
                <w:sz w:val="18"/>
                <w:szCs w:val="18"/>
              </w:rPr>
              <w:t>量化可考核</w:t>
            </w:r>
          </w:p>
          <w:p w14:paraId="2F92BB1B">
            <w:pPr>
              <w:keepNext w:val="0"/>
              <w:keepLines w:val="0"/>
              <w:pageBreakBefore w:val="0"/>
              <w:numPr>
                <w:ilvl w:val="0"/>
                <w:numId w:val="0"/>
              </w:numPr>
              <w:kinsoku/>
              <w:wordWrap/>
              <w:overflowPunct/>
              <w:topLinePunct w:val="0"/>
              <w:autoSpaceDE/>
              <w:autoSpaceDN/>
              <w:bidi w:val="0"/>
              <w:adjustRightInd/>
              <w:spacing w:line="320" w:lineRule="exact"/>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1.</w:t>
            </w:r>
            <w:r>
              <w:rPr>
                <w:rFonts w:hint="eastAsia" w:ascii="宋体" w:hAnsi="宋体" w:eastAsia="宋体" w:cs="宋体"/>
                <w:sz w:val="18"/>
                <w:szCs w:val="18"/>
              </w:rPr>
              <w:t>月度验收：医院根据维保方提交的《月度巡检维护报告》，随机抽查30%的维护设施，核对检查结果与实际情况一致性，要求故障修复率100%、巡检覆盖率100%、无遗漏维护项目，验收合格后签字确认；不合格项需在24小时内整改完毕，重新申请复验，复验仍不合格的，扣除相应服务费用。</w:t>
            </w:r>
          </w:p>
          <w:p w14:paraId="12D2D7FD">
            <w:pPr>
              <w:keepNext w:val="0"/>
              <w:keepLines w:val="0"/>
              <w:pageBreakBefore w:val="0"/>
              <w:kinsoku/>
              <w:overflowPunct/>
              <w:autoSpaceDE/>
              <w:autoSpaceDN/>
              <w:bidi w:val="0"/>
              <w:adjustRightInd/>
              <w:spacing w:line="320" w:lineRule="exact"/>
              <w:textAlignment w:val="auto"/>
              <w:rPr>
                <w:rFonts w:hint="eastAsia" w:ascii="宋体" w:hAnsi="宋体" w:eastAsia="宋体" w:cs="宋体"/>
                <w:color w:val="000000"/>
                <w:sz w:val="18"/>
                <w:szCs w:val="18"/>
                <w:highlight w:val="none"/>
                <w:lang w:val="en-US" w:eastAsia="zh-CN"/>
              </w:rPr>
            </w:pPr>
            <w:r>
              <w:rPr>
                <w:rFonts w:hint="eastAsia" w:ascii="宋体" w:hAnsi="宋体" w:eastAsia="宋体" w:cs="宋体"/>
                <w:sz w:val="18"/>
                <w:szCs w:val="18"/>
              </w:rPr>
              <w:t>2.年度验收：服务期满后，医院组织全面验收，结合《年度系统检测报告》（维保方委托具备资质的第三方出具）、12个月巡检维护记录、故障处理记录等，要求监控系统整体运行稳定、无重大故障（单次故障影响超过8小时视为重大故障）、录像保存达标、所有设施符合相关规范，验收合格后出具《验收合格报告》；不合格的，维保方需限期整改，整改费用自行承担，直至验收合格</w:t>
            </w:r>
            <w:r>
              <w:rPr>
                <w:rFonts w:hint="eastAsia" w:ascii="宋体" w:hAnsi="宋体" w:eastAsia="宋体" w:cs="宋体"/>
                <w:sz w:val="18"/>
                <w:szCs w:val="18"/>
                <w:lang w:eastAsia="zh-CN"/>
              </w:rPr>
              <w:t>。</w:t>
            </w:r>
          </w:p>
        </w:tc>
      </w:tr>
      <w:tr w14:paraId="179992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1804" w:type="dxa"/>
            <w:tcBorders>
              <w:top w:val="single" w:color="auto" w:sz="4" w:space="0"/>
              <w:left w:val="single" w:color="auto" w:sz="4" w:space="0"/>
              <w:bottom w:val="single" w:color="auto" w:sz="4" w:space="0"/>
              <w:right w:val="single" w:color="auto" w:sz="4" w:space="0"/>
            </w:tcBorders>
            <w:noWrap w:val="0"/>
            <w:vAlign w:val="center"/>
          </w:tcPr>
          <w:p w14:paraId="738A7EAD">
            <w:pPr>
              <w:keepNext w:val="0"/>
              <w:keepLines w:val="0"/>
              <w:pageBreakBefore w:val="0"/>
              <w:kinsoku/>
              <w:wordWrap w:val="0"/>
              <w:overflowPunct/>
              <w:topLinePunct/>
              <w:autoSpaceDE/>
              <w:autoSpaceDN/>
              <w:bidi w:val="0"/>
              <w:adjustRightInd/>
              <w:snapToGrid w:val="0"/>
              <w:spacing w:line="320" w:lineRule="exact"/>
              <w:jc w:val="center"/>
              <w:textAlignment w:val="auto"/>
              <w:rPr>
                <w:color w:val="000000"/>
                <w:sz w:val="18"/>
                <w:szCs w:val="18"/>
                <w:highlight w:val="none"/>
              </w:rPr>
            </w:pPr>
            <w:r>
              <w:rPr>
                <w:rFonts w:hint="eastAsia" w:ascii="宋体" w:hAnsi="宋体" w:cs="宋体"/>
                <w:b/>
                <w:sz w:val="18"/>
                <w:szCs w:val="18"/>
                <w:highlight w:val="none"/>
                <w:lang w:val="en-US" w:eastAsia="zh-CN"/>
              </w:rPr>
              <w:t>六.</w:t>
            </w:r>
            <w:r>
              <w:rPr>
                <w:rFonts w:hint="eastAsia" w:ascii="宋体" w:hAnsi="宋体" w:cs="宋体"/>
                <w:b/>
                <w:sz w:val="18"/>
                <w:szCs w:val="18"/>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2A51101">
            <w:pPr>
              <w:keepNext w:val="0"/>
              <w:keepLines w:val="0"/>
              <w:pageBreakBefore w:val="0"/>
              <w:kinsoku/>
              <w:wordWrap w:val="0"/>
              <w:overflowPunct/>
              <w:topLinePunct/>
              <w:autoSpaceDE/>
              <w:autoSpaceDN/>
              <w:bidi w:val="0"/>
              <w:adjustRightInd/>
              <w:snapToGrid w:val="0"/>
              <w:spacing w:line="320" w:lineRule="exact"/>
              <w:textAlignment w:val="auto"/>
              <w:rPr>
                <w:rFonts w:hint="eastAsia" w:ascii="宋体" w:hAnsi="宋体" w:eastAsia="宋体" w:cs="宋体"/>
                <w:kern w:val="0"/>
                <w:sz w:val="18"/>
                <w:szCs w:val="18"/>
                <w:highlight w:val="none"/>
                <w:lang w:val="en-US" w:eastAsia="zh-CN"/>
              </w:rPr>
            </w:pPr>
            <w:bookmarkStart w:id="359" w:name="OLE_LINK19"/>
            <w:r>
              <w:rPr>
                <w:rFonts w:hint="eastAsia" w:ascii="宋体" w:hAnsi="宋体" w:eastAsia="宋体" w:cs="宋体"/>
                <w:kern w:val="0"/>
                <w:sz w:val="18"/>
                <w:szCs w:val="18"/>
                <w:highlight w:val="none"/>
                <w:lang w:val="en-US" w:eastAsia="zh-CN"/>
              </w:rPr>
              <w:t>本项目按以下进度付款：</w:t>
            </w:r>
          </w:p>
          <w:p w14:paraId="2A191EDB">
            <w:pPr>
              <w:keepNext w:val="0"/>
              <w:keepLines w:val="0"/>
              <w:pageBreakBefore w:val="0"/>
              <w:kinsoku/>
              <w:wordWrap w:val="0"/>
              <w:overflowPunct/>
              <w:topLinePunct/>
              <w:autoSpaceDE/>
              <w:autoSpaceDN/>
              <w:bidi w:val="0"/>
              <w:adjustRightInd/>
              <w:snapToGrid w:val="0"/>
              <w:spacing w:line="320" w:lineRule="exact"/>
              <w:textAlignment w:val="auto"/>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（1）合同签订后支付</w:t>
            </w:r>
            <w:bookmarkStart w:id="360" w:name="OLE_LINK2"/>
            <w:r>
              <w:rPr>
                <w:rFonts w:hint="eastAsia" w:ascii="宋体" w:hAnsi="宋体" w:eastAsia="宋体" w:cs="宋体"/>
                <w:kern w:val="0"/>
                <w:sz w:val="18"/>
                <w:szCs w:val="18"/>
                <w:highlight w:val="none"/>
                <w:u w:val="single"/>
                <w:lang w:val="en-US" w:eastAsia="zh-CN"/>
              </w:rPr>
              <w:t>30%</w:t>
            </w:r>
            <w:r>
              <w:rPr>
                <w:rFonts w:hint="eastAsia" w:ascii="宋体" w:hAnsi="宋体" w:eastAsia="宋体" w:cs="宋体"/>
                <w:kern w:val="0"/>
                <w:sz w:val="18"/>
                <w:szCs w:val="18"/>
                <w:highlight w:val="none"/>
                <w:lang w:val="en-US" w:eastAsia="zh-CN"/>
              </w:rPr>
              <w:t>合同款</w:t>
            </w:r>
            <w:bookmarkEnd w:id="360"/>
            <w:r>
              <w:rPr>
                <w:rFonts w:hint="eastAsia" w:ascii="宋体" w:hAnsi="宋体" w:eastAsia="宋体" w:cs="宋体"/>
                <w:kern w:val="0"/>
                <w:sz w:val="18"/>
                <w:szCs w:val="18"/>
                <w:highlight w:val="none"/>
                <w:lang w:val="en-US" w:eastAsia="zh-CN"/>
              </w:rPr>
              <w:t>，支付前</w:t>
            </w:r>
            <w:r>
              <w:rPr>
                <w:rFonts w:hint="eastAsia" w:ascii="宋体" w:hAnsi="宋体" w:cs="宋体"/>
                <w:kern w:val="0"/>
                <w:sz w:val="18"/>
                <w:szCs w:val="18"/>
                <w:highlight w:val="none"/>
                <w:lang w:val="en-US" w:eastAsia="zh-CN"/>
              </w:rPr>
              <w:t>乙方</w:t>
            </w:r>
            <w:r>
              <w:rPr>
                <w:rFonts w:hint="eastAsia" w:ascii="宋体" w:hAnsi="宋体" w:eastAsia="宋体" w:cs="宋体"/>
                <w:kern w:val="0"/>
                <w:sz w:val="18"/>
                <w:szCs w:val="18"/>
                <w:highlight w:val="none"/>
                <w:lang w:val="en-US" w:eastAsia="zh-CN"/>
              </w:rPr>
              <w:t>须开具等额有效增值税发票或普通发票给采购人，采购人自收到发票后</w:t>
            </w:r>
            <w:r>
              <w:rPr>
                <w:rFonts w:hint="eastAsia" w:ascii="宋体" w:hAnsi="宋体" w:eastAsia="宋体" w:cs="宋体"/>
                <w:kern w:val="0"/>
                <w:sz w:val="18"/>
                <w:szCs w:val="18"/>
                <w:highlight w:val="none"/>
                <w:u w:val="single"/>
                <w:lang w:val="en-US" w:eastAsia="zh-CN"/>
              </w:rPr>
              <w:t>15个工作日内</w:t>
            </w:r>
            <w:r>
              <w:rPr>
                <w:rFonts w:hint="eastAsia" w:ascii="宋体" w:hAnsi="宋体" w:eastAsia="宋体" w:cs="宋体"/>
                <w:kern w:val="0"/>
                <w:sz w:val="18"/>
                <w:szCs w:val="18"/>
                <w:highlight w:val="none"/>
                <w:lang w:val="en-US" w:eastAsia="zh-CN"/>
              </w:rPr>
              <w:t>将预付款以对公转账方式支付给</w:t>
            </w:r>
            <w:r>
              <w:rPr>
                <w:rFonts w:hint="eastAsia" w:ascii="宋体" w:hAnsi="宋体" w:cs="宋体"/>
                <w:kern w:val="0"/>
                <w:sz w:val="18"/>
                <w:szCs w:val="18"/>
                <w:highlight w:val="none"/>
                <w:lang w:val="en-US" w:eastAsia="zh-CN"/>
              </w:rPr>
              <w:t>乙方</w:t>
            </w:r>
            <w:r>
              <w:rPr>
                <w:rFonts w:hint="eastAsia" w:ascii="宋体" w:hAnsi="宋体" w:eastAsia="宋体" w:cs="宋体"/>
                <w:kern w:val="0"/>
                <w:sz w:val="18"/>
                <w:szCs w:val="18"/>
                <w:highlight w:val="none"/>
                <w:lang w:val="en-US" w:eastAsia="zh-CN"/>
              </w:rPr>
              <w:t>；</w:t>
            </w:r>
          </w:p>
          <w:p w14:paraId="76444250">
            <w:pPr>
              <w:keepNext w:val="0"/>
              <w:keepLines w:val="0"/>
              <w:pageBreakBefore w:val="0"/>
              <w:kinsoku/>
              <w:wordWrap w:val="0"/>
              <w:overflowPunct/>
              <w:topLinePunct/>
              <w:autoSpaceDE/>
              <w:autoSpaceDN/>
              <w:bidi w:val="0"/>
              <w:adjustRightInd/>
              <w:snapToGrid w:val="0"/>
              <w:spacing w:line="320" w:lineRule="exact"/>
              <w:textAlignment w:val="auto"/>
              <w:rPr>
                <w:rFonts w:hint="default"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（2）项目实施2年并通过验收后，支付</w:t>
            </w:r>
            <w:r>
              <w:rPr>
                <w:rFonts w:hint="eastAsia" w:ascii="宋体" w:hAnsi="宋体" w:eastAsia="宋体" w:cs="宋体"/>
                <w:kern w:val="0"/>
                <w:sz w:val="18"/>
                <w:szCs w:val="18"/>
                <w:highlight w:val="none"/>
                <w:u w:val="single"/>
                <w:lang w:val="en-US" w:eastAsia="zh-CN"/>
              </w:rPr>
              <w:t>30%</w:t>
            </w:r>
            <w:r>
              <w:rPr>
                <w:rFonts w:hint="eastAsia" w:ascii="宋体" w:hAnsi="宋体" w:eastAsia="宋体" w:cs="宋体"/>
                <w:kern w:val="0"/>
                <w:sz w:val="18"/>
                <w:szCs w:val="18"/>
                <w:highlight w:val="none"/>
                <w:lang w:val="en-US" w:eastAsia="zh-CN"/>
              </w:rPr>
              <w:t>合同款，支付前</w:t>
            </w:r>
            <w:r>
              <w:rPr>
                <w:rFonts w:hint="eastAsia" w:ascii="宋体" w:hAnsi="宋体" w:cs="宋体"/>
                <w:kern w:val="0"/>
                <w:sz w:val="18"/>
                <w:szCs w:val="18"/>
                <w:highlight w:val="none"/>
                <w:lang w:val="en-US" w:eastAsia="zh-CN"/>
              </w:rPr>
              <w:t>乙方</w:t>
            </w:r>
            <w:r>
              <w:rPr>
                <w:rFonts w:hint="eastAsia" w:ascii="宋体" w:hAnsi="宋体" w:eastAsia="宋体" w:cs="宋体"/>
                <w:kern w:val="0"/>
                <w:sz w:val="18"/>
                <w:szCs w:val="18"/>
                <w:highlight w:val="none"/>
                <w:lang w:val="en-US" w:eastAsia="zh-CN"/>
              </w:rPr>
              <w:t>须开具等额有效增值税发票或普通发票给采购人，采购人自收到发票后</w:t>
            </w:r>
            <w:r>
              <w:rPr>
                <w:rFonts w:hint="eastAsia" w:ascii="宋体" w:hAnsi="宋体" w:eastAsia="宋体" w:cs="宋体"/>
                <w:kern w:val="0"/>
                <w:sz w:val="18"/>
                <w:szCs w:val="18"/>
                <w:highlight w:val="none"/>
                <w:u w:val="single"/>
                <w:lang w:val="en-US" w:eastAsia="zh-CN"/>
              </w:rPr>
              <w:t>15个工作日内</w:t>
            </w:r>
            <w:r>
              <w:rPr>
                <w:rFonts w:hint="eastAsia" w:ascii="宋体" w:hAnsi="宋体" w:eastAsia="宋体" w:cs="宋体"/>
                <w:kern w:val="0"/>
                <w:sz w:val="18"/>
                <w:szCs w:val="18"/>
                <w:highlight w:val="none"/>
                <w:lang w:val="en-US" w:eastAsia="zh-CN"/>
              </w:rPr>
              <w:t>将预付款以对公转账方式支付给</w:t>
            </w:r>
            <w:r>
              <w:rPr>
                <w:rFonts w:hint="eastAsia" w:ascii="宋体" w:hAnsi="宋体" w:cs="宋体"/>
                <w:kern w:val="0"/>
                <w:sz w:val="18"/>
                <w:szCs w:val="18"/>
                <w:highlight w:val="none"/>
                <w:lang w:val="en-US" w:eastAsia="zh-CN"/>
              </w:rPr>
              <w:t>乙方</w:t>
            </w:r>
            <w:r>
              <w:rPr>
                <w:rFonts w:hint="eastAsia" w:ascii="宋体" w:hAnsi="宋体" w:eastAsia="宋体" w:cs="宋体"/>
                <w:kern w:val="0"/>
                <w:sz w:val="18"/>
                <w:szCs w:val="18"/>
                <w:highlight w:val="none"/>
                <w:lang w:val="en-US" w:eastAsia="zh-CN"/>
              </w:rPr>
              <w:t>；</w:t>
            </w:r>
          </w:p>
          <w:p w14:paraId="7786D7FB">
            <w:pPr>
              <w:keepNext w:val="0"/>
              <w:keepLines w:val="0"/>
              <w:pageBreakBefore w:val="0"/>
              <w:kinsoku/>
              <w:wordWrap w:val="0"/>
              <w:overflowPunct/>
              <w:topLinePunct/>
              <w:autoSpaceDE/>
              <w:autoSpaceDN/>
              <w:bidi w:val="0"/>
              <w:adjustRightInd/>
              <w:snapToGrid w:val="0"/>
              <w:spacing w:line="320" w:lineRule="exact"/>
              <w:textAlignment w:val="auto"/>
              <w:rPr>
                <w:rFonts w:hint="eastAsia" w:ascii="宋体" w:hAnsi="宋体" w:eastAsia="宋体" w:cs="宋体"/>
                <w:color w:val="000000"/>
                <w:sz w:val="18"/>
                <w:szCs w:val="18"/>
                <w:highlight w:val="none"/>
              </w:rPr>
            </w:pPr>
            <w:r>
              <w:rPr>
                <w:rFonts w:hint="eastAsia" w:ascii="宋体" w:hAnsi="宋体" w:eastAsia="宋体" w:cs="宋体"/>
                <w:kern w:val="0"/>
                <w:sz w:val="18"/>
                <w:szCs w:val="18"/>
                <w:highlight w:val="none"/>
                <w:lang w:val="en-US" w:eastAsia="zh-CN"/>
              </w:rPr>
              <w:t>（3）项目实施完成并通过验收后，双方协商一致，</w:t>
            </w:r>
            <w:r>
              <w:rPr>
                <w:rFonts w:hint="eastAsia" w:ascii="宋体" w:hAnsi="宋体" w:eastAsia="宋体" w:cs="宋体"/>
                <w:kern w:val="0"/>
                <w:sz w:val="18"/>
                <w:szCs w:val="18"/>
                <w:highlight w:val="none"/>
              </w:rPr>
              <w:t>采购人</w:t>
            </w:r>
            <w:r>
              <w:rPr>
                <w:rFonts w:hint="eastAsia" w:ascii="宋体" w:hAnsi="宋体" w:eastAsia="宋体" w:cs="宋体"/>
                <w:kern w:val="0"/>
                <w:sz w:val="18"/>
                <w:szCs w:val="18"/>
                <w:highlight w:val="none"/>
                <w:lang w:val="en-US" w:eastAsia="zh-CN"/>
              </w:rPr>
              <w:t>自收到</w:t>
            </w:r>
            <w:r>
              <w:rPr>
                <w:rFonts w:hint="eastAsia" w:ascii="宋体" w:hAnsi="宋体" w:cs="宋体"/>
                <w:kern w:val="0"/>
                <w:sz w:val="18"/>
                <w:szCs w:val="18"/>
                <w:highlight w:val="none"/>
                <w:lang w:val="en-US" w:eastAsia="zh-CN"/>
              </w:rPr>
              <w:t>乙方</w:t>
            </w:r>
            <w:r>
              <w:rPr>
                <w:rFonts w:hint="eastAsia" w:ascii="宋体" w:hAnsi="宋体" w:eastAsia="宋体" w:cs="宋体"/>
                <w:kern w:val="0"/>
                <w:sz w:val="18"/>
                <w:szCs w:val="18"/>
                <w:highlight w:val="none"/>
                <w:lang w:val="en-US" w:eastAsia="zh-CN"/>
              </w:rPr>
              <w:t>开具发票后15个工作日内支付剩余40%合同款给</w:t>
            </w:r>
            <w:r>
              <w:rPr>
                <w:rFonts w:hint="eastAsia" w:ascii="宋体" w:hAnsi="宋体" w:cs="宋体"/>
                <w:kern w:val="0"/>
                <w:sz w:val="18"/>
                <w:szCs w:val="18"/>
                <w:highlight w:val="none"/>
                <w:lang w:val="en-US" w:eastAsia="zh-CN"/>
              </w:rPr>
              <w:t>乙方</w:t>
            </w:r>
            <w:r>
              <w:rPr>
                <w:rFonts w:hint="eastAsia" w:ascii="宋体" w:hAnsi="宋体" w:eastAsia="宋体" w:cs="宋体"/>
                <w:kern w:val="0"/>
                <w:sz w:val="18"/>
                <w:szCs w:val="18"/>
                <w:highlight w:val="none"/>
              </w:rPr>
              <w:t>。</w:t>
            </w:r>
            <w:bookmarkEnd w:id="359"/>
          </w:p>
        </w:tc>
      </w:tr>
      <w:tr w14:paraId="476617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1804" w:type="dxa"/>
            <w:tcBorders>
              <w:top w:val="single" w:color="auto" w:sz="4" w:space="0"/>
              <w:left w:val="single" w:color="auto" w:sz="4" w:space="0"/>
              <w:bottom w:val="single" w:color="auto" w:sz="4" w:space="0"/>
              <w:right w:val="single" w:color="auto" w:sz="4" w:space="0"/>
            </w:tcBorders>
            <w:noWrap w:val="0"/>
            <w:vAlign w:val="center"/>
          </w:tcPr>
          <w:p w14:paraId="7283D71E">
            <w:pPr>
              <w:keepNext w:val="0"/>
              <w:keepLines w:val="0"/>
              <w:pageBreakBefore w:val="0"/>
              <w:kinsoku/>
              <w:overflowPunct/>
              <w:autoSpaceDE/>
              <w:autoSpaceDN/>
              <w:bidi w:val="0"/>
              <w:adjustRightInd/>
              <w:snapToGrid w:val="0"/>
              <w:spacing w:line="320" w:lineRule="exact"/>
              <w:jc w:val="center"/>
              <w:textAlignment w:val="auto"/>
              <w:rPr>
                <w:color w:val="000000"/>
                <w:sz w:val="18"/>
                <w:szCs w:val="18"/>
                <w:highlight w:val="none"/>
              </w:rPr>
            </w:pPr>
            <w:r>
              <w:rPr>
                <w:rFonts w:hint="eastAsia" w:ascii="宋体" w:hAnsi="宋体" w:cs="宋体"/>
                <w:b/>
                <w:sz w:val="18"/>
                <w:szCs w:val="18"/>
                <w:highlight w:val="none"/>
                <w:lang w:val="en-US" w:eastAsia="zh-CN"/>
              </w:rPr>
              <w:t>五.</w:t>
            </w:r>
            <w:r>
              <w:rPr>
                <w:rFonts w:hint="eastAsia" w:ascii="宋体" w:hAnsi="宋体" w:cs="宋体"/>
                <w:b/>
                <w:sz w:val="18"/>
                <w:szCs w:val="18"/>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6B2CFEB">
            <w:pPr>
              <w:keepNext w:val="0"/>
              <w:keepLines w:val="0"/>
              <w:pageBreakBefore w:val="0"/>
              <w:kinsoku/>
              <w:overflowPunct/>
              <w:autoSpaceDE/>
              <w:autoSpaceDN/>
              <w:bidi w:val="0"/>
              <w:adjustRightInd/>
              <w:spacing w:line="320" w:lineRule="exact"/>
              <w:textAlignment w:val="auto"/>
              <w:rPr>
                <w:rFonts w:hint="eastAsia" w:ascii="宋体" w:hAnsi="宋体" w:eastAsia="宋体" w:cs="宋体"/>
                <w:color w:val="000000"/>
                <w:sz w:val="18"/>
                <w:szCs w:val="18"/>
                <w:highlight w:val="none"/>
              </w:rPr>
            </w:pPr>
            <w:r>
              <w:rPr>
                <w:rFonts w:hint="eastAsia" w:ascii="宋体" w:hAnsi="宋体" w:eastAsia="宋体" w:cs="宋体"/>
                <w:sz w:val="18"/>
                <w:szCs w:val="18"/>
                <w:highlight w:val="none"/>
                <w:lang w:val="en-US" w:eastAsia="zh-CN"/>
              </w:rPr>
              <w:t>投标人</w:t>
            </w:r>
            <w:r>
              <w:rPr>
                <w:rFonts w:hint="eastAsia" w:ascii="宋体" w:hAnsi="宋体" w:eastAsia="宋体" w:cs="宋体"/>
                <w:sz w:val="18"/>
                <w:szCs w:val="18"/>
                <w:highlight w:val="none"/>
              </w:rPr>
              <w:t>保证</w:t>
            </w:r>
            <w:r>
              <w:rPr>
                <w:rFonts w:hint="eastAsia" w:ascii="宋体" w:hAnsi="宋体" w:eastAsia="宋体" w:cs="宋体"/>
                <w:sz w:val="18"/>
                <w:szCs w:val="18"/>
                <w:highlight w:val="none"/>
                <w:lang w:val="en-US" w:eastAsia="zh-CN"/>
              </w:rPr>
              <w:t>采购人</w:t>
            </w:r>
            <w:r>
              <w:rPr>
                <w:rFonts w:hint="eastAsia" w:ascii="宋体" w:hAnsi="宋体" w:eastAsia="宋体" w:cs="宋体"/>
                <w:sz w:val="18"/>
                <w:szCs w:val="18"/>
                <w:highlight w:val="none"/>
              </w:rPr>
              <w:t>在使用过程中不受到第三方关于侵犯专利权等知识产权的指控。任何第三方如果提出指控，投标人须与第三方交涉并承担可能发生的一切法律责任和费用。</w:t>
            </w:r>
          </w:p>
        </w:tc>
      </w:tr>
      <w:tr w14:paraId="536EB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trPr>
        <w:tc>
          <w:tcPr>
            <w:tcW w:w="1804" w:type="dxa"/>
            <w:tcBorders>
              <w:top w:val="single" w:color="auto" w:sz="4" w:space="0"/>
              <w:left w:val="single" w:color="auto" w:sz="4" w:space="0"/>
              <w:bottom w:val="single" w:color="auto" w:sz="4" w:space="0"/>
              <w:right w:val="single" w:color="auto" w:sz="4" w:space="0"/>
            </w:tcBorders>
            <w:noWrap w:val="0"/>
            <w:vAlign w:val="center"/>
          </w:tcPr>
          <w:p w14:paraId="460F64F2">
            <w:pPr>
              <w:keepNext w:val="0"/>
              <w:keepLines w:val="0"/>
              <w:pageBreakBefore w:val="0"/>
              <w:kinsoku/>
              <w:overflowPunct/>
              <w:autoSpaceDE/>
              <w:autoSpaceDN/>
              <w:bidi w:val="0"/>
              <w:adjustRightInd/>
              <w:snapToGrid w:val="0"/>
              <w:spacing w:line="320" w:lineRule="exact"/>
              <w:jc w:val="center"/>
              <w:textAlignment w:val="auto"/>
              <w:rPr>
                <w:rFonts w:hint="eastAsia" w:ascii="宋体" w:hAnsi="宋体" w:cs="宋体"/>
                <w:b/>
                <w:sz w:val="18"/>
                <w:szCs w:val="18"/>
                <w:highlight w:val="none"/>
              </w:rPr>
            </w:pPr>
            <w:r>
              <w:rPr>
                <w:rFonts w:hint="eastAsia" w:ascii="宋体" w:hAnsi="宋体" w:cs="宋体"/>
                <w:b/>
                <w:sz w:val="18"/>
                <w:szCs w:val="18"/>
                <w:highlight w:val="none"/>
                <w:lang w:val="en-US" w:eastAsia="zh-CN"/>
              </w:rPr>
              <w:t>六.</w:t>
            </w:r>
            <w:r>
              <w:rPr>
                <w:rFonts w:hint="eastAsia" w:ascii="宋体" w:hAnsi="宋体" w:cs="宋体"/>
                <w:b/>
                <w:sz w:val="18"/>
                <w:szCs w:val="18"/>
                <w:highlight w:val="none"/>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7F02281">
            <w:pPr>
              <w:keepNext w:val="0"/>
              <w:keepLines w:val="0"/>
              <w:pageBreakBefore w:val="0"/>
              <w:kinsoku/>
              <w:wordWrap w:val="0"/>
              <w:overflowPunct/>
              <w:topLinePunct/>
              <w:autoSpaceDE/>
              <w:autoSpaceDN/>
              <w:bidi w:val="0"/>
              <w:adjustRightInd/>
              <w:snapToGrid w:val="0"/>
              <w:spacing w:line="320" w:lineRule="exac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投标人应承诺遵守</w:t>
            </w:r>
            <w:r>
              <w:rPr>
                <w:rFonts w:hint="eastAsia" w:ascii="宋体" w:hAnsi="宋体" w:eastAsia="宋体" w:cs="宋体"/>
                <w:sz w:val="18"/>
                <w:szCs w:val="18"/>
                <w:highlight w:val="none"/>
                <w:lang w:val="en-US" w:eastAsia="zh-CN"/>
              </w:rPr>
              <w:t>采购信息</w:t>
            </w:r>
            <w:r>
              <w:rPr>
                <w:rFonts w:hint="eastAsia" w:ascii="宋体" w:hAnsi="宋体" w:eastAsia="宋体" w:cs="宋体"/>
                <w:sz w:val="18"/>
                <w:szCs w:val="18"/>
                <w:highlight w:val="none"/>
              </w:rPr>
              <w:t>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tc>
      </w:tr>
      <w:tr w14:paraId="3B9C2B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1804" w:type="dxa"/>
            <w:tcBorders>
              <w:top w:val="single" w:color="auto" w:sz="4" w:space="0"/>
              <w:left w:val="single" w:color="auto" w:sz="4" w:space="0"/>
              <w:bottom w:val="single" w:color="auto" w:sz="4" w:space="0"/>
              <w:right w:val="single" w:color="auto" w:sz="4" w:space="0"/>
            </w:tcBorders>
            <w:noWrap w:val="0"/>
            <w:vAlign w:val="center"/>
          </w:tcPr>
          <w:p w14:paraId="7E06E1A1">
            <w:pPr>
              <w:keepNext w:val="0"/>
              <w:keepLines w:val="0"/>
              <w:pageBreakBefore w:val="0"/>
              <w:kinsoku/>
              <w:overflowPunct/>
              <w:autoSpaceDE/>
              <w:autoSpaceDN/>
              <w:bidi w:val="0"/>
              <w:adjustRightInd/>
              <w:snapToGrid w:val="0"/>
              <w:spacing w:line="320" w:lineRule="exact"/>
              <w:jc w:val="center"/>
              <w:textAlignment w:val="auto"/>
              <w:rPr>
                <w:rFonts w:hint="eastAsia" w:ascii="宋体" w:hAnsi="宋体" w:eastAsia="宋体" w:cs="宋体"/>
                <w:b/>
                <w:sz w:val="18"/>
                <w:szCs w:val="18"/>
                <w:highlight w:val="none"/>
                <w:lang w:val="en-US" w:eastAsia="zh-CN"/>
              </w:rPr>
            </w:pPr>
            <w:r>
              <w:rPr>
                <w:rFonts w:hint="eastAsia" w:ascii="宋体" w:hAnsi="宋体" w:cs="宋体"/>
                <w:b/>
                <w:sz w:val="18"/>
                <w:szCs w:val="18"/>
                <w:highlight w:val="none"/>
                <w:lang w:val="en-US" w:eastAsia="zh-CN"/>
              </w:rPr>
              <w:t>七</w:t>
            </w:r>
            <w:r>
              <w:rPr>
                <w:rFonts w:hint="eastAsia" w:ascii="宋体" w:hAnsi="宋体" w:eastAsia="宋体" w:cs="宋体"/>
                <w:b/>
                <w:sz w:val="18"/>
                <w:szCs w:val="18"/>
                <w:highlight w:val="none"/>
                <w:lang w:val="en-US" w:eastAsia="zh-CN"/>
              </w:rPr>
              <w:t>.进口产品</w:t>
            </w:r>
          </w:p>
          <w:p w14:paraId="5C4CE112">
            <w:pPr>
              <w:keepNext w:val="0"/>
              <w:keepLines w:val="0"/>
              <w:pageBreakBefore w:val="0"/>
              <w:kinsoku/>
              <w:overflowPunct/>
              <w:autoSpaceDE/>
              <w:autoSpaceDN/>
              <w:bidi w:val="0"/>
              <w:adjustRightInd/>
              <w:snapToGrid w:val="0"/>
              <w:spacing w:line="320" w:lineRule="exact"/>
              <w:jc w:val="center"/>
              <w:textAlignment w:val="auto"/>
              <w:rPr>
                <w:rFonts w:hint="default" w:ascii="宋体" w:hAnsi="宋体" w:cs="宋体"/>
                <w:b/>
                <w:sz w:val="18"/>
                <w:szCs w:val="18"/>
                <w:highlight w:val="none"/>
                <w:lang w:val="en-US"/>
              </w:rPr>
            </w:pPr>
            <w:r>
              <w:rPr>
                <w:rFonts w:hint="eastAsia" w:ascii="宋体" w:hAnsi="宋体" w:eastAsia="宋体" w:cs="宋体"/>
                <w:b/>
                <w:sz w:val="18"/>
                <w:szCs w:val="18"/>
                <w:highlight w:val="none"/>
                <w:lang w:val="en-US" w:eastAsia="zh-CN"/>
              </w:rPr>
              <w:t>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13A59DA">
            <w:pPr>
              <w:keepNext w:val="0"/>
              <w:keepLines w:val="0"/>
              <w:pageBreakBefore w:val="0"/>
              <w:kinsoku/>
              <w:overflowPunct/>
              <w:autoSpaceDE/>
              <w:autoSpaceDN/>
              <w:bidi w:val="0"/>
              <w:adjustRightInd/>
              <w:spacing w:line="320" w:lineRule="exact"/>
              <w:textAlignment w:val="auto"/>
              <w:rPr>
                <w:rFonts w:hint="eastAsia" w:ascii="宋体" w:hAnsi="宋体" w:eastAsia="宋体" w:cs="宋体"/>
                <w:b/>
                <w:bCs/>
                <w:color w:val="000000"/>
                <w:sz w:val="18"/>
                <w:szCs w:val="18"/>
                <w:highlight w:val="none"/>
                <w:lang w:val="en-US" w:eastAsia="zh-CN"/>
              </w:rPr>
            </w:pPr>
            <w:r>
              <w:rPr>
                <w:rFonts w:hint="eastAsia" w:ascii="宋体" w:hAnsi="宋体" w:eastAsia="宋体" w:cs="宋体"/>
                <w:b/>
                <w:bCs/>
                <w:color w:val="000000"/>
                <w:sz w:val="18"/>
                <w:szCs w:val="18"/>
                <w:highlight w:val="none"/>
                <w:lang w:val="en-US" w:eastAsia="zh-CN"/>
              </w:rPr>
              <w:t>是否接受进口产品投标</w:t>
            </w:r>
            <w:r>
              <w:rPr>
                <w:rFonts w:hint="eastAsia" w:ascii="宋体" w:hAnsi="宋体" w:eastAsia="宋体" w:cs="宋体"/>
                <w:b w:val="0"/>
                <w:bCs w:val="0"/>
                <w:sz w:val="18"/>
                <w:szCs w:val="18"/>
                <w:highlight w:val="none"/>
              </w:rPr>
              <w:t>（即通过中国海关报关验放进入中国境内且产自关境外的产品）</w:t>
            </w:r>
          </w:p>
          <w:p w14:paraId="4407FA98">
            <w:pPr>
              <w:keepNext w:val="0"/>
              <w:keepLines w:val="0"/>
              <w:pageBreakBefore w:val="0"/>
              <w:kinsoku/>
              <w:overflowPunct/>
              <w:autoSpaceDE/>
              <w:autoSpaceDN/>
              <w:bidi w:val="0"/>
              <w:adjustRightInd/>
              <w:spacing w:line="320" w:lineRule="exact"/>
              <w:textAlignment w:val="auto"/>
              <w:rPr>
                <w:rFonts w:hint="eastAsia" w:ascii="宋体" w:hAnsi="宋体" w:eastAsia="宋体" w:cs="宋体"/>
                <w:color w:val="000000"/>
                <w:sz w:val="18"/>
                <w:szCs w:val="18"/>
                <w:highlight w:val="none"/>
                <w:lang w:val="en-US" w:eastAsia="zh-CN"/>
              </w:rPr>
            </w:pPr>
            <w:r>
              <w:rPr>
                <w:rFonts w:hint="eastAsia" w:ascii="宋体" w:hAnsi="宋体" w:eastAsia="宋体" w:cs="宋体"/>
                <w:sz w:val="18"/>
                <w:szCs w:val="18"/>
                <w:highlight w:val="none"/>
                <w:lang w:val="en-US" w:eastAsia="zh-CN"/>
              </w:rPr>
              <w:sym w:font="Wingdings 2" w:char="0052"/>
            </w:r>
            <w:r>
              <w:rPr>
                <w:rFonts w:hint="eastAsia" w:ascii="宋体" w:hAnsi="宋体" w:eastAsia="宋体" w:cs="宋体"/>
                <w:b w:val="0"/>
                <w:bCs w:val="0"/>
                <w:color w:val="000000"/>
                <w:sz w:val="18"/>
                <w:szCs w:val="18"/>
                <w:highlight w:val="none"/>
                <w:lang w:val="en-US" w:eastAsia="zh-CN"/>
              </w:rPr>
              <w:t>不接受（</w:t>
            </w:r>
            <w:r>
              <w:rPr>
                <w:rFonts w:hint="eastAsia" w:ascii="宋体" w:hAnsi="宋体" w:eastAsia="宋体" w:cs="宋体"/>
                <w:b w:val="0"/>
                <w:bCs w:val="0"/>
                <w:sz w:val="18"/>
                <w:szCs w:val="18"/>
                <w:highlight w:val="none"/>
              </w:rPr>
              <w:t>如有此类产品参与投标的作无效投标处理</w:t>
            </w:r>
            <w:r>
              <w:rPr>
                <w:rFonts w:hint="eastAsia" w:ascii="宋体" w:hAnsi="宋体" w:eastAsia="宋体" w:cs="宋体"/>
                <w:b w:val="0"/>
                <w:bCs w:val="0"/>
                <w:color w:val="000000"/>
                <w:sz w:val="18"/>
                <w:szCs w:val="18"/>
                <w:highlight w:val="none"/>
                <w:lang w:val="en-US" w:eastAsia="zh-CN"/>
              </w:rPr>
              <w:t>）</w:t>
            </w:r>
          </w:p>
        </w:tc>
      </w:tr>
      <w:bookmarkEnd w:id="344"/>
      <w:bookmarkEnd w:id="345"/>
    </w:tbl>
    <w:p w14:paraId="68BCA5BE">
      <w:pPr>
        <w:rPr>
          <w:color w:val="000000" w:themeColor="text1"/>
          <w:sz w:val="18"/>
          <w:szCs w:val="18"/>
          <w:highlight w:val="none"/>
          <w14:textFill>
            <w14:solidFill>
              <w14:schemeClr w14:val="tx1"/>
            </w14:solidFill>
          </w14:textFill>
        </w:rPr>
      </w:pPr>
    </w:p>
    <w:p w14:paraId="4EEB2F73">
      <w:pPr>
        <w:pStyle w:val="2"/>
        <w:jc w:val="center"/>
        <w:rPr>
          <w:rStyle w:val="53"/>
          <w:rFonts w:hint="eastAsia"/>
          <w:b/>
          <w:bCs/>
          <w:color w:val="000000" w:themeColor="text1"/>
          <w:highlight w:val="none"/>
          <w14:textFill>
            <w14:solidFill>
              <w14:schemeClr w14:val="tx1"/>
            </w14:solidFill>
          </w14:textFill>
        </w:rPr>
      </w:pPr>
      <w:bookmarkStart w:id="361" w:name="_Toc7344"/>
      <w:r>
        <w:rPr>
          <w:rStyle w:val="53"/>
          <w:rFonts w:hint="eastAsia"/>
          <w:b/>
          <w:bCs/>
          <w:color w:val="000000" w:themeColor="text1"/>
          <w:sz w:val="18"/>
          <w:szCs w:val="18"/>
          <w:highlight w:val="none"/>
          <w14:textFill>
            <w14:solidFill>
              <w14:schemeClr w14:val="tx1"/>
            </w14:solidFill>
          </w14:textFill>
        </w:rPr>
        <w:br w:type="page"/>
      </w:r>
      <w:r>
        <w:rPr>
          <w:rStyle w:val="53"/>
          <w:rFonts w:hint="eastAsia"/>
          <w:b/>
          <w:bCs/>
          <w:color w:val="000000" w:themeColor="text1"/>
          <w:highlight w:val="none"/>
          <w14:textFill>
            <w14:solidFill>
              <w14:schemeClr w14:val="tx1"/>
            </w14:solidFill>
          </w14:textFill>
        </w:rPr>
        <w:t>第四章  评审办法</w:t>
      </w:r>
      <w:bookmarkEnd w:id="361"/>
    </w:p>
    <w:p w14:paraId="745EE473">
      <w:pPr>
        <w:pStyle w:val="57"/>
        <w:widowControl w:val="0"/>
        <w:wordWrap/>
        <w:spacing w:line="240" w:lineRule="auto"/>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一、</w:t>
      </w:r>
      <w:r>
        <w:rPr>
          <w:rFonts w:hint="eastAsia" w:ascii="宋体" w:hAnsi="宋体" w:eastAsia="宋体" w:cs="宋体"/>
          <w:b/>
          <w:bCs/>
          <w:color w:val="000000" w:themeColor="text1"/>
          <w:sz w:val="15"/>
          <w:szCs w:val="15"/>
          <w:highlight w:val="none"/>
          <w14:textFill>
            <w14:solidFill>
              <w14:schemeClr w14:val="tx1"/>
            </w14:solidFill>
          </w14:textFill>
        </w:rPr>
        <w:t>评审依据及方式</w:t>
      </w:r>
    </w:p>
    <w:p w14:paraId="135259E0">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（一） 磋商小组构成：本采购项目的评委分别由依法组成的专家共 3 人</w:t>
      </w:r>
      <w:r>
        <w:rPr>
          <w:rFonts w:hint="eastAsia" w:ascii="宋体" w:hAnsi="宋体" w:eastAsia="宋体" w:cs="宋体"/>
          <w:color w:val="000000" w:themeColor="text1"/>
          <w:sz w:val="15"/>
          <w:szCs w:val="15"/>
          <w:highlight w:val="none"/>
          <w:lang w:val="en-US" w:eastAsia="zh-CN"/>
          <w14:textFill>
            <w14:solidFill>
              <w14:schemeClr w14:val="tx1"/>
            </w14:solidFill>
          </w14:textFill>
        </w:rPr>
        <w:t>或以上单数</w:t>
      </w:r>
      <w:r>
        <w:rPr>
          <w:rFonts w:hint="eastAsia" w:ascii="宋体" w:hAnsi="宋体" w:eastAsia="宋体" w:cs="宋体"/>
          <w:color w:val="000000" w:themeColor="text1"/>
          <w:sz w:val="15"/>
          <w:szCs w:val="15"/>
          <w:highlight w:val="none"/>
          <w14:textFill>
            <w14:solidFill>
              <w14:schemeClr w14:val="tx1"/>
            </w14:solidFill>
          </w14:textFill>
        </w:rPr>
        <w:t>构成。</w:t>
      </w:r>
    </w:p>
    <w:p w14:paraId="5286AE2D">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（二）评标方式：以封闭方式进行。</w:t>
      </w:r>
    </w:p>
    <w:p w14:paraId="20EB718C">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（三）采购人和</w:t>
      </w:r>
      <w:r>
        <w:rPr>
          <w:rFonts w:hint="eastAsia" w:ascii="宋体" w:hAnsi="宋体" w:eastAsia="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、磋商小组成员要严格遵守相关法律制度，依法履行各自职责，公正、客观、审慎地组织和参与评审工作。</w:t>
      </w:r>
    </w:p>
    <w:p w14:paraId="64DDABB4">
      <w:pPr>
        <w:pStyle w:val="57"/>
        <w:widowControl w:val="0"/>
        <w:wordWrap/>
        <w:spacing w:line="240" w:lineRule="auto"/>
        <w:textAlignment w:val="auto"/>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二、评定方法</w:t>
      </w:r>
    </w:p>
    <w:p w14:paraId="707D8DBC">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（一）对进入详评的，采用百分制综合评分法。</w:t>
      </w:r>
    </w:p>
    <w:p w14:paraId="2052E484">
      <w:pPr>
        <w:pStyle w:val="57"/>
        <w:autoSpaceDE w:val="0"/>
        <w:adjustRightInd w:val="0"/>
        <w:snapToGrid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综合比较与评价的分值（权重）分配</w:t>
      </w:r>
    </w:p>
    <w:tbl>
      <w:tblPr>
        <w:tblStyle w:val="37"/>
        <w:tblW w:w="0" w:type="auto"/>
        <w:tblInd w:w="3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9"/>
        <w:gridCol w:w="2414"/>
        <w:gridCol w:w="2073"/>
        <w:gridCol w:w="2154"/>
      </w:tblGrid>
      <w:tr w14:paraId="618B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tcBorders>
              <w:top w:val="single" w:color="000000" w:sz="12" w:space="0"/>
              <w:left w:val="single" w:color="000000" w:sz="12" w:space="0"/>
              <w:bottom w:val="single" w:color="000000" w:sz="4" w:space="0"/>
              <w:right w:val="single" w:color="000000" w:sz="4" w:space="0"/>
              <w:tl2br w:val="nil"/>
            </w:tcBorders>
            <w:shd w:val="clear" w:color="auto" w:fill="FFFFFF"/>
          </w:tcPr>
          <w:p w14:paraId="23732BDB">
            <w:pPr>
              <w:pStyle w:val="57"/>
              <w:autoSpaceDE w:val="0"/>
              <w:adjustRightInd w:val="0"/>
              <w:snapToGrid w:val="0"/>
              <w:spacing w:line="240" w:lineRule="auto"/>
              <w:ind w:firstLine="300" w:firstLineChars="200"/>
              <w:jc w:val="both"/>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分值比例（100%）</w:t>
            </w:r>
          </w:p>
        </w:tc>
        <w:tc>
          <w:tcPr>
            <w:tcW w:w="2414" w:type="dxa"/>
            <w:tcBorders>
              <w:top w:val="single" w:color="000000" w:sz="12" w:space="0"/>
              <w:left w:val="single" w:color="000000" w:sz="4" w:space="0"/>
              <w:bottom w:val="single" w:color="000000" w:sz="4" w:space="0"/>
              <w:right w:val="single" w:color="000000" w:sz="4" w:space="0"/>
            </w:tcBorders>
            <w:shd w:val="clear" w:color="auto" w:fill="FFFFFF"/>
          </w:tcPr>
          <w:p w14:paraId="54CCCAF3">
            <w:pPr>
              <w:pStyle w:val="57"/>
              <w:autoSpaceDE w:val="0"/>
              <w:adjustRightInd w:val="0"/>
              <w:snapToGrid w:val="0"/>
              <w:spacing w:line="240" w:lineRule="auto"/>
              <w:ind w:firstLine="300" w:firstLineChars="200"/>
              <w:jc w:val="both"/>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价格评</w:t>
            </w:r>
            <w:r>
              <w:rPr>
                <w:rFonts w:hint="eastAsia" w:ascii="宋体" w:hAnsi="宋体" w:eastAsia="宋体" w:cs="宋体"/>
                <w:color w:val="000000" w:themeColor="text1"/>
                <w:kern w:val="0"/>
                <w:sz w:val="15"/>
                <w:szCs w:val="15"/>
                <w:highlight w:val="none"/>
                <w14:textFill>
                  <w14:solidFill>
                    <w14:schemeClr w14:val="tx1"/>
                  </w14:solidFill>
                </w14:textFill>
              </w:rPr>
              <w:t>分（</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color w:val="000000" w:themeColor="text1"/>
                <w:kern w:val="0"/>
                <w:sz w:val="15"/>
                <w:szCs w:val="15"/>
                <w:highlight w:val="none"/>
                <w14:textFill>
                  <w14:solidFill>
                    <w14:schemeClr w14:val="tx1"/>
                  </w14:solidFill>
                </w14:textFill>
              </w:rPr>
              <w:t>0%）</w:t>
            </w:r>
          </w:p>
        </w:tc>
        <w:tc>
          <w:tcPr>
            <w:tcW w:w="2073" w:type="dxa"/>
            <w:tcBorders>
              <w:top w:val="single" w:color="000000" w:sz="12" w:space="0"/>
              <w:left w:val="single" w:color="000000" w:sz="4" w:space="0"/>
              <w:bottom w:val="single" w:color="000000" w:sz="4" w:space="0"/>
              <w:right w:val="single" w:color="000000" w:sz="4" w:space="0"/>
            </w:tcBorders>
            <w:shd w:val="clear" w:color="auto" w:fill="FFFFFF"/>
          </w:tcPr>
          <w:p w14:paraId="5B21A0D8">
            <w:pPr>
              <w:pStyle w:val="57"/>
              <w:autoSpaceDE w:val="0"/>
              <w:adjustRightInd w:val="0"/>
              <w:snapToGrid w:val="0"/>
              <w:spacing w:line="240" w:lineRule="auto"/>
              <w:ind w:firstLine="300" w:firstLineChars="200"/>
              <w:jc w:val="both"/>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技术评分（</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40</w:t>
            </w:r>
            <w:r>
              <w:rPr>
                <w:rFonts w:hint="eastAsia" w:ascii="宋体" w:hAnsi="宋体" w:eastAsia="宋体" w:cs="宋体"/>
                <w:color w:val="000000" w:themeColor="text1"/>
                <w:kern w:val="0"/>
                <w:sz w:val="15"/>
                <w:szCs w:val="15"/>
                <w:highlight w:val="none"/>
                <w14:textFill>
                  <w14:solidFill>
                    <w14:schemeClr w14:val="tx1"/>
                  </w14:solidFill>
                </w14:textFill>
              </w:rPr>
              <w:t>%）</w:t>
            </w:r>
          </w:p>
        </w:tc>
        <w:tc>
          <w:tcPr>
            <w:tcW w:w="2154" w:type="dxa"/>
            <w:tcBorders>
              <w:top w:val="single" w:color="000000" w:sz="12" w:space="0"/>
              <w:left w:val="single" w:color="000000" w:sz="4" w:space="0"/>
              <w:bottom w:val="single" w:color="000000" w:sz="4" w:space="0"/>
              <w:right w:val="single" w:color="000000" w:sz="12" w:space="0"/>
            </w:tcBorders>
            <w:shd w:val="clear" w:color="auto" w:fill="FFFFFF"/>
          </w:tcPr>
          <w:p w14:paraId="20BE63C0">
            <w:pPr>
              <w:pStyle w:val="57"/>
              <w:autoSpaceDE w:val="0"/>
              <w:adjustRightInd w:val="0"/>
              <w:snapToGrid w:val="0"/>
              <w:spacing w:line="240" w:lineRule="auto"/>
              <w:ind w:firstLine="300" w:firstLineChars="200"/>
              <w:jc w:val="both"/>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商务评</w:t>
            </w:r>
            <w:r>
              <w:rPr>
                <w:rFonts w:hint="eastAsia" w:ascii="宋体" w:hAnsi="宋体" w:eastAsia="宋体" w:cs="宋体"/>
                <w:color w:val="000000" w:themeColor="text1"/>
                <w:kern w:val="0"/>
                <w:sz w:val="15"/>
                <w:szCs w:val="15"/>
                <w:highlight w:val="none"/>
                <w14:textFill>
                  <w14:solidFill>
                    <w14:schemeClr w14:val="tx1"/>
                  </w14:solidFill>
                </w14:textFill>
              </w:rPr>
              <w:t>分（</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color w:val="000000" w:themeColor="text1"/>
                <w:kern w:val="0"/>
                <w:sz w:val="15"/>
                <w:szCs w:val="15"/>
                <w:highlight w:val="none"/>
                <w14:textFill>
                  <w14:solidFill>
                    <w14:schemeClr w14:val="tx1"/>
                  </w14:solidFill>
                </w14:textFill>
              </w:rPr>
              <w:t>0%）</w:t>
            </w:r>
          </w:p>
        </w:tc>
      </w:tr>
      <w:tr w14:paraId="694E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tcBorders>
              <w:top w:val="single" w:color="000000" w:sz="4" w:space="0"/>
              <w:left w:val="single" w:color="000000" w:sz="12" w:space="0"/>
              <w:bottom w:val="single" w:color="000000" w:sz="12" w:space="0"/>
              <w:right w:val="single" w:color="000000" w:sz="4" w:space="0"/>
            </w:tcBorders>
            <w:shd w:val="clear" w:color="auto" w:fill="FFFFFF"/>
          </w:tcPr>
          <w:p w14:paraId="07860CBA">
            <w:pPr>
              <w:pStyle w:val="57"/>
              <w:autoSpaceDE w:val="0"/>
              <w:adjustRightInd w:val="0"/>
              <w:snapToGrid w:val="0"/>
              <w:spacing w:line="240" w:lineRule="auto"/>
              <w:ind w:firstLine="300" w:firstLineChars="200"/>
              <w:jc w:val="both"/>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得分100</w:t>
            </w:r>
          </w:p>
        </w:tc>
        <w:tc>
          <w:tcPr>
            <w:tcW w:w="2414" w:type="dxa"/>
            <w:tcBorders>
              <w:top w:val="single" w:color="000000" w:sz="4" w:space="0"/>
              <w:left w:val="single" w:color="000000" w:sz="4" w:space="0"/>
              <w:bottom w:val="single" w:color="000000" w:sz="12" w:space="0"/>
              <w:right w:val="single" w:color="000000" w:sz="4" w:space="0"/>
            </w:tcBorders>
            <w:shd w:val="clear" w:color="auto" w:fill="FFFFFF"/>
          </w:tcPr>
          <w:p w14:paraId="39307FC9">
            <w:pPr>
              <w:pStyle w:val="57"/>
              <w:autoSpaceDE w:val="0"/>
              <w:adjustRightInd w:val="0"/>
              <w:snapToGrid w:val="0"/>
              <w:spacing w:line="240" w:lineRule="auto"/>
              <w:ind w:firstLine="300" w:firstLineChars="200"/>
              <w:jc w:val="center"/>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color w:val="000000" w:themeColor="text1"/>
                <w:kern w:val="0"/>
                <w:sz w:val="15"/>
                <w:szCs w:val="15"/>
                <w:highlight w:val="none"/>
                <w14:textFill>
                  <w14:solidFill>
                    <w14:schemeClr w14:val="tx1"/>
                  </w14:solidFill>
                </w14:textFill>
              </w:rPr>
              <w:t>0分</w:t>
            </w:r>
          </w:p>
        </w:tc>
        <w:tc>
          <w:tcPr>
            <w:tcW w:w="2073" w:type="dxa"/>
            <w:tcBorders>
              <w:top w:val="single" w:color="000000" w:sz="4" w:space="0"/>
              <w:left w:val="single" w:color="000000" w:sz="4" w:space="0"/>
              <w:bottom w:val="single" w:color="000000" w:sz="12" w:space="0"/>
              <w:right w:val="single" w:color="000000" w:sz="4" w:space="0"/>
            </w:tcBorders>
            <w:shd w:val="clear" w:color="auto" w:fill="FFFFFF"/>
          </w:tcPr>
          <w:p w14:paraId="359028A3">
            <w:pPr>
              <w:pStyle w:val="57"/>
              <w:autoSpaceDE w:val="0"/>
              <w:adjustRightInd w:val="0"/>
              <w:snapToGrid w:val="0"/>
              <w:spacing w:line="240" w:lineRule="auto"/>
              <w:ind w:firstLine="300" w:firstLineChars="200"/>
              <w:jc w:val="both"/>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40</w:t>
            </w:r>
            <w:r>
              <w:rPr>
                <w:rFonts w:hint="eastAsia" w:ascii="宋体" w:hAnsi="宋体" w:eastAsia="宋体" w:cs="宋体"/>
                <w:color w:val="000000" w:themeColor="text1"/>
                <w:kern w:val="0"/>
                <w:sz w:val="15"/>
                <w:szCs w:val="15"/>
                <w:highlight w:val="none"/>
                <w14:textFill>
                  <w14:solidFill>
                    <w14:schemeClr w14:val="tx1"/>
                  </w14:solidFill>
                </w14:textFill>
              </w:rPr>
              <w:t>分</w:t>
            </w:r>
          </w:p>
        </w:tc>
        <w:tc>
          <w:tcPr>
            <w:tcW w:w="2154" w:type="dxa"/>
            <w:tcBorders>
              <w:top w:val="single" w:color="000000" w:sz="4" w:space="0"/>
              <w:left w:val="single" w:color="000000" w:sz="4" w:space="0"/>
              <w:bottom w:val="single" w:color="000000" w:sz="12" w:space="0"/>
              <w:right w:val="single" w:color="000000" w:sz="12" w:space="0"/>
            </w:tcBorders>
            <w:shd w:val="clear" w:color="auto" w:fill="FFFFFF"/>
          </w:tcPr>
          <w:p w14:paraId="7F098E31">
            <w:pPr>
              <w:pStyle w:val="57"/>
              <w:autoSpaceDE w:val="0"/>
              <w:adjustRightInd w:val="0"/>
              <w:snapToGrid w:val="0"/>
              <w:spacing w:line="240" w:lineRule="auto"/>
              <w:ind w:firstLine="300" w:firstLineChars="200"/>
              <w:jc w:val="both"/>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color w:val="000000" w:themeColor="text1"/>
                <w:kern w:val="0"/>
                <w:sz w:val="15"/>
                <w:szCs w:val="15"/>
                <w:highlight w:val="none"/>
                <w14:textFill>
                  <w14:solidFill>
                    <w14:schemeClr w14:val="tx1"/>
                  </w14:solidFill>
                </w14:textFill>
              </w:rPr>
              <w:t>0分</w:t>
            </w:r>
          </w:p>
        </w:tc>
      </w:tr>
    </w:tbl>
    <w:p w14:paraId="751FC7D7">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p>
    <w:p w14:paraId="319A6441">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（二）计分办法（按四舍五入取至百分位）：</w:t>
      </w:r>
    </w:p>
    <w:p w14:paraId="7A2C1A03">
      <w:pPr>
        <w:pStyle w:val="57"/>
        <w:widowControl w:val="0"/>
        <w:wordWrap/>
        <w:spacing w:line="240" w:lineRule="auto"/>
        <w:textAlignment w:val="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三</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b/>
          <w:bCs/>
          <w:color w:val="000000" w:themeColor="text1"/>
          <w:sz w:val="15"/>
          <w:szCs w:val="15"/>
          <w:highlight w:val="none"/>
          <w14:textFill>
            <w14:solidFill>
              <w14:schemeClr w14:val="tx1"/>
            </w14:solidFill>
          </w14:textFill>
        </w:rPr>
        <w:t>评审</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因素及分值</w:t>
      </w:r>
    </w:p>
    <w:tbl>
      <w:tblPr>
        <w:tblStyle w:val="36"/>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155"/>
        <w:gridCol w:w="5721"/>
        <w:gridCol w:w="845"/>
      </w:tblGrid>
      <w:tr w14:paraId="482C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0F1137E2">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序号</w:t>
            </w:r>
          </w:p>
        </w:tc>
        <w:tc>
          <w:tcPr>
            <w:tcW w:w="2155" w:type="dxa"/>
            <w:noWrap w:val="0"/>
            <w:vAlign w:val="center"/>
          </w:tcPr>
          <w:p w14:paraId="2721821C">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评审因素</w:t>
            </w:r>
          </w:p>
        </w:tc>
        <w:tc>
          <w:tcPr>
            <w:tcW w:w="5721" w:type="dxa"/>
            <w:noWrap w:val="0"/>
            <w:vAlign w:val="center"/>
          </w:tcPr>
          <w:p w14:paraId="70E1257D">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评审因素具体内容</w:t>
            </w:r>
          </w:p>
        </w:tc>
        <w:tc>
          <w:tcPr>
            <w:tcW w:w="845" w:type="dxa"/>
            <w:noWrap w:val="0"/>
            <w:vAlign w:val="center"/>
          </w:tcPr>
          <w:p w14:paraId="6DE06656">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分值</w:t>
            </w:r>
          </w:p>
        </w:tc>
      </w:tr>
      <w:tr w14:paraId="244D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4D517CBE">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1</w:t>
            </w:r>
          </w:p>
        </w:tc>
        <w:tc>
          <w:tcPr>
            <w:tcW w:w="2155" w:type="dxa"/>
            <w:noWrap w:val="0"/>
            <w:vAlign w:val="center"/>
          </w:tcPr>
          <w:p w14:paraId="35F251D1">
            <w:pPr>
              <w:widowControl/>
              <w:spacing w:line="240" w:lineRule="auto"/>
              <w:jc w:val="center"/>
              <w:rPr>
                <w:rFonts w:hint="default" w:ascii="宋体" w:hAnsi="宋体" w:eastAsia="宋体" w:cs="宋体"/>
                <w:b/>
                <w:bCs/>
                <w:color w:val="000000" w:themeColor="text1"/>
                <w:kern w:val="0"/>
                <w:sz w:val="15"/>
                <w:szCs w:val="15"/>
                <w:lang w:val="en-US" w:eastAsia="zh-CN"/>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价格分</w:t>
            </w:r>
            <w:r>
              <w:rPr>
                <w:rFonts w:hint="eastAsia" w:ascii="宋体" w:hAnsi="宋体" w:cs="宋体"/>
                <w:b/>
                <w:color w:val="000000" w:themeColor="text1"/>
                <w:kern w:val="0"/>
                <w:sz w:val="15"/>
                <w:szCs w:val="15"/>
                <w:lang w:val="en-US" w:eastAsia="zh-CN"/>
                <w14:textFill>
                  <w14:solidFill>
                    <w14:schemeClr w14:val="tx1"/>
                  </w14:solidFill>
                </w14:textFill>
              </w:rPr>
              <w:t>30分</w:t>
            </w:r>
          </w:p>
        </w:tc>
        <w:tc>
          <w:tcPr>
            <w:tcW w:w="5721" w:type="dxa"/>
            <w:noWrap w:val="0"/>
            <w:vAlign w:val="top"/>
          </w:tcPr>
          <w:p w14:paraId="4E4E45B2">
            <w:pPr>
              <w:widowControl/>
              <w:spacing w:line="240" w:lineRule="auto"/>
              <w:jc w:val="center"/>
              <w:rPr>
                <w:rFonts w:hint="eastAsia" w:ascii="宋体" w:hAnsi="宋体" w:eastAsia="宋体" w:cs="宋体"/>
                <w:b/>
                <w:bCs/>
                <w:color w:val="000000" w:themeColor="text1"/>
                <w:kern w:val="0"/>
                <w:sz w:val="15"/>
                <w:szCs w:val="15"/>
                <w:lang w:eastAsia="zh-CN"/>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评审</w:t>
            </w:r>
            <w:r>
              <w:rPr>
                <w:rFonts w:hint="eastAsia" w:ascii="宋体" w:hAnsi="宋体" w:cs="宋体"/>
                <w:b/>
                <w:color w:val="000000" w:themeColor="text1"/>
                <w:kern w:val="0"/>
                <w:sz w:val="15"/>
                <w:szCs w:val="15"/>
                <w:lang w:val="en-US" w:eastAsia="zh-CN"/>
                <w14:textFill>
                  <w14:solidFill>
                    <w14:schemeClr w14:val="tx1"/>
                  </w14:solidFill>
                </w14:textFill>
              </w:rPr>
              <w:t>标准</w:t>
            </w:r>
          </w:p>
        </w:tc>
        <w:tc>
          <w:tcPr>
            <w:tcW w:w="845" w:type="dxa"/>
            <w:noWrap w:val="0"/>
            <w:vAlign w:val="top"/>
          </w:tcPr>
          <w:p w14:paraId="72E7CB1A">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分值</w:t>
            </w:r>
          </w:p>
        </w:tc>
      </w:tr>
      <w:tr w14:paraId="0783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47B83DD3">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1.1</w:t>
            </w:r>
          </w:p>
        </w:tc>
        <w:tc>
          <w:tcPr>
            <w:tcW w:w="2155" w:type="dxa"/>
            <w:noWrap w:val="0"/>
            <w:vAlign w:val="center"/>
          </w:tcPr>
          <w:p w14:paraId="62C6ED8C">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价格分</w:t>
            </w:r>
          </w:p>
        </w:tc>
        <w:tc>
          <w:tcPr>
            <w:tcW w:w="5721" w:type="dxa"/>
            <w:noWrap w:val="0"/>
            <w:vAlign w:val="top"/>
          </w:tcPr>
          <w:p w14:paraId="7BDB7E17">
            <w:pPr>
              <w:pStyle w:val="19"/>
              <w:widowControl w:val="0"/>
              <w:wordWrap/>
              <w:spacing w:line="240" w:lineRule="auto"/>
              <w:ind w:firstLine="0" w:firstLineChars="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w:t>
            </w:r>
            <w:r>
              <w:rPr>
                <w:rFonts w:hint="eastAsia" w:hAnsi="宋体" w:cs="宋体"/>
                <w:bCs/>
                <w:color w:val="000000" w:themeColor="text1"/>
                <w:sz w:val="15"/>
                <w:szCs w:val="15"/>
                <w:highlight w:val="none"/>
                <w:lang w:val="en-US" w:eastAsia="zh-CN"/>
                <w14:textFill>
                  <w14:solidFill>
                    <w14:schemeClr w14:val="tx1"/>
                  </w14:solidFill>
                </w14:textFill>
              </w:rPr>
              <w:t>本项目面向中小企业采购，不再执行价格优惠政策</w:t>
            </w:r>
            <w:r>
              <w:rPr>
                <w:rFonts w:hint="eastAsia" w:ascii="宋体" w:hAnsi="宋体" w:eastAsia="宋体" w:cs="宋体"/>
                <w:bCs/>
                <w:color w:val="000000" w:themeColor="text1"/>
                <w:sz w:val="15"/>
                <w:szCs w:val="15"/>
                <w:highlight w:val="none"/>
                <w14:textFill>
                  <w14:solidFill>
                    <w14:schemeClr w14:val="tx1"/>
                  </w14:solidFill>
                </w14:textFill>
              </w:rPr>
              <w:t>。</w:t>
            </w:r>
            <w:r>
              <w:rPr>
                <w:rFonts w:hint="eastAsia" w:hAnsi="宋体" w:cs="宋体"/>
                <w:bCs/>
                <w:color w:val="000000" w:themeColor="text1"/>
                <w:sz w:val="15"/>
                <w:szCs w:val="15"/>
                <w:highlight w:val="none"/>
                <w:lang w:val="en-US" w:eastAsia="zh-CN"/>
                <w14:textFill>
                  <w14:solidFill>
                    <w14:schemeClr w14:val="tx1"/>
                  </w14:solidFill>
                </w14:textFill>
              </w:rPr>
              <w:t>评标</w:t>
            </w:r>
            <w:r>
              <w:rPr>
                <w:rFonts w:hint="eastAsia" w:ascii="宋体" w:hAnsi="宋体" w:eastAsia="宋体" w:cs="宋体"/>
                <w:bCs/>
                <w:color w:val="000000" w:themeColor="text1"/>
                <w:sz w:val="15"/>
                <w:szCs w:val="15"/>
                <w:highlight w:val="none"/>
                <w14:textFill>
                  <w14:solidFill>
                    <w14:schemeClr w14:val="tx1"/>
                  </w14:solidFill>
                </w14:textFill>
              </w:rPr>
              <w:t>价＝磋商报价。</w:t>
            </w:r>
          </w:p>
          <w:p w14:paraId="66F09860">
            <w:pPr>
              <w:pStyle w:val="19"/>
              <w:widowControl w:val="0"/>
              <w:wordWrap/>
              <w:spacing w:line="240" w:lineRule="auto"/>
              <w:ind w:firstLine="0" w:firstLineChars="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（2）以进入综合评分环节的最低的评标价为基准价，基准价报价得分为</w:t>
            </w:r>
            <w:r>
              <w:rPr>
                <w:rFonts w:hint="eastAsia" w:hAnsi="宋体" w:cs="宋体"/>
                <w:bCs/>
                <w:color w:val="000000" w:themeColor="text1"/>
                <w:sz w:val="15"/>
                <w:szCs w:val="15"/>
                <w:highlight w:val="none"/>
                <w:lang w:val="en-US" w:eastAsia="zh-CN"/>
                <w14:textFill>
                  <w14:solidFill>
                    <w14:schemeClr w14:val="tx1"/>
                  </w14:solidFill>
                </w14:textFill>
              </w:rPr>
              <w:t>3</w:t>
            </w:r>
            <w:r>
              <w:rPr>
                <w:rFonts w:hint="eastAsia" w:ascii="宋体" w:hAnsi="宋体" w:eastAsia="宋体" w:cs="宋体"/>
                <w:bCs/>
                <w:color w:val="000000" w:themeColor="text1"/>
                <w:sz w:val="15"/>
                <w:szCs w:val="15"/>
                <w:highlight w:val="none"/>
                <w14:textFill>
                  <w14:solidFill>
                    <w14:schemeClr w14:val="tx1"/>
                  </w14:solidFill>
                </w14:textFill>
              </w:rPr>
              <w:t>0分。</w:t>
            </w:r>
          </w:p>
          <w:p w14:paraId="603E7E85">
            <w:pPr>
              <w:pStyle w:val="19"/>
              <w:widowControl w:val="0"/>
              <w:wordWrap/>
              <w:spacing w:line="240" w:lineRule="auto"/>
              <w:ind w:firstLine="0" w:firstLineChars="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w:t>
            </w:r>
            <w:r>
              <w:rPr>
                <w:rFonts w:hint="eastAsia" w:hAnsi="宋体" w:cs="宋体"/>
                <w:bCs/>
                <w:color w:val="000000" w:themeColor="text1"/>
                <w:sz w:val="15"/>
                <w:szCs w:val="15"/>
                <w:highlight w:val="none"/>
                <w:lang w:val="en-US" w:eastAsia="zh-CN"/>
                <w14:textFill>
                  <w14:solidFill>
                    <w14:schemeClr w14:val="tx1"/>
                  </w14:solidFill>
                </w14:textFill>
              </w:rPr>
              <w:t>3</w:t>
            </w:r>
            <w:r>
              <w:rPr>
                <w:rFonts w:hint="eastAsia" w:ascii="宋体" w:hAnsi="宋体" w:eastAsia="宋体" w:cs="宋体"/>
                <w:bCs/>
                <w:color w:val="000000" w:themeColor="text1"/>
                <w:sz w:val="15"/>
                <w:szCs w:val="15"/>
                <w:highlight w:val="none"/>
                <w14:textFill>
                  <w14:solidFill>
                    <w14:schemeClr w14:val="tx1"/>
                  </w14:solidFill>
                </w14:textFill>
              </w:rPr>
              <w:t>）价格分计算公式：</w:t>
            </w:r>
          </w:p>
          <w:p w14:paraId="1DE3B26F">
            <w:pPr>
              <w:pStyle w:val="19"/>
              <w:widowControl w:val="0"/>
              <w:wordWrap/>
              <w:spacing w:line="240" w:lineRule="auto"/>
              <w:ind w:firstLine="0" w:firstLineChars="0"/>
              <w:textAlignment w:val="auto"/>
              <w:rPr>
                <w:rFonts w:hint="eastAsia"/>
                <w:color w:val="000000" w:themeColor="text1"/>
                <w:sz w:val="15"/>
                <w:szCs w:val="15"/>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某供应商价格分=基准价/某供应商评标价×</w:t>
            </w:r>
            <w:r>
              <w:rPr>
                <w:rFonts w:hint="eastAsia" w:hAnsi="宋体" w:cs="宋体"/>
                <w:bCs/>
                <w:color w:val="000000" w:themeColor="text1"/>
                <w:sz w:val="15"/>
                <w:szCs w:val="15"/>
                <w:highlight w:val="none"/>
                <w:lang w:val="en-US" w:eastAsia="zh-CN"/>
                <w14:textFill>
                  <w14:solidFill>
                    <w14:schemeClr w14:val="tx1"/>
                  </w14:solidFill>
                </w14:textFill>
              </w:rPr>
              <w:t>3</w:t>
            </w:r>
            <w:r>
              <w:rPr>
                <w:rFonts w:hint="eastAsia" w:ascii="宋体" w:hAnsi="宋体" w:eastAsia="宋体" w:cs="宋体"/>
                <w:bCs/>
                <w:color w:val="000000" w:themeColor="text1"/>
                <w:sz w:val="15"/>
                <w:szCs w:val="15"/>
                <w:highlight w:val="none"/>
                <w14:textFill>
                  <w14:solidFill>
                    <w14:schemeClr w14:val="tx1"/>
                  </w14:solidFill>
                </w14:textFill>
              </w:rPr>
              <w:t>0分</w:t>
            </w:r>
          </w:p>
        </w:tc>
        <w:tc>
          <w:tcPr>
            <w:tcW w:w="845" w:type="dxa"/>
            <w:noWrap w:val="0"/>
            <w:vAlign w:val="center"/>
          </w:tcPr>
          <w:p w14:paraId="22604A0F">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cs="宋体"/>
                <w:color w:val="000000" w:themeColor="text1"/>
                <w:kern w:val="0"/>
                <w:sz w:val="15"/>
                <w:szCs w:val="15"/>
                <w:lang w:val="en-US" w:eastAsia="zh-CN"/>
                <w14:textFill>
                  <w14:solidFill>
                    <w14:schemeClr w14:val="tx1"/>
                  </w14:solidFill>
                </w14:textFill>
              </w:rPr>
              <w:t>30</w:t>
            </w:r>
            <w:r>
              <w:rPr>
                <w:rFonts w:hint="eastAsia" w:ascii="宋体" w:hAnsi="宋体" w:eastAsia="宋体" w:cs="宋体"/>
                <w:color w:val="000000" w:themeColor="text1"/>
                <w:kern w:val="0"/>
                <w:sz w:val="15"/>
                <w:szCs w:val="15"/>
                <w14:textFill>
                  <w14:solidFill>
                    <w14:schemeClr w14:val="tx1"/>
                  </w14:solidFill>
                </w14:textFill>
              </w:rPr>
              <w:t>分</w:t>
            </w:r>
          </w:p>
        </w:tc>
      </w:tr>
      <w:tr w14:paraId="1BA9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4AE91CCC">
            <w:pPr>
              <w:widowControl/>
              <w:spacing w:line="240" w:lineRule="auto"/>
              <w:jc w:val="center"/>
              <w:rPr>
                <w:rFonts w:hint="eastAsia" w:ascii="宋体" w:hAnsi="宋体" w:eastAsia="宋体" w:cs="宋体"/>
                <w:b/>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2</w:t>
            </w:r>
          </w:p>
        </w:tc>
        <w:tc>
          <w:tcPr>
            <w:tcW w:w="2155" w:type="dxa"/>
            <w:noWrap w:val="0"/>
            <w:vAlign w:val="center"/>
          </w:tcPr>
          <w:p w14:paraId="34D9FCE4">
            <w:pPr>
              <w:widowControl/>
              <w:spacing w:line="240" w:lineRule="auto"/>
              <w:jc w:val="center"/>
              <w:rPr>
                <w:rFonts w:hint="default" w:ascii="宋体" w:hAnsi="宋体" w:eastAsia="宋体" w:cs="宋体"/>
                <w:b/>
                <w:color w:val="000000" w:themeColor="text1"/>
                <w:kern w:val="0"/>
                <w:sz w:val="15"/>
                <w:szCs w:val="15"/>
                <w:lang w:val="en-US" w:eastAsia="zh-CN"/>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技术分</w:t>
            </w:r>
            <w:r>
              <w:rPr>
                <w:rFonts w:hint="eastAsia" w:ascii="宋体" w:hAnsi="宋体" w:cs="宋体"/>
                <w:b/>
                <w:color w:val="000000" w:themeColor="text1"/>
                <w:kern w:val="0"/>
                <w:sz w:val="15"/>
                <w:szCs w:val="15"/>
                <w:lang w:val="en-US" w:eastAsia="zh-CN"/>
                <w14:textFill>
                  <w14:solidFill>
                    <w14:schemeClr w14:val="tx1"/>
                  </w14:solidFill>
                </w14:textFill>
              </w:rPr>
              <w:t>40分</w:t>
            </w:r>
          </w:p>
        </w:tc>
        <w:tc>
          <w:tcPr>
            <w:tcW w:w="5721" w:type="dxa"/>
            <w:noWrap w:val="0"/>
            <w:vAlign w:val="top"/>
          </w:tcPr>
          <w:p w14:paraId="5EB7F741">
            <w:pPr>
              <w:widowControl/>
              <w:spacing w:line="240" w:lineRule="auto"/>
              <w:jc w:val="center"/>
              <w:rPr>
                <w:rFonts w:hint="eastAsia" w:ascii="宋体" w:hAnsi="宋体" w:eastAsia="宋体" w:cs="宋体"/>
                <w:b/>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评审因素</w:t>
            </w:r>
          </w:p>
        </w:tc>
        <w:tc>
          <w:tcPr>
            <w:tcW w:w="845" w:type="dxa"/>
            <w:noWrap w:val="0"/>
            <w:vAlign w:val="top"/>
          </w:tcPr>
          <w:p w14:paraId="722B7BD5">
            <w:pPr>
              <w:widowControl/>
              <w:spacing w:line="240" w:lineRule="auto"/>
              <w:jc w:val="center"/>
              <w:rPr>
                <w:rFonts w:hint="eastAsia" w:ascii="宋体" w:hAnsi="宋体" w:eastAsia="宋体" w:cs="宋体"/>
                <w:b/>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分值</w:t>
            </w:r>
          </w:p>
        </w:tc>
      </w:tr>
      <w:tr w14:paraId="40E9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272397A9">
            <w:pPr>
              <w:adjustRightInd w:val="0"/>
              <w:spacing w:line="240" w:lineRule="auto"/>
              <w:ind w:left="-105" w:leftChars="-50" w:right="-105" w:rightChars="-50"/>
              <w:jc w:val="center"/>
              <w:textAlignment w:val="baseline"/>
              <w:rPr>
                <w:rFonts w:hint="eastAsia" w:ascii="宋体" w:hAnsi="宋体" w:eastAsia="宋体" w:cs="宋体"/>
                <w:bCs/>
                <w:color w:val="000000" w:themeColor="text1"/>
                <w:kern w:val="0"/>
                <w:sz w:val="15"/>
                <w:szCs w:val="15"/>
                <w14:textFill>
                  <w14:solidFill>
                    <w14:schemeClr w14:val="tx1"/>
                  </w14:solidFill>
                </w14:textFill>
              </w:rPr>
            </w:pPr>
            <w:r>
              <w:rPr>
                <w:rFonts w:hint="eastAsia" w:ascii="宋体" w:hAnsi="宋体" w:cs="宋体"/>
                <w:bCs/>
                <w:color w:val="000000" w:themeColor="text1"/>
                <w:kern w:val="0"/>
                <w:sz w:val="15"/>
                <w:szCs w:val="15"/>
                <w:lang w:val="en-US" w:eastAsia="zh-CN"/>
                <w14:textFill>
                  <w14:solidFill>
                    <w14:schemeClr w14:val="tx1"/>
                  </w14:solidFill>
                </w14:textFill>
              </w:rPr>
              <w:t>2.1</w:t>
            </w:r>
          </w:p>
        </w:tc>
        <w:tc>
          <w:tcPr>
            <w:tcW w:w="2155" w:type="dxa"/>
            <w:noWrap w:val="0"/>
            <w:vAlign w:val="center"/>
          </w:tcPr>
          <w:p w14:paraId="5A2AE536">
            <w:pPr>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cs="宋体"/>
                <w:bCs/>
                <w:color w:val="000000" w:themeColor="text1"/>
                <w:sz w:val="15"/>
                <w:szCs w:val="15"/>
                <w:lang w:val="en-US" w:eastAsia="zh-CN"/>
                <w14:textFill>
                  <w14:solidFill>
                    <w14:schemeClr w14:val="tx1"/>
                  </w14:solidFill>
                </w14:textFill>
              </w:rPr>
              <w:t>维保服务方案</w:t>
            </w:r>
          </w:p>
        </w:tc>
        <w:tc>
          <w:tcPr>
            <w:tcW w:w="5721" w:type="dxa"/>
            <w:noWrap w:val="0"/>
            <w:vAlign w:val="center"/>
          </w:tcPr>
          <w:p w14:paraId="413AE7B1">
            <w:pPr>
              <w:pStyle w:val="19"/>
              <w:spacing w:line="240" w:lineRule="auto"/>
              <w:ind w:firstLine="0" w:firstLineChars="0"/>
              <w:rPr>
                <w:rFonts w:hint="default" w:ascii="宋体" w:hAnsi="宋体" w:eastAsia="宋体" w:cs="宋体"/>
                <w:bCs/>
                <w:color w:val="000000" w:themeColor="text1"/>
                <w:kern w:val="2"/>
                <w:sz w:val="15"/>
                <w:szCs w:val="15"/>
                <w:highlight w:val="none"/>
                <w14:textFill>
                  <w14:solidFill>
                    <w14:schemeClr w14:val="tx1"/>
                  </w14:solidFill>
                </w14:textFill>
              </w:rPr>
            </w:pPr>
            <w:r>
              <w:rPr>
                <w:rFonts w:hint="eastAsia" w:ascii="宋体" w:hAnsi="宋体" w:eastAsia="宋体" w:cs="宋体"/>
                <w:bCs/>
                <w:color w:val="000000" w:themeColor="text1"/>
                <w:kern w:val="2"/>
                <w:sz w:val="15"/>
                <w:szCs w:val="15"/>
                <w:highlight w:val="none"/>
                <w14:textFill>
                  <w14:solidFill>
                    <w14:schemeClr w14:val="tx1"/>
                  </w14:solidFill>
                </w14:textFill>
              </w:rPr>
              <w:t>供应商针对本项目制定的项目方案及技术体现进行评分</w:t>
            </w:r>
            <w:r>
              <w:rPr>
                <w:rFonts w:hint="eastAsia" w:hAnsi="宋体" w:cs="宋体"/>
                <w:bCs/>
                <w:color w:val="000000" w:themeColor="text1"/>
                <w:kern w:val="2"/>
                <w:sz w:val="15"/>
                <w:szCs w:val="15"/>
                <w:highlight w:val="none"/>
                <w:lang w:eastAsia="zh-CN"/>
                <w14:textFill>
                  <w14:solidFill>
                    <w14:schemeClr w14:val="tx1"/>
                  </w14:solidFill>
                </w14:textFill>
              </w:rPr>
              <w:t>，包括但不限于组织措施、技术措施、安全措施、</w:t>
            </w:r>
            <w:r>
              <w:rPr>
                <w:rFonts w:hint="eastAsia" w:hAnsi="宋体" w:cs="宋体"/>
                <w:bCs/>
                <w:color w:val="000000" w:themeColor="text1"/>
                <w:kern w:val="2"/>
                <w:sz w:val="15"/>
                <w:szCs w:val="15"/>
                <w:highlight w:val="none"/>
                <w:lang w:val="en-US" w:eastAsia="zh-CN"/>
                <w14:textFill>
                  <w14:solidFill>
                    <w14:schemeClr w14:val="tx1"/>
                  </w14:solidFill>
                </w14:textFill>
              </w:rPr>
              <w:t>人员投入、台账管理措施、人员培训等。</w:t>
            </w:r>
          </w:p>
          <w:p w14:paraId="0A876D1B">
            <w:pPr>
              <w:pStyle w:val="19"/>
              <w:spacing w:line="240" w:lineRule="auto"/>
              <w:ind w:firstLine="0" w:firstLineChars="0"/>
              <w:rPr>
                <w:rFonts w:hint="eastAsia" w:ascii="宋体" w:hAnsi="宋体" w:eastAsia="宋体" w:cs="宋体"/>
                <w:bCs/>
                <w:color w:val="000000" w:themeColor="text1"/>
                <w:kern w:val="2"/>
                <w:sz w:val="15"/>
                <w:szCs w:val="15"/>
                <w:highlight w:val="none"/>
                <w14:textFill>
                  <w14:solidFill>
                    <w14:schemeClr w14:val="tx1"/>
                  </w14:solidFill>
                </w14:textFill>
              </w:rPr>
            </w:pPr>
            <w:r>
              <w:rPr>
                <w:rFonts w:hint="eastAsia" w:ascii="宋体" w:hAnsi="宋体" w:eastAsia="宋体" w:cs="宋体"/>
                <w:bCs/>
                <w:color w:val="000000" w:themeColor="text1"/>
                <w:kern w:val="2"/>
                <w:sz w:val="15"/>
                <w:szCs w:val="15"/>
                <w:highlight w:val="none"/>
                <w14:textFill>
                  <w14:solidFill>
                    <w14:schemeClr w14:val="tx1"/>
                  </w14:solidFill>
                </w14:textFill>
              </w:rPr>
              <w:t>（1）项目方案及技术体现详细具体，合理得当，切实可行，确保监控设备稳定运行，视频图像清晰可用</w:t>
            </w:r>
            <w:r>
              <w:rPr>
                <w:rFonts w:hint="eastAsia" w:hAnsi="宋体" w:cs="宋体"/>
                <w:bCs/>
                <w:color w:val="000000" w:themeColor="text1"/>
                <w:kern w:val="2"/>
                <w:sz w:val="15"/>
                <w:szCs w:val="15"/>
                <w:highlight w:val="none"/>
                <w:lang w:eastAsia="zh-CN"/>
                <w14:textFill>
                  <w14:solidFill>
                    <w14:schemeClr w14:val="tx1"/>
                  </w14:solidFill>
                </w14:textFill>
              </w:rPr>
              <w:t>，</w:t>
            </w:r>
            <w:r>
              <w:rPr>
                <w:rFonts w:hint="eastAsia" w:hAnsi="宋体" w:cs="宋体"/>
                <w:bCs/>
                <w:color w:val="000000" w:themeColor="text1"/>
                <w:kern w:val="2"/>
                <w:sz w:val="15"/>
                <w:szCs w:val="15"/>
                <w:highlight w:val="none"/>
                <w:lang w:val="en-US" w:eastAsia="zh-CN"/>
                <w14:textFill>
                  <w14:solidFill>
                    <w14:schemeClr w14:val="tx1"/>
                  </w14:solidFill>
                </w14:textFill>
              </w:rPr>
              <w:t>方案满足采购需求的“维修保养核心要点”</w:t>
            </w:r>
            <w:r>
              <w:rPr>
                <w:rFonts w:hint="eastAsia" w:ascii="宋体" w:hAnsi="宋体" w:eastAsia="宋体" w:cs="宋体"/>
                <w:bCs/>
                <w:color w:val="000000" w:themeColor="text1"/>
                <w:kern w:val="2"/>
                <w:sz w:val="15"/>
                <w:szCs w:val="15"/>
                <w:highlight w:val="none"/>
                <w14:textFill>
                  <w14:solidFill>
                    <w14:schemeClr w14:val="tx1"/>
                  </w14:solidFill>
                </w14:textFill>
              </w:rPr>
              <w:t>得</w:t>
            </w:r>
            <w:r>
              <w:rPr>
                <w:rFonts w:hint="eastAsia" w:hAnsi="宋体" w:cs="宋体"/>
                <w:b w:val="0"/>
                <w:bCs/>
                <w:color w:val="000000" w:themeColor="text1"/>
                <w:kern w:val="2"/>
                <w:sz w:val="15"/>
                <w:szCs w:val="15"/>
                <w:highlight w:val="none"/>
                <w:lang w:val="en-US" w:eastAsia="zh-CN"/>
                <w14:textFill>
                  <w14:solidFill>
                    <w14:schemeClr w14:val="tx1"/>
                  </w14:solidFill>
                </w14:textFill>
              </w:rPr>
              <w:t>20</w:t>
            </w:r>
            <w:r>
              <w:rPr>
                <w:rFonts w:hint="eastAsia" w:ascii="宋体" w:hAnsi="宋体" w:eastAsia="宋体" w:cs="宋体"/>
                <w:bCs/>
                <w:color w:val="000000" w:themeColor="text1"/>
                <w:kern w:val="2"/>
                <w:sz w:val="15"/>
                <w:szCs w:val="15"/>
                <w:highlight w:val="none"/>
                <w14:textFill>
                  <w14:solidFill>
                    <w14:schemeClr w14:val="tx1"/>
                  </w14:solidFill>
                </w14:textFill>
              </w:rPr>
              <w:t>分；</w:t>
            </w:r>
          </w:p>
          <w:p w14:paraId="7BA1F315">
            <w:pPr>
              <w:pStyle w:val="19"/>
              <w:spacing w:line="240" w:lineRule="auto"/>
              <w:ind w:firstLine="0" w:firstLineChars="0"/>
              <w:rPr>
                <w:rFonts w:hint="eastAsia" w:ascii="宋体" w:hAnsi="宋体" w:eastAsia="宋体" w:cs="宋体"/>
                <w:bCs/>
                <w:color w:val="000000" w:themeColor="text1"/>
                <w:kern w:val="2"/>
                <w:sz w:val="15"/>
                <w:szCs w:val="15"/>
                <w:highlight w:val="none"/>
                <w14:textFill>
                  <w14:solidFill>
                    <w14:schemeClr w14:val="tx1"/>
                  </w14:solidFill>
                </w14:textFill>
              </w:rPr>
            </w:pPr>
            <w:r>
              <w:rPr>
                <w:rFonts w:hint="eastAsia" w:ascii="宋体" w:hAnsi="宋体" w:eastAsia="宋体" w:cs="宋体"/>
                <w:bCs/>
                <w:color w:val="000000" w:themeColor="text1"/>
                <w:kern w:val="2"/>
                <w:sz w:val="15"/>
                <w:szCs w:val="15"/>
                <w:highlight w:val="none"/>
                <w14:textFill>
                  <w14:solidFill>
                    <w14:schemeClr w14:val="tx1"/>
                  </w14:solidFill>
                </w14:textFill>
              </w:rPr>
              <w:t>（2）项目方案及技术体现基本具体，比较合理，基本可行，得</w:t>
            </w:r>
            <w:r>
              <w:rPr>
                <w:rFonts w:hint="eastAsia" w:hAnsi="宋体" w:cs="宋体"/>
                <w:b w:val="0"/>
                <w:bCs/>
                <w:color w:val="000000" w:themeColor="text1"/>
                <w:kern w:val="2"/>
                <w:sz w:val="15"/>
                <w:szCs w:val="15"/>
                <w:highlight w:val="none"/>
                <w:lang w:val="en-US" w:eastAsia="zh-CN"/>
                <w14:textFill>
                  <w14:solidFill>
                    <w14:schemeClr w14:val="tx1"/>
                  </w14:solidFill>
                </w14:textFill>
              </w:rPr>
              <w:t>12</w:t>
            </w:r>
            <w:r>
              <w:rPr>
                <w:rFonts w:hint="eastAsia" w:ascii="宋体" w:hAnsi="宋体" w:eastAsia="宋体" w:cs="宋体"/>
                <w:bCs/>
                <w:color w:val="000000" w:themeColor="text1"/>
                <w:kern w:val="2"/>
                <w:sz w:val="15"/>
                <w:szCs w:val="15"/>
                <w:highlight w:val="none"/>
                <w14:textFill>
                  <w14:solidFill>
                    <w14:schemeClr w14:val="tx1"/>
                  </w14:solidFill>
                </w14:textFill>
              </w:rPr>
              <w:t>分；</w:t>
            </w:r>
          </w:p>
          <w:p w14:paraId="10B04B5B">
            <w:pPr>
              <w:pStyle w:val="19"/>
              <w:spacing w:line="240" w:lineRule="auto"/>
              <w:ind w:firstLine="0" w:firstLineChars="0"/>
              <w:rPr>
                <w:rFonts w:hint="eastAsia" w:ascii="宋体" w:hAnsi="宋体" w:eastAsia="宋体" w:cs="宋体"/>
                <w:bCs/>
                <w:color w:val="000000" w:themeColor="text1"/>
                <w:kern w:val="2"/>
                <w:sz w:val="15"/>
                <w:szCs w:val="15"/>
                <w:highlight w:val="none"/>
                <w14:textFill>
                  <w14:solidFill>
                    <w14:schemeClr w14:val="tx1"/>
                  </w14:solidFill>
                </w14:textFill>
              </w:rPr>
            </w:pPr>
            <w:r>
              <w:rPr>
                <w:rFonts w:hint="eastAsia" w:ascii="宋体" w:hAnsi="宋体" w:eastAsia="宋体" w:cs="宋体"/>
                <w:bCs/>
                <w:color w:val="000000" w:themeColor="text1"/>
                <w:kern w:val="2"/>
                <w:sz w:val="15"/>
                <w:szCs w:val="15"/>
                <w:highlight w:val="none"/>
                <w14:textFill>
                  <w14:solidFill>
                    <w14:schemeClr w14:val="tx1"/>
                  </w14:solidFill>
                </w14:textFill>
              </w:rPr>
              <w:t>（3）项目方案及技术体现简单，基本合理，可行性较低，得</w:t>
            </w:r>
            <w:r>
              <w:rPr>
                <w:rFonts w:hint="eastAsia" w:hAnsi="宋体" w:cs="宋体"/>
                <w:b w:val="0"/>
                <w:bCs/>
                <w:color w:val="000000" w:themeColor="text1"/>
                <w:kern w:val="2"/>
                <w:sz w:val="15"/>
                <w:szCs w:val="15"/>
                <w:highlight w:val="none"/>
                <w:lang w:val="en-US" w:eastAsia="zh-CN"/>
                <w14:textFill>
                  <w14:solidFill>
                    <w14:schemeClr w14:val="tx1"/>
                  </w14:solidFill>
                </w14:textFill>
              </w:rPr>
              <w:t>4</w:t>
            </w:r>
            <w:r>
              <w:rPr>
                <w:rFonts w:hint="eastAsia" w:ascii="宋体" w:hAnsi="宋体" w:eastAsia="宋体" w:cs="宋体"/>
                <w:bCs/>
                <w:color w:val="000000" w:themeColor="text1"/>
                <w:kern w:val="2"/>
                <w:sz w:val="15"/>
                <w:szCs w:val="15"/>
                <w:highlight w:val="none"/>
                <w14:textFill>
                  <w14:solidFill>
                    <w14:schemeClr w14:val="tx1"/>
                  </w14:solidFill>
                </w14:textFill>
              </w:rPr>
              <w:t xml:space="preserve">分； </w:t>
            </w:r>
          </w:p>
          <w:p w14:paraId="1720027D">
            <w:pPr>
              <w:pStyle w:val="19"/>
              <w:widowControl w:val="0"/>
              <w:ind w:firstLine="0" w:firstLineChars="0"/>
              <w:jc w:val="left"/>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kern w:val="2"/>
                <w:sz w:val="15"/>
                <w:szCs w:val="15"/>
                <w:highlight w:val="none"/>
                <w14:textFill>
                  <w14:solidFill>
                    <w14:schemeClr w14:val="tx1"/>
                  </w14:solidFill>
                </w14:textFill>
              </w:rPr>
              <w:t>（4）未提供或提供的方案不合理、不可行，不得分。</w:t>
            </w:r>
          </w:p>
        </w:tc>
        <w:tc>
          <w:tcPr>
            <w:tcW w:w="845" w:type="dxa"/>
            <w:noWrap w:val="0"/>
            <w:vAlign w:val="center"/>
          </w:tcPr>
          <w:p w14:paraId="0BF801F7">
            <w:pPr>
              <w:spacing w:line="240" w:lineRule="auto"/>
              <w:jc w:val="center"/>
              <w:rPr>
                <w:rFonts w:hint="eastAsia" w:ascii="宋体" w:hAnsi="宋体" w:eastAsia="宋体" w:cs="宋体"/>
                <w:color w:val="000000" w:themeColor="text1"/>
                <w:sz w:val="15"/>
                <w:szCs w:val="15"/>
                <w14:textFill>
                  <w14:solidFill>
                    <w14:schemeClr w14:val="tx1"/>
                  </w14:solidFill>
                </w14:textFill>
              </w:rPr>
            </w:pPr>
            <w:r>
              <w:rPr>
                <w:rFonts w:hint="eastAsia" w:ascii="宋体" w:hAnsi="宋体" w:cs="宋体"/>
                <w:color w:val="000000" w:themeColor="text1"/>
                <w:sz w:val="15"/>
                <w:szCs w:val="15"/>
                <w:lang w:val="en-US" w:eastAsia="zh-CN"/>
                <w14:textFill>
                  <w14:solidFill>
                    <w14:schemeClr w14:val="tx1"/>
                  </w14:solidFill>
                </w14:textFill>
              </w:rPr>
              <w:t>20分</w:t>
            </w:r>
          </w:p>
        </w:tc>
      </w:tr>
      <w:tr w14:paraId="228C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766C3304">
            <w:pPr>
              <w:adjustRightInd w:val="0"/>
              <w:spacing w:line="240" w:lineRule="auto"/>
              <w:ind w:left="-105" w:leftChars="-50" w:right="-105" w:rightChars="-50"/>
              <w:jc w:val="center"/>
              <w:textAlignment w:val="baseline"/>
              <w:rPr>
                <w:rFonts w:hint="eastAsia" w:ascii="宋体" w:hAnsi="宋体" w:eastAsia="宋体" w:cs="宋体"/>
                <w:bCs/>
                <w:color w:val="000000" w:themeColor="text1"/>
                <w:kern w:val="0"/>
                <w:sz w:val="15"/>
                <w:szCs w:val="15"/>
                <w14:textFill>
                  <w14:solidFill>
                    <w14:schemeClr w14:val="tx1"/>
                  </w14:solidFill>
                </w14:textFill>
              </w:rPr>
            </w:pPr>
            <w:r>
              <w:rPr>
                <w:rFonts w:hint="eastAsia" w:ascii="宋体" w:hAnsi="宋体" w:cs="宋体"/>
                <w:bCs/>
                <w:color w:val="000000" w:themeColor="text1"/>
                <w:kern w:val="0"/>
                <w:sz w:val="15"/>
                <w:szCs w:val="15"/>
                <w:lang w:val="en-US" w:eastAsia="zh-CN"/>
                <w14:textFill>
                  <w14:solidFill>
                    <w14:schemeClr w14:val="tx1"/>
                  </w14:solidFill>
                </w14:textFill>
              </w:rPr>
              <w:t>2.2</w:t>
            </w:r>
          </w:p>
        </w:tc>
        <w:tc>
          <w:tcPr>
            <w:tcW w:w="2155" w:type="dxa"/>
            <w:noWrap w:val="0"/>
            <w:vAlign w:val="center"/>
          </w:tcPr>
          <w:p w14:paraId="07E66FB9">
            <w:pPr>
              <w:widowControl w:val="0"/>
              <w:adjustRightInd w:val="0"/>
              <w:spacing w:line="240" w:lineRule="auto"/>
              <w:ind w:left="0" w:leftChars="0" w:right="0" w:rightChars="0"/>
              <w:jc w:val="center"/>
              <w:textAlignment w:val="baseline"/>
              <w:rPr>
                <w:rFonts w:hint="eastAsia" w:ascii="宋体" w:hAnsi="宋体" w:eastAsia="宋体" w:cs="宋体"/>
                <w:bCs/>
                <w:color w:val="000000" w:themeColor="text1"/>
                <w:kern w:val="0"/>
                <w:sz w:val="15"/>
                <w:szCs w:val="15"/>
                <w14:textFill>
                  <w14:solidFill>
                    <w14:schemeClr w14:val="tx1"/>
                  </w14:solidFill>
                </w14:textFill>
              </w:rPr>
            </w:pPr>
            <w:r>
              <w:rPr>
                <w:rFonts w:hint="eastAsia" w:ascii="宋体" w:hAnsi="宋体" w:eastAsia="宋体" w:cs="宋体"/>
                <w:bCs/>
                <w:color w:val="000000" w:themeColor="text1"/>
                <w:kern w:val="0"/>
                <w:sz w:val="15"/>
                <w:szCs w:val="15"/>
                <w14:textFill>
                  <w14:solidFill>
                    <w14:schemeClr w14:val="tx1"/>
                  </w14:solidFill>
                </w14:textFill>
              </w:rPr>
              <w:t>风险控制方案</w:t>
            </w:r>
          </w:p>
        </w:tc>
        <w:tc>
          <w:tcPr>
            <w:tcW w:w="5721" w:type="dxa"/>
            <w:noWrap w:val="0"/>
            <w:vAlign w:val="center"/>
          </w:tcPr>
          <w:p w14:paraId="52AB1B68">
            <w:pPr>
              <w:pStyle w:val="19"/>
              <w:spacing w:line="240" w:lineRule="auto"/>
              <w:rPr>
                <w:rFonts w:hint="eastAsia" w:ascii="宋体" w:hAnsi="宋体" w:eastAsia="宋体" w:cs="宋体"/>
                <w:bCs/>
                <w:color w:val="000000" w:themeColor="text1"/>
                <w:kern w:val="2"/>
                <w:sz w:val="15"/>
                <w:szCs w:val="15"/>
                <w:highlight w:val="none"/>
                <w14:textFill>
                  <w14:solidFill>
                    <w14:schemeClr w14:val="tx1"/>
                  </w14:solidFill>
                </w14:textFill>
              </w:rPr>
            </w:pPr>
            <w:r>
              <w:rPr>
                <w:rFonts w:hint="eastAsia" w:ascii="宋体" w:hAnsi="宋体" w:eastAsia="宋体" w:cs="宋体"/>
                <w:bCs/>
                <w:color w:val="000000" w:themeColor="text1"/>
                <w:kern w:val="2"/>
                <w:sz w:val="15"/>
                <w:szCs w:val="15"/>
                <w:highlight w:val="none"/>
                <w14:textFill>
                  <w14:solidFill>
                    <w14:schemeClr w14:val="tx1"/>
                  </w14:solidFill>
                </w14:textFill>
              </w:rPr>
              <w:t>响应供应商针对本项目的风险控制方案（</w:t>
            </w:r>
            <w:r>
              <w:rPr>
                <w:rFonts w:hint="eastAsia" w:hAnsi="宋体" w:cs="宋体"/>
                <w:bCs/>
                <w:color w:val="000000" w:themeColor="text1"/>
                <w:kern w:val="2"/>
                <w:sz w:val="15"/>
                <w:szCs w:val="15"/>
                <w:highlight w:val="none"/>
                <w:lang w:val="en-US" w:eastAsia="zh-CN"/>
                <w14:textFill>
                  <w14:solidFill>
                    <w14:schemeClr w14:val="tx1"/>
                  </w14:solidFill>
                </w14:textFill>
              </w:rPr>
              <w:t>包括不限于</w:t>
            </w:r>
            <w:r>
              <w:rPr>
                <w:rFonts w:hint="eastAsia" w:ascii="宋体" w:hAnsi="宋体" w:eastAsia="宋体" w:cs="宋体"/>
                <w:bCs/>
                <w:color w:val="000000" w:themeColor="text1"/>
                <w:kern w:val="2"/>
                <w:sz w:val="15"/>
                <w:szCs w:val="15"/>
                <w:highlight w:val="none"/>
                <w14:textFill>
                  <w14:solidFill>
                    <w14:schemeClr w14:val="tx1"/>
                  </w14:solidFill>
                </w14:textFill>
              </w:rPr>
              <w:t>保密措施</w:t>
            </w:r>
            <w:r>
              <w:rPr>
                <w:rFonts w:hint="eastAsia" w:hAnsi="宋体" w:cs="宋体"/>
                <w:bCs/>
                <w:color w:val="000000" w:themeColor="text1"/>
                <w:kern w:val="2"/>
                <w:sz w:val="15"/>
                <w:szCs w:val="15"/>
                <w:highlight w:val="none"/>
                <w:lang w:eastAsia="zh-CN"/>
                <w14:textFill>
                  <w14:solidFill>
                    <w14:schemeClr w14:val="tx1"/>
                  </w14:solidFill>
                </w14:textFill>
              </w:rPr>
              <w:t>、</w:t>
            </w:r>
            <w:r>
              <w:rPr>
                <w:rFonts w:hint="eastAsia" w:hAnsi="宋体" w:cs="宋体"/>
                <w:bCs/>
                <w:color w:val="000000" w:themeColor="text1"/>
                <w:kern w:val="2"/>
                <w:sz w:val="15"/>
                <w:szCs w:val="15"/>
                <w:highlight w:val="none"/>
                <w:lang w:val="en-US" w:eastAsia="zh-CN"/>
                <w14:textFill>
                  <w14:solidFill>
                    <w14:schemeClr w14:val="tx1"/>
                  </w14:solidFill>
                </w14:textFill>
              </w:rPr>
              <w:t>故障处理流程、备品备件供应</w:t>
            </w:r>
            <w:r>
              <w:rPr>
                <w:rFonts w:hint="eastAsia" w:ascii="宋体" w:hAnsi="宋体" w:eastAsia="宋体" w:cs="宋体"/>
                <w:bCs/>
                <w:color w:val="000000" w:themeColor="text1"/>
                <w:kern w:val="2"/>
                <w:sz w:val="15"/>
                <w:szCs w:val="15"/>
                <w:highlight w:val="none"/>
                <w14:textFill>
                  <w14:solidFill>
                    <w14:schemeClr w14:val="tx1"/>
                  </w14:solidFill>
                </w14:textFill>
              </w:rPr>
              <w:t>）进行评分：</w:t>
            </w:r>
          </w:p>
          <w:p w14:paraId="0B842714">
            <w:pPr>
              <w:pStyle w:val="19"/>
              <w:spacing w:line="240" w:lineRule="auto"/>
              <w:rPr>
                <w:rFonts w:hint="eastAsia" w:ascii="宋体" w:hAnsi="宋体" w:eastAsia="宋体" w:cs="宋体"/>
                <w:bCs/>
                <w:color w:val="000000" w:themeColor="text1"/>
                <w:kern w:val="2"/>
                <w:sz w:val="15"/>
                <w:szCs w:val="15"/>
                <w:highlight w:val="none"/>
                <w14:textFill>
                  <w14:solidFill>
                    <w14:schemeClr w14:val="tx1"/>
                  </w14:solidFill>
                </w14:textFill>
              </w:rPr>
            </w:pPr>
            <w:r>
              <w:rPr>
                <w:rFonts w:hint="eastAsia" w:ascii="宋体" w:hAnsi="宋体" w:eastAsia="宋体" w:cs="宋体"/>
                <w:bCs/>
                <w:color w:val="000000" w:themeColor="text1"/>
                <w:kern w:val="2"/>
                <w:sz w:val="15"/>
                <w:szCs w:val="15"/>
                <w:highlight w:val="none"/>
                <w14:textFill>
                  <w14:solidFill>
                    <w14:schemeClr w14:val="tx1"/>
                  </w14:solidFill>
                </w14:textFill>
              </w:rPr>
              <w:t>（1）风险控制方案详细具体</w:t>
            </w:r>
            <w:r>
              <w:rPr>
                <w:rFonts w:hint="eastAsia" w:hAnsi="宋体" w:cs="宋体"/>
                <w:bCs/>
                <w:color w:val="000000" w:themeColor="text1"/>
                <w:kern w:val="2"/>
                <w:sz w:val="15"/>
                <w:szCs w:val="15"/>
                <w:highlight w:val="none"/>
                <w:lang w:eastAsia="zh-CN"/>
                <w14:textFill>
                  <w14:solidFill>
                    <w14:schemeClr w14:val="tx1"/>
                  </w14:solidFill>
                </w14:textFill>
              </w:rPr>
              <w:t>，</w:t>
            </w:r>
            <w:r>
              <w:rPr>
                <w:rFonts w:hint="eastAsia" w:hAnsi="宋体" w:cs="宋体"/>
                <w:bCs/>
                <w:color w:val="000000" w:themeColor="text1"/>
                <w:kern w:val="2"/>
                <w:sz w:val="15"/>
                <w:szCs w:val="15"/>
                <w:highlight w:val="none"/>
                <w:lang w:val="en-US" w:eastAsia="zh-CN"/>
                <w14:textFill>
                  <w14:solidFill>
                    <w14:schemeClr w14:val="tx1"/>
                  </w14:solidFill>
                </w14:textFill>
              </w:rPr>
              <w:t>内容齐全</w:t>
            </w:r>
            <w:r>
              <w:rPr>
                <w:rFonts w:hint="eastAsia" w:ascii="宋体" w:hAnsi="宋体" w:eastAsia="宋体" w:cs="宋体"/>
                <w:bCs/>
                <w:color w:val="000000" w:themeColor="text1"/>
                <w:kern w:val="2"/>
                <w:sz w:val="15"/>
                <w:szCs w:val="15"/>
                <w:highlight w:val="none"/>
                <w14:textFill>
                  <w14:solidFill>
                    <w14:schemeClr w14:val="tx1"/>
                  </w14:solidFill>
                </w14:textFill>
              </w:rPr>
              <w:t>，合理得当，切实可行，得</w:t>
            </w:r>
            <w:r>
              <w:rPr>
                <w:rFonts w:hint="eastAsia" w:hAnsi="宋体" w:cs="宋体"/>
                <w:b w:val="0"/>
                <w:bCs/>
                <w:color w:val="000000" w:themeColor="text1"/>
                <w:kern w:val="2"/>
                <w:sz w:val="15"/>
                <w:szCs w:val="15"/>
                <w:highlight w:val="none"/>
                <w:lang w:val="en-US" w:eastAsia="zh-CN"/>
                <w14:textFill>
                  <w14:solidFill>
                    <w14:schemeClr w14:val="tx1"/>
                  </w14:solidFill>
                </w14:textFill>
              </w:rPr>
              <w:t>20</w:t>
            </w:r>
            <w:r>
              <w:rPr>
                <w:rFonts w:hint="eastAsia" w:ascii="宋体" w:hAnsi="宋体" w:eastAsia="宋体" w:cs="宋体"/>
                <w:bCs/>
                <w:color w:val="000000" w:themeColor="text1"/>
                <w:kern w:val="2"/>
                <w:sz w:val="15"/>
                <w:szCs w:val="15"/>
                <w:highlight w:val="none"/>
                <w14:textFill>
                  <w14:solidFill>
                    <w14:schemeClr w14:val="tx1"/>
                  </w14:solidFill>
                </w14:textFill>
              </w:rPr>
              <w:t>分；</w:t>
            </w:r>
          </w:p>
          <w:p w14:paraId="42B72B21">
            <w:pPr>
              <w:pStyle w:val="19"/>
              <w:spacing w:line="240" w:lineRule="auto"/>
              <w:rPr>
                <w:rFonts w:hint="eastAsia" w:ascii="宋体" w:hAnsi="宋体" w:eastAsia="宋体" w:cs="宋体"/>
                <w:bCs/>
                <w:color w:val="000000" w:themeColor="text1"/>
                <w:kern w:val="2"/>
                <w:sz w:val="15"/>
                <w:szCs w:val="15"/>
                <w:highlight w:val="none"/>
                <w14:textFill>
                  <w14:solidFill>
                    <w14:schemeClr w14:val="tx1"/>
                  </w14:solidFill>
                </w14:textFill>
              </w:rPr>
            </w:pPr>
            <w:r>
              <w:rPr>
                <w:rFonts w:hint="eastAsia" w:ascii="宋体" w:hAnsi="宋体" w:eastAsia="宋体" w:cs="宋体"/>
                <w:bCs/>
                <w:color w:val="000000" w:themeColor="text1"/>
                <w:kern w:val="2"/>
                <w:sz w:val="15"/>
                <w:szCs w:val="15"/>
                <w:highlight w:val="none"/>
                <w14:textFill>
                  <w14:solidFill>
                    <w14:schemeClr w14:val="tx1"/>
                  </w14:solidFill>
                </w14:textFill>
              </w:rPr>
              <w:t>（2）风险控制方案基本具体，比较合理，基本可行，得</w:t>
            </w:r>
            <w:r>
              <w:rPr>
                <w:rFonts w:hint="eastAsia" w:hAnsi="宋体" w:cs="宋体"/>
                <w:b w:val="0"/>
                <w:bCs/>
                <w:color w:val="000000" w:themeColor="text1"/>
                <w:kern w:val="2"/>
                <w:sz w:val="15"/>
                <w:szCs w:val="15"/>
                <w:highlight w:val="none"/>
                <w:lang w:val="en-US" w:eastAsia="zh-CN"/>
                <w14:textFill>
                  <w14:solidFill>
                    <w14:schemeClr w14:val="tx1"/>
                  </w14:solidFill>
                </w14:textFill>
              </w:rPr>
              <w:t>12</w:t>
            </w:r>
            <w:r>
              <w:rPr>
                <w:rFonts w:hint="eastAsia" w:ascii="宋体" w:hAnsi="宋体" w:eastAsia="宋体" w:cs="宋体"/>
                <w:bCs/>
                <w:color w:val="000000" w:themeColor="text1"/>
                <w:kern w:val="2"/>
                <w:sz w:val="15"/>
                <w:szCs w:val="15"/>
                <w:highlight w:val="none"/>
                <w14:textFill>
                  <w14:solidFill>
                    <w14:schemeClr w14:val="tx1"/>
                  </w14:solidFill>
                </w14:textFill>
              </w:rPr>
              <w:t>分；</w:t>
            </w:r>
          </w:p>
          <w:p w14:paraId="7801C593">
            <w:pPr>
              <w:pStyle w:val="19"/>
              <w:spacing w:line="240" w:lineRule="auto"/>
              <w:rPr>
                <w:rFonts w:hint="eastAsia" w:ascii="宋体" w:hAnsi="宋体" w:eastAsia="宋体" w:cs="宋体"/>
                <w:bCs/>
                <w:color w:val="000000" w:themeColor="text1"/>
                <w:kern w:val="2"/>
                <w:sz w:val="15"/>
                <w:szCs w:val="15"/>
                <w:highlight w:val="none"/>
                <w14:textFill>
                  <w14:solidFill>
                    <w14:schemeClr w14:val="tx1"/>
                  </w14:solidFill>
                </w14:textFill>
              </w:rPr>
            </w:pPr>
            <w:r>
              <w:rPr>
                <w:rFonts w:hint="eastAsia" w:ascii="宋体" w:hAnsi="宋体" w:eastAsia="宋体" w:cs="宋体"/>
                <w:bCs/>
                <w:color w:val="000000" w:themeColor="text1"/>
                <w:kern w:val="2"/>
                <w:sz w:val="15"/>
                <w:szCs w:val="15"/>
                <w:highlight w:val="none"/>
                <w14:textFill>
                  <w14:solidFill>
                    <w14:schemeClr w14:val="tx1"/>
                  </w14:solidFill>
                </w14:textFill>
              </w:rPr>
              <w:t>（3）风险控制方案简单，基本合理，可行性较低，得</w:t>
            </w:r>
            <w:r>
              <w:rPr>
                <w:rFonts w:hint="eastAsia" w:hAnsi="宋体" w:cs="宋体"/>
                <w:b w:val="0"/>
                <w:bCs/>
                <w:color w:val="000000" w:themeColor="text1"/>
                <w:kern w:val="2"/>
                <w:sz w:val="15"/>
                <w:szCs w:val="15"/>
                <w:highlight w:val="none"/>
                <w:lang w:val="en-US" w:eastAsia="zh-CN"/>
                <w14:textFill>
                  <w14:solidFill>
                    <w14:schemeClr w14:val="tx1"/>
                  </w14:solidFill>
                </w14:textFill>
              </w:rPr>
              <w:t>4</w:t>
            </w:r>
            <w:r>
              <w:rPr>
                <w:rFonts w:hint="eastAsia" w:ascii="宋体" w:hAnsi="宋体" w:eastAsia="宋体" w:cs="宋体"/>
                <w:bCs/>
                <w:color w:val="000000" w:themeColor="text1"/>
                <w:kern w:val="2"/>
                <w:sz w:val="15"/>
                <w:szCs w:val="15"/>
                <w:highlight w:val="none"/>
                <w14:textFill>
                  <w14:solidFill>
                    <w14:schemeClr w14:val="tx1"/>
                  </w14:solidFill>
                </w14:textFill>
              </w:rPr>
              <w:t>分；</w:t>
            </w:r>
          </w:p>
          <w:p w14:paraId="320F1F38">
            <w:pPr>
              <w:pStyle w:val="19"/>
              <w:widowControl/>
              <w:jc w:val="both"/>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kern w:val="2"/>
                <w:sz w:val="15"/>
                <w:szCs w:val="15"/>
                <w:highlight w:val="none"/>
                <w14:textFill>
                  <w14:solidFill>
                    <w14:schemeClr w14:val="tx1"/>
                  </w14:solidFill>
                </w14:textFill>
              </w:rPr>
              <w:t>（4）未提供或提供的方案不合理、不可行，不得分。</w:t>
            </w:r>
          </w:p>
        </w:tc>
        <w:tc>
          <w:tcPr>
            <w:tcW w:w="845" w:type="dxa"/>
            <w:noWrap w:val="0"/>
            <w:vAlign w:val="center"/>
          </w:tcPr>
          <w:p w14:paraId="1A2839A9">
            <w:pPr>
              <w:spacing w:line="240" w:lineRule="auto"/>
              <w:jc w:val="center"/>
              <w:rPr>
                <w:rFonts w:hint="eastAsia" w:ascii="宋体" w:hAnsi="宋体" w:eastAsia="宋体" w:cs="宋体"/>
                <w:color w:val="000000" w:themeColor="text1"/>
                <w:sz w:val="15"/>
                <w:szCs w:val="15"/>
                <w14:textFill>
                  <w14:solidFill>
                    <w14:schemeClr w14:val="tx1"/>
                  </w14:solidFill>
                </w14:textFill>
              </w:rPr>
            </w:pPr>
            <w:r>
              <w:rPr>
                <w:rFonts w:hint="eastAsia" w:ascii="宋体" w:hAnsi="宋体" w:cs="宋体"/>
                <w:color w:val="000000" w:themeColor="text1"/>
                <w:sz w:val="15"/>
                <w:szCs w:val="15"/>
                <w:lang w:val="en-US" w:eastAsia="zh-CN"/>
                <w14:textFill>
                  <w14:solidFill>
                    <w14:schemeClr w14:val="tx1"/>
                  </w14:solidFill>
                </w14:textFill>
              </w:rPr>
              <w:t>20分</w:t>
            </w:r>
          </w:p>
        </w:tc>
      </w:tr>
      <w:tr w14:paraId="24E8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1" w:type="dxa"/>
            <w:noWrap w:val="0"/>
            <w:vAlign w:val="center"/>
          </w:tcPr>
          <w:p w14:paraId="63F0977A">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3</w:t>
            </w:r>
          </w:p>
        </w:tc>
        <w:tc>
          <w:tcPr>
            <w:tcW w:w="2155" w:type="dxa"/>
            <w:noWrap w:val="0"/>
            <w:vAlign w:val="center"/>
          </w:tcPr>
          <w:p w14:paraId="57F41BB6">
            <w:pPr>
              <w:widowControl/>
              <w:spacing w:line="240" w:lineRule="auto"/>
              <w:jc w:val="center"/>
              <w:rPr>
                <w:rFonts w:hint="default" w:ascii="宋体" w:hAnsi="宋体" w:eastAsia="宋体" w:cs="宋体"/>
                <w:b/>
                <w:bCs/>
                <w:color w:val="000000" w:themeColor="text1"/>
                <w:sz w:val="15"/>
                <w:szCs w:val="15"/>
                <w:lang w:val="en-US" w:eastAsia="zh-CN"/>
                <w14:textFill>
                  <w14:solidFill>
                    <w14:schemeClr w14:val="tx1"/>
                  </w14:solidFill>
                </w14:textFill>
              </w:rPr>
            </w:pPr>
            <w:r>
              <w:rPr>
                <w:rFonts w:hint="eastAsia" w:ascii="宋体" w:hAnsi="宋体" w:eastAsia="宋体" w:cs="宋体"/>
                <w:b/>
                <w:bCs/>
                <w:color w:val="000000" w:themeColor="text1"/>
                <w:sz w:val="15"/>
                <w:szCs w:val="15"/>
                <w14:textFill>
                  <w14:solidFill>
                    <w14:schemeClr w14:val="tx1"/>
                  </w14:solidFill>
                </w14:textFill>
              </w:rPr>
              <w:t>商务分</w:t>
            </w:r>
            <w:r>
              <w:rPr>
                <w:rFonts w:hint="eastAsia" w:ascii="宋体" w:hAnsi="宋体" w:cs="宋体"/>
                <w:b/>
                <w:bCs/>
                <w:color w:val="000000" w:themeColor="text1"/>
                <w:sz w:val="15"/>
                <w:szCs w:val="15"/>
                <w:lang w:val="en-US" w:eastAsia="zh-CN"/>
                <w14:textFill>
                  <w14:solidFill>
                    <w14:schemeClr w14:val="tx1"/>
                  </w14:solidFill>
                </w14:textFill>
              </w:rPr>
              <w:t>30分</w:t>
            </w:r>
          </w:p>
        </w:tc>
        <w:tc>
          <w:tcPr>
            <w:tcW w:w="5721" w:type="dxa"/>
            <w:noWrap w:val="0"/>
            <w:vAlign w:val="center"/>
          </w:tcPr>
          <w:p w14:paraId="26C4F356">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评审因素</w:t>
            </w:r>
          </w:p>
        </w:tc>
        <w:tc>
          <w:tcPr>
            <w:tcW w:w="845" w:type="dxa"/>
            <w:noWrap w:val="0"/>
            <w:vAlign w:val="center"/>
          </w:tcPr>
          <w:p w14:paraId="6EBBA6AF">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分值</w:t>
            </w:r>
          </w:p>
        </w:tc>
      </w:tr>
      <w:tr w14:paraId="6342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641" w:type="dxa"/>
            <w:noWrap w:val="0"/>
            <w:vAlign w:val="center"/>
          </w:tcPr>
          <w:p w14:paraId="094B4A23">
            <w:pPr>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3.1</w:t>
            </w:r>
          </w:p>
        </w:tc>
        <w:tc>
          <w:tcPr>
            <w:tcW w:w="2155" w:type="dxa"/>
            <w:noWrap w:val="0"/>
            <w:vAlign w:val="center"/>
          </w:tcPr>
          <w:p w14:paraId="3FF98F34">
            <w:pPr>
              <w:widowControl/>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eastAsia="宋体" w:cs="宋体"/>
                <w:bCs/>
                <w:color w:val="000000" w:themeColor="text1"/>
                <w:sz w:val="15"/>
                <w:szCs w:val="15"/>
                <w14:textFill>
                  <w14:solidFill>
                    <w14:schemeClr w14:val="tx1"/>
                  </w14:solidFill>
                </w14:textFill>
              </w:rPr>
              <w:t>业绩分</w:t>
            </w:r>
          </w:p>
        </w:tc>
        <w:tc>
          <w:tcPr>
            <w:tcW w:w="5721" w:type="dxa"/>
            <w:noWrap w:val="0"/>
            <w:vAlign w:val="top"/>
          </w:tcPr>
          <w:p w14:paraId="01199983">
            <w:pPr>
              <w:pStyle w:val="57"/>
              <w:widowControl w:val="0"/>
              <w:wordWrap/>
              <w:spacing w:line="240" w:lineRule="auto"/>
              <w:ind w:firstLine="300" w:firstLineChars="200"/>
              <w:jc w:val="both"/>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供应商自202</w:t>
            </w:r>
            <w:r>
              <w:rPr>
                <w:rFonts w:hint="eastAsia" w:ascii="宋体" w:hAnsi="宋体" w:eastAsia="宋体" w:cs="宋体"/>
                <w:color w:val="000000" w:themeColor="text1"/>
                <w:sz w:val="15"/>
                <w:szCs w:val="15"/>
                <w:highlight w:val="none"/>
                <w:lang w:val="en-US" w:eastAsia="zh-CN"/>
                <w14:textFill>
                  <w14:solidFill>
                    <w14:schemeClr w14:val="tx1"/>
                  </w14:solidFill>
                </w14:textFill>
              </w:rPr>
              <w:t>3</w:t>
            </w:r>
            <w:r>
              <w:rPr>
                <w:rFonts w:hint="eastAsia" w:ascii="宋体" w:hAnsi="宋体" w:eastAsia="宋体" w:cs="宋体"/>
                <w:color w:val="000000" w:themeColor="text1"/>
                <w:sz w:val="15"/>
                <w:szCs w:val="15"/>
                <w:highlight w:val="none"/>
                <w14:textFill>
                  <w14:solidFill>
                    <w14:schemeClr w14:val="tx1"/>
                  </w14:solidFill>
                </w14:textFill>
              </w:rPr>
              <w:t>年1月1日至本项目投标截止之日止，具有同类项目业绩（视频监控日常维护保养），每提供一家单位的业绩材料得</w:t>
            </w:r>
            <w:r>
              <w:rPr>
                <w:rFonts w:hint="eastAsia" w:ascii="宋体" w:hAnsi="宋体" w:eastAsia="宋体" w:cs="宋体"/>
                <w:color w:val="000000" w:themeColor="text1"/>
                <w:sz w:val="15"/>
                <w:szCs w:val="15"/>
                <w:highlight w:val="none"/>
                <w:lang w:val="en-US" w:eastAsia="zh-CN"/>
                <w14:textFill>
                  <w14:solidFill>
                    <w14:schemeClr w14:val="tx1"/>
                  </w14:solidFill>
                </w14:textFill>
              </w:rPr>
              <w:t>1</w:t>
            </w:r>
            <w:r>
              <w:rPr>
                <w:rFonts w:hint="eastAsia" w:ascii="宋体" w:hAnsi="宋体" w:eastAsia="宋体" w:cs="宋体"/>
                <w:color w:val="000000" w:themeColor="text1"/>
                <w:sz w:val="15"/>
                <w:szCs w:val="15"/>
                <w:highlight w:val="none"/>
                <w14:textFill>
                  <w14:solidFill>
                    <w14:schemeClr w14:val="tx1"/>
                  </w14:solidFill>
                </w14:textFill>
              </w:rPr>
              <w:t>分，</w:t>
            </w:r>
            <w:r>
              <w:rPr>
                <w:rFonts w:hint="eastAsia" w:ascii="宋体" w:hAnsi="宋体" w:eastAsia="宋体" w:cs="宋体"/>
                <w:color w:val="000000" w:themeColor="text1"/>
                <w:sz w:val="15"/>
                <w:szCs w:val="15"/>
                <w:highlight w:val="none"/>
                <w:lang w:val="en-US" w:eastAsia="zh-CN"/>
                <w14:textFill>
                  <w14:solidFill>
                    <w14:schemeClr w14:val="tx1"/>
                  </w14:solidFill>
                </w14:textFill>
              </w:rPr>
              <w:t>满分10分</w:t>
            </w:r>
            <w:r>
              <w:rPr>
                <w:rFonts w:hint="eastAsia" w:ascii="宋体" w:hAnsi="宋体" w:eastAsia="宋体" w:cs="宋体"/>
                <w:color w:val="000000" w:themeColor="text1"/>
                <w:sz w:val="15"/>
                <w:szCs w:val="15"/>
                <w:highlight w:val="none"/>
                <w14:textFill>
                  <w14:solidFill>
                    <w14:schemeClr w14:val="tx1"/>
                  </w14:solidFill>
                </w14:textFill>
              </w:rPr>
              <w:t>。</w:t>
            </w:r>
          </w:p>
          <w:p w14:paraId="2206A983">
            <w:pPr>
              <w:pStyle w:val="57"/>
              <w:widowControl w:val="0"/>
              <w:wordWrap/>
              <w:spacing w:line="240" w:lineRule="auto"/>
              <w:ind w:firstLine="301" w:firstLineChars="200"/>
              <w:jc w:val="both"/>
              <w:textAlignment w:val="auto"/>
              <w:rPr>
                <w:rFonts w:hint="eastAsia" w:ascii="宋体" w:hAnsi="宋体" w:eastAsia="宋体" w:cs="宋体"/>
                <w:b/>
                <w:bCs/>
                <w:color w:val="000000" w:themeColor="text1"/>
                <w:sz w:val="15"/>
                <w:szCs w:val="15"/>
                <w:highlight w:val="none"/>
                <w:lang w:val="en-US" w:eastAsia="zh-CN"/>
                <w14:textFill>
                  <w14:solidFill>
                    <w14:schemeClr w14:val="tx1"/>
                  </w14:solidFill>
                </w14:textFill>
              </w:rPr>
            </w:pP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注：</w:t>
            </w:r>
          </w:p>
          <w:p w14:paraId="545C6CAC">
            <w:pPr>
              <w:pStyle w:val="57"/>
              <w:widowControl w:val="0"/>
              <w:wordWrap/>
              <w:spacing w:line="240" w:lineRule="auto"/>
              <w:ind w:firstLine="301" w:firstLineChars="200"/>
              <w:jc w:val="both"/>
              <w:textAlignment w:val="auto"/>
              <w:rPr>
                <w:rFonts w:hint="eastAsia" w:ascii="宋体" w:hAnsi="宋体" w:eastAsia="宋体" w:cs="宋体"/>
                <w:b/>
                <w:bCs/>
                <w:color w:val="000000" w:themeColor="text1"/>
                <w:sz w:val="15"/>
                <w:szCs w:val="15"/>
                <w:highlight w:val="none"/>
                <w:lang w:val="en-US" w:eastAsia="zh-CN"/>
                <w14:textFill>
                  <w14:solidFill>
                    <w14:schemeClr w14:val="tx1"/>
                  </w14:solidFill>
                </w14:textFill>
              </w:rPr>
            </w:pP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1.提供合同关键页（要点应包括但不限于：签约时间、项目名称、采购内容和双方盖章）复印件，并加盖响应供应商公章。</w:t>
            </w:r>
          </w:p>
          <w:p w14:paraId="0137459F">
            <w:pPr>
              <w:pStyle w:val="57"/>
              <w:widowControl w:val="0"/>
              <w:wordWrap/>
              <w:spacing w:line="240" w:lineRule="auto"/>
              <w:ind w:firstLine="301" w:firstLineChars="200"/>
              <w:jc w:val="both"/>
              <w:textAlignment w:val="auto"/>
              <w:rPr>
                <w:rFonts w:hint="eastAsia" w:ascii="宋体" w:hAnsi="宋体" w:eastAsia="宋体" w:cs="宋体"/>
                <w:b/>
                <w:bCs/>
                <w:color w:val="000000" w:themeColor="text1"/>
                <w:sz w:val="15"/>
                <w:szCs w:val="15"/>
                <w:highlight w:val="none"/>
                <w:lang w:val="en-US" w:eastAsia="zh-CN"/>
                <w14:textFill>
                  <w14:solidFill>
                    <w14:schemeClr w14:val="tx1"/>
                  </w14:solidFill>
                </w14:textFill>
              </w:rPr>
            </w:pP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2.同一客户单位不重复计分。</w:t>
            </w:r>
          </w:p>
          <w:p w14:paraId="2A6D7BC9">
            <w:pPr>
              <w:pStyle w:val="57"/>
              <w:widowControl w:val="0"/>
              <w:wordWrap/>
              <w:spacing w:line="240" w:lineRule="auto"/>
              <w:ind w:firstLine="301" w:firstLineChars="200"/>
              <w:jc w:val="both"/>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3.未提供、提供证明材料不清晰或不齐全，不得分</w:t>
            </w:r>
            <w:r>
              <w:rPr>
                <w:rFonts w:hint="eastAsia" w:ascii="宋体" w:hAnsi="宋体" w:eastAsia="宋体" w:cs="宋体"/>
                <w:b/>
                <w:bCs/>
                <w:color w:val="000000" w:themeColor="text1"/>
                <w:sz w:val="15"/>
                <w:szCs w:val="15"/>
                <w:highlight w:val="none"/>
                <w14:textFill>
                  <w14:solidFill>
                    <w14:schemeClr w14:val="tx1"/>
                  </w14:solidFill>
                </w14:textFill>
              </w:rPr>
              <w:t>。</w:t>
            </w:r>
          </w:p>
        </w:tc>
        <w:tc>
          <w:tcPr>
            <w:tcW w:w="845" w:type="dxa"/>
            <w:noWrap w:val="0"/>
            <w:vAlign w:val="center"/>
          </w:tcPr>
          <w:p w14:paraId="0E9D89DC">
            <w:pPr>
              <w:widowControl/>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cs="宋体"/>
                <w:color w:val="000000" w:themeColor="text1"/>
                <w:kern w:val="0"/>
                <w:sz w:val="15"/>
                <w:szCs w:val="15"/>
                <w:lang w:val="en-US" w:eastAsia="zh-CN"/>
                <w14:textFill>
                  <w14:solidFill>
                    <w14:schemeClr w14:val="tx1"/>
                  </w14:solidFill>
                </w14:textFill>
              </w:rPr>
              <w:t>10</w:t>
            </w:r>
            <w:r>
              <w:rPr>
                <w:rFonts w:hint="eastAsia" w:ascii="宋体" w:hAnsi="宋体" w:eastAsia="宋体" w:cs="宋体"/>
                <w:color w:val="000000" w:themeColor="text1"/>
                <w:kern w:val="0"/>
                <w:sz w:val="15"/>
                <w:szCs w:val="15"/>
                <w14:textFill>
                  <w14:solidFill>
                    <w14:schemeClr w14:val="tx1"/>
                  </w14:solidFill>
                </w14:textFill>
              </w:rPr>
              <w:t>分</w:t>
            </w:r>
          </w:p>
        </w:tc>
      </w:tr>
      <w:tr w14:paraId="7FC0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641" w:type="dxa"/>
            <w:noWrap w:val="0"/>
            <w:vAlign w:val="center"/>
          </w:tcPr>
          <w:p w14:paraId="15D59336">
            <w:pPr>
              <w:spacing w:line="240" w:lineRule="auto"/>
              <w:jc w:val="center"/>
              <w:rPr>
                <w:rFonts w:hint="eastAsia" w:ascii="宋体" w:hAnsi="宋体" w:eastAsia="宋体" w:cs="宋体"/>
                <w:color w:val="000000" w:themeColor="text1"/>
                <w:kern w:val="0"/>
                <w:sz w:val="15"/>
                <w:szCs w:val="15"/>
                <w:lang w:val="en-US" w:eastAsia="zh-CN"/>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3.</w:t>
            </w:r>
            <w:r>
              <w:rPr>
                <w:rFonts w:hint="eastAsia" w:ascii="宋体" w:hAnsi="宋体" w:cs="宋体"/>
                <w:color w:val="000000" w:themeColor="text1"/>
                <w:kern w:val="0"/>
                <w:sz w:val="15"/>
                <w:szCs w:val="15"/>
                <w:lang w:val="en-US" w:eastAsia="zh-CN"/>
                <w14:textFill>
                  <w14:solidFill>
                    <w14:schemeClr w14:val="tx1"/>
                  </w14:solidFill>
                </w14:textFill>
              </w:rPr>
              <w:t>2</w:t>
            </w:r>
          </w:p>
        </w:tc>
        <w:tc>
          <w:tcPr>
            <w:tcW w:w="2155" w:type="dxa"/>
            <w:noWrap w:val="0"/>
            <w:vAlign w:val="center"/>
          </w:tcPr>
          <w:p w14:paraId="390AE477">
            <w:pPr>
              <w:widowControl/>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cs="宋体"/>
                <w:bCs/>
                <w:color w:val="000000" w:themeColor="text1"/>
                <w:sz w:val="15"/>
                <w:szCs w:val="15"/>
                <w:lang w:val="en-US" w:eastAsia="zh-CN"/>
                <w14:textFill>
                  <w14:solidFill>
                    <w14:schemeClr w14:val="tx1"/>
                  </w14:solidFill>
                </w14:textFill>
              </w:rPr>
              <w:t>项目</w:t>
            </w:r>
            <w:r>
              <w:rPr>
                <w:rFonts w:hint="eastAsia" w:ascii="宋体" w:hAnsi="宋体" w:eastAsia="宋体" w:cs="宋体"/>
                <w:bCs/>
                <w:color w:val="000000" w:themeColor="text1"/>
                <w:sz w:val="15"/>
                <w:szCs w:val="15"/>
                <w14:textFill>
                  <w14:solidFill>
                    <w14:schemeClr w14:val="tx1"/>
                  </w14:solidFill>
                </w14:textFill>
              </w:rPr>
              <w:t>技术负责人情况评价</w:t>
            </w:r>
          </w:p>
        </w:tc>
        <w:tc>
          <w:tcPr>
            <w:tcW w:w="5721" w:type="dxa"/>
            <w:noWrap w:val="0"/>
            <w:vAlign w:val="top"/>
          </w:tcPr>
          <w:p w14:paraId="36FFC886">
            <w:pPr>
              <w:pStyle w:val="57"/>
              <w:widowControl w:val="0"/>
              <w:wordWrap/>
              <w:spacing w:line="240" w:lineRule="auto"/>
              <w:ind w:firstLine="0" w:firstLineChars="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供应商拟投入本项目的技术负责人（限1人）情况进行评价，本项最高得10分：</w:t>
            </w:r>
          </w:p>
          <w:p w14:paraId="372100FC">
            <w:pPr>
              <w:pStyle w:val="57"/>
              <w:widowControl w:val="0"/>
              <w:wordWrap/>
              <w:spacing w:line="240" w:lineRule="auto"/>
              <w:ind w:firstLine="0" w:firstLineChars="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w:t>
            </w:r>
            <w:r>
              <w:rPr>
                <w:rFonts w:hint="eastAsia" w:ascii="宋体" w:hAnsi="宋体" w:eastAsia="宋体" w:cs="宋体"/>
                <w:color w:val="000000" w:themeColor="text1"/>
                <w:sz w:val="15"/>
                <w:szCs w:val="15"/>
                <w:highlight w:val="none"/>
                <w:lang w:val="en-US"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每满足以下内容一项得2分，本小项最高得6分：①信息系统项目管理师；②系统架构设计师；③系统分析师；④网络规划设计师；⑤系统规划与管理师；</w:t>
            </w:r>
          </w:p>
          <w:p w14:paraId="74EC2AE5">
            <w:pPr>
              <w:pStyle w:val="57"/>
              <w:widowControl w:val="0"/>
              <w:wordWrap/>
              <w:spacing w:line="240" w:lineRule="auto"/>
              <w:ind w:firstLine="0" w:firstLineChars="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w:t>
            </w:r>
            <w:r>
              <w:rPr>
                <w:rFonts w:hint="eastAsia" w:ascii="宋体" w:hAnsi="宋体" w:eastAsia="宋体" w:cs="宋体"/>
                <w:color w:val="000000" w:themeColor="text1"/>
                <w:sz w:val="15"/>
                <w:szCs w:val="15"/>
                <w:highlight w:val="none"/>
                <w:lang w:val="en-US"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每满足以下内容一项得1分，本小项最高得4分：①系统集成项目管理工程师；②信息系统监理师；③信息安全工程师；④数据库系统工程师；⑤信息系统管理工程师。【注：1</w:t>
            </w:r>
            <w:r>
              <w:rPr>
                <w:rFonts w:hint="eastAsia" w:ascii="宋体" w:hAnsi="宋体" w:eastAsia="宋体" w:cs="宋体"/>
                <w:color w:val="000000" w:themeColor="text1"/>
                <w:sz w:val="15"/>
                <w:szCs w:val="15"/>
                <w:highlight w:val="none"/>
                <w:lang w:val="en-US"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技术负责人仅限1人，可以为同一法人下的总公司或分公司员工，须提供以上证书复印件与响应时间截止前三个月内任意一个月的社保证明复印件并加盖公章，否则不得分。2</w:t>
            </w:r>
            <w:r>
              <w:rPr>
                <w:rFonts w:hint="eastAsia" w:ascii="宋体" w:hAnsi="宋体" w:eastAsia="宋体" w:cs="宋体"/>
                <w:color w:val="000000" w:themeColor="text1"/>
                <w:sz w:val="15"/>
                <w:szCs w:val="15"/>
                <w:highlight w:val="none"/>
                <w:lang w:val="en-US"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项目负责人与技术负责人不得为同一人。】</w:t>
            </w:r>
          </w:p>
        </w:tc>
        <w:tc>
          <w:tcPr>
            <w:tcW w:w="845" w:type="dxa"/>
            <w:noWrap w:val="0"/>
            <w:vAlign w:val="center"/>
          </w:tcPr>
          <w:p w14:paraId="53B5F7F6">
            <w:pPr>
              <w:widowControl/>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cs="宋体"/>
                <w:color w:val="000000" w:themeColor="text1"/>
                <w:kern w:val="0"/>
                <w:sz w:val="15"/>
                <w:szCs w:val="15"/>
                <w:lang w:val="en-US" w:eastAsia="zh-CN"/>
                <w14:textFill>
                  <w14:solidFill>
                    <w14:schemeClr w14:val="tx1"/>
                  </w14:solidFill>
                </w14:textFill>
              </w:rPr>
              <w:t>10</w:t>
            </w:r>
            <w:r>
              <w:rPr>
                <w:rFonts w:hint="eastAsia" w:ascii="宋体" w:hAnsi="宋体" w:eastAsia="宋体" w:cs="宋体"/>
                <w:color w:val="000000" w:themeColor="text1"/>
                <w:kern w:val="0"/>
                <w:sz w:val="15"/>
                <w:szCs w:val="15"/>
                <w14:textFill>
                  <w14:solidFill>
                    <w14:schemeClr w14:val="tx1"/>
                  </w14:solidFill>
                </w14:textFill>
              </w:rPr>
              <w:t>分</w:t>
            </w:r>
          </w:p>
        </w:tc>
      </w:tr>
      <w:tr w14:paraId="4C95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641" w:type="dxa"/>
            <w:noWrap w:val="0"/>
            <w:vAlign w:val="center"/>
          </w:tcPr>
          <w:p w14:paraId="12BE3ACA">
            <w:pPr>
              <w:spacing w:line="240" w:lineRule="auto"/>
              <w:jc w:val="center"/>
              <w:rPr>
                <w:rFonts w:hint="default" w:ascii="宋体" w:hAnsi="宋体" w:eastAsia="宋体" w:cs="宋体"/>
                <w:color w:val="000000" w:themeColor="text1"/>
                <w:kern w:val="0"/>
                <w:sz w:val="15"/>
                <w:szCs w:val="15"/>
                <w:lang w:val="en-US" w:eastAsia="zh-CN"/>
                <w14:textFill>
                  <w14:solidFill>
                    <w14:schemeClr w14:val="tx1"/>
                  </w14:solidFill>
                </w14:textFill>
              </w:rPr>
            </w:pPr>
            <w:r>
              <w:rPr>
                <w:rFonts w:hint="eastAsia" w:ascii="宋体" w:hAnsi="宋体" w:cs="宋体"/>
                <w:color w:val="000000" w:themeColor="text1"/>
                <w:kern w:val="0"/>
                <w:sz w:val="15"/>
                <w:szCs w:val="15"/>
                <w:lang w:val="en-US" w:eastAsia="zh-CN"/>
                <w14:textFill>
                  <w14:solidFill>
                    <w14:schemeClr w14:val="tx1"/>
                  </w14:solidFill>
                </w14:textFill>
              </w:rPr>
              <w:t>3.3</w:t>
            </w:r>
          </w:p>
        </w:tc>
        <w:tc>
          <w:tcPr>
            <w:tcW w:w="2155" w:type="dxa"/>
            <w:noWrap w:val="0"/>
            <w:vAlign w:val="center"/>
          </w:tcPr>
          <w:p w14:paraId="0DE8D781">
            <w:pPr>
              <w:widowControl/>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eastAsia="宋体" w:cs="宋体"/>
                <w:bCs/>
                <w:color w:val="000000" w:themeColor="text1"/>
                <w:sz w:val="15"/>
                <w:szCs w:val="15"/>
                <w14:textFill>
                  <w14:solidFill>
                    <w14:schemeClr w14:val="tx1"/>
                  </w14:solidFill>
                </w14:textFill>
              </w:rPr>
              <w:t>项目团队其他人员（不含项目负责人、技术负责人、驻场人员）情况评价</w:t>
            </w:r>
          </w:p>
        </w:tc>
        <w:tc>
          <w:tcPr>
            <w:tcW w:w="5721" w:type="dxa"/>
            <w:noWrap w:val="0"/>
            <w:vAlign w:val="top"/>
          </w:tcPr>
          <w:p w14:paraId="38330EA1">
            <w:pPr>
              <w:pStyle w:val="57"/>
              <w:widowControl w:val="0"/>
              <w:wordWrap/>
              <w:spacing w:line="240" w:lineRule="auto"/>
              <w:ind w:firstLine="0" w:firstLineChars="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供应商拟派投入本项目的其他人员（不含项目负责人、技术负责人、驻场人员）情况进行评价，本项最高得分10分：</w:t>
            </w:r>
          </w:p>
          <w:p w14:paraId="68414577">
            <w:pPr>
              <w:pStyle w:val="57"/>
              <w:widowControl w:val="0"/>
              <w:wordWrap/>
              <w:spacing w:line="240" w:lineRule="auto"/>
              <w:ind w:firstLine="0" w:firstLineChars="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w:t>
            </w:r>
            <w:r>
              <w:rPr>
                <w:rFonts w:hint="eastAsia" w:ascii="宋体" w:hAnsi="宋体" w:eastAsia="宋体" w:cs="宋体"/>
                <w:color w:val="000000" w:themeColor="text1"/>
                <w:sz w:val="15"/>
                <w:szCs w:val="15"/>
                <w:highlight w:val="none"/>
                <w:lang w:val="en-US"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每满足以下内容一项得2分： 具有与本项目相关维护服务有关的中级或以上计算机技术与软件专业技术资格的或中级以上通讯类工程师证书，每个人得1分，不提供不得分。</w:t>
            </w:r>
          </w:p>
          <w:p w14:paraId="1F9DDDEB">
            <w:pPr>
              <w:pStyle w:val="57"/>
              <w:widowControl w:val="0"/>
              <w:wordWrap/>
              <w:spacing w:line="240" w:lineRule="auto"/>
              <w:ind w:firstLine="0" w:firstLineChars="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1、具有高空作业操作证的</w:t>
            </w:r>
            <w:r>
              <w:rPr>
                <w:rFonts w:hint="eastAsia" w:ascii="宋体" w:hAnsi="宋体" w:eastAsia="宋体" w:cs="宋体"/>
                <w:color w:val="000000" w:themeColor="text1"/>
                <w:sz w:val="15"/>
                <w:szCs w:val="15"/>
                <w:highlight w:val="none"/>
                <w:lang w:val="en-US" w:eastAsia="zh-CN"/>
                <w14:textFill>
                  <w14:solidFill>
                    <w14:schemeClr w14:val="tx1"/>
                  </w14:solidFill>
                </w14:textFill>
              </w:rPr>
              <w:t>每人</w:t>
            </w:r>
            <w:r>
              <w:rPr>
                <w:rFonts w:hint="eastAsia" w:ascii="宋体" w:hAnsi="宋体" w:eastAsia="宋体" w:cs="宋体"/>
                <w:color w:val="000000" w:themeColor="text1"/>
                <w:sz w:val="15"/>
                <w:szCs w:val="15"/>
                <w:highlight w:val="none"/>
                <w14:textFill>
                  <w14:solidFill>
                    <w14:schemeClr w14:val="tx1"/>
                  </w14:solidFill>
                </w14:textFill>
              </w:rPr>
              <w:t>得1分</w:t>
            </w: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最多</w:t>
            </w:r>
            <w:r>
              <w:rPr>
                <w:rFonts w:hint="eastAsia" w:ascii="宋体" w:hAnsi="宋体" w:eastAsia="宋体" w:cs="宋体"/>
                <w:color w:val="000000" w:themeColor="text1"/>
                <w:sz w:val="15"/>
                <w:szCs w:val="15"/>
                <w:highlight w:val="none"/>
                <w:lang w:val="en-US" w:eastAsia="zh-CN"/>
                <w14:textFill>
                  <w14:solidFill>
                    <w14:schemeClr w14:val="tx1"/>
                  </w14:solidFill>
                </w14:textFill>
              </w:rPr>
              <w:t>3</w:t>
            </w:r>
            <w:r>
              <w:rPr>
                <w:rFonts w:hint="eastAsia" w:ascii="宋体" w:hAnsi="宋体" w:eastAsia="宋体" w:cs="宋体"/>
                <w:color w:val="000000" w:themeColor="text1"/>
                <w:sz w:val="15"/>
                <w:szCs w:val="15"/>
                <w:highlight w:val="none"/>
                <w14:textFill>
                  <w14:solidFill>
                    <w14:schemeClr w14:val="tx1"/>
                  </w14:solidFill>
                </w14:textFill>
              </w:rPr>
              <w:t>分。</w:t>
            </w:r>
          </w:p>
          <w:p w14:paraId="69EF043E">
            <w:pPr>
              <w:pStyle w:val="57"/>
              <w:widowControl w:val="0"/>
              <w:wordWrap/>
              <w:spacing w:line="240" w:lineRule="auto"/>
              <w:ind w:firstLine="0" w:firstLineChars="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2、具有安防从业资格证书的</w:t>
            </w:r>
            <w:r>
              <w:rPr>
                <w:rFonts w:hint="eastAsia" w:ascii="宋体" w:hAnsi="宋体" w:eastAsia="宋体" w:cs="宋体"/>
                <w:color w:val="000000" w:themeColor="text1"/>
                <w:sz w:val="15"/>
                <w:szCs w:val="15"/>
                <w:highlight w:val="none"/>
                <w:lang w:val="en-US" w:eastAsia="zh-CN"/>
                <w14:textFill>
                  <w14:solidFill>
                    <w14:schemeClr w14:val="tx1"/>
                  </w14:solidFill>
                </w14:textFill>
              </w:rPr>
              <w:t>每人</w:t>
            </w:r>
            <w:r>
              <w:rPr>
                <w:rFonts w:hint="eastAsia" w:ascii="宋体" w:hAnsi="宋体" w:eastAsia="宋体" w:cs="宋体"/>
                <w:color w:val="000000" w:themeColor="text1"/>
                <w:sz w:val="15"/>
                <w:szCs w:val="15"/>
                <w:highlight w:val="none"/>
                <w14:textFill>
                  <w14:solidFill>
                    <w14:schemeClr w14:val="tx1"/>
                  </w14:solidFill>
                </w14:textFill>
              </w:rPr>
              <w:t>得</w:t>
            </w:r>
            <w:r>
              <w:rPr>
                <w:rFonts w:hint="eastAsia" w:ascii="宋体" w:hAnsi="宋体" w:eastAsia="宋体" w:cs="宋体"/>
                <w:color w:val="000000" w:themeColor="text1"/>
                <w:sz w:val="15"/>
                <w:szCs w:val="15"/>
                <w:highlight w:val="none"/>
                <w:lang w:val="en-US" w:eastAsia="zh-CN"/>
                <w14:textFill>
                  <w14:solidFill>
                    <w14:schemeClr w14:val="tx1"/>
                  </w14:solidFill>
                </w14:textFill>
              </w:rPr>
              <w:t>1</w:t>
            </w:r>
            <w:r>
              <w:rPr>
                <w:rFonts w:hint="eastAsia" w:ascii="宋体" w:hAnsi="宋体" w:eastAsia="宋体" w:cs="宋体"/>
                <w:color w:val="000000" w:themeColor="text1"/>
                <w:sz w:val="15"/>
                <w:szCs w:val="15"/>
                <w:highlight w:val="none"/>
                <w14:textFill>
                  <w14:solidFill>
                    <w14:schemeClr w14:val="tx1"/>
                  </w14:solidFill>
                </w14:textFill>
              </w:rPr>
              <w:t>分</w:t>
            </w: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最多</w:t>
            </w:r>
            <w:r>
              <w:rPr>
                <w:rFonts w:hint="eastAsia" w:ascii="宋体" w:hAnsi="宋体" w:eastAsia="宋体" w:cs="宋体"/>
                <w:color w:val="000000" w:themeColor="text1"/>
                <w:sz w:val="15"/>
                <w:szCs w:val="15"/>
                <w:highlight w:val="none"/>
                <w:lang w:val="en-US" w:eastAsia="zh-CN"/>
                <w14:textFill>
                  <w14:solidFill>
                    <w14:schemeClr w14:val="tx1"/>
                  </w14:solidFill>
                </w14:textFill>
              </w:rPr>
              <w:t>3</w:t>
            </w:r>
            <w:r>
              <w:rPr>
                <w:rFonts w:hint="eastAsia" w:ascii="宋体" w:hAnsi="宋体" w:eastAsia="宋体" w:cs="宋体"/>
                <w:color w:val="000000" w:themeColor="text1"/>
                <w:sz w:val="15"/>
                <w:szCs w:val="15"/>
                <w:highlight w:val="none"/>
                <w14:textFill>
                  <w14:solidFill>
                    <w14:schemeClr w14:val="tx1"/>
                  </w14:solidFill>
                </w14:textFill>
              </w:rPr>
              <w:t>分。</w:t>
            </w:r>
          </w:p>
          <w:p w14:paraId="202F49A1">
            <w:pPr>
              <w:pStyle w:val="57"/>
              <w:widowControl w:val="0"/>
              <w:wordWrap/>
              <w:spacing w:line="240" w:lineRule="auto"/>
              <w:ind w:firstLine="0" w:firstLineChars="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3、具有计算机技术与软件技术资格（中级或以上）2人或以上，每证书得2分</w:t>
            </w: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最多</w:t>
            </w:r>
            <w:r>
              <w:rPr>
                <w:rFonts w:hint="eastAsia" w:ascii="宋体" w:hAnsi="宋体" w:eastAsia="宋体" w:cs="宋体"/>
                <w:color w:val="000000" w:themeColor="text1"/>
                <w:sz w:val="15"/>
                <w:szCs w:val="15"/>
                <w:highlight w:val="none"/>
                <w:lang w:val="en-US" w:eastAsia="zh-CN"/>
                <w14:textFill>
                  <w14:solidFill>
                    <w14:schemeClr w14:val="tx1"/>
                  </w14:solidFill>
                </w14:textFill>
              </w:rPr>
              <w:t>4</w:t>
            </w:r>
            <w:r>
              <w:rPr>
                <w:rFonts w:hint="eastAsia" w:ascii="宋体" w:hAnsi="宋体" w:eastAsia="宋体" w:cs="宋体"/>
                <w:color w:val="000000" w:themeColor="text1"/>
                <w:sz w:val="15"/>
                <w:szCs w:val="15"/>
                <w:highlight w:val="none"/>
                <w14:textFill>
                  <w14:solidFill>
                    <w14:schemeClr w14:val="tx1"/>
                  </w14:solidFill>
                </w14:textFill>
              </w:rPr>
              <w:t>分。</w:t>
            </w:r>
          </w:p>
          <w:p w14:paraId="23A0BF4E">
            <w:pPr>
              <w:pStyle w:val="57"/>
              <w:widowControl w:val="0"/>
              <w:wordWrap/>
              <w:spacing w:line="240" w:lineRule="auto"/>
              <w:ind w:firstLine="0" w:firstLineChars="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【注：以上人员可以为同一法人下的总公司或分公司员工，须提供以上证书复印件与响应时间截止前三个月内任意一个月的社保证明复印件并加盖公章，否则不得分】</w:t>
            </w:r>
          </w:p>
        </w:tc>
        <w:tc>
          <w:tcPr>
            <w:tcW w:w="845" w:type="dxa"/>
            <w:noWrap w:val="0"/>
            <w:vAlign w:val="center"/>
          </w:tcPr>
          <w:p w14:paraId="5568EED9">
            <w:pPr>
              <w:widowControl/>
              <w:spacing w:line="240" w:lineRule="auto"/>
              <w:jc w:val="center"/>
              <w:rPr>
                <w:rFonts w:hint="default" w:ascii="宋体" w:hAnsi="宋体" w:eastAsia="宋体" w:cs="宋体"/>
                <w:color w:val="000000" w:themeColor="text1"/>
                <w:kern w:val="0"/>
                <w:sz w:val="15"/>
                <w:szCs w:val="15"/>
                <w:lang w:val="en-US" w:eastAsia="zh-CN"/>
                <w14:textFill>
                  <w14:solidFill>
                    <w14:schemeClr w14:val="tx1"/>
                  </w14:solidFill>
                </w14:textFill>
              </w:rPr>
            </w:pPr>
            <w:r>
              <w:rPr>
                <w:rFonts w:hint="eastAsia" w:ascii="宋体" w:hAnsi="宋体" w:cs="宋体"/>
                <w:color w:val="000000" w:themeColor="text1"/>
                <w:kern w:val="0"/>
                <w:sz w:val="15"/>
                <w:szCs w:val="15"/>
                <w:lang w:val="en-US" w:eastAsia="zh-CN"/>
                <w14:textFill>
                  <w14:solidFill>
                    <w14:schemeClr w14:val="tx1"/>
                  </w14:solidFill>
                </w14:textFill>
              </w:rPr>
              <w:t>10分</w:t>
            </w:r>
          </w:p>
        </w:tc>
      </w:tr>
      <w:tr w14:paraId="2B22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62" w:type="dxa"/>
            <w:gridSpan w:val="4"/>
            <w:noWrap w:val="0"/>
            <w:vAlign w:val="top"/>
          </w:tcPr>
          <w:p w14:paraId="112891A0">
            <w:pPr>
              <w:widowControl/>
              <w:spacing w:line="240" w:lineRule="auto"/>
              <w:jc w:val="left"/>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b/>
                <w:color w:val="000000" w:themeColor="text1"/>
                <w:sz w:val="15"/>
                <w:szCs w:val="15"/>
                <w14:textFill>
                  <w14:solidFill>
                    <w14:schemeClr w14:val="tx1"/>
                  </w14:solidFill>
                </w14:textFill>
              </w:rPr>
              <w:t>总得分＝1＋2+3</w:t>
            </w:r>
          </w:p>
        </w:tc>
      </w:tr>
    </w:tbl>
    <w:p w14:paraId="57575B91">
      <w:pPr>
        <w:pStyle w:val="19"/>
        <w:widowControl w:val="0"/>
        <w:tabs>
          <w:tab w:val="left" w:pos="4214"/>
        </w:tabs>
        <w:wordWrap/>
        <w:spacing w:line="440" w:lineRule="exact"/>
        <w:textAlignment w:val="auto"/>
        <w:rPr>
          <w:rFonts w:hint="eastAsia" w:ascii="宋体" w:hAnsi="宋体" w:eastAsia="宋体" w:cs="宋体"/>
          <w:b/>
          <w:color w:val="000000" w:themeColor="text1"/>
          <w:sz w:val="15"/>
          <w:szCs w:val="15"/>
          <w:highlight w:val="none"/>
          <w14:textFill>
            <w14:solidFill>
              <w14:schemeClr w14:val="tx1"/>
            </w14:solidFill>
          </w14:textFill>
        </w:rPr>
      </w:pPr>
    </w:p>
    <w:p w14:paraId="4053A6F2">
      <w:pPr>
        <w:pStyle w:val="19"/>
        <w:widowControl w:val="0"/>
        <w:tabs>
          <w:tab w:val="left" w:pos="4214"/>
        </w:tabs>
        <w:wordWrap/>
        <w:spacing w:line="440" w:lineRule="exact"/>
        <w:textAlignment w:val="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hAnsi="宋体" w:cs="宋体"/>
          <w:b/>
          <w:color w:val="000000" w:themeColor="text1"/>
          <w:sz w:val="15"/>
          <w:szCs w:val="15"/>
          <w:highlight w:val="none"/>
          <w:lang w:val="en-US" w:eastAsia="zh-CN"/>
          <w14:textFill>
            <w14:solidFill>
              <w14:schemeClr w14:val="tx1"/>
            </w14:solidFill>
          </w14:textFill>
        </w:rPr>
        <w:t>四</w:t>
      </w:r>
      <w:r>
        <w:rPr>
          <w:rFonts w:hint="eastAsia" w:ascii="宋体" w:hAnsi="宋体" w:eastAsia="宋体" w:cs="宋体"/>
          <w:b/>
          <w:color w:val="000000" w:themeColor="text1"/>
          <w:sz w:val="15"/>
          <w:szCs w:val="15"/>
          <w:highlight w:val="none"/>
          <w14:textFill>
            <w14:solidFill>
              <w14:schemeClr w14:val="tx1"/>
            </w14:solidFill>
          </w14:textFill>
        </w:rPr>
        <w:t>、推荐及确定成交候选人原则</w:t>
      </w:r>
    </w:p>
    <w:p w14:paraId="41326226">
      <w:pPr>
        <w:widowControl w:val="0"/>
        <w:wordWrap/>
        <w:spacing w:line="440" w:lineRule="exact"/>
        <w:ind w:firstLine="300" w:firstLineChars="200"/>
        <w:textAlignment w:val="auto"/>
        <w:rPr>
          <w:rFonts w:hint="default" w:ascii="宋体" w:hAnsi="宋体" w:eastAsia="宋体" w:cs="宋体"/>
          <w:color w:val="000000" w:themeColor="text1"/>
          <w:kern w:val="0"/>
          <w:sz w:val="15"/>
          <w:szCs w:val="15"/>
          <w:highlight w:val="none"/>
          <w:lang w:val="en-US" w:eastAsia="zh-CN"/>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（1）磋商小组应当根据综合得分由高到低排列次序，若得分相同时，以最后报价由低到高顺序排列；若仍相同的，按</w:t>
      </w:r>
      <w:r>
        <w:rPr>
          <w:rFonts w:hint="eastAsia" w:ascii="宋体" w:hAnsi="宋体" w:cs="宋体"/>
          <w:color w:val="000000" w:themeColor="text1"/>
          <w:kern w:val="0"/>
          <w:sz w:val="15"/>
          <w:szCs w:val="15"/>
          <w:highlight w:val="none"/>
          <w:lang w:val="en-US" w:eastAsia="zh-CN"/>
          <w14:textFill>
            <w14:solidFill>
              <w14:schemeClr w14:val="tx1"/>
            </w14:solidFill>
          </w14:textFill>
        </w:rPr>
        <w:t>技术</w:t>
      </w:r>
      <w:r>
        <w:rPr>
          <w:rFonts w:hint="eastAsia" w:ascii="宋体" w:hAnsi="宋体" w:eastAsia="宋体" w:cs="宋体"/>
          <w:color w:val="000000" w:themeColor="text1"/>
          <w:kern w:val="0"/>
          <w:sz w:val="15"/>
          <w:szCs w:val="15"/>
          <w:highlight w:val="none"/>
          <w14:textFill>
            <w14:solidFill>
              <w14:schemeClr w14:val="tx1"/>
            </w14:solidFill>
          </w14:textFill>
        </w:rPr>
        <w:t>分高到低顺序排列并推荐成交候选供应商</w:t>
      </w:r>
      <w:r>
        <w:rPr>
          <w:rFonts w:hint="eastAsia" w:ascii="宋体" w:hAnsi="宋体" w:cs="宋体"/>
          <w:color w:val="000000" w:themeColor="text1"/>
          <w:kern w:val="0"/>
          <w:sz w:val="15"/>
          <w:szCs w:val="15"/>
          <w:highlight w:val="none"/>
          <w:lang w:eastAsia="zh-CN"/>
          <w14:textFill>
            <w14:solidFill>
              <w14:schemeClr w14:val="tx1"/>
            </w14:solidFill>
          </w14:textFill>
        </w:rPr>
        <w:t>，</w:t>
      </w:r>
      <w:r>
        <w:rPr>
          <w:rFonts w:hint="eastAsia" w:ascii="宋体" w:hAnsi="宋体" w:cs="宋体"/>
          <w:color w:val="000000" w:themeColor="text1"/>
          <w:kern w:val="0"/>
          <w:sz w:val="15"/>
          <w:szCs w:val="15"/>
          <w:highlight w:val="none"/>
          <w:lang w:val="en-US" w:eastAsia="zh-CN"/>
          <w14:textFill>
            <w14:solidFill>
              <w14:schemeClr w14:val="tx1"/>
            </w14:solidFill>
          </w14:textFill>
        </w:rPr>
        <w:t>技术分仍相同的由磋商小组随机抽取推荐；</w:t>
      </w:r>
    </w:p>
    <w:p w14:paraId="2CBCCF1E">
      <w:pPr>
        <w:widowControl w:val="0"/>
        <w:tabs>
          <w:tab w:val="left" w:pos="4214"/>
        </w:tabs>
        <w:wordWrap/>
        <w:spacing w:line="440" w:lineRule="exact"/>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（2）磋商小组可推荐前三名为中标候选人，采购人应当确定磋商小组推荐排名第一的中标候选人为成交供应商。</w:t>
      </w:r>
    </w:p>
    <w:p w14:paraId="3FC46A2C">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排名第一的中标候选人放弃中标、因不可抗力提出不能履行合同，或者磋商文件规定应当提交履约保证金而在规定的期限内未能提交的，或因失信行为被取消中标候选人资格的，采购人可以确定排名第二的中标候选人为成交供应商或者重新组织招标。</w:t>
      </w:r>
    </w:p>
    <w:p w14:paraId="021796F7">
      <w:pPr>
        <w:widowControl w:val="0"/>
        <w:wordWrap/>
        <w:snapToGrid w:val="0"/>
        <w:spacing w:line="440" w:lineRule="exact"/>
        <w:ind w:firstLine="301"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lang w:eastAsia="zh-CN"/>
          <w14:textFill>
            <w14:solidFill>
              <w14:schemeClr w14:val="tx1"/>
            </w14:solidFill>
          </w14:textFill>
        </w:rPr>
        <w:t>（</w:t>
      </w:r>
      <w:r>
        <w:rPr>
          <w:rFonts w:hint="eastAsia" w:ascii="宋体" w:hAnsi="宋体" w:cs="宋体"/>
          <w:b/>
          <w:bCs/>
          <w:color w:val="000000" w:themeColor="text1"/>
          <w:sz w:val="15"/>
          <w:szCs w:val="15"/>
          <w:highlight w:val="none"/>
          <w:lang w:val="en-US" w:eastAsia="zh-CN"/>
          <w14:textFill>
            <w14:solidFill>
              <w14:schemeClr w14:val="tx1"/>
            </w14:solidFill>
          </w14:textFill>
        </w:rPr>
        <w:t>4</w:t>
      </w:r>
      <w:r>
        <w:rPr>
          <w:rFonts w:hint="eastAsia" w:ascii="宋体" w:hAnsi="宋体" w:cs="宋体"/>
          <w:b/>
          <w:bCs/>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采购评审中出现下列情形之一的，评审委员会应当启动异常低价投标（响应）审查程序： </w:t>
      </w:r>
    </w:p>
    <w:p w14:paraId="1087DAEC">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①</w:t>
      </w:r>
      <w:r>
        <w:rPr>
          <w:rFonts w:hint="eastAsia" w:ascii="宋体" w:hAnsi="宋体" w:eastAsia="宋体" w:cs="宋体"/>
          <w:color w:val="000000" w:themeColor="text1"/>
          <w:sz w:val="15"/>
          <w:szCs w:val="15"/>
          <w:highlight w:val="none"/>
          <w14:textFill>
            <w14:solidFill>
              <w14:schemeClr w14:val="tx1"/>
            </w14:solidFill>
          </w14:textFill>
        </w:rPr>
        <w:t>投标（响应）报价低于全部通过符合性审查供应商投标（响应）报价平均值50%的，即投标（响应）报价</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全部通过符合性审查供应商投标（响应）报价平均值×50%； </w:t>
      </w:r>
    </w:p>
    <w:p w14:paraId="422546D6">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②</w:t>
      </w:r>
      <w:r>
        <w:rPr>
          <w:rFonts w:hint="eastAsia" w:ascii="宋体" w:hAnsi="宋体" w:eastAsia="宋体" w:cs="宋体"/>
          <w:color w:val="000000" w:themeColor="text1"/>
          <w:sz w:val="15"/>
          <w:szCs w:val="15"/>
          <w:highlight w:val="none"/>
          <w14:textFill>
            <w14:solidFill>
              <w14:schemeClr w14:val="tx1"/>
            </w14:solidFill>
          </w14:textFill>
        </w:rPr>
        <w:t>投标（响应）报价低于通过符合性审查的次低报价供应商投标（响应）报价50%的，即投标（响应）报价</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通过符合性审查的次低报价供应商投标（响应）报价×50%； </w:t>
      </w:r>
    </w:p>
    <w:p w14:paraId="0935979E">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③</w:t>
      </w:r>
      <w:r>
        <w:rPr>
          <w:rFonts w:hint="eastAsia" w:ascii="宋体" w:hAnsi="宋体" w:eastAsia="宋体" w:cs="宋体"/>
          <w:color w:val="000000" w:themeColor="text1"/>
          <w:sz w:val="15"/>
          <w:szCs w:val="15"/>
          <w:highlight w:val="none"/>
          <w14:textFill>
            <w14:solidFill>
              <w14:schemeClr w14:val="tx1"/>
            </w14:solidFill>
          </w14:textFill>
        </w:rPr>
        <w:t>投标（响应）报价低于采购项目最高限价45%的，即投标（响应）报价</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采购项目最高限价×45%； </w:t>
      </w:r>
    </w:p>
    <w:p w14:paraId="5B423675">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④</w:t>
      </w:r>
      <w:r>
        <w:rPr>
          <w:rFonts w:hint="eastAsia" w:ascii="宋体" w:hAnsi="宋体" w:eastAsia="宋体" w:cs="宋体"/>
          <w:color w:val="000000" w:themeColor="text1"/>
          <w:sz w:val="15"/>
          <w:szCs w:val="15"/>
          <w:highlight w:val="none"/>
          <w14:textFill>
            <w14:solidFill>
              <w14:schemeClr w14:val="tx1"/>
            </w14:solidFill>
          </w14:textFill>
        </w:rPr>
        <w:t>评审委员会基于专业判断，认为供应商报价过低，有可能影响产品质量或者不能诚信履约的其他情形。 </w:t>
      </w:r>
    </w:p>
    <w:p w14:paraId="647297EE">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31F1174">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6256EE2">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采购人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373B9396">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14:paraId="15B56EE5">
      <w:pPr>
        <w:widowControl w:val="0"/>
        <w:wordWrap/>
        <w:snapToGrid w:val="0"/>
        <w:spacing w:line="440" w:lineRule="exact"/>
        <w:ind w:firstLine="360" w:firstLineChars="200"/>
        <w:textAlignment w:val="auto"/>
        <w:outlineLvl w:val="4"/>
        <w:rPr>
          <w:rFonts w:hint="eastAsia" w:ascii="宋体" w:hAnsi="宋体" w:eastAsia="宋体" w:cs="宋体"/>
          <w:color w:val="000000" w:themeColor="text1"/>
          <w:sz w:val="18"/>
          <w:szCs w:val="18"/>
          <w:highlight w:val="none"/>
          <w:lang w:eastAsia="zh-CN"/>
          <w14:textFill>
            <w14:solidFill>
              <w14:schemeClr w14:val="tx1"/>
            </w14:solidFill>
          </w14:textFill>
        </w:rPr>
      </w:pPr>
    </w:p>
    <w:p w14:paraId="29C50914">
      <w:pPr>
        <w:widowControl w:val="0"/>
        <w:wordWrap/>
        <w:snapToGrid w:val="0"/>
        <w:spacing w:line="440" w:lineRule="exact"/>
        <w:ind w:firstLine="360" w:firstLineChars="200"/>
        <w:textAlignment w:val="auto"/>
        <w:outlineLvl w:val="4"/>
        <w:rPr>
          <w:rFonts w:hint="eastAsia" w:ascii="宋体" w:hAnsi="宋体" w:eastAsia="宋体" w:cs="宋体"/>
          <w:color w:val="000000" w:themeColor="text1"/>
          <w:sz w:val="18"/>
          <w:szCs w:val="18"/>
          <w:highlight w:val="none"/>
          <w14:textFill>
            <w14:solidFill>
              <w14:schemeClr w14:val="tx1"/>
            </w14:solidFill>
          </w14:textFill>
        </w:rPr>
      </w:pPr>
    </w:p>
    <w:bookmarkEnd w:id="342"/>
    <w:p w14:paraId="55F8EC9E">
      <w:pPr>
        <w:pStyle w:val="2"/>
        <w:rPr>
          <w:rFonts w:hint="eastAsia" w:ascii="宋体" w:hAnsi="宋体" w:cs="宋体"/>
          <w:color w:val="000000" w:themeColor="text1"/>
          <w:highlight w:val="none"/>
          <w14:textFill>
            <w14:solidFill>
              <w14:schemeClr w14:val="tx1"/>
            </w14:solidFill>
          </w14:textFill>
        </w:rPr>
      </w:pPr>
      <w:r>
        <w:rPr>
          <w:rFonts w:ascii="Arial" w:hAnsi="Arial" w:cs="Arial"/>
          <w:b w:val="0"/>
          <w:bCs w:val="0"/>
          <w:color w:val="000000" w:themeColor="text1"/>
          <w:highlight w:val="none"/>
          <w14:textFill>
            <w14:solidFill>
              <w14:schemeClr w14:val="tx1"/>
            </w14:solidFill>
          </w14:textFill>
        </w:rPr>
        <w:br w:type="page"/>
      </w:r>
      <w:bookmarkStart w:id="362" w:name="_Toc14595"/>
      <w:bookmarkStart w:id="363" w:name="_Toc25587"/>
      <w:r>
        <w:rPr>
          <w:rStyle w:val="53"/>
          <w:b/>
          <w:bCs/>
          <w:color w:val="000000" w:themeColor="text1"/>
          <w:highlight w:val="none"/>
          <w14:textFill>
            <w14:solidFill>
              <w14:schemeClr w14:val="tx1"/>
            </w14:solidFill>
          </w14:textFill>
        </w:rPr>
        <w:t>第</w:t>
      </w:r>
      <w:r>
        <w:rPr>
          <w:rStyle w:val="53"/>
          <w:rFonts w:hint="eastAsia"/>
          <w:b/>
          <w:bCs/>
          <w:color w:val="000000" w:themeColor="text1"/>
          <w:highlight w:val="none"/>
          <w14:textFill>
            <w14:solidFill>
              <w14:schemeClr w14:val="tx1"/>
            </w14:solidFill>
          </w14:textFill>
        </w:rPr>
        <w:t>五</w:t>
      </w:r>
      <w:r>
        <w:rPr>
          <w:rStyle w:val="53"/>
          <w:b/>
          <w:bCs/>
          <w:color w:val="000000" w:themeColor="text1"/>
          <w:highlight w:val="none"/>
          <w14:textFill>
            <w14:solidFill>
              <w14:schemeClr w14:val="tx1"/>
            </w14:solidFill>
          </w14:textFill>
        </w:rPr>
        <w:t xml:space="preserve">章  </w:t>
      </w:r>
      <w:bookmarkEnd w:id="362"/>
      <w:bookmarkStart w:id="364" w:name="_Toc24269"/>
      <w:r>
        <w:rPr>
          <w:rFonts w:hint="eastAsia" w:ascii="宋体" w:hAnsi="宋体" w:cs="宋体"/>
          <w:color w:val="000000" w:themeColor="text1"/>
          <w:highlight w:val="none"/>
          <w14:textFill>
            <w14:solidFill>
              <w14:schemeClr w14:val="tx1"/>
            </w14:solidFill>
          </w14:textFill>
        </w:rPr>
        <w:t>合同条款及格式</w:t>
      </w:r>
      <w:bookmarkEnd w:id="363"/>
    </w:p>
    <w:p w14:paraId="20F7BADC">
      <w:pPr>
        <w:pStyle w:val="174"/>
        <w:jc w:val="center"/>
        <w:outlineLvl w:val="1"/>
      </w:pPr>
      <w:r>
        <w:rPr>
          <w:rFonts w:ascii="仿宋_GB2312" w:hAnsi="仿宋_GB2312" w:eastAsia="仿宋_GB2312" w:cs="仿宋_GB2312"/>
          <w:b/>
          <w:sz w:val="36"/>
        </w:rPr>
        <w:t>采购合同（服务类）</w:t>
      </w:r>
    </w:p>
    <w:p w14:paraId="2638395E">
      <w:pPr>
        <w:pStyle w:val="174"/>
        <w:jc w:val="center"/>
        <w:outlineLvl w:val="3"/>
      </w:pPr>
      <w:r>
        <w:rPr>
          <w:rFonts w:ascii="仿宋_GB2312" w:hAnsi="仿宋_GB2312" w:eastAsia="仿宋_GB2312" w:cs="仿宋_GB2312"/>
          <w:b/>
          <w:sz w:val="24"/>
        </w:rPr>
        <w:t>编制说明</w:t>
      </w:r>
      <w:r>
        <w:br w:type="textWrapping"/>
      </w:r>
    </w:p>
    <w:p w14:paraId="5D6E7A61">
      <w:pPr>
        <w:pStyle w:val="174"/>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279049EF">
      <w:pPr>
        <w:pStyle w:val="174"/>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648BDE21">
      <w:pPr>
        <w:pStyle w:val="174"/>
        <w:jc w:val="left"/>
        <w:outlineLvl w:val="3"/>
      </w:pPr>
      <w:r>
        <w:rPr>
          <w:rFonts w:ascii="仿宋_GB2312" w:hAnsi="仿宋_GB2312" w:eastAsia="仿宋_GB2312" w:cs="仿宋_GB2312"/>
          <w:b/>
          <w:sz w:val="24"/>
        </w:rPr>
        <w:t xml:space="preserve"> 3.政府有关主管部门对若干合同有规范文本的，可使用相应合同文本。</w:t>
      </w:r>
    </w:p>
    <w:p w14:paraId="58C125D4">
      <w:pPr>
        <w:pStyle w:val="174"/>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03702970">
      <w:pPr>
        <w:pStyle w:val="174"/>
        <w:jc w:val="left"/>
        <w:rPr>
          <w:rFonts w:ascii="仿宋_GB2312" w:hAnsi="仿宋_GB2312" w:eastAsia="仿宋_GB2312" w:cs="仿宋_GB2312"/>
        </w:rPr>
      </w:pPr>
    </w:p>
    <w:p w14:paraId="530E0CB5">
      <w:pPr>
        <w:pStyle w:val="174"/>
        <w:jc w:val="left"/>
      </w:pPr>
      <w:r>
        <w:rPr>
          <w:rFonts w:ascii="仿宋_GB2312" w:hAnsi="仿宋_GB2312" w:eastAsia="仿宋_GB2312" w:cs="仿宋_GB2312"/>
        </w:rPr>
        <w:t>甲方</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采购人）</w:t>
      </w:r>
      <w:r>
        <w:rPr>
          <w:rFonts w:ascii="仿宋_GB2312" w:hAnsi="仿宋_GB2312" w:eastAsia="仿宋_GB2312" w:cs="仿宋_GB2312"/>
        </w:rPr>
        <w:t>：________________</w:t>
      </w:r>
    </w:p>
    <w:p w14:paraId="6AFA549E">
      <w:pPr>
        <w:pStyle w:val="174"/>
        <w:ind w:left="0"/>
        <w:jc w:val="left"/>
      </w:pPr>
      <w:r>
        <w:rPr>
          <w:rFonts w:ascii="仿宋_GB2312" w:hAnsi="仿宋_GB2312" w:eastAsia="仿宋_GB2312" w:cs="仿宋_GB2312"/>
        </w:rPr>
        <w:t>乙方</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成交人）</w:t>
      </w:r>
      <w:r>
        <w:rPr>
          <w:rFonts w:ascii="仿宋_GB2312" w:hAnsi="仿宋_GB2312" w:eastAsia="仿宋_GB2312" w:cs="仿宋_GB2312"/>
        </w:rPr>
        <w:t>： ________________</w:t>
      </w:r>
    </w:p>
    <w:p w14:paraId="55B12E42">
      <w:pPr>
        <w:pStyle w:val="174"/>
        <w:jc w:val="left"/>
        <w:rPr>
          <w:rFonts w:ascii="仿宋_GB2312" w:hAnsi="仿宋_GB2312" w:eastAsia="仿宋_GB2312" w:cs="仿宋_GB2312"/>
        </w:rPr>
      </w:pPr>
    </w:p>
    <w:p w14:paraId="00312983">
      <w:pPr>
        <w:pStyle w:val="174"/>
        <w:ind w:firstLine="400" w:firstLineChars="200"/>
        <w:jc w:val="left"/>
        <w:rPr>
          <w:rFonts w:ascii="仿宋_GB2312" w:hAnsi="仿宋_GB2312" w:eastAsia="仿宋_GB2312" w:cs="仿宋_GB2312"/>
        </w:rPr>
      </w:pPr>
      <w:r>
        <w:rPr>
          <w:rFonts w:ascii="仿宋_GB2312" w:hAnsi="仿宋_GB2312" w:eastAsia="仿宋_GB2312" w:cs="仿宋_GB2312"/>
        </w:rPr>
        <w:t>根据项目编号为___________ 的 __________项目（以下简称：“本项目”）的采购结果，</w:t>
      </w:r>
      <w:r>
        <w:rPr>
          <w:rFonts w:hint="eastAsia" w:ascii="仿宋_GB2312" w:hAnsi="仿宋_GB2312" w:eastAsia="仿宋_GB2312" w:cs="仿宋_GB2312"/>
          <w:lang w:val="en-US" w:eastAsia="zh-CN"/>
        </w:rPr>
        <w:t>按照《中华人民共和国民法典》《中华人民共和国政府采购法》相关法律法规，</w:t>
      </w:r>
      <w:r>
        <w:rPr>
          <w:rFonts w:ascii="仿宋_GB2312" w:hAnsi="仿宋_GB2312" w:eastAsia="仿宋_GB2312" w:cs="仿宋_GB2312"/>
        </w:rPr>
        <w:t>遵循平等、自愿、公平和诚实信用的原则，双方签署本合同，具体内容如下：</w:t>
      </w:r>
    </w:p>
    <w:p w14:paraId="464A0F7C">
      <w:pPr>
        <w:pStyle w:val="174"/>
        <w:ind w:firstLine="400" w:firstLineChars="200"/>
        <w:jc w:val="left"/>
        <w:rPr>
          <w:rFonts w:ascii="仿宋_GB2312" w:hAnsi="仿宋_GB2312" w:eastAsia="仿宋_GB2312" w:cs="仿宋_GB2312"/>
        </w:rPr>
      </w:pPr>
    </w:p>
    <w:p w14:paraId="01104398">
      <w:pPr>
        <w:pStyle w:val="174"/>
        <w:jc w:val="left"/>
        <w:outlineLvl w:val="3"/>
      </w:pPr>
      <w:r>
        <w:rPr>
          <w:rFonts w:ascii="仿宋_GB2312" w:hAnsi="仿宋_GB2312" w:eastAsia="仿宋_GB2312" w:cs="仿宋_GB2312"/>
          <w:b/>
          <w:sz w:val="24"/>
        </w:rPr>
        <w:t xml:space="preserve"> 一、合同组成部分</w:t>
      </w:r>
    </w:p>
    <w:p w14:paraId="48BE08B4">
      <w:pPr>
        <w:pStyle w:val="174"/>
        <w:jc w:val="left"/>
      </w:pPr>
      <w:r>
        <w:rPr>
          <w:rFonts w:ascii="仿宋_GB2312" w:hAnsi="仿宋_GB2312" w:eastAsia="仿宋_GB2312" w:cs="仿宋_GB2312"/>
        </w:rPr>
        <w:t>1.1本合同条款及附件；</w:t>
      </w:r>
    </w:p>
    <w:p w14:paraId="29D7ABB5">
      <w:pPr>
        <w:pStyle w:val="174"/>
        <w:jc w:val="left"/>
      </w:pPr>
      <w:r>
        <w:rPr>
          <w:rFonts w:ascii="仿宋_GB2312" w:hAnsi="仿宋_GB2312" w:eastAsia="仿宋_GB2312" w:cs="仿宋_GB2312"/>
        </w:rPr>
        <w:t>1.2采购文件及其附件、补充文件；</w:t>
      </w:r>
    </w:p>
    <w:p w14:paraId="1A0EC74A">
      <w:pPr>
        <w:pStyle w:val="174"/>
        <w:jc w:val="left"/>
      </w:pPr>
      <w:r>
        <w:rPr>
          <w:rFonts w:ascii="仿宋_GB2312" w:hAnsi="仿宋_GB2312" w:eastAsia="仿宋_GB2312" w:cs="仿宋_GB2312"/>
        </w:rPr>
        <w:t>1.3乙方的响应文件及其附件、补充文件；</w:t>
      </w:r>
    </w:p>
    <w:p w14:paraId="09881858">
      <w:pPr>
        <w:pStyle w:val="174"/>
        <w:jc w:val="left"/>
      </w:pPr>
      <w:r>
        <w:rPr>
          <w:rFonts w:ascii="仿宋_GB2312" w:hAnsi="仿宋_GB2312" w:eastAsia="仿宋_GB2312" w:cs="仿宋_GB2312"/>
        </w:rPr>
        <w:t>1.4其他文件或材料：</w:t>
      </w:r>
    </w:p>
    <w:tbl>
      <w:tblPr>
        <w:tblStyle w:val="37"/>
        <w:tblpPr w:leftFromText="180" w:rightFromText="180" w:vertAnchor="text" w:horzAnchor="page" w:tblpX="1230" w:tblpY="586"/>
        <w:tblOverlap w:val="never"/>
        <w:tblW w:w="9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2289"/>
        <w:gridCol w:w="817"/>
        <w:gridCol w:w="1066"/>
        <w:gridCol w:w="1605"/>
        <w:gridCol w:w="2821"/>
      </w:tblGrid>
      <w:tr w14:paraId="1D62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57" w:type="dxa"/>
          </w:tcPr>
          <w:p w14:paraId="4FDA686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序号</w:t>
            </w:r>
          </w:p>
        </w:tc>
        <w:tc>
          <w:tcPr>
            <w:tcW w:w="2289" w:type="dxa"/>
          </w:tcPr>
          <w:p w14:paraId="32152395">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标的名称</w:t>
            </w:r>
          </w:p>
        </w:tc>
        <w:tc>
          <w:tcPr>
            <w:tcW w:w="817" w:type="dxa"/>
          </w:tcPr>
          <w:p w14:paraId="2BBBAC1F">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数量</w:t>
            </w:r>
          </w:p>
        </w:tc>
        <w:tc>
          <w:tcPr>
            <w:tcW w:w="1066" w:type="dxa"/>
          </w:tcPr>
          <w:p w14:paraId="34F70A3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单位</w:t>
            </w:r>
          </w:p>
        </w:tc>
        <w:tc>
          <w:tcPr>
            <w:tcW w:w="1605" w:type="dxa"/>
          </w:tcPr>
          <w:p w14:paraId="24509B99">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单价（元）</w:t>
            </w:r>
          </w:p>
        </w:tc>
        <w:tc>
          <w:tcPr>
            <w:tcW w:w="2821" w:type="dxa"/>
          </w:tcPr>
          <w:p w14:paraId="1CA2676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合计</w:t>
            </w:r>
          </w:p>
        </w:tc>
      </w:tr>
      <w:tr w14:paraId="695C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57" w:type="dxa"/>
          </w:tcPr>
          <w:p w14:paraId="556D7F4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w:t>
            </w:r>
          </w:p>
        </w:tc>
        <w:tc>
          <w:tcPr>
            <w:tcW w:w="2289" w:type="dxa"/>
          </w:tcPr>
          <w:p w14:paraId="75B78B0A">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监控系统维修服务</w:t>
            </w:r>
          </w:p>
        </w:tc>
        <w:tc>
          <w:tcPr>
            <w:tcW w:w="817" w:type="dxa"/>
          </w:tcPr>
          <w:p w14:paraId="56E5F880">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w:t>
            </w:r>
          </w:p>
        </w:tc>
        <w:tc>
          <w:tcPr>
            <w:tcW w:w="1066" w:type="dxa"/>
          </w:tcPr>
          <w:p w14:paraId="16556FE5">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年</w:t>
            </w:r>
          </w:p>
        </w:tc>
        <w:tc>
          <w:tcPr>
            <w:tcW w:w="1605" w:type="dxa"/>
          </w:tcPr>
          <w:p w14:paraId="461B6670">
            <w:pPr>
              <w:jc w:val="center"/>
              <w:rPr>
                <w:rFonts w:hint="default" w:asciiTheme="minorEastAsia" w:hAnsiTheme="minorEastAsia" w:eastAsiaTheme="minorEastAsia" w:cstheme="minorEastAsia"/>
                <w:sz w:val="18"/>
                <w:szCs w:val="18"/>
                <w:vertAlign w:val="baseline"/>
                <w:lang w:val="en-US" w:eastAsia="zh-CN"/>
              </w:rPr>
            </w:pPr>
          </w:p>
        </w:tc>
        <w:tc>
          <w:tcPr>
            <w:tcW w:w="2821" w:type="dxa"/>
            <w:vAlign w:val="top"/>
          </w:tcPr>
          <w:p w14:paraId="03656F74">
            <w:pPr>
              <w:jc w:val="left"/>
              <w:rPr>
                <w:rFonts w:hint="default" w:asciiTheme="minorEastAsia" w:hAnsiTheme="minorEastAsia" w:eastAsiaTheme="minorEastAsia" w:cstheme="minorEastAsia"/>
                <w:sz w:val="18"/>
                <w:szCs w:val="18"/>
                <w:vertAlign w:val="baseline"/>
                <w:lang w:val="en-US" w:eastAsia="zh-CN"/>
              </w:rPr>
            </w:pPr>
          </w:p>
        </w:tc>
      </w:tr>
      <w:tr w14:paraId="52DF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57" w:type="dxa"/>
          </w:tcPr>
          <w:p w14:paraId="64693C16">
            <w:pPr>
              <w:jc w:val="center"/>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2</w:t>
            </w:r>
          </w:p>
        </w:tc>
        <w:tc>
          <w:tcPr>
            <w:tcW w:w="2289" w:type="dxa"/>
          </w:tcPr>
          <w:p w14:paraId="507BE641">
            <w:pPr>
              <w:jc w:val="center"/>
              <w:rPr>
                <w:rFonts w:hint="eastAsia" w:asciiTheme="minorEastAsia" w:hAnsiTheme="minorEastAsia" w:eastAsiaTheme="minorEastAsia" w:cstheme="minorEastAsia"/>
                <w:sz w:val="18"/>
                <w:szCs w:val="18"/>
                <w:vertAlign w:val="baseline"/>
                <w:lang w:val="en-US" w:eastAsia="zh-CN"/>
              </w:rPr>
            </w:pPr>
          </w:p>
        </w:tc>
        <w:tc>
          <w:tcPr>
            <w:tcW w:w="817" w:type="dxa"/>
          </w:tcPr>
          <w:p w14:paraId="092C8148">
            <w:pPr>
              <w:jc w:val="center"/>
              <w:rPr>
                <w:rFonts w:hint="eastAsia" w:asciiTheme="minorEastAsia" w:hAnsiTheme="minorEastAsia" w:eastAsiaTheme="minorEastAsia" w:cstheme="minorEastAsia"/>
                <w:sz w:val="18"/>
                <w:szCs w:val="18"/>
                <w:vertAlign w:val="baseline"/>
                <w:lang w:val="en-US" w:eastAsia="zh-CN"/>
              </w:rPr>
            </w:pPr>
          </w:p>
        </w:tc>
        <w:tc>
          <w:tcPr>
            <w:tcW w:w="1066" w:type="dxa"/>
          </w:tcPr>
          <w:p w14:paraId="7D6639FE">
            <w:pPr>
              <w:jc w:val="center"/>
              <w:rPr>
                <w:rFonts w:hint="eastAsia" w:asciiTheme="minorEastAsia" w:hAnsiTheme="minorEastAsia" w:eastAsiaTheme="minorEastAsia" w:cstheme="minorEastAsia"/>
                <w:sz w:val="18"/>
                <w:szCs w:val="18"/>
                <w:vertAlign w:val="baseline"/>
                <w:lang w:val="en-US" w:eastAsia="zh-CN"/>
              </w:rPr>
            </w:pPr>
          </w:p>
        </w:tc>
        <w:tc>
          <w:tcPr>
            <w:tcW w:w="1605" w:type="dxa"/>
          </w:tcPr>
          <w:p w14:paraId="515AACC2">
            <w:pPr>
              <w:jc w:val="center"/>
              <w:rPr>
                <w:rFonts w:hint="eastAsia" w:asciiTheme="minorEastAsia" w:hAnsiTheme="minorEastAsia" w:eastAsiaTheme="minorEastAsia" w:cstheme="minorEastAsia"/>
                <w:sz w:val="18"/>
                <w:szCs w:val="18"/>
                <w:vertAlign w:val="baseline"/>
                <w:lang w:val="en-US" w:eastAsia="zh-CN"/>
              </w:rPr>
            </w:pPr>
          </w:p>
        </w:tc>
        <w:tc>
          <w:tcPr>
            <w:tcW w:w="2821" w:type="dxa"/>
            <w:vAlign w:val="top"/>
          </w:tcPr>
          <w:p w14:paraId="57DF38FB">
            <w:pPr>
              <w:jc w:val="left"/>
              <w:rPr>
                <w:rFonts w:hint="eastAsia" w:asciiTheme="minorEastAsia" w:hAnsiTheme="minorEastAsia" w:eastAsiaTheme="minorEastAsia" w:cstheme="minorEastAsia"/>
                <w:sz w:val="18"/>
                <w:szCs w:val="18"/>
                <w:vertAlign w:val="baseline"/>
                <w:lang w:val="en-US" w:eastAsia="zh-CN"/>
              </w:rPr>
            </w:pPr>
          </w:p>
        </w:tc>
      </w:tr>
      <w:tr w14:paraId="05DD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57" w:type="dxa"/>
          </w:tcPr>
          <w:p w14:paraId="2F128D29">
            <w:pPr>
              <w:jc w:val="center"/>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3</w:t>
            </w:r>
          </w:p>
        </w:tc>
        <w:tc>
          <w:tcPr>
            <w:tcW w:w="2289" w:type="dxa"/>
          </w:tcPr>
          <w:p w14:paraId="735A319E">
            <w:pPr>
              <w:jc w:val="center"/>
              <w:rPr>
                <w:rFonts w:hint="eastAsia" w:asciiTheme="minorEastAsia" w:hAnsiTheme="minorEastAsia" w:eastAsiaTheme="minorEastAsia" w:cstheme="minorEastAsia"/>
                <w:sz w:val="18"/>
                <w:szCs w:val="18"/>
                <w:vertAlign w:val="baseline"/>
                <w:lang w:val="en-US" w:eastAsia="zh-CN"/>
              </w:rPr>
            </w:pPr>
          </w:p>
        </w:tc>
        <w:tc>
          <w:tcPr>
            <w:tcW w:w="817" w:type="dxa"/>
          </w:tcPr>
          <w:p w14:paraId="4904D848">
            <w:pPr>
              <w:jc w:val="center"/>
              <w:rPr>
                <w:rFonts w:hint="eastAsia" w:asciiTheme="minorEastAsia" w:hAnsiTheme="minorEastAsia" w:eastAsiaTheme="minorEastAsia" w:cstheme="minorEastAsia"/>
                <w:sz w:val="18"/>
                <w:szCs w:val="18"/>
                <w:vertAlign w:val="baseline"/>
                <w:lang w:val="en-US" w:eastAsia="zh-CN"/>
              </w:rPr>
            </w:pPr>
          </w:p>
        </w:tc>
        <w:tc>
          <w:tcPr>
            <w:tcW w:w="1066" w:type="dxa"/>
          </w:tcPr>
          <w:p w14:paraId="10D6FABC">
            <w:pPr>
              <w:jc w:val="center"/>
              <w:rPr>
                <w:rFonts w:hint="eastAsia" w:asciiTheme="minorEastAsia" w:hAnsiTheme="minorEastAsia" w:eastAsiaTheme="minorEastAsia" w:cstheme="minorEastAsia"/>
                <w:sz w:val="18"/>
                <w:szCs w:val="18"/>
                <w:vertAlign w:val="baseline"/>
                <w:lang w:val="en-US" w:eastAsia="zh-CN"/>
              </w:rPr>
            </w:pPr>
          </w:p>
        </w:tc>
        <w:tc>
          <w:tcPr>
            <w:tcW w:w="1605" w:type="dxa"/>
          </w:tcPr>
          <w:p w14:paraId="0DC1C35F">
            <w:pPr>
              <w:jc w:val="center"/>
              <w:rPr>
                <w:rFonts w:hint="eastAsia" w:asciiTheme="minorEastAsia" w:hAnsiTheme="minorEastAsia" w:eastAsiaTheme="minorEastAsia" w:cstheme="minorEastAsia"/>
                <w:sz w:val="18"/>
                <w:szCs w:val="18"/>
                <w:vertAlign w:val="baseline"/>
                <w:lang w:val="en-US" w:eastAsia="zh-CN"/>
              </w:rPr>
            </w:pPr>
          </w:p>
        </w:tc>
        <w:tc>
          <w:tcPr>
            <w:tcW w:w="2821" w:type="dxa"/>
            <w:vAlign w:val="top"/>
          </w:tcPr>
          <w:p w14:paraId="5EF8DD96">
            <w:pPr>
              <w:jc w:val="left"/>
              <w:rPr>
                <w:rFonts w:hint="eastAsia" w:asciiTheme="minorEastAsia" w:hAnsiTheme="minorEastAsia" w:eastAsiaTheme="minorEastAsia" w:cstheme="minorEastAsia"/>
                <w:sz w:val="18"/>
                <w:szCs w:val="18"/>
                <w:vertAlign w:val="baseline"/>
                <w:lang w:val="en-US" w:eastAsia="zh-CN"/>
              </w:rPr>
            </w:pPr>
          </w:p>
        </w:tc>
      </w:tr>
    </w:tbl>
    <w:p w14:paraId="5AA4E661">
      <w:pPr>
        <w:pStyle w:val="174"/>
        <w:jc w:val="left"/>
        <w:outlineLvl w:val="3"/>
      </w:pPr>
      <w:r>
        <w:rPr>
          <w:rFonts w:ascii="仿宋_GB2312" w:hAnsi="仿宋_GB2312" w:eastAsia="仿宋_GB2312" w:cs="仿宋_GB2312"/>
          <w:b/>
          <w:sz w:val="24"/>
        </w:rPr>
        <w:t xml:space="preserve"> 二、合同标的</w:t>
      </w:r>
      <w:r>
        <w:br w:type="textWrapping"/>
      </w:r>
    </w:p>
    <w:p w14:paraId="4648DDDF">
      <w:pPr>
        <w:pStyle w:val="174"/>
        <w:jc w:val="left"/>
        <w:outlineLvl w:val="3"/>
      </w:pPr>
      <w:r>
        <w:rPr>
          <w:rFonts w:ascii="仿宋_GB2312" w:hAnsi="仿宋_GB2312" w:eastAsia="仿宋_GB2312" w:cs="仿宋_GB2312"/>
          <w:b/>
          <w:sz w:val="24"/>
        </w:rPr>
        <w:t xml:space="preserve"> 三、价格形式及合同价款</w:t>
      </w:r>
    </w:p>
    <w:p w14:paraId="251936B9">
      <w:pPr>
        <w:pStyle w:val="174"/>
        <w:jc w:val="left"/>
        <w:outlineLvl w:val="4"/>
      </w:pPr>
      <w:r>
        <w:rPr>
          <w:rFonts w:ascii="仿宋_GB2312" w:hAnsi="仿宋_GB2312" w:eastAsia="仿宋_GB2312" w:cs="仿宋_GB2312"/>
          <w:b/>
          <w:sz w:val="20"/>
        </w:rPr>
        <w:t xml:space="preserve"> 3.1价格形式</w:t>
      </w:r>
    </w:p>
    <w:p w14:paraId="3DFE6ED4">
      <w:pPr>
        <w:pStyle w:val="174"/>
        <w:jc w:val="left"/>
      </w:pPr>
      <w:r>
        <w:rPr>
          <w:rFonts w:ascii="仿宋_GB2312" w:hAnsi="仿宋_GB2312" w:eastAsia="仿宋_GB2312" w:cs="仿宋_GB2312"/>
        </w:rPr>
        <w:t xml:space="preserve"> </w:t>
      </w:r>
      <w:r>
        <w:rPr>
          <w:rFonts w:hint="eastAsia" w:ascii="仿宋_GB2312" w:hAnsi="仿宋_GB2312" w:eastAsia="仿宋_GB2312" w:cs="仿宋_GB2312"/>
          <w:lang w:val="en-US" w:eastAsia="zh-CN"/>
        </w:rPr>
        <w:t>□</w:t>
      </w:r>
      <w:r>
        <w:rPr>
          <w:rFonts w:ascii="仿宋_GB2312" w:hAnsi="仿宋_GB2312" w:eastAsia="仿宋_GB2312" w:cs="仿宋_GB2312"/>
        </w:rPr>
        <w:t>固定单价合同。完成约定服务事项的含税合同单价为：人民币（大写）元（￥ _____________元）。</w:t>
      </w:r>
    </w:p>
    <w:p w14:paraId="2CEDC74A">
      <w:pPr>
        <w:pStyle w:val="174"/>
        <w:spacing w:line="300" w:lineRule="auto"/>
        <w:jc w:val="left"/>
      </w:pPr>
      <w:r>
        <w:rPr>
          <w:rFonts w:ascii="仿宋_GB2312" w:hAnsi="仿宋_GB2312" w:eastAsia="仿宋_GB2312" w:cs="仿宋_GB2312"/>
        </w:rPr>
        <w:t xml:space="preserve"> </w:t>
      </w:r>
      <w:r>
        <w:rPr>
          <w:rFonts w:hint="eastAsia" w:ascii="仿宋_GB2312" w:hAnsi="仿宋_GB2312" w:eastAsia="仿宋_GB2312" w:cs="仿宋_GB2312"/>
          <w:lang w:val="en-US" w:eastAsia="zh-CN"/>
        </w:rPr>
        <w:t>□</w:t>
      </w:r>
      <w:r>
        <w:rPr>
          <w:rFonts w:ascii="仿宋_GB2312" w:hAnsi="仿宋_GB2312" w:eastAsia="仿宋_GB2312" w:cs="仿宋_GB2312"/>
        </w:rPr>
        <w:t>固定总价合同。完成约定服务事项的含税服务费用为：人民币（大写）元（￥_____________ 元）。</w:t>
      </w:r>
    </w:p>
    <w:p w14:paraId="67B18A01">
      <w:pPr>
        <w:pStyle w:val="174"/>
        <w:spacing w:line="300" w:lineRule="auto"/>
        <w:jc w:val="left"/>
      </w:pPr>
      <w:r>
        <w:rPr>
          <w:rFonts w:ascii="仿宋_GB2312" w:hAnsi="仿宋_GB2312" w:eastAsia="仿宋_GB2312" w:cs="仿宋_GB2312"/>
        </w:rPr>
        <w:t xml:space="preserve"> </w:t>
      </w:r>
      <w:r>
        <w:rPr>
          <w:rFonts w:hint="eastAsia" w:ascii="仿宋_GB2312" w:hAnsi="仿宋_GB2312" w:eastAsia="仿宋_GB2312" w:cs="仿宋_GB2312"/>
          <w:lang w:val="en-US" w:eastAsia="zh-CN"/>
        </w:rPr>
        <w:t>□</w:t>
      </w:r>
      <w:r>
        <w:rPr>
          <w:rFonts w:ascii="仿宋_GB2312" w:hAnsi="仿宋_GB2312" w:eastAsia="仿宋_GB2312" w:cs="仿宋_GB2312"/>
        </w:rPr>
        <w:t>其他方式</w:t>
      </w:r>
      <w:r>
        <w:rPr>
          <w:rFonts w:hint="eastAsia" w:ascii="仿宋_GB2312" w:hAnsi="仿宋_GB2312" w:eastAsia="仿宋_GB2312" w:cs="仿宋_GB2312"/>
          <w:lang w:eastAsia="zh-CN"/>
        </w:rPr>
        <w:t>：</w:t>
      </w:r>
      <w:r>
        <w:rPr>
          <w:rFonts w:hint="eastAsia" w:ascii="仿宋_GB2312" w:hAnsi="仿宋_GB2312" w:eastAsia="仿宋_GB2312" w:cs="仿宋_GB2312"/>
          <w:u w:val="single"/>
          <w:lang w:val="en-US" w:eastAsia="zh-CN"/>
        </w:rPr>
        <w:t xml:space="preserve">                </w:t>
      </w:r>
      <w:r>
        <w:rPr>
          <w:rFonts w:ascii="仿宋_GB2312" w:hAnsi="仿宋_GB2312" w:eastAsia="仿宋_GB2312" w:cs="仿宋_GB2312"/>
        </w:rPr>
        <w:t>。</w:t>
      </w:r>
    </w:p>
    <w:p w14:paraId="39021E04">
      <w:pPr>
        <w:pStyle w:val="174"/>
        <w:spacing w:line="300" w:lineRule="auto"/>
        <w:jc w:val="left"/>
        <w:outlineLvl w:val="4"/>
      </w:pPr>
      <w:r>
        <w:rPr>
          <w:rFonts w:ascii="仿宋_GB2312" w:hAnsi="仿宋_GB2312" w:eastAsia="仿宋_GB2312" w:cs="仿宋_GB2312"/>
          <w:b/>
          <w:sz w:val="20"/>
        </w:rPr>
        <w:t xml:space="preserve"> 3.2合同价款包含范围</w:t>
      </w:r>
    </w:p>
    <w:p w14:paraId="58A477F3">
      <w:pPr>
        <w:pStyle w:val="174"/>
        <w:keepNext w:val="0"/>
        <w:keepLines w:val="0"/>
        <w:pageBreakBefore w:val="0"/>
        <w:kinsoku/>
        <w:wordWrap w:val="0"/>
        <w:overflowPunct/>
        <w:topLinePunct/>
        <w:autoSpaceDE/>
        <w:autoSpaceDN/>
        <w:bidi w:val="0"/>
        <w:adjustRightInd/>
        <w:snapToGrid w:val="0"/>
        <w:spacing w:line="300" w:lineRule="auto"/>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（1）满足本项目全部采购需求，包含投标服务、货物、工程的成本、运输（含保险）、安装（如有）、调试、检验、技术服务、培训等所有费用。</w:t>
      </w:r>
    </w:p>
    <w:p w14:paraId="0CE18AB6">
      <w:pPr>
        <w:pStyle w:val="174"/>
        <w:spacing w:line="300" w:lineRule="auto"/>
        <w:jc w:val="left"/>
        <w:outlineLvl w:val="9"/>
        <w:rPr>
          <w:rFonts w:ascii="仿宋_GB2312" w:hAnsi="仿宋_GB2312" w:eastAsia="仿宋_GB2312" w:cs="仿宋_GB2312"/>
          <w:b w:val="0"/>
          <w:sz w:val="20"/>
        </w:rPr>
      </w:pPr>
      <w:r>
        <w:rPr>
          <w:rFonts w:hint="eastAsia" w:ascii="仿宋_GB2312" w:hAnsi="仿宋_GB2312" w:eastAsia="仿宋_GB2312" w:cs="仿宋_GB2312"/>
          <w:sz w:val="20"/>
          <w:szCs w:val="20"/>
          <w:highlight w:val="none"/>
          <w:lang w:val="en-US" w:eastAsia="zh-CN"/>
        </w:rPr>
        <w:t>（2）必要的保险费用和各项税金；</w:t>
      </w:r>
    </w:p>
    <w:p w14:paraId="21D7795E">
      <w:pPr>
        <w:pStyle w:val="174"/>
        <w:jc w:val="left"/>
        <w:outlineLvl w:val="4"/>
        <w:rPr>
          <w:rFonts w:hint="eastAsia" w:eastAsia="仿宋_GB2312"/>
          <w:lang w:val="en-US" w:eastAsia="zh-CN"/>
        </w:rPr>
      </w:pPr>
      <w:r>
        <w:rPr>
          <w:rFonts w:ascii="仿宋_GB2312" w:hAnsi="仿宋_GB2312" w:eastAsia="仿宋_GB2312" w:cs="仿宋_GB2312"/>
          <w:b/>
          <w:sz w:val="20"/>
        </w:rPr>
        <w:t xml:space="preserve"> 3.3其他需说明的事项：</w:t>
      </w:r>
      <w:r>
        <w:rPr>
          <w:rFonts w:hint="eastAsia" w:ascii="仿宋_GB2312" w:hAnsi="仿宋_GB2312" w:eastAsia="仿宋_GB2312" w:cs="仿宋_GB2312"/>
          <w:b/>
          <w:sz w:val="20"/>
          <w:lang w:val="en-US" w:eastAsia="zh-CN"/>
        </w:rPr>
        <w:t>无</w:t>
      </w:r>
    </w:p>
    <w:p w14:paraId="5E85338D">
      <w:pPr>
        <w:pStyle w:val="174"/>
        <w:jc w:val="left"/>
        <w:outlineLvl w:val="3"/>
      </w:pPr>
      <w:r>
        <w:rPr>
          <w:rFonts w:ascii="仿宋_GB2312" w:hAnsi="仿宋_GB2312" w:eastAsia="仿宋_GB2312" w:cs="仿宋_GB2312"/>
          <w:b/>
          <w:sz w:val="24"/>
        </w:rPr>
        <w:t xml:space="preserve"> 四、合同标的及服务范围、地点和时间</w:t>
      </w:r>
    </w:p>
    <w:p w14:paraId="6948A368">
      <w:pPr>
        <w:pStyle w:val="174"/>
        <w:jc w:val="left"/>
      </w:pPr>
      <w:r>
        <w:rPr>
          <w:rFonts w:ascii="仿宋_GB2312" w:hAnsi="仿宋_GB2312" w:eastAsia="仿宋_GB2312" w:cs="仿宋_GB2312"/>
        </w:rPr>
        <w:t xml:space="preserve"> 4.1项目名称：_____________</w:t>
      </w:r>
    </w:p>
    <w:p w14:paraId="3107DBC5">
      <w:pPr>
        <w:pStyle w:val="174"/>
        <w:jc w:val="left"/>
      </w:pPr>
      <w:r>
        <w:rPr>
          <w:rFonts w:ascii="仿宋_GB2312" w:hAnsi="仿宋_GB2312" w:eastAsia="仿宋_GB2312" w:cs="仿宋_GB2312"/>
        </w:rPr>
        <w:t xml:space="preserve"> 4.2服务范围：_____________</w:t>
      </w:r>
    </w:p>
    <w:p w14:paraId="32FB6110">
      <w:pPr>
        <w:pStyle w:val="174"/>
        <w:jc w:val="left"/>
      </w:pPr>
      <w:r>
        <w:rPr>
          <w:rFonts w:ascii="仿宋_GB2312" w:hAnsi="仿宋_GB2312" w:eastAsia="仿宋_GB2312" w:cs="仿宋_GB2312"/>
        </w:rPr>
        <w:t xml:space="preserve"> 4.3服务地点：_____________</w:t>
      </w:r>
    </w:p>
    <w:p w14:paraId="5191D02A">
      <w:pPr>
        <w:pStyle w:val="174"/>
        <w:jc w:val="left"/>
      </w:pPr>
      <w:r>
        <w:rPr>
          <w:rFonts w:ascii="仿宋_GB2312" w:hAnsi="仿宋_GB2312" w:eastAsia="仿宋_GB2312" w:cs="仿宋_GB2312"/>
        </w:rPr>
        <w:t xml:space="preserve"> 4.4服务完成时间：_____________</w:t>
      </w:r>
    </w:p>
    <w:p w14:paraId="057ADCA5">
      <w:pPr>
        <w:pStyle w:val="174"/>
        <w:jc w:val="left"/>
        <w:outlineLvl w:val="3"/>
      </w:pPr>
      <w:r>
        <w:rPr>
          <w:rFonts w:ascii="仿宋_GB2312" w:hAnsi="仿宋_GB2312" w:eastAsia="仿宋_GB2312" w:cs="仿宋_GB2312"/>
          <w:b/>
          <w:sz w:val="24"/>
        </w:rPr>
        <w:t xml:space="preserve"> 五、服务内容、质量标准和要求</w:t>
      </w:r>
    </w:p>
    <w:p w14:paraId="06EE68F4">
      <w:pPr>
        <w:pStyle w:val="174"/>
        <w:jc w:val="left"/>
      </w:pPr>
      <w:r>
        <w:rPr>
          <w:rFonts w:ascii="仿宋_GB2312" w:hAnsi="仿宋_GB2312" w:eastAsia="仿宋_GB2312" w:cs="仿宋_GB2312"/>
        </w:rPr>
        <w:t xml:space="preserve"> 5.1服务工作量的计量方式：_____________</w:t>
      </w:r>
    </w:p>
    <w:p w14:paraId="146D229B">
      <w:pPr>
        <w:pStyle w:val="174"/>
        <w:jc w:val="left"/>
      </w:pPr>
      <w:r>
        <w:rPr>
          <w:rFonts w:ascii="仿宋_GB2312" w:hAnsi="仿宋_GB2312" w:eastAsia="仿宋_GB2312" w:cs="仿宋_GB2312"/>
        </w:rPr>
        <w:t xml:space="preserve"> 5.2服务内容：_____________</w:t>
      </w:r>
    </w:p>
    <w:p w14:paraId="5E97BEE6">
      <w:pPr>
        <w:pStyle w:val="174"/>
        <w:jc w:val="left"/>
      </w:pPr>
      <w:r>
        <w:rPr>
          <w:rFonts w:ascii="仿宋_GB2312" w:hAnsi="仿宋_GB2312" w:eastAsia="仿宋_GB2312" w:cs="仿宋_GB2312"/>
        </w:rPr>
        <w:t xml:space="preserve"> 5.3技术保障、服务人员组成、所涉及的货物的质量标准：</w:t>
      </w:r>
    </w:p>
    <w:p w14:paraId="5D421992">
      <w:pPr>
        <w:pStyle w:val="174"/>
        <w:jc w:val="left"/>
      </w:pPr>
      <w:r>
        <w:rPr>
          <w:rFonts w:ascii="仿宋_GB2312" w:hAnsi="仿宋_GB2312" w:eastAsia="仿宋_GB2312" w:cs="仿宋_GB2312"/>
        </w:rPr>
        <w:t xml:space="preserve"> （1）服务技术保障：_____________</w:t>
      </w:r>
    </w:p>
    <w:p w14:paraId="225B5C91">
      <w:pPr>
        <w:pStyle w:val="174"/>
        <w:jc w:val="left"/>
      </w:pPr>
      <w:r>
        <w:rPr>
          <w:rFonts w:ascii="仿宋_GB2312" w:hAnsi="仿宋_GB2312" w:eastAsia="仿宋_GB2312" w:cs="仿宋_GB2312"/>
        </w:rPr>
        <w:t xml:space="preserve"> （2）服务人员组成：_____________</w:t>
      </w:r>
    </w:p>
    <w:p w14:paraId="37894546">
      <w:pPr>
        <w:pStyle w:val="174"/>
        <w:jc w:val="left"/>
      </w:pPr>
      <w:r>
        <w:rPr>
          <w:rFonts w:ascii="仿宋_GB2312" w:hAnsi="仿宋_GB2312" w:eastAsia="仿宋_GB2312" w:cs="仿宋_GB2312"/>
        </w:rPr>
        <w:t xml:space="preserve"> （3）服务设备及物资投入及质量标准：_____________</w:t>
      </w:r>
    </w:p>
    <w:p w14:paraId="12B5B710">
      <w:pPr>
        <w:pStyle w:val="174"/>
        <w:jc w:val="left"/>
      </w:pPr>
      <w:r>
        <w:rPr>
          <w:rFonts w:ascii="仿宋_GB2312" w:hAnsi="仿宋_GB2312" w:eastAsia="仿宋_GB2312" w:cs="仿宋_GB2312"/>
        </w:rPr>
        <w:t xml:space="preserve"> 5.4服务质量标准及要求：</w:t>
      </w:r>
    </w:p>
    <w:p w14:paraId="779C3011">
      <w:pPr>
        <w:pStyle w:val="174"/>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CE5B25F">
      <w:pPr>
        <w:pStyle w:val="174"/>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14BFE787">
      <w:pPr>
        <w:pStyle w:val="174"/>
        <w:jc w:val="left"/>
      </w:pPr>
      <w:r>
        <w:rPr>
          <w:rFonts w:ascii="仿宋_GB2312" w:hAnsi="仿宋_GB2312" w:eastAsia="仿宋_GB2312" w:cs="仿宋_GB2312"/>
        </w:rPr>
        <w:t xml:space="preserve"> 5.4.3其他要求：</w:t>
      </w:r>
    </w:p>
    <w:p w14:paraId="55F5EDC6">
      <w:pPr>
        <w:pStyle w:val="174"/>
        <w:jc w:val="left"/>
        <w:outlineLvl w:val="3"/>
      </w:pPr>
      <w:r>
        <w:rPr>
          <w:rFonts w:ascii="仿宋_GB2312" w:hAnsi="仿宋_GB2312" w:eastAsia="仿宋_GB2312" w:cs="仿宋_GB2312"/>
          <w:b/>
          <w:sz w:val="24"/>
        </w:rPr>
        <w:t xml:space="preserve"> 六、服务履约验收或考核</w:t>
      </w:r>
    </w:p>
    <w:p w14:paraId="07F285A2">
      <w:pPr>
        <w:pStyle w:val="174"/>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160F9395">
      <w:pPr>
        <w:pStyle w:val="174"/>
        <w:jc w:val="left"/>
        <w:outlineLvl w:val="3"/>
      </w:pPr>
      <w:r>
        <w:rPr>
          <w:rFonts w:ascii="仿宋_GB2312" w:hAnsi="仿宋_GB2312" w:eastAsia="仿宋_GB2312" w:cs="仿宋_GB2312"/>
          <w:b/>
          <w:sz w:val="24"/>
        </w:rPr>
        <w:t xml:space="preserve"> 七、甲方的权利与义务</w:t>
      </w:r>
    </w:p>
    <w:p w14:paraId="52B651AE">
      <w:pPr>
        <w:pStyle w:val="174"/>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14:paraId="23442B75">
      <w:pPr>
        <w:pStyle w:val="174"/>
        <w:jc w:val="left"/>
      </w:pPr>
      <w:r>
        <w:rPr>
          <w:rFonts w:ascii="仿宋_GB2312" w:hAnsi="仿宋_GB2312" w:eastAsia="仿宋_GB2312" w:cs="仿宋_GB2312"/>
        </w:rPr>
        <w:t xml:space="preserve"> 7.2甲方应为乙方开展服务工作提供必要的工作条件，以及对内对外沟通和配合协助。</w:t>
      </w:r>
    </w:p>
    <w:p w14:paraId="75813A5A">
      <w:pPr>
        <w:pStyle w:val="174"/>
        <w:jc w:val="left"/>
      </w:pPr>
      <w:r>
        <w:rPr>
          <w:rFonts w:ascii="仿宋_GB2312" w:hAnsi="仿宋_GB2312" w:eastAsia="仿宋_GB2312" w:cs="仿宋_GB2312"/>
        </w:rPr>
        <w:t xml:space="preserve"> 7.3甲方应于___________之前提供服务所需的全部资料，并对所提供材料真实性、完整性、合法性负责。</w:t>
      </w:r>
    </w:p>
    <w:p w14:paraId="5E1A983C">
      <w:pPr>
        <w:pStyle w:val="174"/>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1E3A08B7">
      <w:pPr>
        <w:pStyle w:val="174"/>
        <w:jc w:val="left"/>
      </w:pPr>
      <w:r>
        <w:rPr>
          <w:rFonts w:ascii="仿宋_GB2312" w:hAnsi="仿宋_GB2312" w:eastAsia="仿宋_GB2312" w:cs="仿宋_GB2312"/>
        </w:rPr>
        <w:t xml:space="preserve"> 7.5甲方应按本合同约定及时足额支付服务费用及相关费用。</w:t>
      </w:r>
    </w:p>
    <w:p w14:paraId="75B574B3">
      <w:pPr>
        <w:pStyle w:val="174"/>
        <w:jc w:val="left"/>
      </w:pPr>
      <w:r>
        <w:rPr>
          <w:rFonts w:ascii="仿宋_GB2312" w:hAnsi="仿宋_GB2312" w:eastAsia="仿宋_GB2312" w:cs="仿宋_GB2312"/>
        </w:rPr>
        <w:t xml:space="preserve"> 7.6其他</w:t>
      </w:r>
    </w:p>
    <w:p w14:paraId="3160C850">
      <w:pPr>
        <w:pStyle w:val="174"/>
        <w:jc w:val="left"/>
        <w:outlineLvl w:val="3"/>
      </w:pPr>
      <w:r>
        <w:rPr>
          <w:rFonts w:ascii="仿宋_GB2312" w:hAnsi="仿宋_GB2312" w:eastAsia="仿宋_GB2312" w:cs="仿宋_GB2312"/>
          <w:b/>
          <w:sz w:val="24"/>
        </w:rPr>
        <w:t xml:space="preserve"> 八、乙方的权利与义务</w:t>
      </w:r>
    </w:p>
    <w:p w14:paraId="6D67C701">
      <w:pPr>
        <w:pStyle w:val="174"/>
        <w:jc w:val="left"/>
      </w:pPr>
      <w:r>
        <w:rPr>
          <w:rFonts w:ascii="仿宋_GB2312" w:hAnsi="仿宋_GB2312" w:eastAsia="仿宋_GB2312" w:cs="仿宋_GB2312"/>
        </w:rPr>
        <w:t>8.1乙方委派___________为联系人，联系方式 ___________，负责与甲方联系。如乙方联系人发生变更，乙方应书面告知甲方</w:t>
      </w:r>
    </w:p>
    <w:p w14:paraId="0A1F0F16">
      <w:pPr>
        <w:pStyle w:val="174"/>
        <w:jc w:val="left"/>
      </w:pPr>
      <w:r>
        <w:rPr>
          <w:rFonts w:ascii="仿宋_GB2312" w:hAnsi="仿宋_GB2312" w:eastAsia="仿宋_GB2312" w:cs="仿宋_GB2312"/>
        </w:rPr>
        <w:t>8.2乙方应国家法律法规和</w:t>
      </w:r>
      <w:r>
        <w:rPr>
          <w:rFonts w:hint="eastAsia" w:ascii="仿宋_GB2312" w:hAnsi="仿宋_GB2312" w:eastAsia="仿宋_GB2312" w:cs="仿宋_GB2312"/>
          <w:lang w:val="en-US" w:eastAsia="zh-CN"/>
        </w:rPr>
        <w:t>甲方采购文件</w:t>
      </w:r>
      <w:r>
        <w:rPr>
          <w:rFonts w:ascii="仿宋_GB2312" w:hAnsi="仿宋_GB2312" w:eastAsia="仿宋_GB2312" w:cs="仿宋_GB2312"/>
        </w:rPr>
        <w:t>等要求开展服务；</w:t>
      </w:r>
    </w:p>
    <w:p w14:paraId="6A1C1722">
      <w:pPr>
        <w:pStyle w:val="174"/>
        <w:jc w:val="left"/>
      </w:pPr>
      <w:r>
        <w:rPr>
          <w:rFonts w:ascii="仿宋_GB2312" w:hAnsi="仿宋_GB2312" w:eastAsia="仿宋_GB2312" w:cs="仿宋_GB2312"/>
        </w:rPr>
        <w:t>8.3乙方及其所委派服务人员应按标准或协议约定方式出具服务成果，并对其真实性和合法性负法律责任；</w:t>
      </w:r>
    </w:p>
    <w:p w14:paraId="0B075D64">
      <w:pPr>
        <w:pStyle w:val="174"/>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14:paraId="5E452B95">
      <w:pPr>
        <w:pStyle w:val="174"/>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14:paraId="71EC39C5">
      <w:pPr>
        <w:pStyle w:val="174"/>
        <w:jc w:val="left"/>
      </w:pPr>
      <w:r>
        <w:rPr>
          <w:rFonts w:ascii="仿宋_GB2312" w:hAnsi="仿宋_GB2312" w:eastAsia="仿宋_GB2312" w:cs="仿宋_GB2312"/>
        </w:rPr>
        <w:t>8.6服务工作结束后,乙方将根据情况对甲方服务相关的管理制度及其他事项等提出改进意见。</w:t>
      </w:r>
    </w:p>
    <w:p w14:paraId="03288918">
      <w:pPr>
        <w:pStyle w:val="174"/>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14:paraId="678606CD">
      <w:pPr>
        <w:pStyle w:val="174"/>
        <w:jc w:val="left"/>
      </w:pPr>
      <w:r>
        <w:rPr>
          <w:rFonts w:ascii="仿宋_GB2312" w:hAnsi="仿宋_GB2312" w:eastAsia="仿宋_GB2312" w:cs="仿宋_GB2312"/>
        </w:rPr>
        <w:t>8.8其他</w:t>
      </w:r>
    </w:p>
    <w:p w14:paraId="2E67EE2C">
      <w:pPr>
        <w:pStyle w:val="174"/>
        <w:keepNext w:val="0"/>
        <w:keepLines w:val="0"/>
        <w:pageBreakBefore w:val="0"/>
        <w:kinsoku/>
        <w:wordWrap w:val="0"/>
        <w:overflowPunct/>
        <w:topLinePunct/>
        <w:autoSpaceDE/>
        <w:autoSpaceDN/>
        <w:bidi w:val="0"/>
        <w:adjustRightInd/>
        <w:snapToGrid w:val="0"/>
        <w:jc w:val="left"/>
        <w:textAlignment w:val="auto"/>
        <w:rPr>
          <w:rFonts w:hint="eastAsia" w:ascii="仿宋_GB2312" w:hAnsi="仿宋_GB2312" w:eastAsia="仿宋_GB2312" w:cs="仿宋_GB2312"/>
          <w:kern w:val="0"/>
          <w:sz w:val="20"/>
          <w:szCs w:val="20"/>
          <w:highlight w:val="none"/>
          <w:lang w:val="en-US" w:eastAsia="zh-CN"/>
        </w:rPr>
      </w:pPr>
      <w:r>
        <w:rPr>
          <w:rFonts w:ascii="仿宋_GB2312" w:hAnsi="仿宋_GB2312" w:eastAsia="仿宋_GB2312" w:cs="仿宋_GB2312"/>
          <w:b/>
          <w:sz w:val="24"/>
        </w:rPr>
        <w:t xml:space="preserve"> 九、资金支付方式、时间和条件</w:t>
      </w:r>
      <w:r>
        <w:br w:type="textWrapping"/>
      </w:r>
      <w:r>
        <w:rPr>
          <w:rFonts w:hint="eastAsia" w:ascii="仿宋_GB2312" w:hAnsi="仿宋_GB2312" w:eastAsia="仿宋_GB2312" w:cs="仿宋_GB2312"/>
          <w:kern w:val="0"/>
          <w:sz w:val="20"/>
          <w:szCs w:val="20"/>
          <w:highlight w:val="none"/>
          <w:lang w:val="en-US" w:eastAsia="zh-CN"/>
        </w:rPr>
        <w:t>（1）合同签订后支付</w:t>
      </w:r>
      <w:r>
        <w:rPr>
          <w:rFonts w:hint="eastAsia" w:ascii="仿宋_GB2312" w:hAnsi="仿宋_GB2312" w:eastAsia="仿宋_GB2312" w:cs="仿宋_GB2312"/>
          <w:kern w:val="0"/>
          <w:sz w:val="20"/>
          <w:szCs w:val="20"/>
          <w:highlight w:val="none"/>
          <w:u w:val="none"/>
          <w:lang w:val="en-US" w:eastAsia="zh-CN"/>
        </w:rPr>
        <w:t>30%</w:t>
      </w:r>
      <w:r>
        <w:rPr>
          <w:rFonts w:hint="eastAsia" w:ascii="仿宋_GB2312" w:hAnsi="仿宋_GB2312" w:eastAsia="仿宋_GB2312" w:cs="仿宋_GB2312"/>
          <w:kern w:val="0"/>
          <w:sz w:val="20"/>
          <w:szCs w:val="20"/>
          <w:highlight w:val="none"/>
          <w:lang w:val="en-US" w:eastAsia="zh-CN"/>
        </w:rPr>
        <w:t>合同款，支付前</w:t>
      </w:r>
      <w:r>
        <w:rPr>
          <w:rFonts w:hint="eastAsia" w:ascii="仿宋_GB2312" w:hAnsi="仿宋_GB2312" w:eastAsia="仿宋_GB2312" w:cs="仿宋_GB2312"/>
          <w:kern w:val="0"/>
          <w:sz w:val="20"/>
          <w:szCs w:val="20"/>
          <w:lang w:val="en-US" w:eastAsia="zh-CN"/>
        </w:rPr>
        <w:t>乙方</w:t>
      </w:r>
      <w:r>
        <w:rPr>
          <w:rFonts w:hint="eastAsia" w:ascii="仿宋_GB2312" w:hAnsi="仿宋_GB2312" w:eastAsia="仿宋_GB2312" w:cs="仿宋_GB2312"/>
          <w:kern w:val="0"/>
          <w:sz w:val="20"/>
          <w:szCs w:val="20"/>
          <w:highlight w:val="none"/>
          <w:lang w:val="en-US" w:eastAsia="zh-CN"/>
        </w:rPr>
        <w:t>须开具等额有效增值税发票或普通发票给采购人，采购人自收到发票后</w:t>
      </w:r>
      <w:r>
        <w:rPr>
          <w:rFonts w:hint="eastAsia" w:ascii="仿宋_GB2312" w:hAnsi="仿宋_GB2312" w:eastAsia="仿宋_GB2312" w:cs="仿宋_GB2312"/>
          <w:kern w:val="0"/>
          <w:sz w:val="20"/>
          <w:szCs w:val="20"/>
          <w:highlight w:val="none"/>
          <w:u w:val="none"/>
          <w:lang w:val="en-US" w:eastAsia="zh-CN"/>
        </w:rPr>
        <w:t>15个工作日内</w:t>
      </w:r>
      <w:r>
        <w:rPr>
          <w:rFonts w:hint="eastAsia" w:ascii="仿宋_GB2312" w:hAnsi="仿宋_GB2312" w:eastAsia="仿宋_GB2312" w:cs="仿宋_GB2312"/>
          <w:kern w:val="0"/>
          <w:sz w:val="20"/>
          <w:szCs w:val="20"/>
          <w:highlight w:val="none"/>
          <w:lang w:val="en-US" w:eastAsia="zh-CN"/>
        </w:rPr>
        <w:t>将预付款以对公转账方式支付给</w:t>
      </w:r>
      <w:r>
        <w:rPr>
          <w:rFonts w:hint="eastAsia" w:ascii="仿宋_GB2312" w:hAnsi="仿宋_GB2312" w:eastAsia="仿宋_GB2312" w:cs="仿宋_GB2312"/>
          <w:kern w:val="0"/>
          <w:sz w:val="20"/>
          <w:szCs w:val="20"/>
          <w:lang w:val="en-US" w:eastAsia="zh-CN"/>
        </w:rPr>
        <w:t>乙方</w:t>
      </w:r>
      <w:r>
        <w:rPr>
          <w:rFonts w:hint="eastAsia" w:ascii="仿宋_GB2312" w:hAnsi="仿宋_GB2312" w:eastAsia="仿宋_GB2312" w:cs="仿宋_GB2312"/>
          <w:kern w:val="0"/>
          <w:sz w:val="20"/>
          <w:szCs w:val="20"/>
          <w:highlight w:val="none"/>
          <w:lang w:val="en-US" w:eastAsia="zh-CN"/>
        </w:rPr>
        <w:t>；</w:t>
      </w:r>
    </w:p>
    <w:p w14:paraId="5016B155">
      <w:pPr>
        <w:pStyle w:val="174"/>
        <w:keepNext w:val="0"/>
        <w:keepLines w:val="0"/>
        <w:pageBreakBefore w:val="0"/>
        <w:kinsoku/>
        <w:wordWrap w:val="0"/>
        <w:overflowPunct/>
        <w:topLinePunct/>
        <w:autoSpaceDE/>
        <w:autoSpaceDN/>
        <w:bidi w:val="0"/>
        <w:adjustRightInd/>
        <w:snapToGrid w:val="0"/>
        <w:jc w:val="left"/>
        <w:textAlignment w:val="auto"/>
        <w:rPr>
          <w:rFonts w:hint="eastAsia"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（2）项目实施2年并通过验收后，支付</w:t>
      </w:r>
      <w:r>
        <w:rPr>
          <w:rFonts w:hint="eastAsia" w:ascii="仿宋_GB2312" w:hAnsi="仿宋_GB2312" w:eastAsia="仿宋_GB2312" w:cs="仿宋_GB2312"/>
          <w:kern w:val="0"/>
          <w:sz w:val="20"/>
          <w:szCs w:val="20"/>
          <w:highlight w:val="none"/>
          <w:u w:val="none"/>
          <w:lang w:val="en-US" w:eastAsia="zh-CN"/>
        </w:rPr>
        <w:t>30%</w:t>
      </w:r>
      <w:r>
        <w:rPr>
          <w:rFonts w:hint="eastAsia" w:ascii="仿宋_GB2312" w:hAnsi="仿宋_GB2312" w:eastAsia="仿宋_GB2312" w:cs="仿宋_GB2312"/>
          <w:kern w:val="0"/>
          <w:sz w:val="20"/>
          <w:szCs w:val="20"/>
          <w:highlight w:val="none"/>
          <w:lang w:val="en-US" w:eastAsia="zh-CN"/>
        </w:rPr>
        <w:t>合同款，支付前</w:t>
      </w:r>
      <w:r>
        <w:rPr>
          <w:rFonts w:hint="eastAsia" w:ascii="仿宋_GB2312" w:hAnsi="仿宋_GB2312" w:eastAsia="仿宋_GB2312" w:cs="仿宋_GB2312"/>
          <w:kern w:val="0"/>
          <w:sz w:val="20"/>
          <w:szCs w:val="20"/>
          <w:lang w:val="en-US" w:eastAsia="zh-CN"/>
        </w:rPr>
        <w:t>乙方</w:t>
      </w:r>
      <w:r>
        <w:rPr>
          <w:rFonts w:hint="eastAsia" w:ascii="仿宋_GB2312" w:hAnsi="仿宋_GB2312" w:eastAsia="仿宋_GB2312" w:cs="仿宋_GB2312"/>
          <w:kern w:val="0"/>
          <w:sz w:val="20"/>
          <w:szCs w:val="20"/>
          <w:highlight w:val="none"/>
          <w:lang w:val="en-US" w:eastAsia="zh-CN"/>
        </w:rPr>
        <w:t>须开具等额有效增值税发票或普通发票给采购人，采购人自收到发票后</w:t>
      </w:r>
      <w:r>
        <w:rPr>
          <w:rFonts w:hint="eastAsia" w:ascii="仿宋_GB2312" w:hAnsi="仿宋_GB2312" w:eastAsia="仿宋_GB2312" w:cs="仿宋_GB2312"/>
          <w:kern w:val="0"/>
          <w:sz w:val="20"/>
          <w:szCs w:val="20"/>
          <w:highlight w:val="none"/>
          <w:u w:val="none"/>
          <w:lang w:val="en-US" w:eastAsia="zh-CN"/>
        </w:rPr>
        <w:t>15个工作日内</w:t>
      </w:r>
      <w:r>
        <w:rPr>
          <w:rFonts w:hint="eastAsia" w:ascii="仿宋_GB2312" w:hAnsi="仿宋_GB2312" w:eastAsia="仿宋_GB2312" w:cs="仿宋_GB2312"/>
          <w:kern w:val="0"/>
          <w:sz w:val="20"/>
          <w:szCs w:val="20"/>
          <w:highlight w:val="none"/>
          <w:lang w:val="en-US" w:eastAsia="zh-CN"/>
        </w:rPr>
        <w:t>将预付款以对公转账方式支付给</w:t>
      </w:r>
      <w:r>
        <w:rPr>
          <w:rFonts w:hint="eastAsia" w:ascii="仿宋_GB2312" w:hAnsi="仿宋_GB2312" w:eastAsia="仿宋_GB2312" w:cs="仿宋_GB2312"/>
          <w:kern w:val="0"/>
          <w:sz w:val="20"/>
          <w:szCs w:val="20"/>
          <w:lang w:val="en-US" w:eastAsia="zh-CN"/>
        </w:rPr>
        <w:t>乙方</w:t>
      </w:r>
      <w:r>
        <w:rPr>
          <w:rFonts w:hint="eastAsia" w:ascii="仿宋_GB2312" w:hAnsi="仿宋_GB2312" w:eastAsia="仿宋_GB2312" w:cs="仿宋_GB2312"/>
          <w:kern w:val="0"/>
          <w:sz w:val="20"/>
          <w:szCs w:val="20"/>
          <w:highlight w:val="none"/>
          <w:lang w:val="en-US" w:eastAsia="zh-CN"/>
        </w:rPr>
        <w:t>；</w:t>
      </w:r>
    </w:p>
    <w:p w14:paraId="7613CC3F">
      <w:pPr>
        <w:pStyle w:val="174"/>
        <w:jc w:val="left"/>
        <w:outlineLvl w:val="9"/>
        <w:rPr>
          <w:rFonts w:ascii="仿宋_GB2312" w:hAnsi="仿宋_GB2312" w:eastAsia="仿宋_GB2312" w:cs="仿宋_GB2312"/>
        </w:rPr>
      </w:pPr>
      <w:r>
        <w:rPr>
          <w:rFonts w:hint="eastAsia" w:ascii="仿宋_GB2312" w:hAnsi="仿宋_GB2312" w:eastAsia="仿宋_GB2312" w:cs="仿宋_GB2312"/>
          <w:kern w:val="0"/>
          <w:sz w:val="20"/>
          <w:szCs w:val="20"/>
          <w:highlight w:val="none"/>
          <w:lang w:val="en-US" w:eastAsia="zh-CN"/>
        </w:rPr>
        <w:t>（3）项目实施完成并通过验收后，双方协商一致，</w:t>
      </w:r>
      <w:r>
        <w:rPr>
          <w:rFonts w:hint="eastAsia" w:ascii="仿宋_GB2312" w:hAnsi="仿宋_GB2312" w:eastAsia="仿宋_GB2312" w:cs="仿宋_GB2312"/>
          <w:kern w:val="0"/>
          <w:sz w:val="20"/>
          <w:szCs w:val="20"/>
          <w:highlight w:val="none"/>
        </w:rPr>
        <w:t>采购人</w:t>
      </w:r>
      <w:r>
        <w:rPr>
          <w:rFonts w:hint="eastAsia" w:ascii="仿宋_GB2312" w:hAnsi="仿宋_GB2312" w:eastAsia="仿宋_GB2312" w:cs="仿宋_GB2312"/>
          <w:kern w:val="0"/>
          <w:sz w:val="20"/>
          <w:szCs w:val="20"/>
          <w:highlight w:val="none"/>
          <w:lang w:val="en-US" w:eastAsia="zh-CN"/>
        </w:rPr>
        <w:t>自收到</w:t>
      </w:r>
      <w:r>
        <w:rPr>
          <w:rFonts w:hint="eastAsia" w:ascii="仿宋_GB2312" w:hAnsi="仿宋_GB2312" w:eastAsia="仿宋_GB2312" w:cs="仿宋_GB2312"/>
          <w:kern w:val="0"/>
          <w:sz w:val="20"/>
          <w:szCs w:val="20"/>
          <w:lang w:val="en-US" w:eastAsia="zh-CN"/>
        </w:rPr>
        <w:t>乙方</w:t>
      </w:r>
      <w:r>
        <w:rPr>
          <w:rFonts w:hint="eastAsia" w:ascii="仿宋_GB2312" w:hAnsi="仿宋_GB2312" w:eastAsia="仿宋_GB2312" w:cs="仿宋_GB2312"/>
          <w:kern w:val="0"/>
          <w:sz w:val="20"/>
          <w:szCs w:val="20"/>
          <w:highlight w:val="none"/>
          <w:lang w:val="en-US" w:eastAsia="zh-CN"/>
        </w:rPr>
        <w:t>开具发票后15个工作日内支付剩余40%合同款给</w:t>
      </w:r>
      <w:r>
        <w:rPr>
          <w:rFonts w:hint="eastAsia" w:ascii="仿宋_GB2312" w:hAnsi="仿宋_GB2312" w:eastAsia="仿宋_GB2312" w:cs="仿宋_GB2312"/>
          <w:kern w:val="0"/>
          <w:sz w:val="20"/>
          <w:szCs w:val="20"/>
          <w:lang w:val="en-US" w:eastAsia="zh-CN"/>
        </w:rPr>
        <w:t>乙方</w:t>
      </w:r>
      <w:r>
        <w:rPr>
          <w:rFonts w:hint="eastAsia" w:ascii="仿宋_GB2312" w:hAnsi="仿宋_GB2312" w:eastAsia="仿宋_GB2312" w:cs="仿宋_GB2312"/>
          <w:kern w:val="0"/>
          <w:sz w:val="20"/>
          <w:szCs w:val="20"/>
          <w:highlight w:val="none"/>
        </w:rPr>
        <w:t>。</w:t>
      </w:r>
    </w:p>
    <w:p w14:paraId="5B01F178">
      <w:pPr>
        <w:pStyle w:val="174"/>
        <w:jc w:val="left"/>
        <w:outlineLvl w:val="3"/>
      </w:pPr>
      <w:r>
        <w:rPr>
          <w:rFonts w:ascii="仿宋_GB2312" w:hAnsi="仿宋_GB2312" w:eastAsia="仿宋_GB2312" w:cs="仿宋_GB2312"/>
          <w:b/>
          <w:sz w:val="24"/>
        </w:rPr>
        <w:t xml:space="preserve"> 十、履约保证金</w:t>
      </w:r>
    </w:p>
    <w:p w14:paraId="2BC8CAA7">
      <w:pPr>
        <w:pStyle w:val="174"/>
        <w:jc w:val="left"/>
      </w:pPr>
      <w:r>
        <w:rPr>
          <w:rFonts w:ascii="仿宋_GB2312" w:hAnsi="仿宋_GB2312" w:eastAsia="仿宋_GB2312" w:cs="仿宋_GB2312"/>
        </w:rPr>
        <w:t xml:space="preserve"> □有，□无。</w:t>
      </w:r>
    </w:p>
    <w:p w14:paraId="04BF2BFE">
      <w:pPr>
        <w:pStyle w:val="174"/>
        <w:jc w:val="left"/>
        <w:outlineLvl w:val="3"/>
        <w:rPr>
          <w:rFonts w:hint="default" w:eastAsiaTheme="minorEastAsia"/>
          <w:lang w:val="en-US" w:eastAsia="zh-CN"/>
        </w:rPr>
      </w:pPr>
      <w:r>
        <w:rPr>
          <w:rFonts w:ascii="仿宋_GB2312" w:hAnsi="仿宋_GB2312" w:eastAsia="仿宋_GB2312" w:cs="仿宋_GB2312"/>
          <w:b/>
          <w:sz w:val="24"/>
        </w:rPr>
        <w:t xml:space="preserve"> 十一、合同期限</w:t>
      </w:r>
      <w:r>
        <w:br w:type="textWrapping"/>
      </w:r>
      <w:r>
        <w:rPr>
          <w:rFonts w:hint="eastAsia"/>
          <w:lang w:val="en-US" w:eastAsia="zh-CN"/>
        </w:rPr>
        <w:t>自   年  月  日至   年  月  日</w:t>
      </w:r>
    </w:p>
    <w:p w14:paraId="5D11401B">
      <w:pPr>
        <w:pStyle w:val="174"/>
        <w:jc w:val="left"/>
        <w:outlineLvl w:val="3"/>
      </w:pPr>
      <w:r>
        <w:rPr>
          <w:rFonts w:ascii="仿宋_GB2312" w:hAnsi="仿宋_GB2312" w:eastAsia="仿宋_GB2312" w:cs="仿宋_GB2312"/>
          <w:b/>
          <w:sz w:val="24"/>
        </w:rPr>
        <w:t xml:space="preserve"> 十二、保密条款</w:t>
      </w:r>
    </w:p>
    <w:p w14:paraId="7768E501">
      <w:pPr>
        <w:pStyle w:val="174"/>
        <w:jc w:val="left"/>
      </w:pPr>
      <w:r>
        <w:rPr>
          <w:rFonts w:ascii="仿宋_GB2312" w:hAnsi="仿宋_GB2312" w:eastAsia="仿宋_GB2312" w:cs="仿宋_GB2312"/>
        </w:rPr>
        <w:t>12.1对于在采购和合同履行过程中所获悉的属于保密的内容，甲、乙双方均负有保密义务。</w:t>
      </w:r>
    </w:p>
    <w:p w14:paraId="757F09BB">
      <w:pPr>
        <w:pStyle w:val="174"/>
        <w:jc w:val="left"/>
      </w:pPr>
      <w:r>
        <w:rPr>
          <w:rFonts w:ascii="仿宋_GB2312" w:hAnsi="仿宋_GB2312" w:eastAsia="仿宋_GB2312" w:cs="仿宋_GB2312"/>
        </w:rPr>
        <w:t>12.2其他</w:t>
      </w:r>
    </w:p>
    <w:p w14:paraId="37417B38">
      <w:pPr>
        <w:pStyle w:val="174"/>
        <w:jc w:val="left"/>
        <w:outlineLvl w:val="3"/>
      </w:pPr>
      <w:r>
        <w:rPr>
          <w:rFonts w:ascii="仿宋_GB2312" w:hAnsi="仿宋_GB2312" w:eastAsia="仿宋_GB2312" w:cs="仿宋_GB2312"/>
          <w:b/>
          <w:sz w:val="24"/>
        </w:rPr>
        <w:t xml:space="preserve"> 十三、违约责任</w:t>
      </w:r>
    </w:p>
    <w:p w14:paraId="44E3416E">
      <w:pPr>
        <w:pStyle w:val="174"/>
        <w:jc w:val="left"/>
      </w:pPr>
      <w:r>
        <w:rPr>
          <w:rFonts w:ascii="仿宋_GB2312" w:hAnsi="仿宋_GB2312" w:eastAsia="仿宋_GB2312" w:cs="仿宋_GB2312"/>
        </w:rPr>
        <w:t>13.1甲方违约责任</w:t>
      </w:r>
    </w:p>
    <w:p w14:paraId="67745183">
      <w:pPr>
        <w:pStyle w:val="174"/>
        <w:jc w:val="left"/>
      </w:pPr>
      <w:r>
        <w:rPr>
          <w:rFonts w:ascii="仿宋_GB2312" w:hAnsi="仿宋_GB2312" w:eastAsia="仿宋_GB2312" w:cs="仿宋_GB2312"/>
        </w:rPr>
        <w:t>（1）甲方无正当理由拒绝乙方提供合格服务的，甲方应向乙方偿付所拒收合同总价________的违约金</w:t>
      </w:r>
    </w:p>
    <w:p w14:paraId="274EA7A0">
      <w:pPr>
        <w:pStyle w:val="174"/>
        <w:jc w:val="left"/>
      </w:pPr>
      <w:r>
        <w:rPr>
          <w:rFonts w:ascii="仿宋_GB2312" w:hAnsi="仿宋_GB2312" w:eastAsia="仿宋_GB2312" w:cs="仿宋_GB2312"/>
        </w:rPr>
        <w:t>（2）甲方无故逾期验收和办理合同款项支付手续的,甲方应按逾期付款总额每日________向乙方支付违约金。</w:t>
      </w:r>
    </w:p>
    <w:p w14:paraId="70F5533E">
      <w:pPr>
        <w:pStyle w:val="174"/>
        <w:jc w:val="left"/>
      </w:pPr>
      <w:r>
        <w:rPr>
          <w:rFonts w:ascii="仿宋_GB2312" w:hAnsi="仿宋_GB2312" w:eastAsia="仿宋_GB2312" w:cs="仿宋_GB2312"/>
        </w:rPr>
        <w:t>（3）其他违约情形</w:t>
      </w:r>
    </w:p>
    <w:p w14:paraId="36871DEA">
      <w:pPr>
        <w:pStyle w:val="174"/>
        <w:jc w:val="left"/>
      </w:pPr>
      <w:r>
        <w:rPr>
          <w:rFonts w:ascii="仿宋_GB2312" w:hAnsi="仿宋_GB2312" w:eastAsia="仿宋_GB2312" w:cs="仿宋_GB2312"/>
        </w:rPr>
        <w:t>13.2乙方违约责任</w:t>
      </w:r>
    </w:p>
    <w:p w14:paraId="102E6EE8">
      <w:pPr>
        <w:pStyle w:val="174"/>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14:paraId="7404D771">
      <w:pPr>
        <w:pStyle w:val="174"/>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14:paraId="0D02F5E3">
      <w:pPr>
        <w:pStyle w:val="174"/>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14:paraId="2E0DD60B">
      <w:pPr>
        <w:pStyle w:val="174"/>
        <w:jc w:val="left"/>
      </w:pPr>
      <w:r>
        <w:rPr>
          <w:rFonts w:ascii="仿宋_GB2312" w:hAnsi="仿宋_GB2312" w:eastAsia="仿宋_GB2312" w:cs="仿宋_GB2312"/>
        </w:rPr>
        <w:t>（4）其他违约情形</w:t>
      </w:r>
    </w:p>
    <w:p w14:paraId="73E6396A">
      <w:pPr>
        <w:pStyle w:val="174"/>
        <w:jc w:val="left"/>
        <w:outlineLvl w:val="3"/>
      </w:pPr>
      <w:r>
        <w:rPr>
          <w:rFonts w:ascii="仿宋_GB2312" w:hAnsi="仿宋_GB2312" w:eastAsia="仿宋_GB2312" w:cs="仿宋_GB2312"/>
          <w:b/>
          <w:sz w:val="24"/>
        </w:rPr>
        <w:t xml:space="preserve"> 十四、不可抗力事件处理</w:t>
      </w:r>
    </w:p>
    <w:p w14:paraId="10010645">
      <w:pPr>
        <w:pStyle w:val="174"/>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7460D8B8">
      <w:pPr>
        <w:pStyle w:val="174"/>
        <w:jc w:val="left"/>
        <w:outlineLvl w:val="3"/>
      </w:pPr>
      <w:r>
        <w:rPr>
          <w:rFonts w:ascii="仿宋_GB2312" w:hAnsi="仿宋_GB2312" w:eastAsia="仿宋_GB2312" w:cs="仿宋_GB2312"/>
          <w:b/>
          <w:sz w:val="24"/>
        </w:rPr>
        <w:t xml:space="preserve"> 十五、解决争议的方法</w:t>
      </w:r>
    </w:p>
    <w:p w14:paraId="1197DE8C">
      <w:pPr>
        <w:pStyle w:val="174"/>
        <w:jc w:val="left"/>
      </w:pPr>
      <w:r>
        <w:rPr>
          <w:rFonts w:ascii="仿宋_GB2312" w:hAnsi="仿宋_GB2312" w:eastAsia="仿宋_GB2312" w:cs="仿宋_GB2312"/>
        </w:rPr>
        <w:t>15.1甲、乙双方协商解决。</w:t>
      </w:r>
    </w:p>
    <w:p w14:paraId="67DBCA3D">
      <w:pPr>
        <w:pStyle w:val="174"/>
        <w:jc w:val="left"/>
      </w:pPr>
      <w:r>
        <w:rPr>
          <w:rFonts w:ascii="仿宋_GB2312" w:hAnsi="仿宋_GB2312" w:eastAsia="仿宋_GB2312" w:cs="仿宋_GB2312"/>
        </w:rPr>
        <w:t>15.2若协商解决不成，双方明确按以下第_种方式解决：</w:t>
      </w:r>
    </w:p>
    <w:p w14:paraId="535AC087">
      <w:pPr>
        <w:pStyle w:val="174"/>
        <w:jc w:val="left"/>
      </w:pPr>
      <w:r>
        <w:rPr>
          <w:rFonts w:ascii="仿宋_GB2312" w:hAnsi="仿宋_GB2312" w:eastAsia="仿宋_GB2312" w:cs="仿宋_GB2312"/>
        </w:rPr>
        <w:t xml:space="preserve"> 1、提交仲裁委员会仲裁，具体如下：</w:t>
      </w:r>
    </w:p>
    <w:p w14:paraId="5E94B898">
      <w:pPr>
        <w:pStyle w:val="174"/>
        <w:spacing w:line="300" w:lineRule="auto"/>
        <w:jc w:val="left"/>
      </w:pPr>
      <w:r>
        <w:rPr>
          <w:rFonts w:ascii="仿宋_GB2312" w:hAnsi="仿宋_GB2312" w:eastAsia="仿宋_GB2312" w:cs="仿宋_GB2312"/>
        </w:rPr>
        <w:t xml:space="preserve"> 2、向人民法院提起诉讼。</w:t>
      </w:r>
    </w:p>
    <w:p w14:paraId="52069263">
      <w:pPr>
        <w:pStyle w:val="174"/>
        <w:jc w:val="left"/>
        <w:outlineLvl w:val="3"/>
        <w:rPr>
          <w:rFonts w:hint="eastAsia" w:eastAsiaTheme="minorEastAsia"/>
          <w:lang w:val="en-US" w:eastAsia="zh-CN"/>
        </w:rPr>
      </w:pPr>
      <w:r>
        <w:rPr>
          <w:rFonts w:ascii="仿宋_GB2312" w:hAnsi="仿宋_GB2312" w:eastAsia="仿宋_GB2312" w:cs="仿宋_GB2312"/>
          <w:b/>
          <w:sz w:val="24"/>
        </w:rPr>
        <w:t xml:space="preserve"> 十六、合同其他条款</w:t>
      </w:r>
      <w:r>
        <w:br w:type="textWrapping"/>
      </w:r>
      <w:r>
        <w:rPr>
          <w:rFonts w:hint="eastAsia"/>
          <w:lang w:val="en-US" w:eastAsia="zh-CN"/>
        </w:rPr>
        <w:t>无</w:t>
      </w:r>
    </w:p>
    <w:p w14:paraId="2D2D040A">
      <w:pPr>
        <w:pStyle w:val="174"/>
        <w:jc w:val="left"/>
        <w:outlineLvl w:val="3"/>
      </w:pPr>
      <w:r>
        <w:rPr>
          <w:rFonts w:ascii="仿宋_GB2312" w:hAnsi="仿宋_GB2312" w:eastAsia="仿宋_GB2312" w:cs="仿宋_GB2312"/>
          <w:b/>
          <w:sz w:val="24"/>
        </w:rPr>
        <w:t xml:space="preserve"> 十七、其他约定</w:t>
      </w:r>
    </w:p>
    <w:p w14:paraId="1C431A20">
      <w:pPr>
        <w:pStyle w:val="174"/>
        <w:jc w:val="left"/>
      </w:pPr>
      <w:r>
        <w:rPr>
          <w:rFonts w:ascii="仿宋_GB2312" w:hAnsi="仿宋_GB2312" w:eastAsia="仿宋_GB2312" w:cs="仿宋_GB2312"/>
        </w:rPr>
        <w:t>17.1合同文件与本合同具有同等法律效力。</w:t>
      </w:r>
    </w:p>
    <w:p w14:paraId="331A762B">
      <w:pPr>
        <w:pStyle w:val="174"/>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30714D41">
      <w:pPr>
        <w:pStyle w:val="174"/>
        <w:jc w:val="left"/>
      </w:pPr>
      <w:r>
        <w:rPr>
          <w:rFonts w:ascii="仿宋_GB2312" w:hAnsi="仿宋_GB2312" w:eastAsia="仿宋_GB2312" w:cs="仿宋_GB2312"/>
        </w:rPr>
        <w:t>17.3本合同未尽事宜，遵照《中华人民共和国民法典》有关条文执行。</w:t>
      </w:r>
    </w:p>
    <w:p w14:paraId="13905209">
      <w:pPr>
        <w:pStyle w:val="174"/>
        <w:jc w:val="left"/>
      </w:pPr>
      <w:r>
        <w:rPr>
          <w:rFonts w:ascii="仿宋_GB2312" w:hAnsi="仿宋_GB2312" w:eastAsia="仿宋_GB2312" w:cs="仿宋_GB2312"/>
        </w:rPr>
        <w:t>17.4本合同正本一式_______份，具有同等法律效力，甲方、乙方各执_______份；副本_______份，_______</w:t>
      </w:r>
    </w:p>
    <w:p w14:paraId="466CCE9C">
      <w:pPr>
        <w:pStyle w:val="174"/>
        <w:jc w:val="left"/>
        <w:rPr>
          <w:rFonts w:hint="default" w:eastAsia="仿宋_GB2312"/>
          <w:lang w:val="en-US" w:eastAsia="zh-CN"/>
        </w:rPr>
      </w:pPr>
      <w:r>
        <w:rPr>
          <w:rFonts w:ascii="仿宋_GB2312" w:hAnsi="仿宋_GB2312" w:eastAsia="仿宋_GB2312" w:cs="仿宋_GB2312"/>
        </w:rPr>
        <w:t>17.5其他</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无</w:t>
      </w:r>
    </w:p>
    <w:p w14:paraId="37388CC7">
      <w:pPr>
        <w:pStyle w:val="174"/>
        <w:jc w:val="left"/>
      </w:pPr>
    </w:p>
    <w:p w14:paraId="5E9861E5">
      <w:pPr>
        <w:pStyle w:val="174"/>
        <w:jc w:val="left"/>
      </w:pPr>
    </w:p>
    <w:p w14:paraId="3925734E">
      <w:pPr>
        <w:pStyle w:val="174"/>
        <w:jc w:val="left"/>
      </w:pPr>
      <w:r>
        <w:br w:type="textWrapping"/>
      </w:r>
    </w:p>
    <w:p w14:paraId="5B59F7E1">
      <w:pPr>
        <w:pStyle w:val="174"/>
        <w:jc w:val="left"/>
      </w:pPr>
      <w:r>
        <w:rPr>
          <w:rFonts w:ascii="仿宋_GB2312" w:hAnsi="仿宋_GB2312" w:eastAsia="仿宋_GB2312" w:cs="仿宋_GB2312"/>
        </w:rPr>
        <w:t xml:space="preserve"> 甲方（采购人）：</w:t>
      </w:r>
    </w:p>
    <w:p w14:paraId="08662F93">
      <w:pPr>
        <w:pStyle w:val="174"/>
        <w:jc w:val="left"/>
      </w:pPr>
      <w:r>
        <w:rPr>
          <w:rFonts w:ascii="仿宋_GB2312" w:hAnsi="仿宋_GB2312" w:eastAsia="仿宋_GB2312" w:cs="仿宋_GB2312"/>
        </w:rPr>
        <w:t xml:space="preserve"> 法定（授权）代表人：</w:t>
      </w:r>
    </w:p>
    <w:p w14:paraId="2B33325F">
      <w:pPr>
        <w:pStyle w:val="174"/>
        <w:jc w:val="left"/>
      </w:pPr>
      <w:r>
        <w:rPr>
          <w:rFonts w:ascii="仿宋_GB2312" w:hAnsi="仿宋_GB2312" w:eastAsia="仿宋_GB2312" w:cs="仿宋_GB2312"/>
        </w:rPr>
        <w:t xml:space="preserve"> 纳税人识别号：</w:t>
      </w:r>
    </w:p>
    <w:p w14:paraId="21CA4373">
      <w:pPr>
        <w:pStyle w:val="174"/>
        <w:jc w:val="left"/>
      </w:pPr>
      <w:r>
        <w:rPr>
          <w:rFonts w:ascii="仿宋_GB2312" w:hAnsi="仿宋_GB2312" w:eastAsia="仿宋_GB2312" w:cs="仿宋_GB2312"/>
        </w:rPr>
        <w:t xml:space="preserve"> 开户银行：</w:t>
      </w:r>
    </w:p>
    <w:p w14:paraId="51859297">
      <w:pPr>
        <w:pStyle w:val="174"/>
        <w:jc w:val="left"/>
      </w:pPr>
      <w:r>
        <w:rPr>
          <w:rFonts w:ascii="仿宋_GB2312" w:hAnsi="仿宋_GB2312" w:eastAsia="仿宋_GB2312" w:cs="仿宋_GB2312"/>
        </w:rPr>
        <w:t xml:space="preserve"> 账号：</w:t>
      </w:r>
    </w:p>
    <w:p w14:paraId="57A885A6">
      <w:pPr>
        <w:pStyle w:val="174"/>
        <w:jc w:val="left"/>
        <w:rPr>
          <w:rFonts w:ascii="仿宋_GB2312" w:hAnsi="仿宋_GB2312" w:eastAsia="仿宋_GB2312" w:cs="仿宋_GB2312"/>
        </w:rPr>
      </w:pPr>
      <w:r>
        <w:rPr>
          <w:rFonts w:ascii="仿宋_GB2312" w:hAnsi="仿宋_GB2312" w:eastAsia="仿宋_GB2312" w:cs="仿宋_GB2312"/>
        </w:rPr>
        <w:t xml:space="preserve"> </w:t>
      </w:r>
    </w:p>
    <w:p w14:paraId="73E65397">
      <w:pPr>
        <w:pStyle w:val="174"/>
        <w:jc w:val="left"/>
      </w:pPr>
      <w:r>
        <w:rPr>
          <w:rFonts w:ascii="仿宋_GB2312" w:hAnsi="仿宋_GB2312" w:eastAsia="仿宋_GB2312" w:cs="仿宋_GB2312"/>
        </w:rPr>
        <w:t>乙方（成交人）：</w:t>
      </w:r>
    </w:p>
    <w:p w14:paraId="5E3B8C64">
      <w:pPr>
        <w:pStyle w:val="174"/>
        <w:jc w:val="left"/>
      </w:pPr>
      <w:r>
        <w:rPr>
          <w:rFonts w:ascii="仿宋_GB2312" w:hAnsi="仿宋_GB2312" w:eastAsia="仿宋_GB2312" w:cs="仿宋_GB2312"/>
        </w:rPr>
        <w:t xml:space="preserve"> 法定（授权）代表人：</w:t>
      </w:r>
    </w:p>
    <w:p w14:paraId="04B507B8">
      <w:pPr>
        <w:pStyle w:val="174"/>
        <w:jc w:val="left"/>
      </w:pPr>
      <w:r>
        <w:rPr>
          <w:rFonts w:ascii="仿宋_GB2312" w:hAnsi="仿宋_GB2312" w:eastAsia="仿宋_GB2312" w:cs="仿宋_GB2312"/>
        </w:rPr>
        <w:t xml:space="preserve"> 纳税人识别号：</w:t>
      </w:r>
    </w:p>
    <w:p w14:paraId="4CE8167B">
      <w:pPr>
        <w:pStyle w:val="174"/>
        <w:jc w:val="left"/>
      </w:pPr>
      <w:r>
        <w:rPr>
          <w:rFonts w:ascii="仿宋_GB2312" w:hAnsi="仿宋_GB2312" w:eastAsia="仿宋_GB2312" w:cs="仿宋_GB2312"/>
        </w:rPr>
        <w:t xml:space="preserve"> 开户银行：</w:t>
      </w:r>
    </w:p>
    <w:p w14:paraId="033D8E3F">
      <w:pPr>
        <w:pStyle w:val="174"/>
        <w:jc w:val="left"/>
      </w:pPr>
      <w:r>
        <w:rPr>
          <w:rFonts w:ascii="仿宋_GB2312" w:hAnsi="仿宋_GB2312" w:eastAsia="仿宋_GB2312" w:cs="仿宋_GB2312"/>
        </w:rPr>
        <w:t xml:space="preserve"> 账号：</w:t>
      </w:r>
    </w:p>
    <w:p w14:paraId="1D768C2F">
      <w:pPr>
        <w:pStyle w:val="174"/>
        <w:jc w:val="left"/>
      </w:pPr>
      <w:r>
        <w:rPr>
          <w:rFonts w:ascii="仿宋_GB2312" w:hAnsi="仿宋_GB2312" w:eastAsia="仿宋_GB2312" w:cs="仿宋_GB2312"/>
        </w:rPr>
        <w:t>签订地点：_____________</w:t>
      </w:r>
    </w:p>
    <w:p w14:paraId="3DEE1556">
      <w:pPr>
        <w:rPr>
          <w:rFonts w:hint="eastAsia" w:ascii="宋体" w:hAnsi="宋体" w:cs="宋体"/>
          <w:color w:val="000000" w:themeColor="text1"/>
          <w:highlight w:val="none"/>
          <w14:textFill>
            <w14:solidFill>
              <w14:schemeClr w14:val="tx1"/>
            </w14:solidFill>
          </w14:textFill>
        </w:rPr>
      </w:pPr>
      <w:r>
        <w:rPr>
          <w:rFonts w:ascii="仿宋_GB2312" w:hAnsi="仿宋_GB2312" w:eastAsia="仿宋_GB2312" w:cs="仿宋_GB2312"/>
        </w:rPr>
        <w:t>签订日期：____年___月___日</w:t>
      </w:r>
    </w:p>
    <w:p w14:paraId="7E1A2378">
      <w:pPr>
        <w:rPr>
          <w:rFonts w:hint="eastAsia" w:ascii="宋体" w:hAnsi="宋体" w:cs="宋体"/>
          <w:color w:val="000000" w:themeColor="text1"/>
          <w:highlight w:val="none"/>
          <w:lang w:val="en-US" w:eastAsia="zh-CN"/>
          <w14:textFill>
            <w14:solidFill>
              <w14:schemeClr w14:val="tx1"/>
            </w14:solidFill>
          </w14:textFill>
        </w:rPr>
      </w:pPr>
    </w:p>
    <w:p w14:paraId="1D887E9E">
      <w:pPr>
        <w:jc w:val="center"/>
        <w:rPr>
          <w:rFonts w:hint="eastAsia" w:ascii="宋体" w:hAnsi="宋体" w:cs="宋体"/>
          <w:color w:val="000000" w:themeColor="text1"/>
          <w:highlight w:val="none"/>
          <w:lang w:val="en-US" w:eastAsia="zh-CN"/>
          <w14:textFill>
            <w14:solidFill>
              <w14:schemeClr w14:val="tx1"/>
            </w14:solidFill>
          </w14:textFill>
        </w:rPr>
      </w:pPr>
    </w:p>
    <w:p w14:paraId="49E5DE6C">
      <w:pP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bookmarkEnd w:id="364"/>
    <w:p w14:paraId="02B3BC0A">
      <w:pPr>
        <w:widowControl/>
        <w:jc w:val="center"/>
        <w:rPr>
          <w:rFonts w:ascii="仿宋" w:hAnsi="仿宋" w:eastAsia="仿宋"/>
          <w:b/>
          <w:bCs/>
          <w:color w:val="000000" w:themeColor="text1"/>
          <w:sz w:val="32"/>
          <w:szCs w:val="32"/>
          <w14:textFill>
            <w14:solidFill>
              <w14:schemeClr w14:val="tx1"/>
            </w14:solidFill>
          </w14:textFill>
        </w:rPr>
      </w:pPr>
      <w:bookmarkStart w:id="365" w:name="_Toc23685"/>
      <w:r>
        <w:rPr>
          <w:rFonts w:hint="eastAsia" w:ascii="宋体" w:hAnsi="宋体" w:cs="宋体"/>
          <w:b/>
          <w:bCs/>
          <w:color w:val="000000" w:themeColor="text1"/>
          <w:sz w:val="32"/>
          <w:szCs w:val="32"/>
          <w:highlight w:val="none"/>
          <w14:textFill>
            <w14:solidFill>
              <w14:schemeClr w14:val="tx1"/>
            </w14:solidFill>
          </w14:textFill>
        </w:rPr>
        <w:t>第六章  响应文件（格式）</w:t>
      </w:r>
      <w:bookmarkEnd w:id="365"/>
    </w:p>
    <w:p w14:paraId="2CDE9711">
      <w:pPr>
        <w:pStyle w:val="2"/>
        <w:rPr>
          <w:color w:val="000000" w:themeColor="text1"/>
          <w:highlight w:val="none"/>
          <w14:textFill>
            <w14:solidFill>
              <w14:schemeClr w14:val="tx1"/>
            </w14:solidFill>
          </w14:textFill>
        </w:rPr>
      </w:pPr>
    </w:p>
    <w:p w14:paraId="6BE5DC71">
      <w:pPr>
        <w:spacing w:line="360" w:lineRule="exact"/>
        <w:rPr>
          <w:rFonts w:ascii="Arial" w:hAnsi="Arial" w:cs="Arial"/>
          <w:b/>
          <w:bCs/>
          <w:color w:val="000000" w:themeColor="text1"/>
          <w:sz w:val="30"/>
          <w:szCs w:val="30"/>
          <w:highlight w:val="none"/>
          <w14:textFill>
            <w14:solidFill>
              <w14:schemeClr w14:val="tx1"/>
            </w14:solidFill>
          </w14:textFill>
        </w:rPr>
      </w:pPr>
      <w:bookmarkStart w:id="366" w:name="_Toc486695806"/>
      <w:bookmarkStart w:id="367" w:name="_Toc498627082"/>
      <w:bookmarkStart w:id="368" w:name="_Toc478137727"/>
      <w:bookmarkStart w:id="369" w:name="_Toc498698226"/>
      <w:bookmarkStart w:id="370" w:name="_Toc486867150"/>
      <w:bookmarkStart w:id="371" w:name="_Toc31410"/>
      <w:bookmarkStart w:id="372" w:name="_Toc1762"/>
      <w:r>
        <w:rPr>
          <w:rFonts w:ascii="Arial" w:hAnsi="Arial" w:cs="Arial"/>
          <w:b/>
          <w:bCs/>
          <w:color w:val="000000" w:themeColor="text1"/>
          <w:sz w:val="30"/>
          <w:szCs w:val="30"/>
          <w:highlight w:val="none"/>
          <w14:textFill>
            <w14:solidFill>
              <w14:schemeClr w14:val="tx1"/>
            </w14:solidFill>
          </w14:textFill>
        </w:rPr>
        <w:t>封面格式</w:t>
      </w:r>
      <w:bookmarkEnd w:id="366"/>
      <w:bookmarkEnd w:id="367"/>
      <w:bookmarkEnd w:id="368"/>
      <w:bookmarkEnd w:id="369"/>
      <w:bookmarkEnd w:id="370"/>
      <w:r>
        <w:rPr>
          <w:rFonts w:ascii="Arial" w:hAnsi="Arial" w:cs="Arial"/>
          <w:b/>
          <w:bCs/>
          <w:color w:val="000000" w:themeColor="text1"/>
          <w:sz w:val="30"/>
          <w:szCs w:val="30"/>
          <w:highlight w:val="none"/>
          <w14:textFill>
            <w14:solidFill>
              <w14:schemeClr w14:val="tx1"/>
            </w14:solidFill>
          </w14:textFill>
        </w:rPr>
        <w:t>：</w:t>
      </w:r>
      <w:bookmarkEnd w:id="371"/>
      <w:bookmarkEnd w:id="372"/>
    </w:p>
    <w:p w14:paraId="787B6643">
      <w:pPr>
        <w:adjustRightInd w:val="0"/>
        <w:snapToGrid w:val="0"/>
        <w:spacing w:line="360" w:lineRule="exact"/>
        <w:jc w:val="right"/>
        <w:rPr>
          <w:rFonts w:hint="eastAsia" w:ascii="Arial" w:hAnsi="Arial" w:eastAsia="宋体" w:cs="Arial"/>
          <w:b/>
          <w:color w:val="000000" w:themeColor="text1"/>
          <w:sz w:val="32"/>
          <w:szCs w:val="32"/>
          <w:highlight w:val="none"/>
          <w:lang w:eastAsia="zh-CN"/>
          <w14:textFill>
            <w14:solidFill>
              <w14:schemeClr w14:val="tx1"/>
            </w14:solidFill>
          </w14:textFill>
        </w:rPr>
      </w:pPr>
      <w:r>
        <w:rPr>
          <w:rFonts w:hint="eastAsia" w:ascii="Arial" w:hAnsi="Arial" w:cs="Arial"/>
          <w:b/>
          <w:color w:val="000000" w:themeColor="text1"/>
          <w:sz w:val="32"/>
          <w:szCs w:val="32"/>
          <w:highlight w:val="none"/>
          <w:lang w:eastAsia="zh-CN"/>
          <w14:textFill>
            <w14:solidFill>
              <w14:schemeClr w14:val="tx1"/>
            </w14:solidFill>
          </w14:textFill>
        </w:rPr>
        <w:t>（</w:t>
      </w:r>
      <w:r>
        <w:rPr>
          <w:rFonts w:hint="eastAsia" w:ascii="Arial" w:hAnsi="Arial" w:cs="Arial"/>
          <w:b/>
          <w:color w:val="000000" w:themeColor="text1"/>
          <w:sz w:val="32"/>
          <w:szCs w:val="32"/>
          <w:highlight w:val="none"/>
          <w:lang w:val="en-US" w:eastAsia="zh-CN"/>
          <w14:textFill>
            <w14:solidFill>
              <w14:schemeClr w14:val="tx1"/>
            </w14:solidFill>
          </w14:textFill>
        </w:rPr>
        <w:t>正/副本</w:t>
      </w:r>
      <w:r>
        <w:rPr>
          <w:rFonts w:hint="eastAsia" w:ascii="Arial" w:hAnsi="Arial" w:cs="Arial"/>
          <w:b/>
          <w:color w:val="000000" w:themeColor="text1"/>
          <w:sz w:val="32"/>
          <w:szCs w:val="32"/>
          <w:highlight w:val="none"/>
          <w:lang w:eastAsia="zh-CN"/>
          <w14:textFill>
            <w14:solidFill>
              <w14:schemeClr w14:val="tx1"/>
            </w14:solidFill>
          </w14:textFill>
        </w:rPr>
        <w:t>）</w:t>
      </w:r>
    </w:p>
    <w:p w14:paraId="1CF14304">
      <w:pPr>
        <w:adjustRightInd w:val="0"/>
        <w:snapToGrid w:val="0"/>
        <w:rPr>
          <w:rFonts w:ascii="Arial" w:hAnsi="Arial" w:cs="Arial"/>
          <w:b/>
          <w:color w:val="000000" w:themeColor="text1"/>
          <w:sz w:val="44"/>
          <w:szCs w:val="44"/>
          <w:highlight w:val="none"/>
          <w14:textFill>
            <w14:solidFill>
              <w14:schemeClr w14:val="tx1"/>
            </w14:solidFill>
          </w14:textFill>
        </w:rPr>
      </w:pPr>
    </w:p>
    <w:p w14:paraId="70B59CD7">
      <w:pPr>
        <w:adjustRightInd w:val="0"/>
        <w:snapToGrid w:val="0"/>
        <w:jc w:val="center"/>
        <w:rPr>
          <w:rFonts w:ascii="Arial" w:hAnsi="Arial" w:cs="Arial"/>
          <w:b/>
          <w:color w:val="000000" w:themeColor="text1"/>
          <w:sz w:val="44"/>
          <w:szCs w:val="44"/>
          <w:highlight w:val="none"/>
          <w14:textFill>
            <w14:solidFill>
              <w14:schemeClr w14:val="tx1"/>
            </w14:solidFill>
          </w14:textFill>
        </w:rPr>
      </w:pPr>
      <w:bookmarkStart w:id="373" w:name="_Toc13659_WPSOffice_Level1"/>
      <w:bookmarkStart w:id="374" w:name="_Toc3441_WPSOffice_Level1"/>
      <w:r>
        <w:rPr>
          <w:rFonts w:hint="eastAsia" w:ascii="Arial" w:hAnsi="Arial" w:cs="Arial"/>
          <w:bCs/>
          <w:color w:val="000000" w:themeColor="text1"/>
          <w:sz w:val="72"/>
          <w:szCs w:val="72"/>
          <w:highlight w:val="none"/>
          <w14:textFill>
            <w14:solidFill>
              <w14:schemeClr w14:val="tx1"/>
            </w14:solidFill>
          </w14:textFill>
        </w:rPr>
        <w:t>响应</w:t>
      </w:r>
      <w:r>
        <w:rPr>
          <w:rFonts w:ascii="Arial" w:hAnsi="Arial" w:cs="Arial"/>
          <w:bCs/>
          <w:color w:val="000000" w:themeColor="text1"/>
          <w:sz w:val="72"/>
          <w:szCs w:val="72"/>
          <w:highlight w:val="none"/>
          <w14:textFill>
            <w14:solidFill>
              <w14:schemeClr w14:val="tx1"/>
            </w14:solidFill>
          </w14:textFill>
        </w:rPr>
        <w:t>文件</w:t>
      </w:r>
      <w:bookmarkEnd w:id="373"/>
      <w:bookmarkEnd w:id="374"/>
    </w:p>
    <w:p w14:paraId="67B1A650">
      <w:pPr>
        <w:adjustRightInd w:val="0"/>
        <w:snapToGrid w:val="0"/>
        <w:spacing w:line="360" w:lineRule="exact"/>
        <w:rPr>
          <w:rFonts w:ascii="Arial" w:hAnsi="Arial" w:cs="Arial"/>
          <w:b/>
          <w:color w:val="000000" w:themeColor="text1"/>
          <w:sz w:val="44"/>
          <w:szCs w:val="44"/>
          <w:highlight w:val="none"/>
          <w14:textFill>
            <w14:solidFill>
              <w14:schemeClr w14:val="tx1"/>
            </w14:solidFill>
          </w14:textFill>
        </w:rPr>
      </w:pPr>
    </w:p>
    <w:p w14:paraId="5DC68755">
      <w:pPr>
        <w:adjustRightInd w:val="0"/>
        <w:snapToGrid w:val="0"/>
        <w:spacing w:line="360" w:lineRule="exact"/>
        <w:rPr>
          <w:rFonts w:ascii="Arial" w:hAnsi="Arial" w:cs="Arial"/>
          <w:b/>
          <w:color w:val="000000" w:themeColor="text1"/>
          <w:sz w:val="44"/>
          <w:szCs w:val="44"/>
          <w:highlight w:val="none"/>
          <w14:textFill>
            <w14:solidFill>
              <w14:schemeClr w14:val="tx1"/>
            </w14:solidFill>
          </w14:textFill>
        </w:rPr>
      </w:pPr>
    </w:p>
    <w:p w14:paraId="53131125">
      <w:pPr>
        <w:pStyle w:val="90"/>
        <w:ind w:firstLine="883"/>
        <w:rPr>
          <w:rFonts w:ascii="Arial" w:hAnsi="Arial" w:cs="Arial"/>
          <w:b/>
          <w:color w:val="000000" w:themeColor="text1"/>
          <w:sz w:val="44"/>
          <w:szCs w:val="44"/>
          <w:highlight w:val="none"/>
          <w14:textFill>
            <w14:solidFill>
              <w14:schemeClr w14:val="tx1"/>
            </w14:solidFill>
          </w14:textFill>
        </w:rPr>
      </w:pPr>
    </w:p>
    <w:p w14:paraId="6021C07E">
      <w:pPr>
        <w:spacing w:line="360" w:lineRule="auto"/>
        <w:ind w:firstLine="1500" w:firstLineChars="500"/>
        <w:rPr>
          <w:rFonts w:ascii="宋体" w:hAnsi="宋体" w:cs="宋体"/>
          <w:color w:val="000000" w:themeColor="text1"/>
          <w:sz w:val="30"/>
          <w:szCs w:val="30"/>
          <w:highlight w:val="none"/>
          <w14:textFill>
            <w14:solidFill>
              <w14:schemeClr w14:val="tx1"/>
            </w14:solidFill>
          </w14:textFill>
        </w:rPr>
      </w:pPr>
      <w:r>
        <w:rPr>
          <w:rFonts w:hint="eastAsia" w:ascii="宋体" w:hAnsi="宋体" w:cs="宋体"/>
          <w:bCs/>
          <w:color w:val="000000" w:themeColor="text1"/>
          <w:sz w:val="30"/>
          <w:szCs w:val="30"/>
          <w:highlight w:val="none"/>
          <w14:textFill>
            <w14:solidFill>
              <w14:schemeClr w14:val="tx1"/>
            </w14:solidFill>
          </w14:textFill>
        </w:rPr>
        <w:t>项目名称：</w:t>
      </w:r>
      <w:r>
        <w:rPr>
          <w:rFonts w:hint="eastAsia" w:ascii="宋体" w:hAnsi="宋体" w:cs="宋体"/>
          <w:bCs/>
          <w:color w:val="000000" w:themeColor="text1"/>
          <w:sz w:val="30"/>
          <w:szCs w:val="30"/>
          <w:highlight w:val="none"/>
          <w:u w:val="single"/>
          <w14:textFill>
            <w14:solidFill>
              <w14:schemeClr w14:val="tx1"/>
            </w14:solidFill>
          </w14:textFill>
        </w:rPr>
        <w:t xml:space="preserve">                         </w:t>
      </w:r>
    </w:p>
    <w:p w14:paraId="26C907DB">
      <w:pPr>
        <w:spacing w:line="360" w:lineRule="auto"/>
        <w:ind w:firstLine="1500" w:firstLineChars="500"/>
        <w:rPr>
          <w:rFonts w:hint="eastAsia" w:ascii="宋体" w:hAnsi="宋体" w:cs="宋体"/>
          <w:bCs/>
          <w:color w:val="000000" w:themeColor="text1"/>
          <w:sz w:val="30"/>
          <w:szCs w:val="30"/>
          <w:highlight w:val="none"/>
          <w14:textFill>
            <w14:solidFill>
              <w14:schemeClr w14:val="tx1"/>
            </w14:solidFill>
          </w14:textFill>
        </w:rPr>
      </w:pPr>
      <w:r>
        <w:rPr>
          <w:rFonts w:hint="eastAsia" w:ascii="宋体" w:hAnsi="宋体" w:cs="宋体"/>
          <w:bCs/>
          <w:color w:val="000000" w:themeColor="text1"/>
          <w:sz w:val="30"/>
          <w:szCs w:val="30"/>
          <w:highlight w:val="none"/>
          <w14:textFill>
            <w14:solidFill>
              <w14:schemeClr w14:val="tx1"/>
            </w14:solidFill>
          </w14:textFill>
        </w:rPr>
        <w:t>项目编号：</w:t>
      </w:r>
      <w:r>
        <w:rPr>
          <w:rFonts w:hint="eastAsia" w:ascii="宋体" w:hAnsi="宋体" w:cs="宋体"/>
          <w:bCs/>
          <w:color w:val="000000" w:themeColor="text1"/>
          <w:sz w:val="30"/>
          <w:szCs w:val="30"/>
          <w:highlight w:val="none"/>
          <w:u w:val="single"/>
          <w14:textFill>
            <w14:solidFill>
              <w14:schemeClr w14:val="tx1"/>
            </w14:solidFill>
          </w14:textFill>
        </w:rPr>
        <w:t xml:space="preserve">                         </w:t>
      </w:r>
    </w:p>
    <w:p w14:paraId="484A569C">
      <w:pPr>
        <w:pStyle w:val="16"/>
        <w:spacing w:line="360" w:lineRule="auto"/>
        <w:ind w:left="979" w:leftChars="466" w:firstLine="560" w:firstLineChars="200"/>
        <w:rPr>
          <w:rFonts w:ascii="Arial" w:hAnsi="Arial" w:cs="Arial"/>
          <w:bCs/>
          <w:color w:val="000000" w:themeColor="text1"/>
          <w:sz w:val="28"/>
          <w:szCs w:val="28"/>
          <w:highlight w:val="none"/>
          <w14:textFill>
            <w14:solidFill>
              <w14:schemeClr w14:val="tx1"/>
            </w14:solidFill>
          </w14:textFill>
        </w:rPr>
      </w:pPr>
      <w:bookmarkStart w:id="375" w:name="_Toc4932_WPSOffice_Level2"/>
      <w:bookmarkStart w:id="376" w:name="_Toc20319_WPSOffice_Level2"/>
      <w:r>
        <w:rPr>
          <w:rFonts w:hint="eastAsia" w:ascii="Arial" w:hAnsi="Arial" w:cs="Arial"/>
          <w:bCs/>
          <w:color w:val="000000" w:themeColor="text1"/>
          <w:sz w:val="28"/>
          <w:szCs w:val="28"/>
          <w:highlight w:val="none"/>
          <w14:textFill>
            <w14:solidFill>
              <w14:schemeClr w14:val="tx1"/>
            </w14:solidFill>
          </w14:textFill>
        </w:rPr>
        <w:t>供</w:t>
      </w:r>
      <w:r>
        <w:rPr>
          <w:rFonts w:hint="eastAsia" w:ascii="Arial" w:hAnsi="Arial" w:cs="Arial"/>
          <w:bCs/>
          <w:color w:val="000000" w:themeColor="text1"/>
          <w:sz w:val="28"/>
          <w:szCs w:val="28"/>
          <w:highlight w:val="none"/>
          <w:lang w:val="en-US" w:eastAsia="zh-CN"/>
          <w14:textFill>
            <w14:solidFill>
              <w14:schemeClr w14:val="tx1"/>
            </w14:solidFill>
          </w14:textFill>
        </w:rPr>
        <w:t xml:space="preserve"> </w:t>
      </w:r>
      <w:r>
        <w:rPr>
          <w:rFonts w:hint="eastAsia" w:ascii="Arial" w:hAnsi="Arial" w:cs="Arial"/>
          <w:bCs/>
          <w:color w:val="000000" w:themeColor="text1"/>
          <w:sz w:val="28"/>
          <w:szCs w:val="28"/>
          <w:highlight w:val="none"/>
          <w14:textFill>
            <w14:solidFill>
              <w14:schemeClr w14:val="tx1"/>
            </w14:solidFill>
          </w14:textFill>
        </w:rPr>
        <w:t>应</w:t>
      </w:r>
      <w:r>
        <w:rPr>
          <w:rFonts w:hint="eastAsia" w:ascii="Arial" w:hAnsi="Arial" w:cs="Arial"/>
          <w:bCs/>
          <w:color w:val="000000" w:themeColor="text1"/>
          <w:sz w:val="28"/>
          <w:szCs w:val="28"/>
          <w:highlight w:val="none"/>
          <w:lang w:val="en-US" w:eastAsia="zh-CN"/>
          <w14:textFill>
            <w14:solidFill>
              <w14:schemeClr w14:val="tx1"/>
            </w14:solidFill>
          </w14:textFill>
        </w:rPr>
        <w:t xml:space="preserve"> </w:t>
      </w:r>
      <w:r>
        <w:rPr>
          <w:rFonts w:hint="eastAsia" w:ascii="Arial" w:hAnsi="Arial" w:cs="Arial"/>
          <w:bCs/>
          <w:color w:val="000000" w:themeColor="text1"/>
          <w:sz w:val="28"/>
          <w:szCs w:val="28"/>
          <w:highlight w:val="none"/>
          <w14:textFill>
            <w14:solidFill>
              <w14:schemeClr w14:val="tx1"/>
            </w14:solidFill>
          </w14:textFill>
        </w:rPr>
        <w:t>商</w:t>
      </w:r>
      <w:r>
        <w:rPr>
          <w:rFonts w:hint="eastAsia" w:ascii="Arial" w:hAnsi="Arial" w:cs="Arial"/>
          <w:bCs/>
          <w:color w:val="000000" w:themeColor="text1"/>
          <w:sz w:val="28"/>
          <w:szCs w:val="28"/>
          <w:highlight w:val="none"/>
          <w:lang w:eastAsia="zh-CN"/>
          <w14:textFill>
            <w14:solidFill>
              <w14:schemeClr w14:val="tx1"/>
            </w14:solidFill>
          </w14:textFill>
        </w:rPr>
        <w:t>：</w:t>
      </w:r>
      <w:r>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t xml:space="preserve">                       </w:t>
      </w:r>
      <w:bookmarkEnd w:id="375"/>
      <w:bookmarkEnd w:id="376"/>
      <w:r>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t xml:space="preserve">   </w:t>
      </w:r>
    </w:p>
    <w:p w14:paraId="08A2CA45">
      <w:pPr>
        <w:pStyle w:val="16"/>
        <w:spacing w:line="360" w:lineRule="auto"/>
        <w:ind w:left="979" w:leftChars="466" w:firstLine="560" w:firstLineChars="200"/>
        <w:rPr>
          <w:rFonts w:ascii="Arial" w:hAnsi="Arial" w:cs="Arial"/>
          <w:bCs/>
          <w:color w:val="000000" w:themeColor="text1"/>
          <w:sz w:val="28"/>
          <w:szCs w:val="28"/>
          <w:highlight w:val="none"/>
          <w:u w:val="single"/>
          <w14:textFill>
            <w14:solidFill>
              <w14:schemeClr w14:val="tx1"/>
            </w14:solidFill>
          </w14:textFill>
        </w:rPr>
      </w:pPr>
      <w:bookmarkStart w:id="377" w:name="_Toc32056_WPSOffice_Level2"/>
      <w:bookmarkStart w:id="378" w:name="_Toc9622_WPSOffice_Level2"/>
      <w:r>
        <w:rPr>
          <w:rFonts w:ascii="Arial" w:hAnsi="Arial" w:cs="Arial"/>
          <w:bCs/>
          <w:color w:val="000000" w:themeColor="text1"/>
          <w:sz w:val="28"/>
          <w:szCs w:val="28"/>
          <w:highlight w:val="none"/>
          <w14:textFill>
            <w14:solidFill>
              <w14:schemeClr w14:val="tx1"/>
            </w14:solidFill>
          </w14:textFill>
        </w:rPr>
        <w:t>联系</w:t>
      </w:r>
      <w:r>
        <w:rPr>
          <w:rFonts w:hint="eastAsia" w:ascii="Arial" w:hAnsi="Arial" w:cs="Arial"/>
          <w:bCs/>
          <w:color w:val="000000" w:themeColor="text1"/>
          <w:sz w:val="28"/>
          <w:szCs w:val="28"/>
          <w:highlight w:val="none"/>
          <w:lang w:val="en-US" w:eastAsia="zh-CN"/>
          <w14:textFill>
            <w14:solidFill>
              <w14:schemeClr w14:val="tx1"/>
            </w14:solidFill>
          </w14:textFill>
        </w:rPr>
        <w:t>人及</w:t>
      </w:r>
      <w:r>
        <w:rPr>
          <w:rFonts w:ascii="Arial" w:hAnsi="Arial" w:cs="Arial"/>
          <w:bCs/>
          <w:color w:val="000000" w:themeColor="text1"/>
          <w:sz w:val="28"/>
          <w:szCs w:val="28"/>
          <w:highlight w:val="none"/>
          <w14:textFill>
            <w14:solidFill>
              <w14:schemeClr w14:val="tx1"/>
            </w14:solidFill>
          </w14:textFill>
        </w:rPr>
        <w:t>电话：</w:t>
      </w:r>
      <w:bookmarkEnd w:id="377"/>
      <w:bookmarkEnd w:id="378"/>
      <w:r>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t xml:space="preserve">                      </w:t>
      </w:r>
    </w:p>
    <w:p w14:paraId="1F97A27A">
      <w:pPr>
        <w:pStyle w:val="16"/>
        <w:spacing w:line="360" w:lineRule="auto"/>
        <w:ind w:firstLine="1120" w:firstLineChars="400"/>
        <w:rPr>
          <w:rFonts w:ascii="Arial" w:hAnsi="Arial" w:cs="Arial"/>
          <w:b/>
          <w:color w:val="000000" w:themeColor="text1"/>
          <w:sz w:val="32"/>
          <w:szCs w:val="32"/>
          <w:highlight w:val="none"/>
          <w14:textFill>
            <w14:solidFill>
              <w14:schemeClr w14:val="tx1"/>
            </w14:solidFill>
          </w14:textFill>
        </w:rPr>
      </w:pPr>
      <w:bookmarkStart w:id="379" w:name="_Toc15933_WPSOffice_Level2"/>
      <w:bookmarkStart w:id="380" w:name="_Toc26465_WPSOffice_Level2"/>
      <w:r>
        <w:rPr>
          <w:rFonts w:ascii="Arial" w:hAnsi="Arial" w:cs="Arial"/>
          <w:bCs/>
          <w:color w:val="000000" w:themeColor="text1"/>
          <w:sz w:val="28"/>
          <w:szCs w:val="28"/>
          <w:highlight w:val="none"/>
          <w14:textFill>
            <w14:solidFill>
              <w14:schemeClr w14:val="tx1"/>
            </w14:solidFill>
          </w14:textFill>
        </w:rPr>
        <w:t>日期：</w:t>
      </w:r>
      <w:r>
        <w:rPr>
          <w:rFonts w:ascii="Arial" w:hAnsi="Arial" w:cs="Arial"/>
          <w:bCs/>
          <w:color w:val="000000" w:themeColor="text1"/>
          <w:sz w:val="28"/>
          <w:szCs w:val="28"/>
          <w:highlight w:val="none"/>
          <w:u w:val="single"/>
          <w14:textFill>
            <w14:solidFill>
              <w14:schemeClr w14:val="tx1"/>
            </w14:solidFill>
          </w14:textFill>
        </w:rPr>
        <w:t xml:space="preserve">       </w:t>
      </w:r>
      <w:r>
        <w:rPr>
          <w:rFonts w:ascii="Arial" w:hAnsi="Arial" w:cs="Arial"/>
          <w:bCs/>
          <w:color w:val="000000" w:themeColor="text1"/>
          <w:sz w:val="28"/>
          <w:szCs w:val="28"/>
          <w:highlight w:val="none"/>
          <w14:textFill>
            <w14:solidFill>
              <w14:schemeClr w14:val="tx1"/>
            </w14:solidFill>
          </w14:textFill>
        </w:rPr>
        <w:t>年</w:t>
      </w:r>
      <w:r>
        <w:rPr>
          <w:rFonts w:ascii="Arial" w:hAnsi="Arial" w:cs="Arial"/>
          <w:bCs/>
          <w:color w:val="000000" w:themeColor="text1"/>
          <w:sz w:val="28"/>
          <w:szCs w:val="28"/>
          <w:highlight w:val="none"/>
          <w:u w:val="single"/>
          <w14:textFill>
            <w14:solidFill>
              <w14:schemeClr w14:val="tx1"/>
            </w14:solidFill>
          </w14:textFill>
        </w:rPr>
        <w:t xml:space="preserve">    </w:t>
      </w:r>
      <w:r>
        <w:rPr>
          <w:rFonts w:ascii="Arial" w:hAnsi="Arial" w:cs="Arial"/>
          <w:bCs/>
          <w:color w:val="000000" w:themeColor="text1"/>
          <w:sz w:val="28"/>
          <w:szCs w:val="28"/>
          <w:highlight w:val="none"/>
          <w14:textFill>
            <w14:solidFill>
              <w14:schemeClr w14:val="tx1"/>
            </w14:solidFill>
          </w14:textFill>
        </w:rPr>
        <w:t>月</w:t>
      </w:r>
      <w:r>
        <w:rPr>
          <w:rFonts w:ascii="Arial" w:hAnsi="Arial" w:cs="Arial"/>
          <w:bCs/>
          <w:color w:val="000000" w:themeColor="text1"/>
          <w:sz w:val="28"/>
          <w:szCs w:val="28"/>
          <w:highlight w:val="none"/>
          <w:u w:val="single"/>
          <w14:textFill>
            <w14:solidFill>
              <w14:schemeClr w14:val="tx1"/>
            </w14:solidFill>
          </w14:textFill>
        </w:rPr>
        <w:t xml:space="preserve">   </w:t>
      </w:r>
      <w:r>
        <w:rPr>
          <w:rFonts w:ascii="Arial" w:hAnsi="Arial" w:cs="Arial"/>
          <w:bCs/>
          <w:color w:val="000000" w:themeColor="text1"/>
          <w:sz w:val="28"/>
          <w:szCs w:val="28"/>
          <w:highlight w:val="none"/>
          <w14:textFill>
            <w14:solidFill>
              <w14:schemeClr w14:val="tx1"/>
            </w14:solidFill>
          </w14:textFill>
        </w:rPr>
        <w:t>日</w:t>
      </w:r>
      <w:bookmarkEnd w:id="379"/>
      <w:bookmarkEnd w:id="380"/>
    </w:p>
    <w:p w14:paraId="27EABD02">
      <w:pPr>
        <w:spacing w:line="440" w:lineRule="exact"/>
        <w:rPr>
          <w:rFonts w:ascii="Arial" w:hAnsi="Arial" w:cs="Arial"/>
          <w:b/>
          <w:bCs/>
          <w:color w:val="000000" w:themeColor="text1"/>
          <w:sz w:val="32"/>
          <w:szCs w:val="32"/>
          <w:highlight w:val="none"/>
          <w14:textFill>
            <w14:solidFill>
              <w14:schemeClr w14:val="tx1"/>
            </w14:solidFill>
          </w14:textFill>
        </w:rPr>
      </w:pPr>
      <w:r>
        <w:rPr>
          <w:rFonts w:ascii="Arial" w:hAnsi="Arial" w:cs="Arial"/>
          <w:b/>
          <w:bCs/>
          <w:color w:val="000000" w:themeColor="text1"/>
          <w:sz w:val="32"/>
          <w:szCs w:val="32"/>
          <w:highlight w:val="none"/>
          <w14:textFill>
            <w14:solidFill>
              <w14:schemeClr w14:val="tx1"/>
            </w14:solidFill>
          </w14:textFill>
        </w:rPr>
        <w:br w:type="page"/>
      </w:r>
      <w:bookmarkStart w:id="381" w:name="_Toc27290"/>
      <w:bookmarkStart w:id="382" w:name="_Toc495841787"/>
    </w:p>
    <w:p w14:paraId="48FBA8D9">
      <w:pPr>
        <w:spacing w:line="440" w:lineRule="exact"/>
        <w:jc w:val="center"/>
        <w:rPr>
          <w:rFonts w:hint="eastAsia" w:ascii="Arial" w:hAnsi="Arial" w:eastAsia="宋体" w:cs="Arial"/>
          <w:b/>
          <w:bCs/>
          <w:color w:val="000000" w:themeColor="text1"/>
          <w:sz w:val="32"/>
          <w:szCs w:val="32"/>
          <w:highlight w:val="none"/>
          <w:lang w:val="en-US" w:eastAsia="zh-CN"/>
          <w14:textFill>
            <w14:solidFill>
              <w14:schemeClr w14:val="tx1"/>
            </w14:solidFill>
          </w14:textFill>
        </w:rPr>
      </w:pPr>
      <w:r>
        <w:rPr>
          <w:rFonts w:hint="eastAsia" w:ascii="Arial" w:hAnsi="Arial" w:cs="Arial"/>
          <w:b/>
          <w:bCs/>
          <w:color w:val="000000" w:themeColor="text1"/>
          <w:sz w:val="32"/>
          <w:szCs w:val="32"/>
          <w:highlight w:val="none"/>
          <w:lang w:val="en-US" w:eastAsia="zh-CN"/>
          <w14:textFill>
            <w14:solidFill>
              <w14:schemeClr w14:val="tx1"/>
            </w14:solidFill>
          </w14:textFill>
        </w:rPr>
        <w:t>目 录</w:t>
      </w:r>
    </w:p>
    <w:p w14:paraId="40A537A1">
      <w:pPr>
        <w:pStyle w:val="16"/>
        <w:keepNext w:val="0"/>
        <w:keepLines w:val="0"/>
        <w:pageBreakBefore w:val="0"/>
        <w:widowControl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rFonts w:hint="default" w:ascii="黑体" w:hAnsi="黑体" w:eastAsia="黑体" w:cs="黑体"/>
          <w:b/>
          <w:bCs/>
          <w:color w:val="000000" w:themeColor="text1"/>
          <w:szCs w:val="21"/>
          <w:highlight w:val="none"/>
          <w:lang w:val="en-US" w:eastAsia="zh-CN"/>
          <w14:textFill>
            <w14:solidFill>
              <w14:schemeClr w14:val="tx1"/>
            </w14:solidFill>
          </w14:textFill>
        </w:rPr>
      </w:pPr>
      <w:r>
        <w:rPr>
          <w:rFonts w:hint="eastAsia" w:ascii="黑体" w:hAnsi="黑体" w:eastAsia="黑体" w:cs="黑体"/>
          <w:b/>
          <w:bCs/>
          <w:color w:val="000000" w:themeColor="text1"/>
          <w:szCs w:val="21"/>
          <w:highlight w:val="none"/>
          <w:lang w:val="en-US" w:eastAsia="zh-CN"/>
          <w14:textFill>
            <w14:solidFill>
              <w14:schemeClr w14:val="tx1"/>
            </w14:solidFill>
          </w14:textFill>
        </w:rPr>
        <w:t>一、报价表</w:t>
      </w:r>
      <w:r>
        <w:rPr>
          <w:rFonts w:hint="eastAsia" w:ascii="黑体" w:hAnsi="黑体" w:eastAsia="黑体" w:cs="黑体"/>
          <w:b/>
          <w:bCs/>
          <w:color w:val="000000" w:themeColor="text1"/>
          <w:szCs w:val="21"/>
          <w:highlight w:val="none"/>
          <w:lang w:val="en-US" w:eastAsia="zh-CN"/>
          <w14:textFill>
            <w14:solidFill>
              <w14:schemeClr w14:val="tx1"/>
            </w14:solidFill>
          </w14:textFill>
        </w:rPr>
        <w:tab/>
      </w:r>
      <w:r>
        <w:rPr>
          <w:rFonts w:hint="eastAsia" w:ascii="黑体" w:hAnsi="黑体" w:eastAsia="黑体" w:cs="黑体"/>
          <w:b/>
          <w:bCs/>
          <w:color w:val="000000" w:themeColor="text1"/>
          <w:szCs w:val="21"/>
          <w:highlight w:val="none"/>
          <w:lang w:val="en-US" w:eastAsia="zh-CN"/>
          <w14:textFill>
            <w14:solidFill>
              <w14:schemeClr w14:val="tx1"/>
            </w14:solidFill>
          </w14:textFill>
        </w:rPr>
        <w:tab/>
      </w:r>
    </w:p>
    <w:p w14:paraId="54054898">
      <w:pPr>
        <w:pStyle w:val="16"/>
        <w:keepNext w:val="0"/>
        <w:keepLines w:val="0"/>
        <w:pageBreakBefore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rFonts w:hint="eastAsia" w:ascii="黑体" w:hAnsi="黑体" w:eastAsia="黑体" w:cs="黑体"/>
          <w:b/>
          <w:bCs/>
          <w:color w:val="000000" w:themeColor="text1"/>
          <w:szCs w:val="21"/>
          <w:highlight w:val="none"/>
          <w:lang w:val="en-US" w:eastAsia="zh-CN"/>
          <w14:textFill>
            <w14:solidFill>
              <w14:schemeClr w14:val="tx1"/>
            </w14:solidFill>
          </w14:textFill>
        </w:rPr>
      </w:pPr>
      <w:r>
        <w:rPr>
          <w:rFonts w:hint="eastAsia" w:ascii="黑体" w:hAnsi="黑体" w:eastAsia="黑体" w:cs="黑体"/>
          <w:b/>
          <w:bCs/>
          <w:color w:val="000000" w:themeColor="text1"/>
          <w:szCs w:val="21"/>
          <w:highlight w:val="none"/>
          <w:lang w:val="en-US" w:eastAsia="zh-CN"/>
          <w14:textFill>
            <w14:solidFill>
              <w14:schemeClr w14:val="tx1"/>
            </w14:solidFill>
          </w14:textFill>
        </w:rPr>
        <w:t>二</w:t>
      </w:r>
      <w:r>
        <w:rPr>
          <w:rFonts w:hint="eastAsia" w:ascii="黑体" w:hAnsi="黑体" w:eastAsia="黑体" w:cs="黑体"/>
          <w:b/>
          <w:bCs/>
          <w:color w:val="000000" w:themeColor="text1"/>
          <w:szCs w:val="21"/>
          <w:highlight w:val="none"/>
          <w14:textFill>
            <w14:solidFill>
              <w14:schemeClr w14:val="tx1"/>
            </w14:solidFill>
          </w14:textFill>
        </w:rPr>
        <w:t>、资格性响应证明材料</w:t>
      </w:r>
      <w:r>
        <w:rPr>
          <w:rFonts w:hint="eastAsia" w:ascii="黑体" w:hAnsi="黑体" w:eastAsia="黑体" w:cs="黑体"/>
          <w:b/>
          <w:bCs/>
          <w:color w:val="000000" w:themeColor="text1"/>
          <w:szCs w:val="21"/>
          <w:highlight w:val="none"/>
          <w:lang w:val="en-US" w:eastAsia="zh-CN"/>
          <w14:textFill>
            <w14:solidFill>
              <w14:schemeClr w14:val="tx1"/>
            </w14:solidFill>
          </w14:textFill>
        </w:rPr>
        <w:tab/>
      </w:r>
      <w:r>
        <w:rPr>
          <w:rFonts w:hint="eastAsia" w:ascii="黑体" w:hAnsi="黑体" w:eastAsia="黑体" w:cs="黑体"/>
          <w:b/>
          <w:bCs/>
          <w:color w:val="000000" w:themeColor="text1"/>
          <w:szCs w:val="21"/>
          <w:highlight w:val="none"/>
          <w:lang w:val="en-US" w:eastAsia="zh-CN"/>
          <w14:textFill>
            <w14:solidFill>
              <w14:schemeClr w14:val="tx1"/>
            </w14:solidFill>
          </w14:textFill>
        </w:rPr>
        <w:tab/>
      </w:r>
    </w:p>
    <w:p w14:paraId="1F617760">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1.供应商相应的法定代表人身份证正反两面复印件（必须提供）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57F7CCD1">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2.供应商的授权委托书原件、委托代理人身份证正反面复印件（委托代理时必须提供）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585AFE24">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3.供应商参加政府采购活动前3年内在经营活动中没有重大违法记录及有关信用信息的书面声明（必须提供）；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46BE5A2C">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4.供应商营业执照副本复印件（必须提供）；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57E8FE22">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5.2025年度任意连续3个月纳税记录或完税证明；</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50D68C3C">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6.2025年度任意连续3个月纳税社保证明；</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0F195BEE">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7.2025年度财务审计报告或开户银行资信证明；</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1D315D94">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8</w:t>
      </w:r>
      <w:r>
        <w:rPr>
          <w:rFonts w:hint="eastAsia" w:ascii="宋体" w:hAnsi="宋体" w:eastAsia="宋体" w:cs="宋体"/>
          <w:b/>
          <w:bCs/>
          <w:color w:val="000000" w:themeColor="text1"/>
          <w:szCs w:val="21"/>
          <w:highlight w:val="none"/>
          <w14:textFill>
            <w14:solidFill>
              <w14:schemeClr w14:val="tx1"/>
            </w14:solidFill>
          </w14:textFill>
        </w:rPr>
        <w:t>.供应商参加本项目无围标串标行为的承诺函（必须提供）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674B6A98">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9</w:t>
      </w:r>
      <w:r>
        <w:rPr>
          <w:rFonts w:hint="eastAsia" w:ascii="宋体" w:hAnsi="宋体" w:eastAsia="宋体" w:cs="宋体"/>
          <w:b/>
          <w:bCs/>
          <w:color w:val="000000" w:themeColor="text1"/>
          <w:szCs w:val="21"/>
          <w:highlight w:val="none"/>
          <w14:textFill>
            <w14:solidFill>
              <w14:schemeClr w14:val="tx1"/>
            </w14:solidFill>
          </w14:textFill>
        </w:rPr>
        <w:t>.本项目的特定资格要求</w:t>
      </w:r>
      <w:r>
        <w:rPr>
          <w:rFonts w:hint="eastAsia" w:ascii="宋体" w:hAnsi="宋体" w:eastAsia="宋体" w:cs="宋体"/>
          <w:b/>
          <w:bCs/>
          <w:color w:val="000000" w:themeColor="text1"/>
          <w:szCs w:val="21"/>
          <w:highlight w:val="none"/>
          <w:lang w:val="en-US" w:eastAsia="zh-CN"/>
          <w14:textFill>
            <w14:solidFill>
              <w14:schemeClr w14:val="tx1"/>
            </w14:solidFill>
          </w14:textFill>
        </w:rPr>
        <w:t>证明材料</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5EEE5AAF">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10</w:t>
      </w:r>
      <w:r>
        <w:rPr>
          <w:rFonts w:hint="eastAsia" w:ascii="宋体" w:hAnsi="宋体" w:eastAsia="宋体" w:cs="宋体"/>
          <w:b/>
          <w:bCs/>
          <w:color w:val="000000" w:themeColor="text1"/>
          <w:szCs w:val="21"/>
          <w:highlight w:val="none"/>
          <w14:textFill>
            <w14:solidFill>
              <w14:schemeClr w14:val="tx1"/>
            </w14:solidFill>
          </w14:textFill>
        </w:rPr>
        <w:t>.供应商可结合本项目的评审办法视自身情况自行提交相关资格审查证明材料。（如有，请提供）</w:t>
      </w:r>
    </w:p>
    <w:p w14:paraId="61C062A0">
      <w:pPr>
        <w:pStyle w:val="16"/>
        <w:keepNext w:val="0"/>
        <w:keepLines w:val="0"/>
        <w:pageBreakBefore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rFonts w:hint="default" w:ascii="宋体" w:hAnsi="宋体" w:eastAsia="黑体" w:cs="宋体"/>
          <w:b/>
          <w:bCs/>
          <w:color w:val="000000" w:themeColor="text1"/>
          <w:sz w:val="21"/>
          <w:szCs w:val="21"/>
          <w:highlight w:val="none"/>
          <w:lang w:val="en-US" w:eastAsia="zh-CN"/>
          <w14:textFill>
            <w14:solidFill>
              <w14:schemeClr w14:val="tx1"/>
            </w14:solidFill>
          </w14:textFill>
        </w:rPr>
      </w:pPr>
      <w:r>
        <w:rPr>
          <w:rFonts w:hint="eastAsia" w:ascii="黑体" w:hAnsi="黑体" w:eastAsia="黑体" w:cs="黑体"/>
          <w:b/>
          <w:bCs/>
          <w:color w:val="000000" w:themeColor="text1"/>
          <w:szCs w:val="21"/>
          <w:highlight w:val="none"/>
          <w:lang w:val="en-US" w:eastAsia="zh-CN"/>
          <w14:textFill>
            <w14:solidFill>
              <w14:schemeClr w14:val="tx1"/>
            </w14:solidFill>
          </w14:textFill>
        </w:rPr>
        <w:t>三</w:t>
      </w:r>
      <w:r>
        <w:rPr>
          <w:rFonts w:hint="eastAsia" w:ascii="黑体" w:hAnsi="黑体" w:eastAsia="黑体" w:cs="黑体"/>
          <w:b/>
          <w:bCs/>
          <w:color w:val="000000" w:themeColor="text1"/>
          <w:szCs w:val="21"/>
          <w:highlight w:val="none"/>
          <w14:textFill>
            <w14:solidFill>
              <w14:schemeClr w14:val="tx1"/>
            </w14:solidFill>
          </w14:textFill>
        </w:rPr>
        <w:t>、商务、技术性响应证明材料</w:t>
      </w:r>
      <w:r>
        <w:rPr>
          <w:rFonts w:hint="eastAsia" w:ascii="黑体" w:hAnsi="黑体" w:eastAsia="黑体" w:cs="黑体"/>
          <w:b/>
          <w:bCs/>
          <w:color w:val="000000" w:themeColor="text1"/>
          <w:szCs w:val="21"/>
          <w:highlight w:val="none"/>
          <w:lang w:val="en-US" w:eastAsia="zh-CN"/>
          <w14:textFill>
            <w14:solidFill>
              <w14:schemeClr w14:val="tx1"/>
            </w14:solidFill>
          </w14:textFill>
        </w:rPr>
        <w:tab/>
      </w:r>
      <w:r>
        <w:rPr>
          <w:rFonts w:hint="eastAsia" w:ascii="黑体" w:hAnsi="黑体" w:eastAsia="黑体" w:cs="黑体"/>
          <w:b/>
          <w:bCs/>
          <w:color w:val="000000" w:themeColor="text1"/>
          <w:szCs w:val="21"/>
          <w:highlight w:val="none"/>
          <w:lang w:val="en-US" w:eastAsia="zh-CN"/>
          <w14:textFill>
            <w14:solidFill>
              <w14:schemeClr w14:val="tx1"/>
            </w14:solidFill>
          </w14:textFill>
        </w:rPr>
        <w:tab/>
      </w:r>
    </w:p>
    <w:p w14:paraId="4CF8B5EE">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1.响应函（必须提供）</w:t>
      </w:r>
      <w:r>
        <w:rPr>
          <w:rFonts w:hint="eastAsia" w:ascii="宋体" w:hAnsi="宋体" w:cs="宋体"/>
          <w:b/>
          <w:bCs/>
          <w:color w:val="000000" w:themeColor="text1"/>
          <w:szCs w:val="21"/>
          <w:highlight w:val="none"/>
          <w:lang w:val="en-US" w:eastAsia="zh-CN"/>
          <w14:textFill>
            <w14:solidFill>
              <w14:schemeClr w14:val="tx1"/>
            </w14:solidFill>
          </w14:textFill>
        </w:rPr>
        <w:tab/>
      </w:r>
      <w:r>
        <w:rPr>
          <w:rFonts w:hint="eastAsia" w:ascii="宋体" w:hAnsi="宋体" w:cs="宋体"/>
          <w:b/>
          <w:bCs/>
          <w:color w:val="000000" w:themeColor="text1"/>
          <w:szCs w:val="21"/>
          <w:highlight w:val="none"/>
          <w:lang w:val="en-US" w:eastAsia="zh-CN"/>
          <w14:textFill>
            <w14:solidFill>
              <w14:schemeClr w14:val="tx1"/>
            </w14:solidFill>
          </w14:textFill>
        </w:rPr>
        <w:tab/>
      </w:r>
    </w:p>
    <w:p w14:paraId="39724A95">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2.服务需求响应表（必须提供）；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2924F20D">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eastAsia="zh-CN"/>
          <w14:textFill>
            <w14:solidFill>
              <w14:schemeClr w14:val="tx1"/>
            </w14:solidFill>
          </w14:textFill>
        </w:rPr>
        <w:t>拟投入服务团队</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ab/>
      </w:r>
      <w:r>
        <w:rPr>
          <w:rFonts w:hint="eastAsia" w:ascii="宋体" w:hAnsi="宋体" w:cs="宋体"/>
          <w:b/>
          <w:bCs/>
          <w:color w:val="000000" w:themeColor="text1"/>
          <w:szCs w:val="21"/>
          <w:highlight w:val="none"/>
          <w:lang w:val="en-US" w:eastAsia="zh-CN"/>
          <w14:textFill>
            <w14:solidFill>
              <w14:schemeClr w14:val="tx1"/>
            </w14:solidFill>
          </w14:textFill>
        </w:rPr>
        <w:tab/>
      </w:r>
    </w:p>
    <w:p w14:paraId="60208523">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4</w:t>
      </w: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维保</w:t>
      </w:r>
      <w:r>
        <w:rPr>
          <w:rFonts w:hint="eastAsia" w:ascii="宋体" w:hAnsi="宋体" w:eastAsia="宋体" w:cs="宋体"/>
          <w:b/>
          <w:bCs/>
          <w:color w:val="000000" w:themeColor="text1"/>
          <w:szCs w:val="21"/>
          <w:highlight w:val="none"/>
          <w:lang w:eastAsia="zh-CN"/>
          <w14:textFill>
            <w14:solidFill>
              <w14:schemeClr w14:val="tx1"/>
            </w14:solidFill>
          </w14:textFill>
        </w:rPr>
        <w:t>服务方案</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72EBEF34">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5.</w:t>
      </w:r>
      <w:r>
        <w:rPr>
          <w:rFonts w:hint="eastAsia" w:ascii="宋体" w:hAnsi="宋体" w:eastAsia="宋体" w:cs="宋体"/>
          <w:b/>
          <w:bCs/>
          <w:color w:val="000000" w:themeColor="text1"/>
          <w:kern w:val="2"/>
          <w:sz w:val="21"/>
          <w:szCs w:val="21"/>
          <w:highlight w:val="none"/>
          <w14:textFill>
            <w14:solidFill>
              <w14:schemeClr w14:val="tx1"/>
            </w14:solidFill>
          </w14:textFill>
        </w:rPr>
        <w:t>风险控制方案</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2ED7CC28">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6.业绩材料</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1380D922">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7</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r>
        <w:rPr>
          <w:rFonts w:hint="eastAsia" w:ascii="宋体" w:hAnsi="宋体" w:eastAsia="宋体" w:cs="宋体"/>
          <w:b/>
          <w:bCs/>
          <w:color w:val="000000" w:themeColor="text1"/>
          <w:szCs w:val="21"/>
          <w:highlight w:val="none"/>
          <w:lang w:eastAsia="zh-CN"/>
          <w14:textFill>
            <w14:solidFill>
              <w14:schemeClr w14:val="tx1"/>
            </w14:solidFill>
          </w14:textFill>
        </w:rPr>
        <w:t>《中小企业声明函》</w:t>
      </w:r>
      <w:r>
        <w:rPr>
          <w:rFonts w:hint="eastAsia" w:ascii="宋体" w:hAnsi="宋体" w:eastAsia="宋体" w:cs="宋体"/>
          <w:b/>
          <w:bCs/>
          <w:color w:val="000000" w:themeColor="text1"/>
          <w:szCs w:val="21"/>
          <w:highlight w:val="none"/>
          <w:lang w:val="en-US" w:eastAsia="zh-CN"/>
          <w14:textFill>
            <w14:solidFill>
              <w14:schemeClr w14:val="tx1"/>
            </w14:solidFill>
          </w14:textFill>
        </w:rPr>
        <w:t>或</w:t>
      </w:r>
      <w:r>
        <w:rPr>
          <w:rFonts w:hint="eastAsia" w:ascii="宋体" w:hAnsi="宋体" w:eastAsia="宋体" w:cs="宋体"/>
          <w:b/>
          <w:bCs/>
          <w:color w:val="000000" w:themeColor="text1"/>
          <w:szCs w:val="21"/>
          <w:highlight w:val="none"/>
          <w:lang w:eastAsia="zh-CN"/>
          <w14:textFill>
            <w14:solidFill>
              <w14:schemeClr w14:val="tx1"/>
            </w14:solidFill>
          </w14:textFill>
        </w:rPr>
        <w:t>《残疾人福利性单位声明函》</w:t>
      </w:r>
      <w:r>
        <w:rPr>
          <w:rFonts w:hint="eastAsia" w:ascii="宋体" w:hAnsi="宋体" w:eastAsia="宋体" w:cs="宋体"/>
          <w:b/>
          <w:bCs/>
          <w:color w:val="000000" w:themeColor="text1"/>
          <w:szCs w:val="21"/>
          <w:highlight w:val="none"/>
          <w:lang w:val="en-US" w:eastAsia="zh-CN"/>
          <w14:textFill>
            <w14:solidFill>
              <w14:schemeClr w14:val="tx1"/>
            </w14:solidFill>
          </w14:textFill>
        </w:rPr>
        <w:t>或</w:t>
      </w:r>
      <w:r>
        <w:rPr>
          <w:rFonts w:hint="eastAsia" w:ascii="宋体" w:hAnsi="宋体" w:eastAsia="宋体" w:cs="宋体"/>
          <w:b/>
          <w:bCs/>
          <w:color w:val="000000" w:themeColor="text1"/>
          <w:szCs w:val="21"/>
          <w:highlight w:val="none"/>
          <w:lang w:eastAsia="zh-CN"/>
          <w14:textFill>
            <w14:solidFill>
              <w14:schemeClr w14:val="tx1"/>
            </w14:solidFill>
          </w14:textFill>
        </w:rPr>
        <w:t>属于监狱企业的证明文件</w:t>
      </w:r>
      <w:r>
        <w:rPr>
          <w:rFonts w:hint="eastAsia" w:ascii="宋体" w:hAnsi="宋体" w:cs="宋体"/>
          <w:b/>
          <w:bCs/>
          <w:color w:val="000000" w:themeColor="text1"/>
          <w:szCs w:val="21"/>
          <w:highlight w:val="none"/>
          <w:lang w:val="en-US" w:eastAsia="zh-CN"/>
          <w14:textFill>
            <w14:solidFill>
              <w14:schemeClr w14:val="tx1"/>
            </w14:solidFill>
          </w14:textFill>
        </w:rPr>
        <w:tab/>
      </w:r>
    </w:p>
    <w:p w14:paraId="06E6293F">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8</w:t>
      </w:r>
      <w:r>
        <w:rPr>
          <w:rFonts w:hint="eastAsia" w:ascii="宋体" w:hAnsi="宋体" w:cs="宋体"/>
          <w:b/>
          <w:bCs/>
          <w:color w:val="000000" w:themeColor="text1"/>
          <w:szCs w:val="21"/>
          <w:highlight w:val="none"/>
          <w14:textFill>
            <w14:solidFill>
              <w14:schemeClr w14:val="tx1"/>
            </w14:solidFill>
          </w14:textFill>
        </w:rPr>
        <w:t>.供应商认为有必要提供的其他资料（如有，请提供）</w:t>
      </w:r>
      <w:r>
        <w:rPr>
          <w:rFonts w:hint="eastAsia" w:ascii="宋体" w:hAnsi="宋体" w:cs="宋体"/>
          <w:b/>
          <w:bCs/>
          <w:color w:val="000000" w:themeColor="text1"/>
          <w:szCs w:val="21"/>
          <w:highlight w:val="none"/>
          <w:lang w:val="en-US" w:eastAsia="zh-CN"/>
          <w14:textFill>
            <w14:solidFill>
              <w14:schemeClr w14:val="tx1"/>
            </w14:solidFill>
          </w14:textFill>
        </w:rPr>
        <w:tab/>
      </w:r>
      <w:r>
        <w:rPr>
          <w:rFonts w:hint="eastAsia" w:ascii="宋体" w:hAnsi="宋体" w:cs="宋体"/>
          <w:b/>
          <w:bCs/>
          <w:color w:val="000000" w:themeColor="text1"/>
          <w:szCs w:val="21"/>
          <w:highlight w:val="none"/>
          <w:lang w:val="en-US" w:eastAsia="zh-CN"/>
          <w14:textFill>
            <w14:solidFill>
              <w14:schemeClr w14:val="tx1"/>
            </w14:solidFill>
          </w14:textFill>
        </w:rPr>
        <w:tab/>
      </w:r>
    </w:p>
    <w:p w14:paraId="432897B7">
      <w:pPr>
        <w:spacing w:line="440" w:lineRule="exact"/>
        <w:rPr>
          <w:rFonts w:ascii="Arial" w:hAnsi="Arial" w:cs="Arial"/>
          <w:b/>
          <w:bCs/>
          <w:color w:val="000000" w:themeColor="text1"/>
          <w:sz w:val="32"/>
          <w:szCs w:val="32"/>
          <w:highlight w:val="none"/>
          <w14:textFill>
            <w14:solidFill>
              <w14:schemeClr w14:val="tx1"/>
            </w14:solidFill>
          </w14:textFill>
        </w:rPr>
      </w:pPr>
      <w:r>
        <w:rPr>
          <w:rFonts w:ascii="Arial" w:hAnsi="Arial" w:cs="Arial"/>
          <w:b/>
          <w:bCs/>
          <w:color w:val="000000" w:themeColor="text1"/>
          <w:sz w:val="32"/>
          <w:szCs w:val="32"/>
          <w:highlight w:val="none"/>
          <w14:textFill>
            <w14:solidFill>
              <w14:schemeClr w14:val="tx1"/>
            </w14:solidFill>
          </w14:textFill>
        </w:rPr>
        <w:br w:type="page"/>
      </w:r>
    </w:p>
    <w:p w14:paraId="20558A5D">
      <w:pPr>
        <w:spacing w:line="440" w:lineRule="exact"/>
        <w:rPr>
          <w:rFonts w:hint="eastAsia" w:ascii="黑体" w:hAnsi="黑体" w:eastAsia="黑体" w:cs="黑体"/>
          <w:b/>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sz w:val="32"/>
          <w:szCs w:val="32"/>
          <w:highlight w:val="none"/>
          <w:lang w:val="en-US" w:eastAsia="zh-CN"/>
          <w14:textFill>
            <w14:solidFill>
              <w14:schemeClr w14:val="tx1"/>
            </w14:solidFill>
          </w14:textFill>
        </w:rPr>
        <w:t>一、报价函（格式）</w:t>
      </w:r>
    </w:p>
    <w:p w14:paraId="5E1B8479">
      <w:pPr>
        <w:pStyle w:val="174"/>
        <w:ind w:firstLine="480"/>
      </w:pPr>
    </w:p>
    <w:p w14:paraId="1DB1756D">
      <w:pPr>
        <w:pStyle w:val="174"/>
        <w:ind w:firstLine="480"/>
        <w:jc w:val="center"/>
        <w:rPr>
          <w:rFonts w:hint="eastAsia" w:ascii="Arial Unicode MS" w:hAnsi="Arial Unicode MS" w:eastAsia="Arial Unicode MS" w:cs="Arial Unicode MS"/>
        </w:rPr>
      </w:pPr>
      <w:r>
        <w:rPr>
          <w:rFonts w:hint="eastAsia" w:ascii="Arial Unicode MS" w:hAnsi="Arial Unicode MS" w:eastAsia="Arial Unicode MS" w:cs="Arial Unicode MS"/>
          <w:b/>
          <w:bCs/>
          <w:color w:val="000000" w:themeColor="text1"/>
          <w:sz w:val="32"/>
          <w:szCs w:val="32"/>
          <w:highlight w:val="none"/>
          <w:lang w:val="en-US" w:eastAsia="zh-CN"/>
          <w14:textFill>
            <w14:solidFill>
              <w14:schemeClr w14:val="tx1"/>
            </w14:solidFill>
          </w14:textFill>
        </w:rPr>
        <w:t>竞 标 报 价 表</w:t>
      </w:r>
    </w:p>
    <w:p w14:paraId="523674A5">
      <w:pPr>
        <w:pStyle w:val="174"/>
        <w:ind w:firstLine="480"/>
      </w:pPr>
    </w:p>
    <w:p w14:paraId="5A97BB53">
      <w:pPr>
        <w:pStyle w:val="174"/>
        <w:ind w:firstLine="480"/>
      </w:pPr>
    </w:p>
    <w:p w14:paraId="058E4A18">
      <w:pPr>
        <w:pStyle w:val="174"/>
        <w:spacing w:line="360" w:lineRule="auto"/>
        <w:ind w:firstLine="480"/>
        <w:rPr>
          <w:rFonts w:hint="default" w:eastAsiaTheme="minorEastAsia"/>
          <w:u w:val="single"/>
          <w:lang w:val="en-US" w:eastAsia="zh-CN"/>
        </w:rPr>
      </w:pPr>
      <w:r>
        <w:t>项目编号：</w:t>
      </w:r>
      <w:r>
        <w:rPr>
          <w:rFonts w:hint="eastAsia"/>
          <w:u w:val="single"/>
          <w:lang w:val="en-US" w:eastAsia="zh-CN"/>
        </w:rPr>
        <w:t xml:space="preserve">                                       </w:t>
      </w:r>
    </w:p>
    <w:p w14:paraId="3DBE4359">
      <w:pPr>
        <w:pStyle w:val="174"/>
        <w:spacing w:line="360" w:lineRule="auto"/>
        <w:ind w:firstLine="480"/>
        <w:rPr>
          <w:rFonts w:hint="default" w:eastAsiaTheme="minorEastAsia"/>
          <w:lang w:val="en-US" w:eastAsia="zh-CN"/>
        </w:rPr>
      </w:pPr>
      <w:r>
        <w:t>项目名称：</w:t>
      </w:r>
      <w:r>
        <w:rPr>
          <w:rFonts w:hint="eastAsia"/>
          <w:u w:val="single"/>
          <w:lang w:val="en-US" w:eastAsia="zh-CN"/>
        </w:rPr>
        <w:t xml:space="preserve">                                       </w:t>
      </w:r>
    </w:p>
    <w:p w14:paraId="2B42C4D2">
      <w:pPr>
        <w:pStyle w:val="174"/>
        <w:ind w:firstLine="480"/>
      </w:pPr>
    </w:p>
    <w:tbl>
      <w:tblPr>
        <w:tblStyle w:val="3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4"/>
        <w:gridCol w:w="2448"/>
        <w:gridCol w:w="1879"/>
        <w:gridCol w:w="1131"/>
        <w:gridCol w:w="1500"/>
        <w:gridCol w:w="1684"/>
      </w:tblGrid>
      <w:tr w14:paraId="56665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4" w:type="dxa"/>
            <w:vAlign w:val="center"/>
          </w:tcPr>
          <w:p w14:paraId="0EF5FFEE">
            <w:pPr>
              <w:pStyle w:val="174"/>
              <w:jc w:val="both"/>
              <w:rPr>
                <w:b/>
                <w:bCs/>
              </w:rPr>
            </w:pPr>
            <w:r>
              <w:rPr>
                <w:b/>
                <w:bCs/>
              </w:rPr>
              <w:t>序号</w:t>
            </w:r>
          </w:p>
        </w:tc>
        <w:tc>
          <w:tcPr>
            <w:tcW w:w="2448" w:type="dxa"/>
            <w:vAlign w:val="center"/>
          </w:tcPr>
          <w:p w14:paraId="790ED2AE">
            <w:pPr>
              <w:pStyle w:val="174"/>
              <w:jc w:val="center"/>
              <w:rPr>
                <w:rFonts w:hint="default" w:eastAsiaTheme="minorEastAsia"/>
                <w:b/>
                <w:bCs/>
                <w:lang w:val="en-US" w:eastAsia="zh-CN"/>
              </w:rPr>
            </w:pPr>
            <w:r>
              <w:rPr>
                <w:rFonts w:hint="eastAsia"/>
                <w:b/>
                <w:bCs/>
                <w:lang w:val="en-US" w:eastAsia="zh-CN"/>
              </w:rPr>
              <w:t>标的名称</w:t>
            </w:r>
          </w:p>
        </w:tc>
        <w:tc>
          <w:tcPr>
            <w:tcW w:w="1879" w:type="dxa"/>
            <w:vAlign w:val="center"/>
          </w:tcPr>
          <w:p w14:paraId="31313E31">
            <w:pPr>
              <w:pStyle w:val="174"/>
              <w:jc w:val="center"/>
              <w:rPr>
                <w:b/>
                <w:bCs/>
              </w:rPr>
            </w:pPr>
            <w:r>
              <w:rPr>
                <w:rFonts w:hint="eastAsia"/>
                <w:b/>
                <w:bCs/>
                <w:lang w:val="en-US" w:eastAsia="zh-CN"/>
              </w:rPr>
              <w:t>单价</w:t>
            </w:r>
            <w:r>
              <w:rPr>
                <w:b/>
                <w:bCs/>
              </w:rPr>
              <w:t>（元）</w:t>
            </w:r>
          </w:p>
        </w:tc>
        <w:tc>
          <w:tcPr>
            <w:tcW w:w="1131" w:type="dxa"/>
            <w:vAlign w:val="center"/>
          </w:tcPr>
          <w:p w14:paraId="7AE37EB6">
            <w:pPr>
              <w:pStyle w:val="174"/>
              <w:jc w:val="center"/>
              <w:rPr>
                <w:rFonts w:hint="eastAsia" w:eastAsiaTheme="minorEastAsia"/>
                <w:b/>
                <w:bCs/>
                <w:lang w:eastAsia="zh-CN"/>
              </w:rPr>
            </w:pPr>
            <w:r>
              <w:rPr>
                <w:rFonts w:hint="eastAsia"/>
                <w:b/>
                <w:bCs/>
                <w:lang w:val="en-US" w:eastAsia="zh-CN"/>
              </w:rPr>
              <w:t>数量</w:t>
            </w:r>
          </w:p>
        </w:tc>
        <w:tc>
          <w:tcPr>
            <w:tcW w:w="1500" w:type="dxa"/>
            <w:vAlign w:val="center"/>
          </w:tcPr>
          <w:p w14:paraId="359DE56B">
            <w:pPr>
              <w:pStyle w:val="174"/>
              <w:jc w:val="both"/>
              <w:rPr>
                <w:rFonts w:hint="eastAsia" w:eastAsiaTheme="minorEastAsia"/>
                <w:b/>
                <w:bCs/>
                <w:lang w:eastAsia="zh-CN"/>
              </w:rPr>
            </w:pPr>
            <w:r>
              <w:rPr>
                <w:rFonts w:hint="eastAsia"/>
                <w:b/>
                <w:bCs/>
                <w:lang w:val="en-US" w:eastAsia="zh-CN"/>
              </w:rPr>
              <w:t>总价（元）</w:t>
            </w:r>
          </w:p>
        </w:tc>
        <w:tc>
          <w:tcPr>
            <w:tcW w:w="1684" w:type="dxa"/>
            <w:vAlign w:val="center"/>
          </w:tcPr>
          <w:p w14:paraId="2643E437">
            <w:pPr>
              <w:pStyle w:val="174"/>
              <w:jc w:val="center"/>
              <w:rPr>
                <w:rFonts w:hint="default"/>
                <w:b/>
                <w:bCs/>
                <w:lang w:val="en-US" w:eastAsia="zh-CN"/>
              </w:rPr>
            </w:pPr>
            <w:r>
              <w:rPr>
                <w:rFonts w:hint="eastAsia"/>
                <w:b/>
                <w:bCs/>
                <w:lang w:val="en-US" w:eastAsia="zh-CN"/>
              </w:rPr>
              <w:t>备注</w:t>
            </w:r>
          </w:p>
        </w:tc>
      </w:tr>
      <w:tr w14:paraId="46562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0" w:hRule="atLeast"/>
        </w:trPr>
        <w:tc>
          <w:tcPr>
            <w:tcW w:w="874" w:type="dxa"/>
            <w:vAlign w:val="center"/>
          </w:tcPr>
          <w:p w14:paraId="1CFE134F">
            <w:pPr>
              <w:pStyle w:val="174"/>
              <w:jc w:val="center"/>
            </w:pPr>
            <w:r>
              <w:t>1</w:t>
            </w:r>
          </w:p>
        </w:tc>
        <w:tc>
          <w:tcPr>
            <w:tcW w:w="2448" w:type="dxa"/>
            <w:vAlign w:val="center"/>
          </w:tcPr>
          <w:p w14:paraId="7A65E279">
            <w:pPr>
              <w:jc w:val="center"/>
              <w:rPr>
                <w:rFonts w:hint="default" w:eastAsia="宋体"/>
                <w:lang w:val="en-US" w:eastAsia="zh-CN"/>
              </w:rPr>
            </w:pPr>
          </w:p>
        </w:tc>
        <w:tc>
          <w:tcPr>
            <w:tcW w:w="1879" w:type="dxa"/>
            <w:vAlign w:val="center"/>
          </w:tcPr>
          <w:p w14:paraId="7EE45A05">
            <w:pPr>
              <w:jc w:val="center"/>
            </w:pPr>
          </w:p>
        </w:tc>
        <w:tc>
          <w:tcPr>
            <w:tcW w:w="1131" w:type="dxa"/>
            <w:vAlign w:val="center"/>
          </w:tcPr>
          <w:p w14:paraId="641F64FC">
            <w:pPr>
              <w:jc w:val="center"/>
              <w:rPr>
                <w:rFonts w:hint="default" w:eastAsia="宋体"/>
                <w:lang w:val="en-US" w:eastAsia="zh-CN"/>
              </w:rPr>
            </w:pPr>
            <w:r>
              <w:rPr>
                <w:rFonts w:hint="eastAsia"/>
                <w:lang w:val="en-US" w:eastAsia="zh-CN"/>
              </w:rPr>
              <w:t>1</w:t>
            </w:r>
          </w:p>
        </w:tc>
        <w:tc>
          <w:tcPr>
            <w:tcW w:w="1500" w:type="dxa"/>
            <w:vAlign w:val="center"/>
          </w:tcPr>
          <w:p w14:paraId="1A403AFD">
            <w:pPr>
              <w:jc w:val="center"/>
            </w:pPr>
          </w:p>
        </w:tc>
        <w:tc>
          <w:tcPr>
            <w:tcW w:w="1684" w:type="dxa"/>
            <w:vAlign w:val="center"/>
          </w:tcPr>
          <w:p w14:paraId="13B1F0CF">
            <w:pPr>
              <w:jc w:val="center"/>
            </w:pPr>
          </w:p>
        </w:tc>
      </w:tr>
      <w:tr w14:paraId="1CA14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0" w:hRule="atLeast"/>
        </w:trPr>
        <w:tc>
          <w:tcPr>
            <w:tcW w:w="874" w:type="dxa"/>
            <w:vAlign w:val="center"/>
          </w:tcPr>
          <w:p w14:paraId="0D0562E0">
            <w:pPr>
              <w:pStyle w:val="174"/>
              <w:jc w:val="center"/>
              <w:rPr>
                <w:rFonts w:hint="eastAsia" w:eastAsiaTheme="minorEastAsia"/>
                <w:lang w:val="en-US" w:eastAsia="zh-CN"/>
              </w:rPr>
            </w:pPr>
            <w:r>
              <w:rPr>
                <w:rFonts w:hint="eastAsia"/>
                <w:lang w:val="en-US" w:eastAsia="zh-CN"/>
              </w:rPr>
              <w:t>2</w:t>
            </w:r>
          </w:p>
        </w:tc>
        <w:tc>
          <w:tcPr>
            <w:tcW w:w="2448" w:type="dxa"/>
            <w:vAlign w:val="center"/>
          </w:tcPr>
          <w:p w14:paraId="2D97F2AA">
            <w:pPr>
              <w:jc w:val="center"/>
              <w:rPr>
                <w:rFonts w:hint="eastAsia"/>
                <w:lang w:val="en-US" w:eastAsia="zh-CN"/>
              </w:rPr>
            </w:pPr>
          </w:p>
        </w:tc>
        <w:tc>
          <w:tcPr>
            <w:tcW w:w="1879" w:type="dxa"/>
            <w:vAlign w:val="center"/>
          </w:tcPr>
          <w:p w14:paraId="56BFCCA8">
            <w:pPr>
              <w:jc w:val="center"/>
            </w:pPr>
          </w:p>
        </w:tc>
        <w:tc>
          <w:tcPr>
            <w:tcW w:w="1131" w:type="dxa"/>
            <w:vAlign w:val="center"/>
          </w:tcPr>
          <w:p w14:paraId="642498EB">
            <w:pPr>
              <w:jc w:val="center"/>
              <w:rPr>
                <w:rFonts w:hint="eastAsia"/>
                <w:lang w:val="en-US" w:eastAsia="zh-CN"/>
              </w:rPr>
            </w:pPr>
          </w:p>
        </w:tc>
        <w:tc>
          <w:tcPr>
            <w:tcW w:w="1500" w:type="dxa"/>
            <w:vAlign w:val="center"/>
          </w:tcPr>
          <w:p w14:paraId="005232A3">
            <w:pPr>
              <w:jc w:val="center"/>
            </w:pPr>
          </w:p>
        </w:tc>
        <w:tc>
          <w:tcPr>
            <w:tcW w:w="1684" w:type="dxa"/>
            <w:vAlign w:val="center"/>
          </w:tcPr>
          <w:p w14:paraId="0B8E23CA">
            <w:pPr>
              <w:jc w:val="center"/>
            </w:pPr>
          </w:p>
        </w:tc>
      </w:tr>
      <w:tr w14:paraId="002EE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0" w:hRule="atLeast"/>
        </w:trPr>
        <w:tc>
          <w:tcPr>
            <w:tcW w:w="874" w:type="dxa"/>
            <w:vAlign w:val="center"/>
          </w:tcPr>
          <w:p w14:paraId="291B344A">
            <w:pPr>
              <w:pStyle w:val="174"/>
              <w:jc w:val="center"/>
              <w:rPr>
                <w:rFonts w:hint="eastAsia"/>
                <w:lang w:val="en-US" w:eastAsia="zh-CN"/>
              </w:rPr>
            </w:pPr>
          </w:p>
        </w:tc>
        <w:tc>
          <w:tcPr>
            <w:tcW w:w="8642" w:type="dxa"/>
            <w:gridSpan w:val="5"/>
            <w:vAlign w:val="center"/>
          </w:tcPr>
          <w:p w14:paraId="690DF297">
            <w:pPr>
              <w:jc w:val="center"/>
              <w:rPr>
                <w:rFonts w:hint="default"/>
                <w:lang w:val="en-US"/>
              </w:rPr>
            </w:pPr>
            <w:r>
              <w:rPr>
                <w:rFonts w:hint="eastAsia"/>
                <w:lang w:val="en-US" w:eastAsia="zh-CN"/>
              </w:rPr>
              <w:t>合计：（大写）             （¥000,000.00）</w:t>
            </w:r>
          </w:p>
        </w:tc>
      </w:tr>
    </w:tbl>
    <w:p w14:paraId="43AAD231">
      <w:pPr>
        <w:pStyle w:val="174"/>
      </w:pPr>
    </w:p>
    <w:p w14:paraId="1D67EDF6">
      <w:pPr>
        <w:pStyle w:val="174"/>
        <w:spacing w:line="360" w:lineRule="auto"/>
        <w:jc w:val="right"/>
      </w:pPr>
      <w:r>
        <w:t>投标人</w:t>
      </w:r>
      <w:r>
        <w:rPr>
          <w:rFonts w:hint="eastAsia"/>
          <w:lang w:val="en-US" w:eastAsia="zh-CN"/>
        </w:rPr>
        <w:t>公章</w:t>
      </w:r>
      <w:r>
        <w:t>：__________________</w:t>
      </w:r>
    </w:p>
    <w:p w14:paraId="08E20861">
      <w:pPr>
        <w:pStyle w:val="174"/>
        <w:wordWrap w:val="0"/>
        <w:spacing w:line="360" w:lineRule="auto"/>
        <w:jc w:val="right"/>
        <w:rPr>
          <w:rFonts w:hint="default" w:eastAsiaTheme="minorEastAsia"/>
          <w:lang w:val="en-US" w:eastAsia="zh-CN"/>
        </w:rPr>
      </w:pPr>
      <w:r>
        <w:t>日期：</w:t>
      </w:r>
      <w:r>
        <w:rPr>
          <w:rFonts w:hint="eastAsia"/>
          <w:lang w:val="en-US" w:eastAsia="zh-CN"/>
        </w:rPr>
        <w:t xml:space="preserve">   </w:t>
      </w:r>
      <w:r>
        <w:t xml:space="preserve"> 年</w:t>
      </w:r>
      <w:r>
        <w:rPr>
          <w:rFonts w:hint="eastAsia"/>
          <w:lang w:val="en-US" w:eastAsia="zh-CN"/>
        </w:rPr>
        <w:t xml:space="preserve"> </w:t>
      </w:r>
      <w:r>
        <w:t xml:space="preserve"> 月</w:t>
      </w:r>
      <w:r>
        <w:rPr>
          <w:rFonts w:hint="eastAsia"/>
          <w:lang w:val="en-US" w:eastAsia="zh-CN"/>
        </w:rPr>
        <w:t xml:space="preserve"> </w:t>
      </w:r>
      <w:r>
        <w:t xml:space="preserve"> 日</w:t>
      </w:r>
      <w:r>
        <w:rPr>
          <w:rFonts w:hint="eastAsia"/>
          <w:lang w:val="en-US" w:eastAsia="zh-CN"/>
        </w:rPr>
        <w:t xml:space="preserve">    </w:t>
      </w:r>
    </w:p>
    <w:p w14:paraId="222AD9DC">
      <w:pPr>
        <w:spacing w:line="440" w:lineRule="exact"/>
        <w:rPr>
          <w:rFonts w:ascii="Arial" w:hAnsi="Arial" w:cs="Arial"/>
          <w:b/>
          <w:bCs/>
          <w:color w:val="000000" w:themeColor="text1"/>
          <w:sz w:val="32"/>
          <w:szCs w:val="32"/>
          <w:highlight w:val="none"/>
          <w14:textFill>
            <w14:solidFill>
              <w14:schemeClr w14:val="tx1"/>
            </w14:solidFill>
          </w14:textFill>
        </w:rPr>
      </w:pPr>
    </w:p>
    <w:p w14:paraId="572533CE">
      <w:pPr>
        <w:spacing w:line="440" w:lineRule="exact"/>
        <w:rPr>
          <w:rFonts w:ascii="Arial" w:hAnsi="Arial" w:cs="Arial"/>
          <w:b/>
          <w:bCs/>
          <w:color w:val="000000" w:themeColor="text1"/>
          <w:sz w:val="32"/>
          <w:szCs w:val="32"/>
          <w:highlight w:val="none"/>
          <w14:textFill>
            <w14:solidFill>
              <w14:schemeClr w14:val="tx1"/>
            </w14:solidFill>
          </w14:textFill>
        </w:rPr>
      </w:pPr>
    </w:p>
    <w:p w14:paraId="7BE2AA48">
      <w:pPr>
        <w:spacing w:line="440" w:lineRule="exact"/>
        <w:rPr>
          <w:rFonts w:ascii="Arial" w:hAnsi="Arial" w:cs="Arial"/>
          <w:b/>
          <w:bCs/>
          <w:color w:val="000000" w:themeColor="text1"/>
          <w:sz w:val="32"/>
          <w:szCs w:val="32"/>
          <w:highlight w:val="none"/>
          <w14:textFill>
            <w14:solidFill>
              <w14:schemeClr w14:val="tx1"/>
            </w14:solidFill>
          </w14:textFill>
        </w:rPr>
      </w:pPr>
    </w:p>
    <w:p w14:paraId="43F2EB9C">
      <w:pPr>
        <w:spacing w:line="440" w:lineRule="exact"/>
        <w:rPr>
          <w:rFonts w:ascii="Arial" w:hAnsi="Arial" w:cs="Arial"/>
          <w:b/>
          <w:bCs/>
          <w:color w:val="000000" w:themeColor="text1"/>
          <w:sz w:val="32"/>
          <w:szCs w:val="32"/>
          <w:highlight w:val="none"/>
          <w14:textFill>
            <w14:solidFill>
              <w14:schemeClr w14:val="tx1"/>
            </w14:solidFill>
          </w14:textFill>
        </w:rPr>
      </w:pPr>
    </w:p>
    <w:p w14:paraId="74BDA4CF">
      <w:pPr>
        <w:spacing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二</w:t>
      </w:r>
      <w:r>
        <w:rPr>
          <w:rFonts w:hint="eastAsia" w:ascii="宋体" w:hAnsi="宋体" w:cs="宋体"/>
          <w:b/>
          <w:bCs/>
          <w:color w:val="000000" w:themeColor="text1"/>
          <w:szCs w:val="21"/>
          <w:highlight w:val="none"/>
          <w14:textFill>
            <w14:solidFill>
              <w14:schemeClr w14:val="tx1"/>
            </w14:solidFill>
          </w14:textFill>
        </w:rPr>
        <w:t>、资格性响应证明材料（格式）</w:t>
      </w:r>
      <w:bookmarkEnd w:id="381"/>
      <w:bookmarkEnd w:id="382"/>
    </w:p>
    <w:p w14:paraId="4733D655">
      <w:pPr>
        <w:spacing w:line="440" w:lineRule="exact"/>
        <w:rPr>
          <w:rFonts w:hint="eastAsia" w:ascii="宋体" w:hAnsi="宋体" w:cs="宋体"/>
          <w:b/>
          <w:bCs/>
          <w:color w:val="000000" w:themeColor="text1"/>
          <w:szCs w:val="21"/>
          <w:highlight w:val="none"/>
          <w14:textFill>
            <w14:solidFill>
              <w14:schemeClr w14:val="tx1"/>
            </w14:solidFill>
          </w14:textFill>
        </w:rPr>
      </w:pPr>
      <w:bookmarkStart w:id="383" w:name="_Toc495841788"/>
      <w:bookmarkStart w:id="384" w:name="_Toc11828"/>
      <w:r>
        <w:rPr>
          <w:rFonts w:hint="eastAsia" w:ascii="宋体" w:hAnsi="宋体" w:cs="宋体"/>
          <w:b/>
          <w:bCs/>
          <w:color w:val="000000" w:themeColor="text1"/>
          <w:szCs w:val="21"/>
          <w:highlight w:val="none"/>
          <w14:textFill>
            <w14:solidFill>
              <w14:schemeClr w14:val="tx1"/>
            </w14:solidFill>
          </w14:textFill>
        </w:rPr>
        <w:t>1.供应商相应的法定代表人身份证正反两面复印件（必须提供）；</w:t>
      </w:r>
    </w:p>
    <w:p w14:paraId="5770DEBB">
      <w:pPr>
        <w:pStyle w:val="57"/>
        <w:spacing w:line="440" w:lineRule="exact"/>
        <w:rPr>
          <w:rFonts w:hint="eastAsia" w:ascii="宋体" w:hAnsi="宋体" w:eastAsia="宋体" w:cs="宋体"/>
          <w:b/>
          <w:bCs/>
          <w:color w:val="000000" w:themeColor="text1"/>
          <w:sz w:val="21"/>
          <w:szCs w:val="21"/>
          <w:highlight w:val="none"/>
          <w14:textFill>
            <w14:solidFill>
              <w14:schemeClr w14:val="tx1"/>
            </w14:solidFill>
          </w14:textFill>
        </w:rPr>
      </w:pPr>
    </w:p>
    <w:p w14:paraId="5197E21B">
      <w:pPr>
        <w:pStyle w:val="57"/>
        <w:spacing w:line="440" w:lineRule="exact"/>
        <w:rPr>
          <w:rFonts w:hint="eastAsia" w:ascii="宋体" w:hAnsi="宋体" w:eastAsia="宋体" w:cs="宋体"/>
          <w:b/>
          <w:bCs/>
          <w:color w:val="000000" w:themeColor="text1"/>
          <w:sz w:val="21"/>
          <w:szCs w:val="21"/>
          <w:highlight w:val="none"/>
          <w14:textFill>
            <w14:solidFill>
              <w14:schemeClr w14:val="tx1"/>
            </w14:solidFill>
          </w14:textFill>
        </w:rPr>
      </w:pPr>
    </w:p>
    <w:p w14:paraId="68BBCBD3">
      <w:pPr>
        <w:pStyle w:val="57"/>
        <w:spacing w:line="440" w:lineRule="exac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2.供应商的授权委托书原件、委托代理人身份证正反面复印件</w:t>
      </w:r>
      <w:r>
        <w:rPr>
          <w:rFonts w:hint="eastAsia" w:ascii="宋体" w:hAnsi="宋体" w:eastAsia="宋体" w:cs="宋体"/>
          <w:b/>
          <w:color w:val="000000" w:themeColor="text1"/>
          <w:sz w:val="21"/>
          <w:szCs w:val="21"/>
          <w:highlight w:val="none"/>
          <w14:textFill>
            <w14:solidFill>
              <w14:schemeClr w14:val="tx1"/>
            </w14:solidFill>
          </w14:textFill>
        </w:rPr>
        <w:t>（委托代理时必须提供）；</w:t>
      </w:r>
    </w:p>
    <w:p w14:paraId="03578BB2">
      <w:pPr>
        <w:pStyle w:val="57"/>
        <w:spacing w:line="440" w:lineRule="exact"/>
        <w:rPr>
          <w:rFonts w:hint="eastAsia" w:ascii="宋体" w:hAnsi="宋体" w:eastAsia="宋体" w:cs="宋体"/>
          <w:b/>
          <w:color w:val="000000" w:themeColor="text1"/>
          <w:sz w:val="21"/>
          <w:szCs w:val="21"/>
          <w:highlight w:val="none"/>
          <w14:textFill>
            <w14:solidFill>
              <w14:schemeClr w14:val="tx1"/>
            </w14:solidFill>
          </w14:textFill>
        </w:rPr>
      </w:pPr>
    </w:p>
    <w:p w14:paraId="5F49ADEF">
      <w:pPr>
        <w:spacing w:line="440" w:lineRule="exact"/>
        <w:jc w:val="center"/>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Arial Unicode MS" w:hAnsi="Arial Unicode MS" w:eastAsia="Arial Unicode MS" w:cs="Arial Unicode MS"/>
          <w:b w:val="0"/>
          <w:bCs w:val="0"/>
          <w:color w:val="000000" w:themeColor="text1"/>
          <w:sz w:val="32"/>
          <w:szCs w:val="32"/>
          <w:highlight w:val="none"/>
          <w14:textFill>
            <w14:solidFill>
              <w14:schemeClr w14:val="tx1"/>
            </w14:solidFill>
          </w14:textFill>
        </w:rPr>
        <w:t>授权委托书</w:t>
      </w:r>
      <w: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t>（</w:t>
      </w:r>
      <w:r>
        <w:rPr>
          <w:rFonts w:hint="eastAsia" w:ascii="Arial Unicode MS" w:hAnsi="Arial Unicode MS" w:eastAsia="Arial Unicode MS" w:cs="Arial Unicode MS"/>
          <w:b w:val="0"/>
          <w:bCs w:val="0"/>
          <w:color w:val="000000" w:themeColor="text1"/>
          <w:sz w:val="32"/>
          <w:szCs w:val="32"/>
          <w:highlight w:val="none"/>
          <w:lang w:val="en-US" w:eastAsia="zh-CN"/>
          <w14:textFill>
            <w14:solidFill>
              <w14:schemeClr w14:val="tx1"/>
            </w14:solidFill>
          </w14:textFill>
        </w:rPr>
        <w:t>格式</w:t>
      </w:r>
      <w: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t>）</w:t>
      </w:r>
    </w:p>
    <w:p w14:paraId="594CF795">
      <w:pPr>
        <w:spacing w:line="44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本授权委托书声明：</w:t>
      </w:r>
      <w:r>
        <w:rPr>
          <w:rFonts w:hint="eastAsia" w:ascii="宋体" w:hAnsi="宋体" w:cs="宋体"/>
          <w:color w:val="000000" w:themeColor="text1"/>
          <w:szCs w:val="21"/>
          <w:highlight w:val="none"/>
          <w:u w:val="single"/>
          <w14:textFill>
            <w14:solidFill>
              <w14:schemeClr w14:val="tx1"/>
            </w14:solidFill>
          </w14:textFill>
        </w:rPr>
        <w:t>    </w:t>
      </w:r>
      <w:r>
        <w:rPr>
          <w:rFonts w:hint="eastAsia" w:ascii="宋体" w:hAnsi="宋体" w:cs="宋体"/>
          <w:color w:val="000000" w:themeColor="text1"/>
          <w:szCs w:val="21"/>
          <w:highlight w:val="none"/>
          <w14:textFill>
            <w14:solidFill>
              <w14:schemeClr w14:val="tx1"/>
            </w14:solidFill>
          </w14:textFill>
        </w:rPr>
        <w:t>（姓名）系</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（供应商名称）的法定代表人，现授权委托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（单位名称）的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（姓名）为我公司签署</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项目的投标文件的法定代表人授权委托代理人，我承认代理人全权代表我所签署的本项目的投标文件的内容。</w:t>
      </w:r>
    </w:p>
    <w:p w14:paraId="0D2DDD24">
      <w:pPr>
        <w:spacing w:line="440" w:lineRule="exact"/>
        <w:ind w:firstLine="697"/>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代理人无转委托权，特此委托。</w:t>
      </w:r>
    </w:p>
    <w:p w14:paraId="58795CB7">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年龄：_______</w:t>
      </w:r>
    </w:p>
    <w:p w14:paraId="629B5C83">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38EFCED3">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公章</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（自然人除外）</w:t>
      </w:r>
    </w:p>
    <w:p w14:paraId="6AC07A6C">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r>
        <w:rPr>
          <w:rFonts w:hint="eastAsia" w:ascii="宋体" w:hAnsi="宋体" w:cs="宋体"/>
          <w:color w:val="000000" w:themeColor="text1"/>
          <w:szCs w:val="21"/>
          <w:highlight w:val="none"/>
          <w:u w:val="single"/>
          <w14:textFill>
            <w14:solidFill>
              <w14:schemeClr w14:val="tx1"/>
            </w14:solidFill>
          </w14:textFill>
        </w:rPr>
        <w:t xml:space="preserve">              （签字或个人签章）</w:t>
      </w:r>
    </w:p>
    <w:p w14:paraId="772D966D">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授权委托日期：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p>
    <w:p w14:paraId="45D850F7">
      <w:pPr>
        <w:pStyle w:val="58"/>
        <w:spacing w:line="440" w:lineRule="exact"/>
        <w:rPr>
          <w:rFonts w:hint="eastAsia" w:cs="宋体"/>
          <w:color w:val="000000" w:themeColor="text1"/>
          <w:highlight w:val="none"/>
          <w14:textFill>
            <w14:solidFill>
              <w14:schemeClr w14:val="tx1"/>
            </w14:solidFill>
          </w14:textFill>
        </w:rPr>
      </w:pPr>
    </w:p>
    <w:p w14:paraId="505DCF71">
      <w:pPr>
        <w:spacing w:line="440" w:lineRule="exact"/>
        <w:rPr>
          <w:rFonts w:hint="eastAsia" w:ascii="宋体" w:hAnsi="宋体" w:cs="宋体"/>
          <w:b/>
          <w:bCs/>
          <w:color w:val="000000" w:themeColor="text1"/>
          <w:szCs w:val="21"/>
          <w:highlight w:val="none"/>
          <w14:textFill>
            <w14:solidFill>
              <w14:schemeClr w14:val="tx1"/>
            </w14:solidFill>
          </w14:textFill>
        </w:rPr>
      </w:pPr>
    </w:p>
    <w:p w14:paraId="01618FF1">
      <w:pPr>
        <w:spacing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3.供应商参加政府采购活动前3年内在经营活动中没有重大违法记录及有关信用信息的书面声明（必须提供）；</w:t>
      </w:r>
    </w:p>
    <w:p w14:paraId="7495DB0B">
      <w:pPr>
        <w:spacing w:line="440" w:lineRule="exact"/>
        <w:jc w:val="cente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pPr>
      <w:r>
        <w:rPr>
          <w:rFonts w:hint="eastAsia" w:ascii="Arial Unicode MS" w:hAnsi="Arial Unicode MS" w:eastAsia="Arial Unicode MS" w:cs="Arial Unicode MS"/>
          <w:b w:val="0"/>
          <w:bCs w:val="0"/>
          <w:color w:val="000000" w:themeColor="text1"/>
          <w:sz w:val="32"/>
          <w:szCs w:val="32"/>
          <w:highlight w:val="none"/>
          <w14:textFill>
            <w14:solidFill>
              <w14:schemeClr w14:val="tx1"/>
            </w14:solidFill>
          </w14:textFill>
        </w:rPr>
        <w:t>声   明</w:t>
      </w:r>
      <w: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t>（</w:t>
      </w:r>
      <w:r>
        <w:rPr>
          <w:rFonts w:hint="eastAsia" w:ascii="Arial Unicode MS" w:hAnsi="Arial Unicode MS" w:eastAsia="Arial Unicode MS" w:cs="Arial Unicode MS"/>
          <w:b w:val="0"/>
          <w:bCs w:val="0"/>
          <w:color w:val="000000" w:themeColor="text1"/>
          <w:sz w:val="32"/>
          <w:szCs w:val="32"/>
          <w:highlight w:val="none"/>
          <w:lang w:val="en-US" w:eastAsia="zh-CN"/>
          <w14:textFill>
            <w14:solidFill>
              <w14:schemeClr w14:val="tx1"/>
            </w14:solidFill>
          </w14:textFill>
        </w:rPr>
        <w:t>格式</w:t>
      </w:r>
      <w: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t>）</w:t>
      </w:r>
    </w:p>
    <w:p w14:paraId="5E1D5F46">
      <w:pPr>
        <w:snapToGrid w:val="0"/>
        <w:spacing w:line="440" w:lineRule="exac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致</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广西骨伤医院  </w:t>
      </w:r>
    </w:p>
    <w:p w14:paraId="08176ABF">
      <w:pPr>
        <w:pStyle w:val="19"/>
        <w:spacing w:line="440" w:lineRule="exact"/>
        <w:ind w:firstLine="420" w:firstLineChars="20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9E71555">
      <w:pPr>
        <w:spacing w:line="440" w:lineRule="exact"/>
        <w:ind w:firstLine="2520" w:firstLineChars="1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自然人除外）：</w:t>
      </w:r>
      <w:r>
        <w:rPr>
          <w:rFonts w:hint="eastAsia" w:ascii="宋体" w:hAnsi="宋体" w:cs="宋体"/>
          <w:color w:val="000000" w:themeColor="text1"/>
          <w:szCs w:val="21"/>
          <w:highlight w:val="none"/>
          <w:u w:val="single"/>
          <w14:textFill>
            <w14:solidFill>
              <w14:schemeClr w14:val="tx1"/>
            </w14:solidFill>
          </w14:textFill>
        </w:rPr>
        <w:t xml:space="preserve">                  </w:t>
      </w:r>
    </w:p>
    <w:p w14:paraId="2BB86443">
      <w:pPr>
        <w:spacing w:line="440" w:lineRule="exact"/>
        <w:ind w:firstLine="2520" w:firstLineChars="1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法定代表人、负责人、自然人或相应的委托代理人签字或个人签章：</w:t>
      </w:r>
      <w:r>
        <w:rPr>
          <w:rFonts w:hint="eastAsia" w:ascii="宋体" w:hAnsi="宋体" w:cs="宋体"/>
          <w:color w:val="000000" w:themeColor="text1"/>
          <w:szCs w:val="21"/>
          <w:highlight w:val="none"/>
          <w:u w:val="single"/>
          <w14:textFill>
            <w14:solidFill>
              <w14:schemeClr w14:val="tx1"/>
            </w14:solidFill>
          </w14:textFill>
        </w:rPr>
        <w:t xml:space="preserve">                           </w:t>
      </w:r>
    </w:p>
    <w:p w14:paraId="6CF72689">
      <w:pPr>
        <w:pStyle w:val="15"/>
        <w:spacing w:line="440" w:lineRule="exact"/>
        <w:rPr>
          <w:rFonts w:hint="eastAsia" w:ascii="宋体" w:hAnsi="宋体" w:cs="宋体"/>
          <w:color w:val="000000" w:themeColor="text1"/>
          <w:sz w:val="21"/>
          <w:szCs w:val="21"/>
          <w:highlight w:val="none"/>
          <w:u w:val="singl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日      期：</w:t>
      </w:r>
      <w:r>
        <w:rPr>
          <w:rFonts w:hint="eastAsia" w:ascii="宋体" w:hAnsi="宋体" w:cs="宋体"/>
          <w:color w:val="000000" w:themeColor="text1"/>
          <w:sz w:val="21"/>
          <w:szCs w:val="21"/>
          <w:highlight w:val="none"/>
          <w:u w:val="single"/>
          <w14:textFill>
            <w14:solidFill>
              <w14:schemeClr w14:val="tx1"/>
            </w14:solidFill>
          </w14:textFill>
        </w:rPr>
        <w:t xml:space="preserve">                       </w:t>
      </w:r>
    </w:p>
    <w:bookmarkEnd w:id="383"/>
    <w:bookmarkEnd w:id="384"/>
    <w:p w14:paraId="70F65123">
      <w:pPr>
        <w:pStyle w:val="15"/>
        <w:spacing w:line="440" w:lineRule="exact"/>
        <w:rPr>
          <w:rFonts w:hint="eastAsia" w:ascii="宋体" w:hAnsi="宋体" w:cs="宋体"/>
          <w:b/>
          <w:bCs/>
          <w:color w:val="000000" w:themeColor="text1"/>
          <w:sz w:val="21"/>
          <w:szCs w:val="21"/>
          <w:highlight w:val="none"/>
          <w14:textFill>
            <w14:solidFill>
              <w14:schemeClr w14:val="tx1"/>
            </w14:solidFill>
          </w14:textFill>
        </w:rPr>
      </w:pPr>
      <w:bookmarkStart w:id="385" w:name="_Toc11623"/>
      <w:bookmarkStart w:id="386" w:name="_Toc495841789"/>
    </w:p>
    <w:p w14:paraId="76D71C81">
      <w:pPr>
        <w:pStyle w:val="15"/>
        <w:spacing w:line="44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br w:type="page"/>
      </w:r>
      <w:r>
        <w:rPr>
          <w:rFonts w:hint="eastAsia" w:ascii="宋体" w:hAnsi="宋体" w:cs="宋体"/>
          <w:b/>
          <w:bCs/>
          <w:color w:val="000000" w:themeColor="text1"/>
          <w:sz w:val="21"/>
          <w:szCs w:val="21"/>
          <w:highlight w:val="none"/>
          <w14:textFill>
            <w14:solidFill>
              <w14:schemeClr w14:val="tx1"/>
            </w14:solidFill>
          </w14:textFill>
        </w:rPr>
        <w:t>4.</w:t>
      </w:r>
      <w:bookmarkEnd w:id="385"/>
      <w:bookmarkEnd w:id="386"/>
      <w:r>
        <w:rPr>
          <w:rFonts w:hint="eastAsia" w:ascii="宋体" w:hAnsi="宋体" w:cs="宋体"/>
          <w:b/>
          <w:bCs/>
          <w:color w:val="000000" w:themeColor="text1"/>
          <w:sz w:val="21"/>
          <w:szCs w:val="21"/>
          <w:highlight w:val="none"/>
          <w14:textFill>
            <w14:solidFill>
              <w14:schemeClr w14:val="tx1"/>
            </w14:solidFill>
          </w14:textFill>
        </w:rPr>
        <w:t>供应商营业执照副本复印件（必须提供）；</w:t>
      </w:r>
    </w:p>
    <w:p w14:paraId="7745EED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000000" w:themeColor="text1"/>
          <w:szCs w:val="21"/>
          <w:highlight w:val="none"/>
          <w:lang w:val="en-US" w:eastAsia="zh-CN"/>
          <w14:textFill>
            <w14:solidFill>
              <w14:schemeClr w14:val="tx1"/>
            </w14:solidFill>
          </w14:textFill>
        </w:rPr>
      </w:pPr>
      <w:bookmarkStart w:id="387" w:name="_Toc26652"/>
      <w:r>
        <w:rPr>
          <w:rFonts w:hint="eastAsia" w:ascii="宋体" w:hAnsi="宋体" w:eastAsia="宋体" w:cs="宋体"/>
          <w:b/>
          <w:bCs/>
          <w:color w:val="000000" w:themeColor="text1"/>
          <w:szCs w:val="21"/>
          <w:highlight w:val="none"/>
          <w:lang w:val="en-US" w:eastAsia="zh-CN"/>
          <w14:textFill>
            <w14:solidFill>
              <w14:schemeClr w14:val="tx1"/>
            </w14:solidFill>
          </w14:textFill>
        </w:rPr>
        <w:t>5.2025年度任意连续3个月纳税记录或完税证明；</w:t>
      </w:r>
    </w:p>
    <w:p w14:paraId="076004F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6.2025年度任意连续3个月纳税社保证明；</w:t>
      </w:r>
    </w:p>
    <w:p w14:paraId="1984443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7.2025年度财务审计报告或开户银行资信证明；</w:t>
      </w:r>
    </w:p>
    <w:p w14:paraId="71424FB8">
      <w:pPr>
        <w:pStyle w:val="19"/>
        <w:spacing w:line="440" w:lineRule="exact"/>
        <w:rPr>
          <w:rFonts w:hint="eastAsia" w:hAnsi="宋体" w:cs="宋体"/>
          <w:b/>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lang w:val="en-US" w:eastAsia="zh-CN"/>
          <w14:textFill>
            <w14:solidFill>
              <w14:schemeClr w14:val="tx1"/>
            </w14:solidFill>
          </w14:textFill>
        </w:rPr>
        <w:t>8</w:t>
      </w:r>
      <w:r>
        <w:rPr>
          <w:rFonts w:hint="eastAsia" w:hAnsi="宋体" w:cs="宋体"/>
          <w:b/>
          <w:color w:val="000000" w:themeColor="text1"/>
          <w:szCs w:val="21"/>
          <w:highlight w:val="none"/>
          <w14:textFill>
            <w14:solidFill>
              <w14:schemeClr w14:val="tx1"/>
            </w14:solidFill>
          </w14:textFill>
        </w:rPr>
        <w:t>.供应商参加本项目无围标串标行为的承诺函（必须提供）</w:t>
      </w:r>
    </w:p>
    <w:p w14:paraId="43ED8544">
      <w:pPr>
        <w:pStyle w:val="19"/>
        <w:spacing w:line="440" w:lineRule="exact"/>
        <w:jc w:val="center"/>
        <w:rPr>
          <w:rFonts w:hint="eastAsia" w:hAnsi="宋体" w:cs="宋体"/>
          <w:b/>
          <w:color w:val="000000" w:themeColor="text1"/>
          <w:szCs w:val="21"/>
          <w:highlight w:val="none"/>
          <w14:textFill>
            <w14:solidFill>
              <w14:schemeClr w14:val="tx1"/>
            </w14:solidFill>
          </w14:textFill>
        </w:rPr>
      </w:pPr>
    </w:p>
    <w:p w14:paraId="253DA9CE">
      <w:pPr>
        <w:pStyle w:val="19"/>
        <w:spacing w:line="440" w:lineRule="exact"/>
        <w:jc w:val="center"/>
        <w:rPr>
          <w:rFonts w:hint="eastAsia"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供应商参加本项目无围标串标行为的承诺函（格式）</w:t>
      </w:r>
    </w:p>
    <w:p w14:paraId="6D5C0158">
      <w:pPr>
        <w:spacing w:line="440" w:lineRule="exact"/>
        <w:rPr>
          <w:rFonts w:hint="eastAsia" w:ascii="宋体" w:hAnsi="宋体" w:cs="宋体"/>
          <w:b/>
          <w:color w:val="000000" w:themeColor="text1"/>
          <w:szCs w:val="21"/>
          <w:highlight w:val="none"/>
          <w14:textFill>
            <w14:solidFill>
              <w14:schemeClr w14:val="tx1"/>
            </w14:solidFill>
          </w14:textFill>
        </w:rPr>
      </w:pPr>
    </w:p>
    <w:p w14:paraId="3149A42E">
      <w:pPr>
        <w:snapToGrid w:val="0"/>
        <w:spacing w:line="440" w:lineRule="exact"/>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一、我公司承诺无下列相互串通投标的情形：</w:t>
      </w:r>
    </w:p>
    <w:p w14:paraId="78AB007F">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1.不同供应商的投标文件由同一单位或者个人编制；</w:t>
      </w:r>
    </w:p>
    <w:p w14:paraId="170E0848">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2.不同供应商委托同一单位或者个人办理投标事宜；</w:t>
      </w:r>
    </w:p>
    <w:p w14:paraId="5D9FDEBF">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3.不同的供应商的投标文件载明的项目管理员为同一个人；</w:t>
      </w:r>
    </w:p>
    <w:p w14:paraId="7900F20B">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4.不同供应商的投标文件异常一致或投标报价呈规律性差异； </w:t>
      </w:r>
    </w:p>
    <w:p w14:paraId="7578846D">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5.不同供应商的投标文件相互混装。</w:t>
      </w:r>
    </w:p>
    <w:p w14:paraId="0F681921">
      <w:pPr>
        <w:snapToGrid w:val="0"/>
        <w:spacing w:line="440" w:lineRule="exact"/>
        <w:ind w:firstLine="422"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二、我公司承诺无下列恶意串通的情形：</w:t>
      </w:r>
    </w:p>
    <w:p w14:paraId="01DD10DF">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1.供应商直接或者间接从采购人或者</w:t>
      </w:r>
      <w:r>
        <w:rPr>
          <w:rFonts w:hint="eastAsia" w:hAnsi="宋体" w:cs="宋体"/>
          <w:color w:val="000000" w:themeColor="text1"/>
          <w:szCs w:val="21"/>
          <w:highlight w:val="none"/>
          <w:lang w:eastAsia="zh-CN"/>
          <w14:textFill>
            <w14:solidFill>
              <w14:schemeClr w14:val="tx1"/>
            </w14:solidFill>
          </w14:textFill>
        </w:rPr>
        <w:t>采购人</w:t>
      </w:r>
      <w:r>
        <w:rPr>
          <w:rFonts w:hint="eastAsia" w:hAnsi="宋体" w:cs="宋体"/>
          <w:color w:val="000000" w:themeColor="text1"/>
          <w:szCs w:val="21"/>
          <w:highlight w:val="none"/>
          <w14:textFill>
            <w14:solidFill>
              <w14:schemeClr w14:val="tx1"/>
            </w14:solidFill>
          </w14:textFill>
        </w:rPr>
        <w:t>处获得其他供应商的相关信息并修改其投标文件或者投标文件；</w:t>
      </w:r>
    </w:p>
    <w:p w14:paraId="1B4119DC">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2.供应商按照采购人或者</w:t>
      </w:r>
      <w:r>
        <w:rPr>
          <w:rFonts w:hint="eastAsia" w:hAnsi="宋体" w:cs="宋体"/>
          <w:color w:val="000000" w:themeColor="text1"/>
          <w:szCs w:val="21"/>
          <w:highlight w:val="none"/>
          <w:lang w:eastAsia="zh-CN"/>
          <w14:textFill>
            <w14:solidFill>
              <w14:schemeClr w14:val="tx1"/>
            </w14:solidFill>
          </w14:textFill>
        </w:rPr>
        <w:t>采购人</w:t>
      </w:r>
      <w:r>
        <w:rPr>
          <w:rFonts w:hint="eastAsia" w:hAnsi="宋体" w:cs="宋体"/>
          <w:color w:val="000000" w:themeColor="text1"/>
          <w:szCs w:val="21"/>
          <w:highlight w:val="none"/>
          <w14:textFill>
            <w14:solidFill>
              <w14:schemeClr w14:val="tx1"/>
            </w14:solidFill>
          </w14:textFill>
        </w:rPr>
        <w:t>的授意撤换、修改投标文件或者投标文件；</w:t>
      </w:r>
    </w:p>
    <w:p w14:paraId="2D9E057D">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3.供应商之间协商报价、技术方案等投标文件或者投标文件的实质性内容；</w:t>
      </w:r>
    </w:p>
    <w:p w14:paraId="6B0D1162">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6C63AF85">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5.供应商之间事先约定一致抬高或者压低投标报价</w:t>
      </w:r>
      <w:r>
        <w:rPr>
          <w:rFonts w:hint="eastAsia" w:hAnsi="宋体" w:cs="宋体"/>
          <w:color w:val="000000" w:themeColor="text1"/>
          <w:szCs w:val="21"/>
          <w:highlight w:val="none"/>
          <w:lang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或者在招标项目中事先约定轮流以高价位或者低价位中标</w:t>
      </w:r>
      <w:r>
        <w:rPr>
          <w:rFonts w:hint="eastAsia" w:hAnsi="宋体" w:cs="宋体"/>
          <w:color w:val="000000" w:themeColor="text1"/>
          <w:szCs w:val="21"/>
          <w:highlight w:val="none"/>
          <w:lang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或者事先约定由某一特定供应商中标</w:t>
      </w:r>
      <w:r>
        <w:rPr>
          <w:rFonts w:hint="eastAsia" w:hAnsi="宋体" w:cs="宋体"/>
          <w:color w:val="000000" w:themeColor="text1"/>
          <w:szCs w:val="21"/>
          <w:highlight w:val="none"/>
          <w:lang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然后再参加投标；</w:t>
      </w:r>
    </w:p>
    <w:p w14:paraId="574974F4">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6.供应商之间商定部分供应商放弃参加政府采购活动或者放弃中标；</w:t>
      </w:r>
    </w:p>
    <w:p w14:paraId="1F4883A0">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7.供应商与采购人或者</w:t>
      </w:r>
      <w:r>
        <w:rPr>
          <w:rFonts w:hint="eastAsia" w:hAnsi="宋体" w:cs="宋体"/>
          <w:color w:val="000000" w:themeColor="text1"/>
          <w:szCs w:val="21"/>
          <w:highlight w:val="none"/>
          <w:lang w:eastAsia="zh-CN"/>
          <w14:textFill>
            <w14:solidFill>
              <w14:schemeClr w14:val="tx1"/>
            </w14:solidFill>
          </w14:textFill>
        </w:rPr>
        <w:t>采购人</w:t>
      </w:r>
      <w:r>
        <w:rPr>
          <w:rFonts w:hint="eastAsia" w:hAnsi="宋体" w:cs="宋体"/>
          <w:color w:val="000000" w:themeColor="text1"/>
          <w:szCs w:val="21"/>
          <w:highlight w:val="none"/>
          <w14:textFill>
            <w14:solidFill>
              <w14:schemeClr w14:val="tx1"/>
            </w14:solidFill>
          </w14:textFill>
        </w:rPr>
        <w:t>之间、供应商相互之间，为谋求特定供应商中标或者排斥其他供应商的其他串通行为。</w:t>
      </w:r>
    </w:p>
    <w:p w14:paraId="15D20EE8">
      <w:pPr>
        <w:snapToGrid w:val="0"/>
        <w:spacing w:line="440" w:lineRule="exact"/>
        <w:ind w:firstLine="413" w:firstLineChars="196"/>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以上情形一经核查属实，我方愿意承担一切后果，并不再寻求任何旨在减轻或免除法律责任的辩解。</w:t>
      </w:r>
    </w:p>
    <w:p w14:paraId="031809CC">
      <w:pPr>
        <w:snapToGrid w:val="0"/>
        <w:spacing w:line="440" w:lineRule="exact"/>
        <w:ind w:firstLine="1890" w:firstLineChars="900"/>
        <w:rPr>
          <w:rFonts w:hint="eastAsia" w:ascii="宋体" w:hAnsi="宋体" w:cs="宋体"/>
          <w:color w:val="000000" w:themeColor="text1"/>
          <w:szCs w:val="21"/>
          <w:highlight w:val="none"/>
          <w14:textFill>
            <w14:solidFill>
              <w14:schemeClr w14:val="tx1"/>
            </w14:solidFill>
          </w14:textFill>
        </w:rPr>
      </w:pPr>
    </w:p>
    <w:p w14:paraId="6ED1E4D2">
      <w:pPr>
        <w:snapToGrid w:val="0"/>
        <w:spacing w:line="440" w:lineRule="exact"/>
        <w:ind w:firstLine="2940" w:firstLineChars="14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自然人除外）：</w:t>
      </w:r>
      <w:r>
        <w:rPr>
          <w:rFonts w:hint="eastAsia" w:ascii="宋体" w:hAnsi="宋体" w:cs="宋体"/>
          <w:color w:val="000000" w:themeColor="text1"/>
          <w:szCs w:val="21"/>
          <w:highlight w:val="none"/>
          <w:u w:val="single"/>
          <w14:textFill>
            <w14:solidFill>
              <w14:schemeClr w14:val="tx1"/>
            </w14:solidFill>
          </w14:textFill>
        </w:rPr>
        <w:t xml:space="preserve">                                     </w:t>
      </w:r>
    </w:p>
    <w:p w14:paraId="54D30243">
      <w:pPr>
        <w:pStyle w:val="19"/>
        <w:spacing w:line="440" w:lineRule="exact"/>
        <w:ind w:firstLine="420"/>
        <w:jc w:val="center"/>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val="en-US"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或个人签章）：</w:t>
      </w:r>
      <w:r>
        <w:rPr>
          <w:rFonts w:hint="eastAsia" w:hAnsi="宋体" w:cs="宋体"/>
          <w:color w:val="000000" w:themeColor="text1"/>
          <w:szCs w:val="21"/>
          <w:highlight w:val="none"/>
          <w:u w:val="single"/>
          <w14:textFill>
            <w14:solidFill>
              <w14:schemeClr w14:val="tx1"/>
            </w14:solidFill>
          </w14:textFill>
        </w:rPr>
        <w:t xml:space="preserve">                         </w:t>
      </w:r>
    </w:p>
    <w:p w14:paraId="0344E2B1">
      <w:pPr>
        <w:pStyle w:val="19"/>
        <w:spacing w:line="440" w:lineRule="exact"/>
        <w:ind w:firstLine="420"/>
        <w:jc w:val="cente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r>
        <w:rPr>
          <w:rFonts w:hint="eastAsia" w:ascii="宋体" w:hAnsi="宋体" w:cs="宋体"/>
          <w:color w:val="000000" w:themeColor="text1"/>
          <w:szCs w:val="21"/>
          <w:highlight w:val="none"/>
          <w:u w:val="single"/>
          <w14:textFill>
            <w14:solidFill>
              <w14:schemeClr w14:val="tx1"/>
            </w14:solidFill>
          </w14:textFill>
        </w:rPr>
        <w:t xml:space="preserve">                   </w:t>
      </w:r>
    </w:p>
    <w:p w14:paraId="6C3A8E84">
      <w:pPr>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br w:type="page"/>
      </w:r>
    </w:p>
    <w:p w14:paraId="63F094B1">
      <w:pPr>
        <w:keepNext w:val="0"/>
        <w:keepLines w:val="0"/>
        <w:pageBreakBefore w:val="0"/>
        <w:kinsoku/>
        <w:wordWrap/>
        <w:overflowPunct/>
        <w:topLinePunct w:val="0"/>
        <w:bidi w:val="0"/>
        <w:spacing w:line="460" w:lineRule="exac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9</w:t>
      </w:r>
      <w:r>
        <w:rPr>
          <w:rFonts w:hint="eastAsia" w:ascii="宋体" w:hAnsi="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本项目的特定资格要求</w:t>
      </w:r>
      <w:r>
        <w:rPr>
          <w:rFonts w:hint="eastAsia" w:ascii="宋体" w:hAnsi="宋体" w:cs="宋体"/>
          <w:b/>
          <w:bCs/>
          <w:color w:val="000000" w:themeColor="text1"/>
          <w:szCs w:val="21"/>
          <w:highlight w:val="none"/>
          <w:lang w:val="en-US" w:eastAsia="zh-CN"/>
          <w14:textFill>
            <w14:solidFill>
              <w14:schemeClr w14:val="tx1"/>
            </w14:solidFill>
          </w14:textFill>
        </w:rPr>
        <w:t>证明材料</w:t>
      </w:r>
      <w:r>
        <w:rPr>
          <w:rFonts w:hint="eastAsia" w:ascii="宋体" w:hAnsi="宋体" w:eastAsia="宋体" w:cs="宋体"/>
          <w:b/>
          <w:bCs/>
          <w:color w:val="000000" w:themeColor="text1"/>
          <w:szCs w:val="21"/>
          <w:highlight w:val="none"/>
          <w14:textFill>
            <w14:solidFill>
              <w14:schemeClr w14:val="tx1"/>
            </w14:solidFill>
          </w14:textFill>
        </w:rPr>
        <w:t>（必须提供）；</w:t>
      </w:r>
    </w:p>
    <w:p w14:paraId="34F3C05B">
      <w:pPr>
        <w:pStyle w:val="19"/>
        <w:spacing w:line="440" w:lineRule="exact"/>
        <w:ind w:firstLine="420"/>
        <w:rPr>
          <w:rFonts w:hint="eastAsia" w:hAnsi="宋体" w:cs="宋体"/>
          <w:color w:val="000000" w:themeColor="text1"/>
          <w:szCs w:val="21"/>
          <w:highlight w:val="none"/>
          <w:lang w:eastAsia="zh-CN"/>
          <w14:textFill>
            <w14:solidFill>
              <w14:schemeClr w14:val="tx1"/>
            </w14:solidFill>
          </w14:textFill>
        </w:rPr>
      </w:pPr>
    </w:p>
    <w:p w14:paraId="226A22D8">
      <w:pPr>
        <w:pStyle w:val="19"/>
        <w:spacing w:line="440" w:lineRule="exact"/>
        <w:ind w:firstLine="420"/>
        <w:rPr>
          <w:rFonts w:hint="eastAsia" w:hAnsi="宋体" w:cs="宋体"/>
          <w:color w:val="000000" w:themeColor="text1"/>
          <w:szCs w:val="21"/>
          <w:highlight w:val="none"/>
          <w:lang w:eastAsia="zh-CN"/>
          <w14:textFill>
            <w14:solidFill>
              <w14:schemeClr w14:val="tx1"/>
            </w14:solidFill>
          </w14:textFill>
        </w:rPr>
      </w:pPr>
    </w:p>
    <w:p w14:paraId="1E44F88E">
      <w:pPr>
        <w:pStyle w:val="19"/>
        <w:spacing w:line="440" w:lineRule="exact"/>
        <w:ind w:firstLine="420"/>
        <w:rPr>
          <w:rFonts w:hint="eastAsia" w:hAnsi="宋体" w:cs="宋体"/>
          <w:color w:val="000000" w:themeColor="text1"/>
          <w:szCs w:val="21"/>
          <w:highlight w:val="none"/>
          <w:lang w:eastAsia="zh-CN"/>
          <w14:textFill>
            <w14:solidFill>
              <w14:schemeClr w14:val="tx1"/>
            </w14:solidFill>
          </w14:textFill>
        </w:rPr>
      </w:pPr>
    </w:p>
    <w:p w14:paraId="200D06DB">
      <w:pPr>
        <w:pStyle w:val="19"/>
        <w:spacing w:line="440" w:lineRule="exact"/>
        <w:ind w:firstLine="420"/>
        <w:rPr>
          <w:rFonts w:hint="eastAsia" w:hAnsi="宋体" w:cs="宋体"/>
          <w:color w:val="000000" w:themeColor="text1"/>
          <w:szCs w:val="21"/>
          <w:highlight w:val="none"/>
          <w:lang w:eastAsia="zh-CN"/>
          <w14:textFill>
            <w14:solidFill>
              <w14:schemeClr w14:val="tx1"/>
            </w14:solidFill>
          </w14:textFill>
        </w:rPr>
      </w:pPr>
    </w:p>
    <w:p w14:paraId="1873B9A3">
      <w:pPr>
        <w:pStyle w:val="19"/>
        <w:spacing w:line="440" w:lineRule="exact"/>
        <w:ind w:firstLine="843" w:firstLineChars="400"/>
        <w:rPr>
          <w:rFonts w:hint="eastAsia" w:ascii="宋体" w:hAnsi="宋体" w:cs="宋体"/>
          <w:b/>
          <w:bCs/>
          <w:color w:val="000000" w:themeColor="text1"/>
          <w:sz w:val="21"/>
          <w:szCs w:val="21"/>
          <w:highlight w:val="none"/>
          <w:lang w:val="en-US" w:eastAsia="zh-CN"/>
          <w14:textFill>
            <w14:solidFill>
              <w14:schemeClr w14:val="tx1"/>
            </w14:solidFill>
          </w14:textFill>
        </w:rPr>
      </w:pPr>
    </w:p>
    <w:p w14:paraId="1841CD6F">
      <w:pPr>
        <w:pStyle w:val="15"/>
        <w:spacing w:line="440" w:lineRule="exact"/>
        <w:rPr>
          <w:rFonts w:hint="eastAsia" w:ascii="宋体" w:hAnsi="宋体" w:cs="宋体"/>
          <w:b/>
          <w:bCs/>
          <w:color w:val="000000" w:themeColor="text1"/>
          <w:sz w:val="21"/>
          <w:szCs w:val="21"/>
          <w:highlight w:val="none"/>
          <w:lang w:val="en-US" w:eastAsia="zh-CN"/>
          <w14:textFill>
            <w14:solidFill>
              <w14:schemeClr w14:val="tx1"/>
            </w14:solidFill>
          </w14:textFill>
        </w:rPr>
      </w:pPr>
    </w:p>
    <w:p w14:paraId="64EA62AD">
      <w:pPr>
        <w:pStyle w:val="15"/>
        <w:spacing w:line="440" w:lineRule="exact"/>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10</w:t>
      </w:r>
      <w:r>
        <w:rPr>
          <w:rFonts w:hint="eastAsia" w:ascii="宋体" w:hAnsi="宋体" w:cs="宋体"/>
          <w:b/>
          <w:bCs/>
          <w:color w:val="000000" w:themeColor="text1"/>
          <w:sz w:val="21"/>
          <w:szCs w:val="21"/>
          <w:highlight w:val="none"/>
          <w14:textFill>
            <w14:solidFill>
              <w14:schemeClr w14:val="tx1"/>
            </w14:solidFill>
          </w14:textFill>
        </w:rPr>
        <w:t>.供应商可结合本项目的评审办法视自身情况自行提交相关资格审查证明材料。（</w:t>
      </w:r>
      <w:r>
        <w:rPr>
          <w:rFonts w:hint="eastAsia" w:ascii="宋体" w:hAnsi="宋体" w:cs="宋体"/>
          <w:b/>
          <w:color w:val="000000" w:themeColor="text1"/>
          <w:sz w:val="21"/>
          <w:szCs w:val="21"/>
          <w:highlight w:val="none"/>
          <w14:textFill>
            <w14:solidFill>
              <w14:schemeClr w14:val="tx1"/>
            </w14:solidFill>
          </w14:textFill>
        </w:rPr>
        <w:t>如有，请提供</w:t>
      </w:r>
      <w:r>
        <w:rPr>
          <w:rFonts w:hint="eastAsia" w:ascii="宋体" w:hAnsi="宋体" w:cs="宋体"/>
          <w:b/>
          <w:bCs/>
          <w:color w:val="000000" w:themeColor="text1"/>
          <w:sz w:val="21"/>
          <w:szCs w:val="21"/>
          <w:highlight w:val="none"/>
          <w14:textFill>
            <w14:solidFill>
              <w14:schemeClr w14:val="tx1"/>
            </w14:solidFill>
          </w14:textFill>
        </w:rPr>
        <w:t>）</w:t>
      </w:r>
    </w:p>
    <w:p w14:paraId="3E14ABF7">
      <w:pPr>
        <w:pStyle w:val="15"/>
        <w:spacing w:line="440" w:lineRule="exact"/>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br w:type="page"/>
      </w:r>
      <w:r>
        <w:rPr>
          <w:rFonts w:hint="eastAsia" w:ascii="宋体" w:hAnsi="宋体" w:cs="宋体"/>
          <w:b/>
          <w:bCs/>
          <w:color w:val="000000" w:themeColor="text1"/>
          <w:sz w:val="21"/>
          <w:szCs w:val="21"/>
          <w:highlight w:val="none"/>
          <w14:textFill>
            <w14:solidFill>
              <w14:schemeClr w14:val="tx1"/>
            </w14:solidFill>
          </w14:textFill>
        </w:rPr>
        <w:t>二、商务、技术性响应证明材料（格式）</w:t>
      </w:r>
      <w:bookmarkEnd w:id="387"/>
    </w:p>
    <w:p w14:paraId="0F7FA7E2">
      <w:pPr>
        <w:spacing w:line="440" w:lineRule="exact"/>
        <w:rPr>
          <w:rFonts w:hint="eastAsia" w:ascii="宋体" w:hAnsi="宋体" w:cs="宋体"/>
          <w:b/>
          <w:bCs/>
          <w:color w:val="000000" w:themeColor="text1"/>
          <w:szCs w:val="21"/>
          <w:highlight w:val="none"/>
          <w14:textFill>
            <w14:solidFill>
              <w14:schemeClr w14:val="tx1"/>
            </w14:solidFill>
          </w14:textFill>
        </w:rPr>
      </w:pPr>
      <w:bookmarkStart w:id="388" w:name="_Toc495841795"/>
      <w:bookmarkStart w:id="389" w:name="_Toc2409"/>
      <w:r>
        <w:rPr>
          <w:rFonts w:hint="eastAsia" w:ascii="宋体" w:hAnsi="宋体" w:cs="宋体"/>
          <w:b/>
          <w:bCs/>
          <w:color w:val="000000" w:themeColor="text1"/>
          <w:szCs w:val="21"/>
          <w:highlight w:val="none"/>
          <w14:textFill>
            <w14:solidFill>
              <w14:schemeClr w14:val="tx1"/>
            </w14:solidFill>
          </w14:textFill>
        </w:rPr>
        <w:t>1.响应函（必须提供）</w:t>
      </w:r>
    </w:p>
    <w:p w14:paraId="465C346F">
      <w:pPr>
        <w:tabs>
          <w:tab w:val="left" w:pos="0"/>
        </w:tabs>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投标</w:t>
      </w:r>
      <w:r>
        <w:rPr>
          <w:rFonts w:hint="eastAsia" w:ascii="宋体" w:hAnsi="宋体" w:cs="宋体"/>
          <w:b/>
          <w:color w:val="000000" w:themeColor="text1"/>
          <w:szCs w:val="21"/>
          <w:highlight w:val="none"/>
          <w14:textFill>
            <w14:solidFill>
              <w14:schemeClr w14:val="tx1"/>
            </w14:solidFill>
          </w14:textFill>
        </w:rPr>
        <w:t>响应函</w:t>
      </w:r>
    </w:p>
    <w:p w14:paraId="343D549E">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lang w:val="en-US" w:eastAsia="zh-CN"/>
          <w14:textFill>
            <w14:solidFill>
              <w14:schemeClr w14:val="tx1"/>
            </w14:solidFill>
          </w14:textFill>
        </w:rPr>
        <w:t xml:space="preserve">广西骨伤医院 </w:t>
      </w:r>
      <w:r>
        <w:rPr>
          <w:rFonts w:hint="eastAsia" w:ascii="宋体" w:hAnsi="宋体" w:cs="宋体"/>
          <w:color w:val="000000" w:themeColor="text1"/>
          <w:szCs w:val="21"/>
          <w:highlight w:val="none"/>
          <w14:textFill>
            <w14:solidFill>
              <w14:schemeClr w14:val="tx1"/>
            </w14:solidFill>
          </w14:textFill>
        </w:rPr>
        <w:t>：</w:t>
      </w:r>
    </w:p>
    <w:p w14:paraId="72E8784F">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根据贵方</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项目竞争性磋商文件，项目编号：</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，签字代表</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 xml:space="preserve">（姓名）经正式授权并代表供应商 </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供应商单位名称），提交</w:t>
      </w:r>
      <w:r>
        <w:rPr>
          <w:rFonts w:hint="eastAsia" w:hAnsi="宋体" w:cs="宋体"/>
          <w:color w:val="000000" w:themeColor="text1"/>
          <w:szCs w:val="21"/>
          <w:highlight w:val="none"/>
          <w:lang w:eastAsia="zh-CN"/>
          <w14:textFill>
            <w14:solidFill>
              <w14:schemeClr w14:val="tx1"/>
            </w14:solidFill>
          </w14:textFill>
        </w:rPr>
        <w:t>响应文件</w:t>
      </w:r>
      <w:r>
        <w:rPr>
          <w:rFonts w:hint="eastAsia" w:hAnsi="宋体" w:cs="宋体"/>
          <w:color w:val="000000" w:themeColor="text1"/>
          <w:szCs w:val="21"/>
          <w:highlight w:val="none"/>
          <w14:textFill>
            <w14:solidFill>
              <w14:schemeClr w14:val="tx1"/>
            </w14:solidFill>
          </w14:textFill>
        </w:rPr>
        <w:t>。</w:t>
      </w:r>
    </w:p>
    <w:p w14:paraId="2464DF2E">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据此函，签字代表宣布同意如下：</w:t>
      </w:r>
    </w:p>
    <w:p w14:paraId="6A6DC0DE">
      <w:pPr>
        <w:pStyle w:val="19"/>
        <w:spacing w:line="440" w:lineRule="exact"/>
        <w:ind w:firstLine="420"/>
        <w:rPr>
          <w:rFonts w:hint="eastAsia" w:hAnsi="宋体" w:eastAsia="宋体" w:cs="宋体"/>
          <w:color w:val="000000" w:themeColor="text1"/>
          <w:szCs w:val="21"/>
          <w:highlight w:val="none"/>
          <w:lang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1.按磋商文件采购需求</w:t>
      </w:r>
      <w:r>
        <w:rPr>
          <w:rFonts w:hint="eastAsia" w:hAnsi="宋体" w:cs="宋体"/>
          <w:color w:val="000000" w:themeColor="text1"/>
          <w:szCs w:val="21"/>
          <w:highlight w:val="none"/>
          <w:lang w:val="en-US" w:eastAsia="zh-CN"/>
          <w14:textFill>
            <w14:solidFill>
              <w14:schemeClr w14:val="tx1"/>
            </w14:solidFill>
          </w14:textFill>
        </w:rPr>
        <w:t>进行</w:t>
      </w:r>
      <w:r>
        <w:rPr>
          <w:rFonts w:hint="eastAsia" w:hAnsi="宋体" w:cs="宋体"/>
          <w:color w:val="000000" w:themeColor="text1"/>
          <w:szCs w:val="21"/>
          <w:highlight w:val="none"/>
          <w14:textFill>
            <w14:solidFill>
              <w14:schemeClr w14:val="tx1"/>
            </w14:solidFill>
          </w14:textFill>
        </w:rPr>
        <w:t>磋商报价</w:t>
      </w:r>
      <w:r>
        <w:rPr>
          <w:rFonts w:hint="eastAsia" w:hAnsi="宋体" w:cs="宋体"/>
          <w:color w:val="000000" w:themeColor="text1"/>
          <w:szCs w:val="21"/>
          <w:highlight w:val="none"/>
          <w:lang w:eastAsia="zh-CN"/>
          <w14:textFill>
            <w14:solidFill>
              <w14:schemeClr w14:val="tx1"/>
            </w14:solidFill>
          </w14:textFill>
        </w:rPr>
        <w:t>。</w:t>
      </w:r>
    </w:p>
    <w:p w14:paraId="26205CAB">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2.我方承诺已具备磋商文件规定的供应商资格条件。</w:t>
      </w:r>
    </w:p>
    <w:p w14:paraId="4A899D73">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3.我方已详细审核磋商文件，包括修改文件（如有的话）和有关附件，将自行承担因对全部磋商文件理解不正确或误解而产生的相应后果。</w:t>
      </w:r>
    </w:p>
    <w:p w14:paraId="4D212E58">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4.响应文件有效期为响应文件递交截止时间之日起90天。</w:t>
      </w:r>
    </w:p>
    <w:p w14:paraId="3C73CCD5">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5.如我方成交：</w:t>
      </w:r>
    </w:p>
    <w:p w14:paraId="0657A772">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（1）我方承诺在收到成交通知书后，在成交通知书规定的期限内与采购人签订合同。</w:t>
      </w:r>
    </w:p>
    <w:p w14:paraId="150AD42D">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（2）我方承诺按照磋商文件规定递交履约担保。</w:t>
      </w:r>
    </w:p>
    <w:p w14:paraId="6DA33017">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（3）我方承诺本响应文件至本项目合同履行完毕止均保持有效，按磋商文件及政府采购</w:t>
      </w:r>
      <w:r>
        <w:rPr>
          <w:rFonts w:hint="eastAsia" w:hAnsi="宋体" w:cs="宋体"/>
          <w:color w:val="000000" w:themeColor="text1"/>
          <w:szCs w:val="21"/>
          <w:highlight w:val="none"/>
          <w:lang w:eastAsia="zh-CN"/>
          <w14:textFill>
            <w14:solidFill>
              <w14:schemeClr w14:val="tx1"/>
            </w14:solidFill>
          </w14:textFill>
        </w:rPr>
        <w:t>法律法规</w:t>
      </w:r>
      <w:r>
        <w:rPr>
          <w:rFonts w:hint="eastAsia" w:hAnsi="宋体" w:cs="宋体"/>
          <w:color w:val="000000" w:themeColor="text1"/>
          <w:szCs w:val="21"/>
          <w:highlight w:val="none"/>
          <w14:textFill>
            <w14:solidFill>
              <w14:schemeClr w14:val="tx1"/>
            </w14:solidFill>
          </w14:textFill>
        </w:rPr>
        <w:t>的规定履行合同责任和义务。</w:t>
      </w:r>
    </w:p>
    <w:p w14:paraId="03FA10C4">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与本项目有关的正式通讯地址为：</w:t>
      </w:r>
    </w:p>
    <w:p w14:paraId="53E06AFF">
      <w:pPr>
        <w:spacing w:line="440" w:lineRule="exact"/>
        <w:rPr>
          <w:rFonts w:hint="eastAsia" w:ascii="宋体" w:hAnsi="宋体" w:cs="宋体"/>
          <w:color w:val="000000" w:themeColor="text1"/>
          <w:szCs w:val="21"/>
          <w:highlight w:val="none"/>
          <w14:textFill>
            <w14:solidFill>
              <w14:schemeClr w14:val="tx1"/>
            </w14:solidFill>
          </w14:textFill>
        </w:rPr>
      </w:pPr>
    </w:p>
    <w:p w14:paraId="2A5A8DF5">
      <w:pPr>
        <w:pStyle w:val="19"/>
        <w:spacing w:line="440" w:lineRule="exact"/>
        <w:ind w:firstLine="420"/>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地址：</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 xml:space="preserve"> 邮编：</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 xml:space="preserve">  电话、传真：</w:t>
      </w:r>
      <w:r>
        <w:rPr>
          <w:rFonts w:hint="eastAsia" w:hAnsi="宋体" w:cs="宋体"/>
          <w:color w:val="000000" w:themeColor="text1"/>
          <w:szCs w:val="21"/>
          <w:highlight w:val="none"/>
          <w:u w:val="single"/>
          <w14:textFill>
            <w14:solidFill>
              <w14:schemeClr w14:val="tx1"/>
            </w14:solidFill>
          </w14:textFill>
        </w:rPr>
        <w:t xml:space="preserve">            </w:t>
      </w:r>
    </w:p>
    <w:p w14:paraId="2D1177A7">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开户名称：</w:t>
      </w:r>
      <w:r>
        <w:rPr>
          <w:rFonts w:hint="eastAsia" w:hAnsi="宋体" w:cs="宋体"/>
          <w:color w:val="000000" w:themeColor="text1"/>
          <w:szCs w:val="21"/>
          <w:highlight w:val="none"/>
          <w:u w:val="single"/>
          <w14:textFill>
            <w14:solidFill>
              <w14:schemeClr w14:val="tx1"/>
            </w14:solidFill>
          </w14:textFill>
        </w:rPr>
        <w:t xml:space="preserve">                                        </w:t>
      </w:r>
    </w:p>
    <w:p w14:paraId="3475CCF6">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开户银行：</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r>
        <w:rPr>
          <w:rFonts w:hint="eastAsia" w:hAnsi="宋体" w:cs="宋体"/>
          <w:color w:val="000000" w:themeColor="text1"/>
          <w:szCs w:val="21"/>
          <w:highlight w:val="none"/>
          <w:u w:val="single"/>
          <w14:textFill>
            <w14:solidFill>
              <w14:schemeClr w14:val="tx1"/>
            </w14:solidFill>
          </w14:textFill>
        </w:rPr>
        <w:t xml:space="preserve">       </w:t>
      </w:r>
    </w:p>
    <w:p w14:paraId="07CBBDAB">
      <w:pPr>
        <w:pStyle w:val="19"/>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账号：</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r>
        <w:rPr>
          <w:rFonts w:hint="eastAsia" w:hAnsi="宋体" w:cs="宋体"/>
          <w:color w:val="000000" w:themeColor="text1"/>
          <w:szCs w:val="21"/>
          <w:highlight w:val="none"/>
          <w:u w:val="single"/>
          <w14:textFill>
            <w14:solidFill>
              <w14:schemeClr w14:val="tx1"/>
            </w14:solidFill>
          </w14:textFill>
        </w:rPr>
        <w:t xml:space="preserve">   </w:t>
      </w:r>
    </w:p>
    <w:p w14:paraId="7678AA94">
      <w:pPr>
        <w:pStyle w:val="19"/>
        <w:spacing w:line="440" w:lineRule="exact"/>
        <w:ind w:firstLine="420"/>
        <w:rPr>
          <w:rFonts w:hint="eastAsia" w:hAnsi="宋体" w:cs="宋体"/>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14:textFill>
            <w14:solidFill>
              <w14:schemeClr w14:val="tx1"/>
            </w14:solidFill>
          </w14:textFill>
        </w:rPr>
        <w:t>：</w:t>
      </w:r>
      <w:r>
        <w:rPr>
          <w:rFonts w:hint="eastAsia" w:hAnsi="宋体" w:cs="宋体"/>
          <w:bCs/>
          <w:color w:val="000000" w:themeColor="text1"/>
          <w:szCs w:val="21"/>
          <w:highlight w:val="none"/>
          <w:u w:val="single"/>
          <w14:textFill>
            <w14:solidFill>
              <w14:schemeClr w14:val="tx1"/>
            </w14:solidFill>
          </w14:textFill>
        </w:rPr>
        <w:t xml:space="preserve">                              </w:t>
      </w:r>
    </w:p>
    <w:p w14:paraId="647A0F58">
      <w:pPr>
        <w:pStyle w:val="19"/>
        <w:spacing w:line="440" w:lineRule="exact"/>
        <w:ind w:firstLine="420"/>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法定代表人或委托代理人签字或个人签章：</w:t>
      </w:r>
      <w:r>
        <w:rPr>
          <w:rFonts w:hint="eastAsia" w:hAnsi="宋体" w:cs="宋体"/>
          <w:color w:val="000000" w:themeColor="text1"/>
          <w:szCs w:val="21"/>
          <w:highlight w:val="none"/>
          <w:u w:val="single"/>
          <w14:textFill>
            <w14:solidFill>
              <w14:schemeClr w14:val="tx1"/>
            </w14:solidFill>
          </w14:textFill>
        </w:rPr>
        <w:t xml:space="preserve">              </w:t>
      </w:r>
    </w:p>
    <w:p w14:paraId="37D9EFE1">
      <w:pPr>
        <w:pStyle w:val="19"/>
        <w:spacing w:line="440" w:lineRule="exact"/>
        <w:ind w:firstLine="420"/>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日期：</w:t>
      </w:r>
      <w:r>
        <w:rPr>
          <w:rFonts w:hint="eastAsia" w:hAnsi="宋体" w:cs="宋体"/>
          <w:color w:val="000000" w:themeColor="text1"/>
          <w:szCs w:val="21"/>
          <w:highlight w:val="none"/>
          <w:u w:val="single"/>
          <w14:textFill>
            <w14:solidFill>
              <w14:schemeClr w14:val="tx1"/>
            </w14:solidFill>
          </w14:textFill>
        </w:rPr>
        <w:t xml:space="preserve">                               </w:t>
      </w:r>
    </w:p>
    <w:p w14:paraId="5AA398E6">
      <w:pPr>
        <w:spacing w:line="440" w:lineRule="exact"/>
        <w:rPr>
          <w:rFonts w:hint="eastAsia" w:ascii="宋体" w:hAnsi="宋体" w:cs="宋体"/>
          <w:b/>
          <w:color w:val="000000" w:themeColor="text1"/>
          <w:szCs w:val="21"/>
          <w:highlight w:val="none"/>
          <w14:textFill>
            <w14:solidFill>
              <w14:schemeClr w14:val="tx1"/>
            </w14:solidFill>
          </w14:textFill>
        </w:rPr>
      </w:pPr>
    </w:p>
    <w:p w14:paraId="65F10DB3">
      <w:pPr>
        <w:widowControl/>
        <w:spacing w:line="440" w:lineRule="exact"/>
        <w:jc w:val="left"/>
        <w:rPr>
          <w:rFonts w:hint="eastAsia" w:ascii="宋体" w:hAnsi="宋体" w:cs="宋体"/>
          <w:b/>
          <w:bCs/>
          <w:color w:val="000000" w:themeColor="text1"/>
          <w:szCs w:val="21"/>
          <w:highlight w:val="none"/>
          <w14:textFill>
            <w14:solidFill>
              <w14:schemeClr w14:val="tx1"/>
            </w14:solidFill>
          </w14:textFill>
        </w:rPr>
      </w:pPr>
      <w:bookmarkStart w:id="390" w:name="_Toc21482"/>
      <w:r>
        <w:rPr>
          <w:rFonts w:hint="eastAsia" w:ascii="宋体" w:hAnsi="宋体" w:cs="宋体"/>
          <w:b/>
          <w:bCs/>
          <w:color w:val="000000" w:themeColor="text1"/>
          <w:szCs w:val="21"/>
          <w:highlight w:val="none"/>
          <w14:textFill>
            <w14:solidFill>
              <w14:schemeClr w14:val="tx1"/>
            </w14:solidFill>
          </w14:textFill>
        </w:rPr>
        <w:br w:type="page"/>
      </w:r>
    </w:p>
    <w:p w14:paraId="4D2A1619">
      <w:pPr>
        <w:widowControl/>
        <w:spacing w:line="440" w:lineRule="exact"/>
        <w:jc w:val="lef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2.服务需求响应表（必须提供）；</w:t>
      </w:r>
    </w:p>
    <w:p w14:paraId="25E3A00D">
      <w:pPr>
        <w:rPr>
          <w:rFonts w:hint="eastAsia" w:ascii="宋体" w:hAnsi="宋体" w:eastAsia="宋体" w:cs="宋体"/>
          <w:color w:val="000000" w:themeColor="text1"/>
          <w:highlight w:val="none"/>
          <w:lang w:val="en-US" w:eastAsia="zh-CN"/>
          <w14:textFill>
            <w14:solidFill>
              <w14:schemeClr w14:val="tx1"/>
            </w14:solidFill>
          </w14:textFill>
        </w:rPr>
      </w:pPr>
    </w:p>
    <w:p w14:paraId="48393F6B">
      <w:pPr>
        <w:jc w:val="center"/>
        <w:rPr>
          <w:rFonts w:ascii="宋体" w:hAnsi="宋体" w:cs="宋体"/>
          <w:b/>
          <w:bCs/>
          <w:color w:val="000000" w:themeColor="text1"/>
          <w:sz w:val="24"/>
          <w:szCs w:val="21"/>
          <w14:textFill>
            <w14:solidFill>
              <w14:schemeClr w14:val="tx1"/>
            </w14:solidFill>
          </w14:textFill>
        </w:rPr>
      </w:pPr>
      <w:r>
        <w:rPr>
          <w:rFonts w:hint="eastAsia" w:ascii="宋体" w:hAnsi="宋体" w:cs="宋体"/>
          <w:b/>
          <w:bCs/>
          <w:color w:val="000000" w:themeColor="text1"/>
          <w:sz w:val="24"/>
          <w:szCs w:val="21"/>
          <w14:textFill>
            <w14:solidFill>
              <w14:schemeClr w14:val="tx1"/>
            </w14:solidFill>
          </w14:textFill>
        </w:rPr>
        <w:t>服务</w:t>
      </w:r>
      <w:r>
        <w:rPr>
          <w:rFonts w:hint="eastAsia" w:ascii="宋体" w:hAnsi="宋体" w:cs="宋体"/>
          <w:b/>
          <w:bCs/>
          <w:color w:val="000000" w:themeColor="text1"/>
          <w:sz w:val="24"/>
          <w:szCs w:val="21"/>
          <w:lang w:val="en-US" w:eastAsia="zh-CN"/>
          <w14:textFill>
            <w14:solidFill>
              <w14:schemeClr w14:val="tx1"/>
            </w14:solidFill>
          </w14:textFill>
        </w:rPr>
        <w:t>需求</w:t>
      </w:r>
      <w:r>
        <w:rPr>
          <w:rFonts w:hint="eastAsia" w:ascii="宋体" w:hAnsi="宋体" w:cs="宋体"/>
          <w:b/>
          <w:bCs/>
          <w:color w:val="000000" w:themeColor="text1"/>
          <w:sz w:val="24"/>
          <w:szCs w:val="21"/>
          <w14:textFill>
            <w14:solidFill>
              <w14:schemeClr w14:val="tx1"/>
            </w14:solidFill>
          </w14:textFill>
        </w:rPr>
        <w:t>响应表（格式）</w:t>
      </w:r>
    </w:p>
    <w:tbl>
      <w:tblPr>
        <w:tblStyle w:val="36"/>
        <w:tblW w:w="7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tblGrid>
      <w:tr w14:paraId="270C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9" w:type="dxa"/>
            <w:shd w:val="clear" w:color="auto" w:fill="8DB3E2"/>
            <w:vAlign w:val="center"/>
          </w:tcPr>
          <w:p w14:paraId="645C443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2313" w:type="dxa"/>
            <w:shd w:val="clear" w:color="auto" w:fill="8DB3E2"/>
            <w:vAlign w:val="center"/>
          </w:tcPr>
          <w:p w14:paraId="5DF95B4C">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b/>
                <w:bCs/>
                <w:color w:val="000000" w:themeColor="text1"/>
                <w:kern w:val="21"/>
                <w:szCs w:val="21"/>
                <w:lang w:val="en-US" w:eastAsia="zh-CN"/>
                <w14:textFill>
                  <w14:solidFill>
                    <w14:schemeClr w14:val="tx1"/>
                  </w14:solidFill>
                </w14:textFill>
              </w:rPr>
              <w:t>招标文件</w:t>
            </w:r>
            <w:r>
              <w:rPr>
                <w:rFonts w:hint="eastAsia" w:ascii="宋体" w:hAnsi="宋体"/>
                <w:b/>
                <w:bCs/>
                <w:color w:val="000000" w:themeColor="text1"/>
                <w:kern w:val="21"/>
                <w:szCs w:val="21"/>
                <w14:textFill>
                  <w14:solidFill>
                    <w14:schemeClr w14:val="tx1"/>
                  </w14:solidFill>
                </w14:textFill>
              </w:rPr>
              <w:t>服务内容及要求</w:t>
            </w:r>
          </w:p>
        </w:tc>
        <w:tc>
          <w:tcPr>
            <w:tcW w:w="2520" w:type="dxa"/>
            <w:shd w:val="clear" w:color="auto" w:fill="8DB3E2"/>
            <w:vAlign w:val="center"/>
          </w:tcPr>
          <w:p w14:paraId="7537F893">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响应文件的响应情况</w:t>
            </w:r>
          </w:p>
        </w:tc>
        <w:tc>
          <w:tcPr>
            <w:tcW w:w="2113" w:type="dxa"/>
            <w:shd w:val="clear" w:color="auto" w:fill="8DB3E2"/>
            <w:vAlign w:val="center"/>
          </w:tcPr>
          <w:p w14:paraId="26167887">
            <w:pPr>
              <w:spacing w:line="400" w:lineRule="exact"/>
              <w:jc w:val="center"/>
              <w:rPr>
                <w:rFonts w:ascii="宋体" w:hAnsi="宋体" w:cs="宋体"/>
                <w:b/>
                <w:color w:val="000000" w:themeColor="text1"/>
                <w14:textFill>
                  <w14:solidFill>
                    <w14:schemeClr w14:val="tx1"/>
                  </w14:solidFill>
                </w14:textFill>
              </w:rPr>
            </w:pPr>
            <w:bookmarkStart w:id="391" w:name="_Toc254970701"/>
            <w:bookmarkStart w:id="392" w:name="_Toc254970560"/>
            <w:r>
              <w:rPr>
                <w:rFonts w:hint="eastAsia" w:ascii="宋体" w:hAnsi="宋体" w:cs="宋体"/>
                <w:b/>
                <w:color w:val="000000" w:themeColor="text1"/>
                <w14:textFill>
                  <w14:solidFill>
                    <w14:schemeClr w14:val="tx1"/>
                  </w14:solidFill>
                </w14:textFill>
              </w:rPr>
              <w:t>偏离情况</w:t>
            </w:r>
            <w:bookmarkEnd w:id="391"/>
            <w:bookmarkEnd w:id="392"/>
            <w:r>
              <w:rPr>
                <w:rFonts w:hint="eastAsia" w:ascii="宋体" w:hAnsi="宋体" w:cs="宋体"/>
                <w:b/>
                <w:color w:val="000000" w:themeColor="text1"/>
                <w14:textFill>
                  <w14:solidFill>
                    <w14:schemeClr w14:val="tx1"/>
                  </w14:solidFill>
                </w14:textFill>
              </w:rPr>
              <w:t>说明</w:t>
            </w:r>
          </w:p>
        </w:tc>
      </w:tr>
      <w:tr w14:paraId="6CF2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82F4CA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313" w:type="dxa"/>
            <w:vAlign w:val="center"/>
          </w:tcPr>
          <w:p w14:paraId="4692F4F3">
            <w:pPr>
              <w:spacing w:line="400" w:lineRule="exact"/>
              <w:jc w:val="left"/>
              <w:rPr>
                <w:rFonts w:ascii="宋体" w:hAnsi="宋体" w:cs="宋体"/>
                <w:color w:val="000000" w:themeColor="text1"/>
                <w14:textFill>
                  <w14:solidFill>
                    <w14:schemeClr w14:val="tx1"/>
                  </w14:solidFill>
                </w14:textFill>
              </w:rPr>
            </w:pPr>
          </w:p>
        </w:tc>
        <w:tc>
          <w:tcPr>
            <w:tcW w:w="2520" w:type="dxa"/>
          </w:tcPr>
          <w:p w14:paraId="750E032E">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0D227BB6">
            <w:pPr>
              <w:spacing w:line="400" w:lineRule="exact"/>
              <w:jc w:val="left"/>
              <w:rPr>
                <w:rFonts w:ascii="宋体" w:hAnsi="宋体" w:cs="宋体"/>
                <w:color w:val="000000" w:themeColor="text1"/>
                <w14:textFill>
                  <w14:solidFill>
                    <w14:schemeClr w14:val="tx1"/>
                  </w14:solidFill>
                </w14:textFill>
              </w:rPr>
            </w:pPr>
          </w:p>
        </w:tc>
      </w:tr>
      <w:tr w14:paraId="0125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09" w:type="dxa"/>
            <w:vAlign w:val="center"/>
          </w:tcPr>
          <w:p w14:paraId="5560A32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313" w:type="dxa"/>
            <w:vAlign w:val="center"/>
          </w:tcPr>
          <w:p w14:paraId="1EDEF8FD">
            <w:pPr>
              <w:spacing w:line="400" w:lineRule="exact"/>
              <w:jc w:val="left"/>
              <w:rPr>
                <w:rFonts w:ascii="宋体" w:hAnsi="宋体" w:cs="宋体"/>
                <w:color w:val="000000" w:themeColor="text1"/>
                <w14:textFill>
                  <w14:solidFill>
                    <w14:schemeClr w14:val="tx1"/>
                  </w14:solidFill>
                </w14:textFill>
              </w:rPr>
            </w:pPr>
          </w:p>
        </w:tc>
        <w:tc>
          <w:tcPr>
            <w:tcW w:w="2520" w:type="dxa"/>
          </w:tcPr>
          <w:p w14:paraId="299C710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6F8D6926">
            <w:pPr>
              <w:spacing w:line="400" w:lineRule="exact"/>
              <w:jc w:val="left"/>
              <w:rPr>
                <w:rFonts w:ascii="宋体" w:hAnsi="宋体" w:cs="宋体"/>
                <w:color w:val="000000" w:themeColor="text1"/>
                <w14:textFill>
                  <w14:solidFill>
                    <w14:schemeClr w14:val="tx1"/>
                  </w14:solidFill>
                </w14:textFill>
              </w:rPr>
            </w:pPr>
          </w:p>
        </w:tc>
      </w:tr>
      <w:tr w14:paraId="3651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9BF50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313" w:type="dxa"/>
          </w:tcPr>
          <w:p w14:paraId="0BD45FDF">
            <w:pPr>
              <w:spacing w:line="400" w:lineRule="exact"/>
              <w:jc w:val="left"/>
              <w:rPr>
                <w:rFonts w:ascii="宋体" w:hAnsi="宋体" w:cs="宋体"/>
                <w:color w:val="000000" w:themeColor="text1"/>
                <w14:textFill>
                  <w14:solidFill>
                    <w14:schemeClr w14:val="tx1"/>
                  </w14:solidFill>
                </w14:textFill>
              </w:rPr>
            </w:pPr>
          </w:p>
        </w:tc>
        <w:tc>
          <w:tcPr>
            <w:tcW w:w="2520" w:type="dxa"/>
          </w:tcPr>
          <w:p w14:paraId="324E87F8">
            <w:pPr>
              <w:spacing w:line="400" w:lineRule="exact"/>
              <w:jc w:val="left"/>
              <w:rPr>
                <w:rFonts w:ascii="宋体" w:hAnsi="宋体" w:cs="宋体"/>
                <w:color w:val="000000" w:themeColor="text1"/>
                <w14:textFill>
                  <w14:solidFill>
                    <w14:schemeClr w14:val="tx1"/>
                  </w14:solidFill>
                </w14:textFill>
              </w:rPr>
            </w:pPr>
          </w:p>
        </w:tc>
        <w:tc>
          <w:tcPr>
            <w:tcW w:w="2113" w:type="dxa"/>
          </w:tcPr>
          <w:p w14:paraId="2D142A4A">
            <w:pPr>
              <w:spacing w:line="400" w:lineRule="exact"/>
              <w:jc w:val="left"/>
              <w:rPr>
                <w:rFonts w:ascii="宋体" w:hAnsi="宋体" w:cs="宋体"/>
                <w:color w:val="000000" w:themeColor="text1"/>
                <w14:textFill>
                  <w14:solidFill>
                    <w14:schemeClr w14:val="tx1"/>
                  </w14:solidFill>
                </w14:textFill>
              </w:rPr>
            </w:pPr>
          </w:p>
        </w:tc>
      </w:tr>
      <w:tr w14:paraId="748C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336EA2F">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313" w:type="dxa"/>
          </w:tcPr>
          <w:p w14:paraId="70FEE7F1">
            <w:pPr>
              <w:spacing w:line="400" w:lineRule="exact"/>
              <w:jc w:val="left"/>
              <w:rPr>
                <w:rFonts w:ascii="宋体" w:hAnsi="宋体" w:cs="宋体"/>
                <w:color w:val="000000" w:themeColor="text1"/>
                <w14:textFill>
                  <w14:solidFill>
                    <w14:schemeClr w14:val="tx1"/>
                  </w14:solidFill>
                </w14:textFill>
              </w:rPr>
            </w:pPr>
          </w:p>
        </w:tc>
        <w:tc>
          <w:tcPr>
            <w:tcW w:w="2520" w:type="dxa"/>
          </w:tcPr>
          <w:p w14:paraId="0FA9E72B">
            <w:pPr>
              <w:spacing w:line="400" w:lineRule="exact"/>
              <w:jc w:val="left"/>
              <w:rPr>
                <w:rFonts w:ascii="宋体" w:hAnsi="宋体" w:cs="宋体"/>
                <w:color w:val="000000" w:themeColor="text1"/>
                <w14:textFill>
                  <w14:solidFill>
                    <w14:schemeClr w14:val="tx1"/>
                  </w14:solidFill>
                </w14:textFill>
              </w:rPr>
            </w:pPr>
          </w:p>
        </w:tc>
        <w:tc>
          <w:tcPr>
            <w:tcW w:w="2113" w:type="dxa"/>
          </w:tcPr>
          <w:p w14:paraId="67166367">
            <w:pPr>
              <w:spacing w:line="400" w:lineRule="exact"/>
              <w:jc w:val="left"/>
              <w:rPr>
                <w:rFonts w:ascii="宋体" w:hAnsi="宋体" w:cs="宋体"/>
                <w:color w:val="000000" w:themeColor="text1"/>
                <w14:textFill>
                  <w14:solidFill>
                    <w14:schemeClr w14:val="tx1"/>
                  </w14:solidFill>
                </w14:textFill>
              </w:rPr>
            </w:pPr>
          </w:p>
        </w:tc>
      </w:tr>
      <w:tr w14:paraId="1421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A8CD7C6">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313" w:type="dxa"/>
          </w:tcPr>
          <w:p w14:paraId="004E94B3">
            <w:pPr>
              <w:spacing w:line="400" w:lineRule="exact"/>
              <w:jc w:val="left"/>
              <w:rPr>
                <w:rFonts w:ascii="宋体" w:hAnsi="宋体" w:cs="宋体"/>
                <w:color w:val="000000" w:themeColor="text1"/>
                <w14:textFill>
                  <w14:solidFill>
                    <w14:schemeClr w14:val="tx1"/>
                  </w14:solidFill>
                </w14:textFill>
              </w:rPr>
            </w:pPr>
          </w:p>
        </w:tc>
        <w:tc>
          <w:tcPr>
            <w:tcW w:w="2520" w:type="dxa"/>
          </w:tcPr>
          <w:p w14:paraId="57D94FD2">
            <w:pPr>
              <w:spacing w:line="400" w:lineRule="exact"/>
              <w:jc w:val="left"/>
              <w:rPr>
                <w:rFonts w:ascii="宋体" w:hAnsi="宋体" w:cs="宋体"/>
                <w:color w:val="000000" w:themeColor="text1"/>
                <w14:textFill>
                  <w14:solidFill>
                    <w14:schemeClr w14:val="tx1"/>
                  </w14:solidFill>
                </w14:textFill>
              </w:rPr>
            </w:pPr>
          </w:p>
        </w:tc>
        <w:tc>
          <w:tcPr>
            <w:tcW w:w="2113" w:type="dxa"/>
          </w:tcPr>
          <w:p w14:paraId="421231A6">
            <w:pPr>
              <w:spacing w:line="400" w:lineRule="exact"/>
              <w:jc w:val="left"/>
              <w:rPr>
                <w:rFonts w:ascii="宋体" w:hAnsi="宋体" w:cs="宋体"/>
                <w:color w:val="000000" w:themeColor="text1"/>
                <w14:textFill>
                  <w14:solidFill>
                    <w14:schemeClr w14:val="tx1"/>
                  </w14:solidFill>
                </w14:textFill>
              </w:rPr>
            </w:pPr>
          </w:p>
        </w:tc>
      </w:tr>
      <w:tr w14:paraId="33F7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BF2101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313" w:type="dxa"/>
          </w:tcPr>
          <w:p w14:paraId="627EE3BB">
            <w:pPr>
              <w:spacing w:line="400" w:lineRule="exact"/>
              <w:jc w:val="left"/>
              <w:rPr>
                <w:rFonts w:ascii="宋体" w:hAnsi="宋体" w:cs="宋体"/>
                <w:color w:val="000000" w:themeColor="text1"/>
                <w14:textFill>
                  <w14:solidFill>
                    <w14:schemeClr w14:val="tx1"/>
                  </w14:solidFill>
                </w14:textFill>
              </w:rPr>
            </w:pPr>
          </w:p>
        </w:tc>
        <w:tc>
          <w:tcPr>
            <w:tcW w:w="2520" w:type="dxa"/>
          </w:tcPr>
          <w:p w14:paraId="4F62E3AE">
            <w:pPr>
              <w:spacing w:line="400" w:lineRule="exact"/>
              <w:jc w:val="left"/>
              <w:rPr>
                <w:rFonts w:ascii="宋体" w:hAnsi="宋体" w:cs="宋体"/>
                <w:color w:val="000000" w:themeColor="text1"/>
                <w14:textFill>
                  <w14:solidFill>
                    <w14:schemeClr w14:val="tx1"/>
                  </w14:solidFill>
                </w14:textFill>
              </w:rPr>
            </w:pPr>
          </w:p>
        </w:tc>
        <w:tc>
          <w:tcPr>
            <w:tcW w:w="2113" w:type="dxa"/>
          </w:tcPr>
          <w:p w14:paraId="0810B869">
            <w:pPr>
              <w:spacing w:line="400" w:lineRule="exact"/>
              <w:jc w:val="left"/>
              <w:rPr>
                <w:rFonts w:ascii="宋体" w:hAnsi="宋体" w:cs="宋体"/>
                <w:color w:val="000000" w:themeColor="text1"/>
                <w14:textFill>
                  <w14:solidFill>
                    <w14:schemeClr w14:val="tx1"/>
                  </w14:solidFill>
                </w14:textFill>
              </w:rPr>
            </w:pPr>
          </w:p>
        </w:tc>
      </w:tr>
      <w:tr w14:paraId="2450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9C310E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313" w:type="dxa"/>
          </w:tcPr>
          <w:p w14:paraId="0C593504">
            <w:pPr>
              <w:spacing w:line="400" w:lineRule="exact"/>
              <w:jc w:val="left"/>
              <w:rPr>
                <w:rFonts w:ascii="宋体" w:hAnsi="宋体" w:cs="宋体"/>
                <w:color w:val="000000" w:themeColor="text1"/>
                <w14:textFill>
                  <w14:solidFill>
                    <w14:schemeClr w14:val="tx1"/>
                  </w14:solidFill>
                </w14:textFill>
              </w:rPr>
            </w:pPr>
          </w:p>
        </w:tc>
        <w:tc>
          <w:tcPr>
            <w:tcW w:w="2520" w:type="dxa"/>
          </w:tcPr>
          <w:p w14:paraId="1DE3F013">
            <w:pPr>
              <w:spacing w:line="400" w:lineRule="exact"/>
              <w:jc w:val="left"/>
              <w:rPr>
                <w:rFonts w:ascii="宋体" w:hAnsi="宋体" w:cs="宋体"/>
                <w:color w:val="000000" w:themeColor="text1"/>
                <w14:textFill>
                  <w14:solidFill>
                    <w14:schemeClr w14:val="tx1"/>
                  </w14:solidFill>
                </w14:textFill>
              </w:rPr>
            </w:pPr>
          </w:p>
        </w:tc>
        <w:tc>
          <w:tcPr>
            <w:tcW w:w="2113" w:type="dxa"/>
          </w:tcPr>
          <w:p w14:paraId="61CEC060">
            <w:pPr>
              <w:spacing w:line="400" w:lineRule="exact"/>
              <w:jc w:val="left"/>
              <w:rPr>
                <w:rFonts w:ascii="宋体" w:hAnsi="宋体" w:cs="宋体"/>
                <w:color w:val="000000" w:themeColor="text1"/>
                <w14:textFill>
                  <w14:solidFill>
                    <w14:schemeClr w14:val="tx1"/>
                  </w14:solidFill>
                </w14:textFill>
              </w:rPr>
            </w:pPr>
          </w:p>
        </w:tc>
      </w:tr>
      <w:tr w14:paraId="17AD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0B30D19">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313" w:type="dxa"/>
          </w:tcPr>
          <w:p w14:paraId="3710EED8">
            <w:pPr>
              <w:spacing w:line="400" w:lineRule="exact"/>
              <w:jc w:val="left"/>
              <w:rPr>
                <w:rFonts w:ascii="宋体" w:hAnsi="宋体" w:cs="宋体"/>
                <w:color w:val="000000" w:themeColor="text1"/>
                <w14:textFill>
                  <w14:solidFill>
                    <w14:schemeClr w14:val="tx1"/>
                  </w14:solidFill>
                </w14:textFill>
              </w:rPr>
            </w:pPr>
          </w:p>
        </w:tc>
        <w:tc>
          <w:tcPr>
            <w:tcW w:w="2520" w:type="dxa"/>
          </w:tcPr>
          <w:p w14:paraId="3B73C9A8">
            <w:pPr>
              <w:spacing w:line="400" w:lineRule="exact"/>
              <w:jc w:val="left"/>
              <w:rPr>
                <w:rFonts w:ascii="宋体" w:hAnsi="宋体" w:cs="宋体"/>
                <w:color w:val="000000" w:themeColor="text1"/>
                <w14:textFill>
                  <w14:solidFill>
                    <w14:schemeClr w14:val="tx1"/>
                  </w14:solidFill>
                </w14:textFill>
              </w:rPr>
            </w:pPr>
          </w:p>
        </w:tc>
        <w:tc>
          <w:tcPr>
            <w:tcW w:w="2113" w:type="dxa"/>
          </w:tcPr>
          <w:p w14:paraId="72843B3B">
            <w:pPr>
              <w:spacing w:line="400" w:lineRule="exact"/>
              <w:jc w:val="left"/>
              <w:rPr>
                <w:rFonts w:ascii="宋体" w:hAnsi="宋体" w:cs="宋体"/>
                <w:color w:val="000000" w:themeColor="text1"/>
                <w14:textFill>
                  <w14:solidFill>
                    <w14:schemeClr w14:val="tx1"/>
                  </w14:solidFill>
                </w14:textFill>
              </w:rPr>
            </w:pPr>
          </w:p>
        </w:tc>
      </w:tr>
      <w:tr w14:paraId="5E2D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5F2C95">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313" w:type="dxa"/>
          </w:tcPr>
          <w:p w14:paraId="4E5F8A3B">
            <w:pPr>
              <w:spacing w:line="400" w:lineRule="exact"/>
              <w:jc w:val="left"/>
              <w:rPr>
                <w:rFonts w:ascii="宋体" w:hAnsi="宋体" w:cs="宋体"/>
                <w:color w:val="000000" w:themeColor="text1"/>
                <w14:textFill>
                  <w14:solidFill>
                    <w14:schemeClr w14:val="tx1"/>
                  </w14:solidFill>
                </w14:textFill>
              </w:rPr>
            </w:pPr>
          </w:p>
        </w:tc>
        <w:tc>
          <w:tcPr>
            <w:tcW w:w="2520" w:type="dxa"/>
          </w:tcPr>
          <w:p w14:paraId="36234D95">
            <w:pPr>
              <w:spacing w:line="400" w:lineRule="exact"/>
              <w:jc w:val="left"/>
              <w:rPr>
                <w:rFonts w:ascii="宋体" w:hAnsi="宋体" w:cs="宋体"/>
                <w:color w:val="000000" w:themeColor="text1"/>
                <w14:textFill>
                  <w14:solidFill>
                    <w14:schemeClr w14:val="tx1"/>
                  </w14:solidFill>
                </w14:textFill>
              </w:rPr>
            </w:pPr>
          </w:p>
        </w:tc>
        <w:tc>
          <w:tcPr>
            <w:tcW w:w="2113" w:type="dxa"/>
          </w:tcPr>
          <w:p w14:paraId="629D02E3">
            <w:pPr>
              <w:spacing w:line="400" w:lineRule="exact"/>
              <w:jc w:val="left"/>
              <w:rPr>
                <w:rFonts w:ascii="宋体" w:hAnsi="宋体" w:cs="宋体"/>
                <w:color w:val="000000" w:themeColor="text1"/>
                <w14:textFill>
                  <w14:solidFill>
                    <w14:schemeClr w14:val="tx1"/>
                  </w14:solidFill>
                </w14:textFill>
              </w:rPr>
            </w:pPr>
          </w:p>
        </w:tc>
      </w:tr>
    </w:tbl>
    <w:p w14:paraId="4EBED6C4">
      <w:pPr>
        <w:pStyle w:val="15"/>
        <w:rPr>
          <w:rFonts w:hint="eastAsia" w:ascii="宋体" w:hAnsi="宋体" w:eastAsia="宋体" w:cs="宋体"/>
          <w:color w:val="000000" w:themeColor="text1"/>
          <w:highlight w:val="none"/>
          <w:lang w:val="en-US" w:eastAsia="zh-CN"/>
          <w14:textFill>
            <w14:solidFill>
              <w14:schemeClr w14:val="tx1"/>
            </w14:solidFill>
          </w14:textFill>
        </w:rPr>
      </w:pPr>
    </w:p>
    <w:p w14:paraId="28492DAF">
      <w:pPr>
        <w:jc w:val="center"/>
        <w:rPr>
          <w:rFonts w:ascii="宋体" w:hAnsi="宋体" w:cs="宋体"/>
          <w:b/>
          <w:bCs/>
          <w:color w:val="000000" w:themeColor="text1"/>
          <w:sz w:val="24"/>
          <w:szCs w:val="21"/>
          <w14:textFill>
            <w14:solidFill>
              <w14:schemeClr w14:val="tx1"/>
            </w14:solidFill>
          </w14:textFill>
        </w:rPr>
      </w:pPr>
      <w:r>
        <w:rPr>
          <w:rFonts w:hint="eastAsia" w:ascii="宋体" w:hAnsi="宋体" w:cs="宋体"/>
          <w:b/>
          <w:bCs/>
          <w:color w:val="000000" w:themeColor="text1"/>
          <w:sz w:val="24"/>
          <w:szCs w:val="21"/>
          <w:lang w:val="en-US" w:eastAsia="zh-CN"/>
          <w14:textFill>
            <w14:solidFill>
              <w14:schemeClr w14:val="tx1"/>
            </w14:solidFill>
          </w14:textFill>
        </w:rPr>
        <w:t>商务需求</w:t>
      </w:r>
      <w:r>
        <w:rPr>
          <w:rFonts w:hint="eastAsia" w:ascii="宋体" w:hAnsi="宋体" w:cs="宋体"/>
          <w:b/>
          <w:bCs/>
          <w:color w:val="000000" w:themeColor="text1"/>
          <w:sz w:val="24"/>
          <w:szCs w:val="21"/>
          <w14:textFill>
            <w14:solidFill>
              <w14:schemeClr w14:val="tx1"/>
            </w14:solidFill>
          </w14:textFill>
        </w:rPr>
        <w:t>响应表（格式）</w:t>
      </w:r>
    </w:p>
    <w:tbl>
      <w:tblPr>
        <w:tblStyle w:val="36"/>
        <w:tblW w:w="7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tblGrid>
      <w:tr w14:paraId="4681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9" w:type="dxa"/>
            <w:shd w:val="clear" w:color="auto" w:fill="FBD4B4" w:themeFill="accent6" w:themeFillTint="66"/>
            <w:vAlign w:val="center"/>
          </w:tcPr>
          <w:p w14:paraId="68DAB496">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2313" w:type="dxa"/>
            <w:shd w:val="clear" w:color="auto" w:fill="FBD4B4" w:themeFill="accent6" w:themeFillTint="66"/>
            <w:vAlign w:val="center"/>
          </w:tcPr>
          <w:p w14:paraId="6565AF5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b/>
                <w:bCs/>
                <w:color w:val="000000" w:themeColor="text1"/>
                <w:kern w:val="21"/>
                <w:szCs w:val="21"/>
                <w:lang w:val="en-US" w:eastAsia="zh-CN"/>
                <w14:textFill>
                  <w14:solidFill>
                    <w14:schemeClr w14:val="tx1"/>
                  </w14:solidFill>
                </w14:textFill>
              </w:rPr>
              <w:t>招标文件商务需求</w:t>
            </w:r>
          </w:p>
        </w:tc>
        <w:tc>
          <w:tcPr>
            <w:tcW w:w="2520" w:type="dxa"/>
            <w:shd w:val="clear" w:color="auto" w:fill="FBD4B4" w:themeFill="accent6" w:themeFillTint="66"/>
            <w:vAlign w:val="center"/>
          </w:tcPr>
          <w:p w14:paraId="7531930E">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响应文件的响应情况</w:t>
            </w:r>
          </w:p>
        </w:tc>
        <w:tc>
          <w:tcPr>
            <w:tcW w:w="2113" w:type="dxa"/>
            <w:shd w:val="clear" w:color="auto" w:fill="FBD4B4" w:themeFill="accent6" w:themeFillTint="66"/>
            <w:vAlign w:val="center"/>
          </w:tcPr>
          <w:p w14:paraId="03C97F9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偏离情况说明</w:t>
            </w:r>
          </w:p>
        </w:tc>
      </w:tr>
      <w:tr w14:paraId="7349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498C087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313" w:type="dxa"/>
            <w:vAlign w:val="center"/>
          </w:tcPr>
          <w:p w14:paraId="611971D6">
            <w:pPr>
              <w:spacing w:line="400" w:lineRule="exact"/>
              <w:jc w:val="left"/>
              <w:rPr>
                <w:rFonts w:ascii="宋体" w:hAnsi="宋体" w:cs="宋体"/>
                <w:color w:val="000000" w:themeColor="text1"/>
                <w14:textFill>
                  <w14:solidFill>
                    <w14:schemeClr w14:val="tx1"/>
                  </w14:solidFill>
                </w14:textFill>
              </w:rPr>
            </w:pPr>
          </w:p>
        </w:tc>
        <w:tc>
          <w:tcPr>
            <w:tcW w:w="2520" w:type="dxa"/>
          </w:tcPr>
          <w:p w14:paraId="35035E8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0A1CD552">
            <w:pPr>
              <w:spacing w:line="400" w:lineRule="exact"/>
              <w:jc w:val="left"/>
              <w:rPr>
                <w:rFonts w:ascii="宋体" w:hAnsi="宋体" w:cs="宋体"/>
                <w:color w:val="000000" w:themeColor="text1"/>
                <w14:textFill>
                  <w14:solidFill>
                    <w14:schemeClr w14:val="tx1"/>
                  </w14:solidFill>
                </w14:textFill>
              </w:rPr>
            </w:pPr>
          </w:p>
        </w:tc>
      </w:tr>
      <w:tr w14:paraId="599C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09" w:type="dxa"/>
            <w:vAlign w:val="center"/>
          </w:tcPr>
          <w:p w14:paraId="41AEC90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313" w:type="dxa"/>
            <w:vAlign w:val="center"/>
          </w:tcPr>
          <w:p w14:paraId="2BDF55C3">
            <w:pPr>
              <w:spacing w:line="400" w:lineRule="exact"/>
              <w:jc w:val="left"/>
              <w:rPr>
                <w:rFonts w:ascii="宋体" w:hAnsi="宋体" w:cs="宋体"/>
                <w:color w:val="000000" w:themeColor="text1"/>
                <w14:textFill>
                  <w14:solidFill>
                    <w14:schemeClr w14:val="tx1"/>
                  </w14:solidFill>
                </w14:textFill>
              </w:rPr>
            </w:pPr>
          </w:p>
        </w:tc>
        <w:tc>
          <w:tcPr>
            <w:tcW w:w="2520" w:type="dxa"/>
          </w:tcPr>
          <w:p w14:paraId="0514CB2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1177EDDF">
            <w:pPr>
              <w:spacing w:line="400" w:lineRule="exact"/>
              <w:jc w:val="left"/>
              <w:rPr>
                <w:rFonts w:ascii="宋体" w:hAnsi="宋体" w:cs="宋体"/>
                <w:color w:val="000000" w:themeColor="text1"/>
                <w14:textFill>
                  <w14:solidFill>
                    <w14:schemeClr w14:val="tx1"/>
                  </w14:solidFill>
                </w14:textFill>
              </w:rPr>
            </w:pPr>
          </w:p>
        </w:tc>
      </w:tr>
      <w:tr w14:paraId="6086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E07093B">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313" w:type="dxa"/>
          </w:tcPr>
          <w:p w14:paraId="2B97D9F2">
            <w:pPr>
              <w:spacing w:line="400" w:lineRule="exact"/>
              <w:jc w:val="left"/>
              <w:rPr>
                <w:rFonts w:ascii="宋体" w:hAnsi="宋体" w:cs="宋体"/>
                <w:color w:val="000000" w:themeColor="text1"/>
                <w14:textFill>
                  <w14:solidFill>
                    <w14:schemeClr w14:val="tx1"/>
                  </w14:solidFill>
                </w14:textFill>
              </w:rPr>
            </w:pPr>
          </w:p>
        </w:tc>
        <w:tc>
          <w:tcPr>
            <w:tcW w:w="2520" w:type="dxa"/>
          </w:tcPr>
          <w:p w14:paraId="06495C08">
            <w:pPr>
              <w:spacing w:line="400" w:lineRule="exact"/>
              <w:jc w:val="left"/>
              <w:rPr>
                <w:rFonts w:ascii="宋体" w:hAnsi="宋体" w:cs="宋体"/>
                <w:color w:val="000000" w:themeColor="text1"/>
                <w14:textFill>
                  <w14:solidFill>
                    <w14:schemeClr w14:val="tx1"/>
                  </w14:solidFill>
                </w14:textFill>
              </w:rPr>
            </w:pPr>
          </w:p>
        </w:tc>
        <w:tc>
          <w:tcPr>
            <w:tcW w:w="2113" w:type="dxa"/>
          </w:tcPr>
          <w:p w14:paraId="6BD108A9">
            <w:pPr>
              <w:spacing w:line="400" w:lineRule="exact"/>
              <w:jc w:val="left"/>
              <w:rPr>
                <w:rFonts w:ascii="宋体" w:hAnsi="宋体" w:cs="宋体"/>
                <w:color w:val="000000" w:themeColor="text1"/>
                <w14:textFill>
                  <w14:solidFill>
                    <w14:schemeClr w14:val="tx1"/>
                  </w14:solidFill>
                </w14:textFill>
              </w:rPr>
            </w:pPr>
          </w:p>
        </w:tc>
      </w:tr>
      <w:tr w14:paraId="6760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D7CF99B">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313" w:type="dxa"/>
          </w:tcPr>
          <w:p w14:paraId="0F126EE4">
            <w:pPr>
              <w:spacing w:line="400" w:lineRule="exact"/>
              <w:jc w:val="left"/>
              <w:rPr>
                <w:rFonts w:ascii="宋体" w:hAnsi="宋体" w:cs="宋体"/>
                <w:color w:val="000000" w:themeColor="text1"/>
                <w14:textFill>
                  <w14:solidFill>
                    <w14:schemeClr w14:val="tx1"/>
                  </w14:solidFill>
                </w14:textFill>
              </w:rPr>
            </w:pPr>
          </w:p>
        </w:tc>
        <w:tc>
          <w:tcPr>
            <w:tcW w:w="2520" w:type="dxa"/>
          </w:tcPr>
          <w:p w14:paraId="2FA703C6">
            <w:pPr>
              <w:spacing w:line="400" w:lineRule="exact"/>
              <w:jc w:val="left"/>
              <w:rPr>
                <w:rFonts w:ascii="宋体" w:hAnsi="宋体" w:cs="宋体"/>
                <w:color w:val="000000" w:themeColor="text1"/>
                <w14:textFill>
                  <w14:solidFill>
                    <w14:schemeClr w14:val="tx1"/>
                  </w14:solidFill>
                </w14:textFill>
              </w:rPr>
            </w:pPr>
          </w:p>
        </w:tc>
        <w:tc>
          <w:tcPr>
            <w:tcW w:w="2113" w:type="dxa"/>
          </w:tcPr>
          <w:p w14:paraId="6BEF8F49">
            <w:pPr>
              <w:spacing w:line="400" w:lineRule="exact"/>
              <w:jc w:val="left"/>
              <w:rPr>
                <w:rFonts w:ascii="宋体" w:hAnsi="宋体" w:cs="宋体"/>
                <w:color w:val="000000" w:themeColor="text1"/>
                <w14:textFill>
                  <w14:solidFill>
                    <w14:schemeClr w14:val="tx1"/>
                  </w14:solidFill>
                </w14:textFill>
              </w:rPr>
            </w:pPr>
          </w:p>
        </w:tc>
      </w:tr>
      <w:tr w14:paraId="1483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B63308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313" w:type="dxa"/>
          </w:tcPr>
          <w:p w14:paraId="13DE2829">
            <w:pPr>
              <w:spacing w:line="400" w:lineRule="exact"/>
              <w:jc w:val="left"/>
              <w:rPr>
                <w:rFonts w:ascii="宋体" w:hAnsi="宋体" w:cs="宋体"/>
                <w:color w:val="000000" w:themeColor="text1"/>
                <w14:textFill>
                  <w14:solidFill>
                    <w14:schemeClr w14:val="tx1"/>
                  </w14:solidFill>
                </w14:textFill>
              </w:rPr>
            </w:pPr>
          </w:p>
        </w:tc>
        <w:tc>
          <w:tcPr>
            <w:tcW w:w="2520" w:type="dxa"/>
          </w:tcPr>
          <w:p w14:paraId="1DF3B349">
            <w:pPr>
              <w:spacing w:line="400" w:lineRule="exact"/>
              <w:jc w:val="left"/>
              <w:rPr>
                <w:rFonts w:ascii="宋体" w:hAnsi="宋体" w:cs="宋体"/>
                <w:color w:val="000000" w:themeColor="text1"/>
                <w14:textFill>
                  <w14:solidFill>
                    <w14:schemeClr w14:val="tx1"/>
                  </w14:solidFill>
                </w14:textFill>
              </w:rPr>
            </w:pPr>
          </w:p>
        </w:tc>
        <w:tc>
          <w:tcPr>
            <w:tcW w:w="2113" w:type="dxa"/>
          </w:tcPr>
          <w:p w14:paraId="6F7EC892">
            <w:pPr>
              <w:spacing w:line="400" w:lineRule="exact"/>
              <w:jc w:val="left"/>
              <w:rPr>
                <w:rFonts w:ascii="宋体" w:hAnsi="宋体" w:cs="宋体"/>
                <w:color w:val="000000" w:themeColor="text1"/>
                <w14:textFill>
                  <w14:solidFill>
                    <w14:schemeClr w14:val="tx1"/>
                  </w14:solidFill>
                </w14:textFill>
              </w:rPr>
            </w:pPr>
          </w:p>
        </w:tc>
      </w:tr>
      <w:tr w14:paraId="4E93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34248E3">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313" w:type="dxa"/>
          </w:tcPr>
          <w:p w14:paraId="486D43F7">
            <w:pPr>
              <w:spacing w:line="400" w:lineRule="exact"/>
              <w:jc w:val="left"/>
              <w:rPr>
                <w:rFonts w:ascii="宋体" w:hAnsi="宋体" w:cs="宋体"/>
                <w:color w:val="000000" w:themeColor="text1"/>
                <w14:textFill>
                  <w14:solidFill>
                    <w14:schemeClr w14:val="tx1"/>
                  </w14:solidFill>
                </w14:textFill>
              </w:rPr>
            </w:pPr>
          </w:p>
        </w:tc>
        <w:tc>
          <w:tcPr>
            <w:tcW w:w="2520" w:type="dxa"/>
          </w:tcPr>
          <w:p w14:paraId="3A8CDCEE">
            <w:pPr>
              <w:spacing w:line="400" w:lineRule="exact"/>
              <w:jc w:val="left"/>
              <w:rPr>
                <w:rFonts w:ascii="宋体" w:hAnsi="宋体" w:cs="宋体"/>
                <w:color w:val="000000" w:themeColor="text1"/>
                <w14:textFill>
                  <w14:solidFill>
                    <w14:schemeClr w14:val="tx1"/>
                  </w14:solidFill>
                </w14:textFill>
              </w:rPr>
            </w:pPr>
          </w:p>
        </w:tc>
        <w:tc>
          <w:tcPr>
            <w:tcW w:w="2113" w:type="dxa"/>
          </w:tcPr>
          <w:p w14:paraId="1D398907">
            <w:pPr>
              <w:spacing w:line="400" w:lineRule="exact"/>
              <w:jc w:val="left"/>
              <w:rPr>
                <w:rFonts w:ascii="宋体" w:hAnsi="宋体" w:cs="宋体"/>
                <w:color w:val="000000" w:themeColor="text1"/>
                <w14:textFill>
                  <w14:solidFill>
                    <w14:schemeClr w14:val="tx1"/>
                  </w14:solidFill>
                </w14:textFill>
              </w:rPr>
            </w:pPr>
          </w:p>
        </w:tc>
      </w:tr>
      <w:tr w14:paraId="2064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53CDDF0C">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313" w:type="dxa"/>
          </w:tcPr>
          <w:p w14:paraId="4D726CEF">
            <w:pPr>
              <w:spacing w:line="400" w:lineRule="exact"/>
              <w:jc w:val="left"/>
              <w:rPr>
                <w:rFonts w:ascii="宋体" w:hAnsi="宋体" w:cs="宋体"/>
                <w:color w:val="000000" w:themeColor="text1"/>
                <w14:textFill>
                  <w14:solidFill>
                    <w14:schemeClr w14:val="tx1"/>
                  </w14:solidFill>
                </w14:textFill>
              </w:rPr>
            </w:pPr>
          </w:p>
        </w:tc>
        <w:tc>
          <w:tcPr>
            <w:tcW w:w="2520" w:type="dxa"/>
          </w:tcPr>
          <w:p w14:paraId="635350B9">
            <w:pPr>
              <w:spacing w:line="400" w:lineRule="exact"/>
              <w:jc w:val="left"/>
              <w:rPr>
                <w:rFonts w:ascii="宋体" w:hAnsi="宋体" w:cs="宋体"/>
                <w:color w:val="000000" w:themeColor="text1"/>
                <w14:textFill>
                  <w14:solidFill>
                    <w14:schemeClr w14:val="tx1"/>
                  </w14:solidFill>
                </w14:textFill>
              </w:rPr>
            </w:pPr>
          </w:p>
        </w:tc>
        <w:tc>
          <w:tcPr>
            <w:tcW w:w="2113" w:type="dxa"/>
          </w:tcPr>
          <w:p w14:paraId="0A4E0B42">
            <w:pPr>
              <w:spacing w:line="400" w:lineRule="exact"/>
              <w:jc w:val="left"/>
              <w:rPr>
                <w:rFonts w:ascii="宋体" w:hAnsi="宋体" w:cs="宋体"/>
                <w:color w:val="000000" w:themeColor="text1"/>
                <w14:textFill>
                  <w14:solidFill>
                    <w14:schemeClr w14:val="tx1"/>
                  </w14:solidFill>
                </w14:textFill>
              </w:rPr>
            </w:pPr>
          </w:p>
        </w:tc>
      </w:tr>
      <w:tr w14:paraId="683D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C106C91">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313" w:type="dxa"/>
          </w:tcPr>
          <w:p w14:paraId="5C967223">
            <w:pPr>
              <w:spacing w:line="400" w:lineRule="exact"/>
              <w:jc w:val="left"/>
              <w:rPr>
                <w:rFonts w:ascii="宋体" w:hAnsi="宋体" w:cs="宋体"/>
                <w:color w:val="000000" w:themeColor="text1"/>
                <w14:textFill>
                  <w14:solidFill>
                    <w14:schemeClr w14:val="tx1"/>
                  </w14:solidFill>
                </w14:textFill>
              </w:rPr>
            </w:pPr>
          </w:p>
        </w:tc>
        <w:tc>
          <w:tcPr>
            <w:tcW w:w="2520" w:type="dxa"/>
          </w:tcPr>
          <w:p w14:paraId="717778A3">
            <w:pPr>
              <w:spacing w:line="400" w:lineRule="exact"/>
              <w:jc w:val="left"/>
              <w:rPr>
                <w:rFonts w:ascii="宋体" w:hAnsi="宋体" w:cs="宋体"/>
                <w:color w:val="000000" w:themeColor="text1"/>
                <w14:textFill>
                  <w14:solidFill>
                    <w14:schemeClr w14:val="tx1"/>
                  </w14:solidFill>
                </w14:textFill>
              </w:rPr>
            </w:pPr>
          </w:p>
        </w:tc>
        <w:tc>
          <w:tcPr>
            <w:tcW w:w="2113" w:type="dxa"/>
          </w:tcPr>
          <w:p w14:paraId="4397C1AE">
            <w:pPr>
              <w:spacing w:line="400" w:lineRule="exact"/>
              <w:jc w:val="left"/>
              <w:rPr>
                <w:rFonts w:ascii="宋体" w:hAnsi="宋体" w:cs="宋体"/>
                <w:color w:val="000000" w:themeColor="text1"/>
                <w14:textFill>
                  <w14:solidFill>
                    <w14:schemeClr w14:val="tx1"/>
                  </w14:solidFill>
                </w14:textFill>
              </w:rPr>
            </w:pPr>
          </w:p>
        </w:tc>
      </w:tr>
      <w:tr w14:paraId="55A7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DAC90E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313" w:type="dxa"/>
          </w:tcPr>
          <w:p w14:paraId="6776D241">
            <w:pPr>
              <w:spacing w:line="400" w:lineRule="exact"/>
              <w:jc w:val="left"/>
              <w:rPr>
                <w:rFonts w:ascii="宋体" w:hAnsi="宋体" w:cs="宋体"/>
                <w:color w:val="000000" w:themeColor="text1"/>
                <w14:textFill>
                  <w14:solidFill>
                    <w14:schemeClr w14:val="tx1"/>
                  </w14:solidFill>
                </w14:textFill>
              </w:rPr>
            </w:pPr>
          </w:p>
        </w:tc>
        <w:tc>
          <w:tcPr>
            <w:tcW w:w="2520" w:type="dxa"/>
          </w:tcPr>
          <w:p w14:paraId="53C53AFD">
            <w:pPr>
              <w:spacing w:line="400" w:lineRule="exact"/>
              <w:jc w:val="left"/>
              <w:rPr>
                <w:rFonts w:ascii="宋体" w:hAnsi="宋体" w:cs="宋体"/>
                <w:color w:val="000000" w:themeColor="text1"/>
                <w14:textFill>
                  <w14:solidFill>
                    <w14:schemeClr w14:val="tx1"/>
                  </w14:solidFill>
                </w14:textFill>
              </w:rPr>
            </w:pPr>
          </w:p>
        </w:tc>
        <w:tc>
          <w:tcPr>
            <w:tcW w:w="2113" w:type="dxa"/>
          </w:tcPr>
          <w:p w14:paraId="0DF82B1F">
            <w:pPr>
              <w:spacing w:line="400" w:lineRule="exact"/>
              <w:jc w:val="left"/>
              <w:rPr>
                <w:rFonts w:ascii="宋体" w:hAnsi="宋体" w:cs="宋体"/>
                <w:color w:val="000000" w:themeColor="text1"/>
                <w14:textFill>
                  <w14:solidFill>
                    <w14:schemeClr w14:val="tx1"/>
                  </w14:solidFill>
                </w14:textFill>
              </w:rPr>
            </w:pPr>
          </w:p>
        </w:tc>
      </w:tr>
    </w:tbl>
    <w:p w14:paraId="0CA21542">
      <w:pPr>
        <w:rPr>
          <w:rFonts w:hint="eastAsia" w:ascii="宋体" w:hAnsi="宋体" w:eastAsia="宋体" w:cs="宋体"/>
          <w:color w:val="000000" w:themeColor="text1"/>
          <w:highlight w:val="none"/>
          <w:lang w:val="en-US" w:eastAsia="zh-CN"/>
          <w14:textFill>
            <w14:solidFill>
              <w14:schemeClr w14:val="tx1"/>
            </w14:solidFill>
          </w14:textFill>
        </w:rPr>
      </w:pPr>
    </w:p>
    <w:p w14:paraId="1EDB3D61">
      <w:pPr>
        <w:pStyle w:val="19"/>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供应商公章</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70C77FD4">
      <w:pPr>
        <w:pStyle w:val="19"/>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个人签章）：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p>
    <w:p w14:paraId="0CB92BCD">
      <w:pPr>
        <w:pStyle w:val="19"/>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5BF9AF0">
      <w:pPr>
        <w:spacing w:line="240" w:lineRule="auto"/>
        <w:ind w:firstLine="452"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lang w:val="en-US" w:eastAsia="zh-CN"/>
          <w14:textFill>
            <w14:solidFill>
              <w14:schemeClr w14:val="tx1"/>
            </w14:solidFill>
          </w14:textFill>
        </w:rPr>
        <w:t>注：</w:t>
      </w:r>
      <w:r>
        <w:rPr>
          <w:rFonts w:hint="eastAsia" w:ascii="宋体" w:hAnsi="宋体" w:cs="宋体"/>
          <w:b/>
          <w:color w:val="000000" w:themeColor="text1"/>
          <w:sz w:val="15"/>
          <w:szCs w:val="15"/>
          <w14:textFill>
            <w14:solidFill>
              <w14:schemeClr w14:val="tx1"/>
            </w14:solidFill>
          </w14:textFill>
        </w:rPr>
        <w:t>1.应对照竞争性磋商文件“第三章 采购需求”中的技术需求及商务需</w:t>
      </w:r>
      <w:r>
        <w:rPr>
          <w:rFonts w:hint="eastAsia" w:ascii="宋体" w:hAnsi="宋体"/>
          <w:b/>
          <w:bCs/>
          <w:color w:val="000000" w:themeColor="text1"/>
          <w:kern w:val="21"/>
          <w:sz w:val="15"/>
          <w:szCs w:val="15"/>
          <w14:textFill>
            <w14:solidFill>
              <w14:schemeClr w14:val="tx1"/>
            </w14:solidFill>
          </w14:textFill>
        </w:rPr>
        <w:t>求</w:t>
      </w:r>
      <w:r>
        <w:rPr>
          <w:rFonts w:hint="eastAsia" w:ascii="宋体" w:hAnsi="宋体" w:cs="宋体"/>
          <w:b/>
          <w:color w:val="000000" w:themeColor="text1"/>
          <w:sz w:val="15"/>
          <w:szCs w:val="15"/>
          <w14:textFill>
            <w14:solidFill>
              <w14:schemeClr w14:val="tx1"/>
            </w14:solidFill>
          </w14:textFill>
        </w:rPr>
        <w:t>逐条实质性响应，并作出偏离说明</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lang w:val="en-US" w:eastAsia="zh-CN"/>
          <w14:textFill>
            <w14:solidFill>
              <w14:schemeClr w14:val="tx1"/>
            </w14:solidFill>
          </w14:textFill>
        </w:rPr>
        <w:t>不得对磋商文件需求参数进行修改，否则视为无效响应</w:t>
      </w:r>
      <w:r>
        <w:rPr>
          <w:rFonts w:hint="eastAsia" w:ascii="宋体" w:hAnsi="宋体" w:cs="宋体"/>
          <w:b/>
          <w:color w:val="000000" w:themeColor="text1"/>
          <w:sz w:val="15"/>
          <w:szCs w:val="15"/>
          <w14:textFill>
            <w14:solidFill>
              <w14:schemeClr w14:val="tx1"/>
            </w14:solidFill>
          </w14:textFill>
        </w:rPr>
        <w:t>。</w:t>
      </w:r>
    </w:p>
    <w:p w14:paraId="377B6C1B">
      <w:pPr>
        <w:spacing w:line="240" w:lineRule="auto"/>
        <w:ind w:firstLine="452"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2.供应商应根据自身的承诺，对照竞争性磋商文件要求在“偏离说明”中注明“正偏离</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14:textFill>
            <w14:solidFill>
              <w14:schemeClr w14:val="tx1"/>
            </w14:solidFill>
          </w14:textFill>
        </w:rPr>
        <w:t>负偏离”或者“无偏离”。既不属于“正偏离”也不属于“负偏离”即为“无偏离”。</w:t>
      </w:r>
    </w:p>
    <w:p w14:paraId="0FA1AA16">
      <w:pPr>
        <w:spacing w:line="240" w:lineRule="auto"/>
        <w:ind w:firstLine="452" w:firstLineChars="3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3.当本表由多页构成时，需逐页加盖磋商供应商（签章）（属自然人的须逐页签字或个人签章）。</w:t>
      </w:r>
      <w:r>
        <w:rPr>
          <w:rFonts w:hint="eastAsia" w:ascii="宋体" w:hAnsi="宋体" w:cs="宋体"/>
          <w:b/>
          <w:bCs/>
          <w:color w:val="000000" w:themeColor="text1"/>
          <w:szCs w:val="21"/>
          <w:highlight w:val="none"/>
          <w14:textFill>
            <w14:solidFill>
              <w14:schemeClr w14:val="tx1"/>
            </w14:solidFill>
          </w14:textFill>
        </w:rPr>
        <w:br w:type="page"/>
      </w:r>
    </w:p>
    <w:p w14:paraId="40CE6A45">
      <w:pPr>
        <w:widowControl/>
        <w:spacing w:line="44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w:t>
      </w:r>
      <w:bookmarkEnd w:id="388"/>
      <w:bookmarkEnd w:id="389"/>
      <w:bookmarkEnd w:id="390"/>
      <w:r>
        <w:rPr>
          <w:rFonts w:hint="eastAsia" w:ascii="宋体" w:hAnsi="宋体" w:cs="宋体"/>
          <w:b/>
          <w:bCs/>
          <w:color w:val="000000" w:themeColor="text1"/>
          <w:szCs w:val="21"/>
          <w:highlight w:val="none"/>
          <w:lang w:eastAsia="zh-CN"/>
          <w14:textFill>
            <w14:solidFill>
              <w14:schemeClr w14:val="tx1"/>
            </w14:solidFill>
          </w14:textFill>
        </w:rPr>
        <w:t>拟投入服务团队</w:t>
      </w:r>
      <w:r>
        <w:rPr>
          <w:rFonts w:hint="eastAsia" w:ascii="宋体" w:hAnsi="宋体" w:cs="宋体"/>
          <w:b/>
          <w:bCs/>
          <w:color w:val="000000" w:themeColor="text1"/>
          <w:szCs w:val="21"/>
          <w:highlight w:val="none"/>
          <w14:textFill>
            <w14:solidFill>
              <w14:schemeClr w14:val="tx1"/>
            </w14:solidFill>
          </w14:textFill>
        </w:rPr>
        <w:t>（如有，请提供）；</w:t>
      </w:r>
    </w:p>
    <w:tbl>
      <w:tblPr>
        <w:tblStyle w:val="36"/>
        <w:tblW w:w="97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2539"/>
      </w:tblGrid>
      <w:tr w14:paraId="1B8D2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000000" w:sz="4" w:space="0"/>
              <w:left w:val="single" w:color="000000" w:sz="4" w:space="0"/>
              <w:bottom w:val="single" w:color="000000" w:sz="4" w:space="0"/>
            </w:tcBorders>
            <w:vAlign w:val="center"/>
          </w:tcPr>
          <w:p w14:paraId="6BA0B413">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岗位</w:t>
            </w:r>
          </w:p>
        </w:tc>
        <w:tc>
          <w:tcPr>
            <w:tcW w:w="829" w:type="dxa"/>
            <w:vMerge w:val="restart"/>
            <w:tcBorders>
              <w:top w:val="single" w:color="000000" w:sz="4" w:space="0"/>
              <w:left w:val="single" w:color="000000" w:sz="4" w:space="0"/>
              <w:bottom w:val="single" w:color="000000" w:sz="4" w:space="0"/>
            </w:tcBorders>
            <w:vAlign w:val="center"/>
          </w:tcPr>
          <w:p w14:paraId="4D340839">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816" w:type="dxa"/>
            <w:vMerge w:val="restart"/>
            <w:tcBorders>
              <w:top w:val="single" w:color="000000" w:sz="4" w:space="0"/>
              <w:left w:val="single" w:color="000000" w:sz="4" w:space="0"/>
              <w:bottom w:val="single" w:color="000000" w:sz="4" w:space="0"/>
            </w:tcBorders>
            <w:vAlign w:val="center"/>
          </w:tcPr>
          <w:p w14:paraId="52587FFB">
            <w:pPr>
              <w:spacing w:line="440" w:lineRule="exact"/>
              <w:ind w:hanging="254"/>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年龄</w:t>
            </w:r>
          </w:p>
        </w:tc>
        <w:tc>
          <w:tcPr>
            <w:tcW w:w="4592" w:type="dxa"/>
            <w:gridSpan w:val="4"/>
            <w:tcBorders>
              <w:top w:val="single" w:color="000000" w:sz="4" w:space="0"/>
              <w:left w:val="single" w:color="000000" w:sz="4" w:space="0"/>
              <w:bottom w:val="single" w:color="000000" w:sz="4" w:space="0"/>
            </w:tcBorders>
            <w:vAlign w:val="center"/>
          </w:tcPr>
          <w:p w14:paraId="09F9B152">
            <w:pPr>
              <w:spacing w:line="440" w:lineRule="exact"/>
              <w:ind w:hanging="254"/>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职业资格证明</w:t>
            </w:r>
            <w:r>
              <w:rPr>
                <w:rFonts w:hint="eastAsia" w:ascii="宋体" w:hAnsi="宋体" w:cs="宋体"/>
                <w:color w:val="000000" w:themeColor="text1"/>
                <w:szCs w:val="21"/>
                <w:highlight w:val="none"/>
                <w:lang w:val="en-US" w:eastAsia="zh-CN"/>
                <w14:textFill>
                  <w14:solidFill>
                    <w14:schemeClr w14:val="tx1"/>
                  </w14:solidFill>
                </w14:textFill>
              </w:rPr>
              <w:t>及职称</w:t>
            </w:r>
          </w:p>
        </w:tc>
        <w:tc>
          <w:tcPr>
            <w:tcW w:w="2539" w:type="dxa"/>
            <w:vMerge w:val="restart"/>
            <w:tcBorders>
              <w:top w:val="single" w:color="000000" w:sz="4" w:space="0"/>
              <w:left w:val="single" w:color="000000" w:sz="4" w:space="0"/>
              <w:right w:val="single" w:color="000000" w:sz="4" w:space="0"/>
            </w:tcBorders>
            <w:vAlign w:val="center"/>
          </w:tcPr>
          <w:p w14:paraId="3A2995A6">
            <w:pPr>
              <w:spacing w:line="440" w:lineRule="exact"/>
              <w:ind w:hanging="254"/>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从业年限</w:t>
            </w:r>
          </w:p>
        </w:tc>
      </w:tr>
      <w:tr w14:paraId="43BC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000000" w:sz="4" w:space="0"/>
              <w:left w:val="single" w:color="000000" w:sz="4" w:space="0"/>
              <w:bottom w:val="single" w:color="000000" w:sz="4" w:space="0"/>
            </w:tcBorders>
            <w:vAlign w:val="center"/>
          </w:tcPr>
          <w:p w14:paraId="115A6CE3">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29" w:type="dxa"/>
            <w:vMerge w:val="continue"/>
            <w:tcBorders>
              <w:top w:val="single" w:color="000000" w:sz="4" w:space="0"/>
              <w:left w:val="single" w:color="000000" w:sz="4" w:space="0"/>
              <w:bottom w:val="single" w:color="000000" w:sz="4" w:space="0"/>
            </w:tcBorders>
            <w:vAlign w:val="center"/>
          </w:tcPr>
          <w:p w14:paraId="49B3B4CB">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16" w:type="dxa"/>
            <w:vMerge w:val="continue"/>
            <w:tcBorders>
              <w:top w:val="single" w:color="000000" w:sz="4" w:space="0"/>
              <w:left w:val="single" w:color="000000" w:sz="4" w:space="0"/>
              <w:bottom w:val="single" w:color="000000" w:sz="4" w:space="0"/>
            </w:tcBorders>
            <w:vAlign w:val="center"/>
          </w:tcPr>
          <w:p w14:paraId="454CF936">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6B575A00">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证书名称</w:t>
            </w:r>
          </w:p>
        </w:tc>
        <w:tc>
          <w:tcPr>
            <w:tcW w:w="1148" w:type="dxa"/>
            <w:tcBorders>
              <w:top w:val="single" w:color="000000" w:sz="4" w:space="0"/>
              <w:left w:val="single" w:color="000000" w:sz="4" w:space="0"/>
              <w:bottom w:val="single" w:color="000000" w:sz="4" w:space="0"/>
            </w:tcBorders>
            <w:vAlign w:val="center"/>
          </w:tcPr>
          <w:p w14:paraId="4859507B">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级别</w:t>
            </w:r>
          </w:p>
        </w:tc>
        <w:tc>
          <w:tcPr>
            <w:tcW w:w="1148" w:type="dxa"/>
            <w:tcBorders>
              <w:top w:val="single" w:color="000000" w:sz="4" w:space="0"/>
              <w:left w:val="single" w:color="000000" w:sz="4" w:space="0"/>
              <w:bottom w:val="single" w:color="000000" w:sz="4" w:space="0"/>
            </w:tcBorders>
            <w:vAlign w:val="center"/>
          </w:tcPr>
          <w:p w14:paraId="619ED913">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证号</w:t>
            </w:r>
          </w:p>
        </w:tc>
        <w:tc>
          <w:tcPr>
            <w:tcW w:w="1148" w:type="dxa"/>
            <w:tcBorders>
              <w:top w:val="single" w:color="000000" w:sz="4" w:space="0"/>
              <w:left w:val="single" w:color="000000" w:sz="4" w:space="0"/>
              <w:bottom w:val="single" w:color="000000" w:sz="4" w:space="0"/>
            </w:tcBorders>
            <w:vAlign w:val="center"/>
          </w:tcPr>
          <w:p w14:paraId="2D3A73D2">
            <w:pPr>
              <w:spacing w:line="440" w:lineRule="exact"/>
              <w:ind w:hanging="254"/>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职称</w:t>
            </w:r>
          </w:p>
        </w:tc>
        <w:tc>
          <w:tcPr>
            <w:tcW w:w="2539" w:type="dxa"/>
            <w:vMerge w:val="continue"/>
            <w:tcBorders>
              <w:left w:val="single" w:color="000000" w:sz="4" w:space="0"/>
              <w:bottom w:val="single" w:color="000000" w:sz="4" w:space="0"/>
              <w:right w:val="single" w:color="000000" w:sz="4" w:space="0"/>
            </w:tcBorders>
            <w:vAlign w:val="center"/>
          </w:tcPr>
          <w:p w14:paraId="196D68FC">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r>
      <w:tr w14:paraId="09827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93" w:type="dxa"/>
            <w:tcBorders>
              <w:top w:val="single" w:color="000000" w:sz="4" w:space="0"/>
              <w:left w:val="single" w:color="000000" w:sz="4" w:space="0"/>
              <w:bottom w:val="single" w:color="000000" w:sz="4" w:space="0"/>
            </w:tcBorders>
            <w:vAlign w:val="center"/>
          </w:tcPr>
          <w:p w14:paraId="1B92B526">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29" w:type="dxa"/>
            <w:tcBorders>
              <w:top w:val="single" w:color="000000" w:sz="4" w:space="0"/>
              <w:left w:val="single" w:color="000000" w:sz="4" w:space="0"/>
              <w:bottom w:val="single" w:color="000000" w:sz="4" w:space="0"/>
            </w:tcBorders>
            <w:vAlign w:val="center"/>
          </w:tcPr>
          <w:p w14:paraId="32656125">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16" w:type="dxa"/>
            <w:tcBorders>
              <w:top w:val="single" w:color="000000" w:sz="4" w:space="0"/>
              <w:left w:val="single" w:color="000000" w:sz="4" w:space="0"/>
              <w:bottom w:val="single" w:color="000000" w:sz="4" w:space="0"/>
            </w:tcBorders>
            <w:vAlign w:val="center"/>
          </w:tcPr>
          <w:p w14:paraId="498749A0">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792F661A">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168193AE">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42D04037">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368D9D3D">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2539" w:type="dxa"/>
            <w:tcBorders>
              <w:top w:val="single" w:color="000000" w:sz="4" w:space="0"/>
              <w:left w:val="single" w:color="000000" w:sz="4" w:space="0"/>
              <w:bottom w:val="single" w:color="000000" w:sz="4" w:space="0"/>
              <w:right w:val="single" w:color="000000" w:sz="4" w:space="0"/>
            </w:tcBorders>
            <w:vAlign w:val="center"/>
          </w:tcPr>
          <w:p w14:paraId="44613913">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r>
    </w:tbl>
    <w:p w14:paraId="2F72661B">
      <w:pPr>
        <w:spacing w:line="240" w:lineRule="auto"/>
        <w:jc w:val="both"/>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注：</w:t>
      </w:r>
    </w:p>
    <w:p w14:paraId="723E74FC">
      <w:pPr>
        <w:spacing w:line="240" w:lineRule="auto"/>
        <w:ind w:firstLine="300" w:firstLineChars="200"/>
        <w:jc w:val="both"/>
        <w:rPr>
          <w:rFonts w:hint="eastAsia" w:ascii="宋体" w:hAnsi="宋体" w:cs="宋体"/>
          <w:color w:val="000000" w:themeColor="text1"/>
          <w:sz w:val="15"/>
          <w:szCs w:val="15"/>
          <w:highlight w:val="none"/>
          <w14:textFill>
            <w14:solidFill>
              <w14:schemeClr w14:val="tx1"/>
            </w14:solidFill>
          </w14:textFill>
        </w:rPr>
      </w:pPr>
      <w:r>
        <w:rPr>
          <w:rFonts w:hint="eastAsia"/>
          <w:color w:val="000000" w:themeColor="text1"/>
          <w:sz w:val="15"/>
          <w:szCs w:val="15"/>
          <w:highlight w:val="none"/>
          <w:lang w:val="en-US" w:eastAsia="zh-CN"/>
          <w14:textFill>
            <w14:solidFill>
              <w14:schemeClr w14:val="tx1"/>
            </w14:solidFill>
          </w14:textFill>
        </w:rPr>
        <w:t>1.</w:t>
      </w:r>
      <w:r>
        <w:rPr>
          <w:rFonts w:hint="eastAsia"/>
          <w:color w:val="000000" w:themeColor="text1"/>
          <w:sz w:val="15"/>
          <w:szCs w:val="15"/>
          <w:highlight w:val="none"/>
          <w14:textFill>
            <w14:solidFill>
              <w14:schemeClr w14:val="tx1"/>
            </w14:solidFill>
          </w14:textFill>
        </w:rPr>
        <w:t>附拟投入人员身份证、相关证书、由县级以上（含县级）社会养老保险经办机构出具的投标人为拟投入项目人员交纳的投标截止时间当月前半年连续任意三个月社保证明（若为近期新聘员工的，以提供劳动合同证明材料复印件为准；若为退休人员的，以提供退休证及劳动合同证明材料复印件为准）等材料复印件】</w:t>
      </w:r>
    </w:p>
    <w:p w14:paraId="090F3C23">
      <w:pPr>
        <w:spacing w:line="240" w:lineRule="auto"/>
        <w:ind w:firstLine="300" w:firstLineChars="200"/>
        <w:jc w:val="both"/>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lang w:val="en-US" w:eastAsia="zh-CN"/>
          <w14:textFill>
            <w14:solidFill>
              <w14:schemeClr w14:val="tx1"/>
            </w14:solidFill>
          </w14:textFill>
        </w:rPr>
        <w:t>2</w:t>
      </w:r>
      <w:r>
        <w:rPr>
          <w:rFonts w:hint="eastAsia" w:ascii="宋体" w:hAnsi="宋体" w:cs="宋体"/>
          <w:color w:val="000000" w:themeColor="text1"/>
          <w:sz w:val="15"/>
          <w:szCs w:val="15"/>
          <w:highlight w:val="none"/>
          <w14:textFill>
            <w14:solidFill>
              <w14:schemeClr w14:val="tx1"/>
            </w14:solidFill>
          </w14:textFill>
        </w:rPr>
        <w:t>.在填写时，如本表格不适合供应商的实际情况，可根据本表格式自行制表填写。</w:t>
      </w:r>
    </w:p>
    <w:p w14:paraId="70D88B2F">
      <w:pPr>
        <w:pStyle w:val="19"/>
        <w:spacing w:line="440" w:lineRule="exact"/>
        <w:ind w:firstLine="420"/>
        <w:rPr>
          <w:rFonts w:hint="eastAsia" w:hAnsi="宋体" w:cs="宋体"/>
          <w:bCs/>
          <w:color w:val="000000" w:themeColor="text1"/>
          <w:szCs w:val="21"/>
          <w:highlight w:val="none"/>
          <w14:textFill>
            <w14:solidFill>
              <w14:schemeClr w14:val="tx1"/>
            </w14:solidFill>
          </w14:textFill>
        </w:rPr>
      </w:pPr>
    </w:p>
    <w:p w14:paraId="0DA79B88">
      <w:pPr>
        <w:pStyle w:val="19"/>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供应商公章</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3F54C2E8">
      <w:pPr>
        <w:pStyle w:val="19"/>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个人签章）：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p>
    <w:p w14:paraId="6DDC22F4">
      <w:pPr>
        <w:pStyle w:val="19"/>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165BCE4">
      <w:pPr>
        <w:pStyle w:val="19"/>
        <w:spacing w:line="440" w:lineRule="exact"/>
        <w:ind w:firstLine="420"/>
        <w:rPr>
          <w:rFonts w:hint="eastAsia" w:hAnsi="宋体" w:cs="宋体"/>
          <w:color w:val="000000" w:themeColor="text1"/>
          <w:szCs w:val="21"/>
          <w:highlight w:val="none"/>
          <w:u w:val="single"/>
          <w14:textFill>
            <w14:solidFill>
              <w14:schemeClr w14:val="tx1"/>
            </w14:solidFill>
          </w14:textFill>
        </w:rPr>
      </w:pPr>
    </w:p>
    <w:p w14:paraId="0AD8B0C7">
      <w:pPr>
        <w:pStyle w:val="114"/>
        <w:spacing w:line="440" w:lineRule="exact"/>
        <w:ind w:firstLine="0" w:firstLineChars="0"/>
        <w:jc w:val="left"/>
        <w:rPr>
          <w:rFonts w:hint="eastAsia" w:ascii="宋体" w:hAnsi="宋体" w:cs="宋体"/>
          <w:b/>
          <w:bCs/>
          <w:color w:val="000000" w:themeColor="text1"/>
          <w:szCs w:val="21"/>
          <w:highlight w:val="none"/>
          <w14:textFill>
            <w14:solidFill>
              <w14:schemeClr w14:val="tx1"/>
            </w14:solidFill>
          </w14:textFill>
        </w:rPr>
      </w:pPr>
    </w:p>
    <w:p w14:paraId="4A25E7EB">
      <w:pPr>
        <w:pStyle w:val="114"/>
        <w:spacing w:line="440" w:lineRule="exact"/>
        <w:ind w:firstLine="0" w:firstLineChars="0"/>
        <w:jc w:val="left"/>
        <w:rPr>
          <w:rFonts w:hint="eastAsia" w:ascii="宋体" w:hAnsi="宋体" w:cs="宋体"/>
          <w:b/>
          <w:bCs/>
          <w:color w:val="000000" w:themeColor="text1"/>
          <w:szCs w:val="21"/>
          <w:highlight w:val="none"/>
          <w14:textFill>
            <w14:solidFill>
              <w14:schemeClr w14:val="tx1"/>
            </w14:solidFill>
          </w14:textFill>
        </w:rPr>
      </w:pPr>
    </w:p>
    <w:p w14:paraId="7E45B6EE">
      <w:pPr>
        <w:pStyle w:val="114"/>
        <w:spacing w:line="440" w:lineRule="exact"/>
        <w:ind w:firstLine="0" w:firstLineChars="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维保</w:t>
      </w:r>
      <w:r>
        <w:rPr>
          <w:rFonts w:hint="eastAsia" w:ascii="宋体" w:hAnsi="宋体" w:eastAsia="宋体" w:cs="宋体"/>
          <w:b/>
          <w:bCs/>
          <w:color w:val="000000" w:themeColor="text1"/>
          <w:szCs w:val="21"/>
          <w:highlight w:val="none"/>
          <w:lang w:eastAsia="zh-CN"/>
          <w14:textFill>
            <w14:solidFill>
              <w14:schemeClr w14:val="tx1"/>
            </w14:solidFill>
          </w14:textFill>
        </w:rPr>
        <w:t>服务方案</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根据评审标准要点据实编制</w:t>
      </w:r>
      <w:r>
        <w:rPr>
          <w:rFonts w:hint="eastAsia" w:ascii="宋体" w:hAnsi="宋体" w:cs="宋体"/>
          <w:b/>
          <w:bCs/>
          <w:color w:val="000000" w:themeColor="text1"/>
          <w:szCs w:val="21"/>
          <w:highlight w:val="none"/>
          <w:lang w:eastAsia="zh-CN"/>
          <w14:textFill>
            <w14:solidFill>
              <w14:schemeClr w14:val="tx1"/>
            </w14:solidFill>
          </w14:textFill>
        </w:rPr>
        <w:t>）</w:t>
      </w:r>
    </w:p>
    <w:p w14:paraId="5D6FBE92">
      <w:pPr>
        <w:pStyle w:val="114"/>
        <w:spacing w:line="440" w:lineRule="exact"/>
        <w:ind w:firstLine="0" w:firstLineChars="0"/>
        <w:jc w:val="left"/>
        <w:rPr>
          <w:rFonts w:hint="eastAsia" w:ascii="宋体" w:hAnsi="宋体" w:cs="宋体"/>
          <w:b/>
          <w:bCs/>
          <w:color w:val="000000" w:themeColor="text1"/>
          <w:szCs w:val="21"/>
          <w:highlight w:val="none"/>
          <w:lang w:val="en-US" w:eastAsia="zh-CN"/>
          <w14:textFill>
            <w14:solidFill>
              <w14:schemeClr w14:val="tx1"/>
            </w14:solidFill>
          </w14:textFill>
        </w:rPr>
      </w:pPr>
    </w:p>
    <w:p w14:paraId="636BD248">
      <w:pPr>
        <w:pStyle w:val="15"/>
        <w:spacing w:line="440" w:lineRule="exact"/>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kern w:val="2"/>
          <w:sz w:val="21"/>
          <w:szCs w:val="21"/>
          <w:highlight w:val="none"/>
          <w14:textFill>
            <w14:solidFill>
              <w14:schemeClr w14:val="tx1"/>
            </w14:solidFill>
          </w14:textFill>
        </w:rPr>
        <w:t>风险控制方案</w:t>
      </w:r>
    </w:p>
    <w:p w14:paraId="25126DD3">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46069D27">
      <w:pPr>
        <w:pStyle w:val="19"/>
        <w:spacing w:line="500" w:lineRule="exact"/>
        <w:jc w:val="both"/>
        <w:rPr>
          <w:rFonts w:ascii="仿宋" w:hAnsi="仿宋" w:eastAsia="仿宋" w:cs="仿宋"/>
          <w:b/>
          <w:bCs/>
          <w:sz w:val="30"/>
          <w:szCs w:val="30"/>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仿宋" w:hAnsi="仿宋" w:eastAsia="仿宋" w:cs="仿宋"/>
          <w:b/>
          <w:bCs/>
          <w:sz w:val="30"/>
          <w:szCs w:val="30"/>
        </w:rPr>
        <w:t>同类项目业绩</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387"/>
        <w:gridCol w:w="1732"/>
        <w:gridCol w:w="2768"/>
        <w:gridCol w:w="1418"/>
        <w:gridCol w:w="1660"/>
      </w:tblGrid>
      <w:tr w14:paraId="3B28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93"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05549CC3">
            <w:pPr>
              <w:pStyle w:val="19"/>
              <w:jc w:val="center"/>
              <w:rPr>
                <w:rFonts w:ascii="仿宋" w:hAnsi="仿宋" w:eastAsia="仿宋" w:cs="仿宋"/>
                <w:bCs/>
                <w:color w:val="000000"/>
                <w:kern w:val="0"/>
                <w:sz w:val="20"/>
                <w:szCs w:val="21"/>
              </w:rPr>
            </w:pPr>
            <w:r>
              <w:rPr>
                <w:rFonts w:hint="eastAsia" w:ascii="仿宋" w:hAnsi="仿宋" w:eastAsia="仿宋" w:cs="仿宋"/>
                <w:bCs/>
                <w:color w:val="000000"/>
                <w:kern w:val="0"/>
                <w:sz w:val="20"/>
                <w:szCs w:val="21"/>
              </w:rPr>
              <w:t>序号</w:t>
            </w:r>
          </w:p>
        </w:tc>
        <w:tc>
          <w:tcPr>
            <w:tcW w:w="1387"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26217FFF">
            <w:pPr>
              <w:pStyle w:val="19"/>
              <w:jc w:val="center"/>
              <w:rPr>
                <w:rFonts w:ascii="仿宋" w:hAnsi="仿宋" w:eastAsia="仿宋" w:cs="仿宋"/>
                <w:bCs/>
                <w:color w:val="000000"/>
                <w:kern w:val="0"/>
                <w:sz w:val="20"/>
                <w:szCs w:val="21"/>
              </w:rPr>
            </w:pPr>
            <w:r>
              <w:rPr>
                <w:rFonts w:hint="eastAsia" w:ascii="仿宋" w:hAnsi="仿宋" w:eastAsia="仿宋" w:cs="仿宋"/>
                <w:bCs/>
                <w:color w:val="000000"/>
                <w:kern w:val="0"/>
                <w:sz w:val="20"/>
                <w:szCs w:val="21"/>
              </w:rPr>
              <w:t>服务方名称</w:t>
            </w:r>
          </w:p>
        </w:tc>
        <w:tc>
          <w:tcPr>
            <w:tcW w:w="1732"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05E0B853">
            <w:pPr>
              <w:pStyle w:val="19"/>
              <w:jc w:val="center"/>
              <w:rPr>
                <w:rFonts w:ascii="仿宋" w:hAnsi="仿宋" w:eastAsia="仿宋" w:cs="仿宋"/>
                <w:bCs/>
                <w:color w:val="000000"/>
                <w:kern w:val="0"/>
                <w:sz w:val="20"/>
                <w:szCs w:val="21"/>
              </w:rPr>
            </w:pPr>
            <w:r>
              <w:rPr>
                <w:rFonts w:hint="eastAsia" w:ascii="仿宋" w:hAnsi="仿宋" w:eastAsia="仿宋" w:cs="仿宋"/>
                <w:bCs/>
                <w:color w:val="000000"/>
                <w:kern w:val="0"/>
                <w:sz w:val="20"/>
                <w:szCs w:val="21"/>
              </w:rPr>
              <w:t>项目名称</w:t>
            </w:r>
          </w:p>
        </w:tc>
        <w:tc>
          <w:tcPr>
            <w:tcW w:w="2768"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33EB853C">
            <w:pPr>
              <w:pStyle w:val="19"/>
              <w:jc w:val="center"/>
              <w:rPr>
                <w:rFonts w:ascii="仿宋" w:hAnsi="仿宋" w:eastAsia="仿宋" w:cs="仿宋"/>
                <w:bCs/>
                <w:color w:val="000000"/>
                <w:kern w:val="0"/>
                <w:sz w:val="20"/>
                <w:szCs w:val="21"/>
              </w:rPr>
            </w:pPr>
            <w:r>
              <w:rPr>
                <w:rFonts w:hint="eastAsia" w:ascii="仿宋" w:hAnsi="仿宋" w:eastAsia="仿宋" w:cs="仿宋"/>
                <w:bCs/>
                <w:color w:val="000000"/>
                <w:kern w:val="0"/>
                <w:sz w:val="20"/>
                <w:szCs w:val="21"/>
              </w:rPr>
              <w:t>合同标的内容/采购内容</w:t>
            </w:r>
          </w:p>
        </w:tc>
        <w:tc>
          <w:tcPr>
            <w:tcW w:w="1418"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13EFB4D7">
            <w:pPr>
              <w:pStyle w:val="19"/>
              <w:jc w:val="center"/>
              <w:rPr>
                <w:rFonts w:ascii="仿宋" w:hAnsi="仿宋" w:eastAsia="仿宋" w:cs="仿宋"/>
                <w:bCs/>
                <w:color w:val="000000"/>
                <w:kern w:val="0"/>
                <w:sz w:val="20"/>
                <w:szCs w:val="21"/>
              </w:rPr>
            </w:pPr>
            <w:r>
              <w:rPr>
                <w:rFonts w:hint="eastAsia" w:ascii="仿宋" w:hAnsi="仿宋" w:eastAsia="仿宋" w:cs="仿宋"/>
                <w:bCs/>
                <w:color w:val="000000"/>
                <w:kern w:val="0"/>
                <w:sz w:val="20"/>
                <w:szCs w:val="21"/>
              </w:rPr>
              <w:t>签约日期</w:t>
            </w:r>
          </w:p>
        </w:tc>
        <w:tc>
          <w:tcPr>
            <w:tcW w:w="1660"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2492B6DC">
            <w:pPr>
              <w:pStyle w:val="19"/>
              <w:jc w:val="center"/>
              <w:rPr>
                <w:rFonts w:ascii="仿宋" w:hAnsi="仿宋" w:eastAsia="仿宋" w:cs="仿宋"/>
                <w:bCs/>
                <w:color w:val="000000"/>
                <w:kern w:val="0"/>
                <w:sz w:val="20"/>
                <w:szCs w:val="21"/>
              </w:rPr>
            </w:pPr>
            <w:r>
              <w:rPr>
                <w:rFonts w:hint="eastAsia" w:ascii="仿宋" w:hAnsi="仿宋" w:eastAsia="仿宋" w:cs="仿宋"/>
                <w:bCs/>
                <w:color w:val="000000"/>
                <w:kern w:val="0"/>
                <w:sz w:val="20"/>
                <w:szCs w:val="21"/>
              </w:rPr>
              <w:t>合同总价</w:t>
            </w:r>
          </w:p>
        </w:tc>
      </w:tr>
      <w:tr w14:paraId="04FC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93" w:type="dxa"/>
            <w:tcBorders>
              <w:top w:val="single" w:color="000000" w:sz="4" w:space="0"/>
              <w:left w:val="single" w:color="000000" w:sz="12" w:space="0"/>
              <w:bottom w:val="single" w:color="000000" w:sz="4" w:space="0"/>
              <w:right w:val="single" w:color="000000" w:sz="4" w:space="0"/>
            </w:tcBorders>
            <w:shd w:val="clear" w:color="auto" w:fill="FFFFFF"/>
          </w:tcPr>
          <w:p w14:paraId="7DBEF7FD">
            <w:pPr>
              <w:pStyle w:val="19"/>
              <w:rPr>
                <w:rFonts w:ascii="仿宋" w:hAnsi="仿宋" w:eastAsia="仿宋" w:cs="仿宋"/>
                <w:bCs/>
                <w:color w:val="000000"/>
                <w:kern w:val="0"/>
                <w:sz w:val="32"/>
                <w:szCs w:val="32"/>
              </w:rPr>
            </w:pPr>
          </w:p>
        </w:tc>
        <w:tc>
          <w:tcPr>
            <w:tcW w:w="1387" w:type="dxa"/>
            <w:tcBorders>
              <w:top w:val="single" w:color="000000" w:sz="4" w:space="0"/>
              <w:left w:val="single" w:color="000000" w:sz="4" w:space="0"/>
              <w:bottom w:val="single" w:color="000000" w:sz="4" w:space="0"/>
              <w:right w:val="single" w:color="000000" w:sz="4" w:space="0"/>
            </w:tcBorders>
            <w:shd w:val="clear" w:color="auto" w:fill="FFFFFF"/>
          </w:tcPr>
          <w:p w14:paraId="54D87B2A">
            <w:pPr>
              <w:pStyle w:val="19"/>
              <w:rPr>
                <w:rFonts w:ascii="仿宋" w:hAnsi="仿宋" w:eastAsia="仿宋" w:cs="仿宋"/>
                <w:bCs/>
                <w:color w:val="000000"/>
                <w:kern w:val="0"/>
                <w:sz w:val="32"/>
                <w:szCs w:val="32"/>
              </w:rPr>
            </w:pPr>
          </w:p>
        </w:tc>
        <w:tc>
          <w:tcPr>
            <w:tcW w:w="1732" w:type="dxa"/>
            <w:tcBorders>
              <w:top w:val="single" w:color="000000" w:sz="4" w:space="0"/>
              <w:left w:val="single" w:color="000000" w:sz="4" w:space="0"/>
              <w:bottom w:val="single" w:color="000000" w:sz="4" w:space="0"/>
              <w:right w:val="single" w:color="000000" w:sz="4" w:space="0"/>
            </w:tcBorders>
            <w:shd w:val="clear" w:color="auto" w:fill="FFFFFF"/>
          </w:tcPr>
          <w:p w14:paraId="3B93F6A3">
            <w:pPr>
              <w:pStyle w:val="19"/>
              <w:rPr>
                <w:rFonts w:ascii="仿宋" w:hAnsi="仿宋" w:eastAsia="仿宋" w:cs="仿宋"/>
                <w:bCs/>
                <w:color w:val="000000"/>
                <w:kern w:val="0"/>
                <w:sz w:val="32"/>
                <w:szCs w:val="32"/>
              </w:rPr>
            </w:pPr>
          </w:p>
        </w:tc>
        <w:tc>
          <w:tcPr>
            <w:tcW w:w="2768" w:type="dxa"/>
            <w:tcBorders>
              <w:top w:val="single" w:color="000000" w:sz="4" w:space="0"/>
              <w:left w:val="single" w:color="000000" w:sz="4" w:space="0"/>
              <w:bottom w:val="single" w:color="000000" w:sz="4" w:space="0"/>
              <w:right w:val="single" w:color="000000" w:sz="4" w:space="0"/>
            </w:tcBorders>
            <w:shd w:val="clear" w:color="auto" w:fill="FFFFFF"/>
          </w:tcPr>
          <w:p w14:paraId="57B3510B">
            <w:pPr>
              <w:pStyle w:val="19"/>
              <w:rPr>
                <w:rFonts w:ascii="仿宋" w:hAnsi="仿宋" w:eastAsia="仿宋" w:cs="仿宋"/>
                <w:bCs/>
                <w:color w:val="000000"/>
                <w:kern w:val="0"/>
                <w:sz w:val="32"/>
                <w:szCs w:val="3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tcPr>
          <w:p w14:paraId="71402F57">
            <w:pPr>
              <w:pStyle w:val="19"/>
              <w:rPr>
                <w:rFonts w:ascii="仿宋" w:hAnsi="仿宋" w:eastAsia="仿宋" w:cs="仿宋"/>
                <w:bCs/>
                <w:color w:val="000000"/>
                <w:kern w:val="0"/>
                <w:sz w:val="32"/>
                <w:szCs w:val="32"/>
              </w:rPr>
            </w:pPr>
          </w:p>
        </w:tc>
        <w:tc>
          <w:tcPr>
            <w:tcW w:w="1660" w:type="dxa"/>
            <w:tcBorders>
              <w:top w:val="single" w:color="000000" w:sz="4" w:space="0"/>
              <w:left w:val="single" w:color="000000" w:sz="4" w:space="0"/>
              <w:bottom w:val="single" w:color="000000" w:sz="4" w:space="0"/>
              <w:right w:val="single" w:color="000000" w:sz="12" w:space="0"/>
            </w:tcBorders>
            <w:shd w:val="clear" w:color="auto" w:fill="FFFFFF"/>
          </w:tcPr>
          <w:p w14:paraId="2D971999">
            <w:pPr>
              <w:pStyle w:val="19"/>
              <w:rPr>
                <w:rFonts w:ascii="仿宋" w:hAnsi="仿宋" w:eastAsia="仿宋" w:cs="仿宋"/>
                <w:bCs/>
                <w:color w:val="000000"/>
                <w:kern w:val="0"/>
                <w:sz w:val="32"/>
                <w:szCs w:val="32"/>
              </w:rPr>
            </w:pPr>
          </w:p>
        </w:tc>
      </w:tr>
      <w:tr w14:paraId="45EE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93" w:type="dxa"/>
            <w:tcBorders>
              <w:top w:val="single" w:color="000000" w:sz="4" w:space="0"/>
              <w:left w:val="single" w:color="000000" w:sz="12" w:space="0"/>
              <w:bottom w:val="single" w:color="000000" w:sz="4" w:space="0"/>
              <w:right w:val="single" w:color="000000" w:sz="4" w:space="0"/>
            </w:tcBorders>
            <w:shd w:val="clear" w:color="auto" w:fill="FFFFFF"/>
          </w:tcPr>
          <w:p w14:paraId="756E5184">
            <w:pPr>
              <w:pStyle w:val="19"/>
              <w:rPr>
                <w:rFonts w:ascii="仿宋" w:hAnsi="仿宋" w:eastAsia="仿宋" w:cs="仿宋"/>
                <w:bCs/>
                <w:color w:val="000000"/>
                <w:kern w:val="0"/>
                <w:sz w:val="32"/>
                <w:szCs w:val="32"/>
              </w:rPr>
            </w:pPr>
          </w:p>
        </w:tc>
        <w:tc>
          <w:tcPr>
            <w:tcW w:w="1387" w:type="dxa"/>
            <w:tcBorders>
              <w:top w:val="single" w:color="000000" w:sz="4" w:space="0"/>
              <w:left w:val="single" w:color="000000" w:sz="4" w:space="0"/>
              <w:bottom w:val="single" w:color="000000" w:sz="4" w:space="0"/>
              <w:right w:val="single" w:color="000000" w:sz="4" w:space="0"/>
            </w:tcBorders>
            <w:shd w:val="clear" w:color="auto" w:fill="FFFFFF"/>
          </w:tcPr>
          <w:p w14:paraId="74C468D1">
            <w:pPr>
              <w:pStyle w:val="19"/>
              <w:rPr>
                <w:rFonts w:ascii="仿宋" w:hAnsi="仿宋" w:eastAsia="仿宋" w:cs="仿宋"/>
                <w:bCs/>
                <w:color w:val="000000"/>
                <w:kern w:val="0"/>
                <w:sz w:val="32"/>
                <w:szCs w:val="32"/>
              </w:rPr>
            </w:pPr>
          </w:p>
        </w:tc>
        <w:tc>
          <w:tcPr>
            <w:tcW w:w="1732" w:type="dxa"/>
            <w:tcBorders>
              <w:top w:val="single" w:color="000000" w:sz="4" w:space="0"/>
              <w:left w:val="single" w:color="000000" w:sz="4" w:space="0"/>
              <w:bottom w:val="single" w:color="000000" w:sz="4" w:space="0"/>
              <w:right w:val="single" w:color="000000" w:sz="4" w:space="0"/>
            </w:tcBorders>
            <w:shd w:val="clear" w:color="auto" w:fill="FFFFFF"/>
          </w:tcPr>
          <w:p w14:paraId="5F98CAE9">
            <w:pPr>
              <w:pStyle w:val="19"/>
              <w:rPr>
                <w:rFonts w:ascii="仿宋" w:hAnsi="仿宋" w:eastAsia="仿宋" w:cs="仿宋"/>
                <w:bCs/>
                <w:color w:val="000000"/>
                <w:kern w:val="0"/>
                <w:sz w:val="32"/>
                <w:szCs w:val="32"/>
              </w:rPr>
            </w:pPr>
          </w:p>
        </w:tc>
        <w:tc>
          <w:tcPr>
            <w:tcW w:w="2768" w:type="dxa"/>
            <w:tcBorders>
              <w:top w:val="single" w:color="000000" w:sz="4" w:space="0"/>
              <w:left w:val="single" w:color="000000" w:sz="4" w:space="0"/>
              <w:bottom w:val="single" w:color="000000" w:sz="4" w:space="0"/>
              <w:right w:val="single" w:color="000000" w:sz="4" w:space="0"/>
            </w:tcBorders>
            <w:shd w:val="clear" w:color="auto" w:fill="FFFFFF"/>
          </w:tcPr>
          <w:p w14:paraId="1B5372ED">
            <w:pPr>
              <w:pStyle w:val="19"/>
              <w:rPr>
                <w:rFonts w:ascii="仿宋" w:hAnsi="仿宋" w:eastAsia="仿宋" w:cs="仿宋"/>
                <w:bCs/>
                <w:color w:val="000000"/>
                <w:kern w:val="0"/>
                <w:sz w:val="32"/>
                <w:szCs w:val="3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tcPr>
          <w:p w14:paraId="4E9C0BAE">
            <w:pPr>
              <w:pStyle w:val="19"/>
              <w:rPr>
                <w:rFonts w:ascii="仿宋" w:hAnsi="仿宋" w:eastAsia="仿宋" w:cs="仿宋"/>
                <w:bCs/>
                <w:color w:val="000000"/>
                <w:kern w:val="0"/>
                <w:sz w:val="32"/>
                <w:szCs w:val="32"/>
              </w:rPr>
            </w:pPr>
          </w:p>
        </w:tc>
        <w:tc>
          <w:tcPr>
            <w:tcW w:w="1660" w:type="dxa"/>
            <w:tcBorders>
              <w:top w:val="single" w:color="000000" w:sz="4" w:space="0"/>
              <w:left w:val="single" w:color="000000" w:sz="4" w:space="0"/>
              <w:bottom w:val="single" w:color="000000" w:sz="4" w:space="0"/>
              <w:right w:val="single" w:color="000000" w:sz="12" w:space="0"/>
            </w:tcBorders>
            <w:shd w:val="clear" w:color="auto" w:fill="FFFFFF"/>
          </w:tcPr>
          <w:p w14:paraId="742B3994">
            <w:pPr>
              <w:pStyle w:val="19"/>
              <w:rPr>
                <w:rFonts w:ascii="仿宋" w:hAnsi="仿宋" w:eastAsia="仿宋" w:cs="仿宋"/>
                <w:bCs/>
                <w:color w:val="000000"/>
                <w:kern w:val="0"/>
                <w:sz w:val="32"/>
                <w:szCs w:val="32"/>
              </w:rPr>
            </w:pPr>
          </w:p>
        </w:tc>
      </w:tr>
      <w:tr w14:paraId="7A8F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93" w:type="dxa"/>
            <w:tcBorders>
              <w:top w:val="single" w:color="000000" w:sz="4" w:space="0"/>
              <w:left w:val="single" w:color="000000" w:sz="12" w:space="0"/>
              <w:bottom w:val="single" w:color="000000" w:sz="12" w:space="0"/>
              <w:right w:val="single" w:color="000000" w:sz="4" w:space="0"/>
            </w:tcBorders>
            <w:shd w:val="clear" w:color="auto" w:fill="FFFFFF"/>
          </w:tcPr>
          <w:p w14:paraId="6A471015">
            <w:pPr>
              <w:pStyle w:val="19"/>
              <w:rPr>
                <w:rFonts w:ascii="仿宋" w:hAnsi="仿宋" w:eastAsia="仿宋" w:cs="仿宋"/>
                <w:bCs/>
                <w:color w:val="000000"/>
                <w:kern w:val="0"/>
                <w:sz w:val="32"/>
                <w:szCs w:val="32"/>
              </w:rPr>
            </w:pPr>
          </w:p>
        </w:tc>
        <w:tc>
          <w:tcPr>
            <w:tcW w:w="1387" w:type="dxa"/>
            <w:tcBorders>
              <w:top w:val="single" w:color="000000" w:sz="4" w:space="0"/>
              <w:left w:val="single" w:color="000000" w:sz="4" w:space="0"/>
              <w:bottom w:val="single" w:color="000000" w:sz="12" w:space="0"/>
              <w:right w:val="single" w:color="000000" w:sz="4" w:space="0"/>
            </w:tcBorders>
            <w:shd w:val="clear" w:color="auto" w:fill="FFFFFF"/>
          </w:tcPr>
          <w:p w14:paraId="6022F643">
            <w:pPr>
              <w:pStyle w:val="19"/>
              <w:rPr>
                <w:rFonts w:ascii="仿宋" w:hAnsi="仿宋" w:eastAsia="仿宋" w:cs="仿宋"/>
                <w:bCs/>
                <w:color w:val="000000"/>
                <w:kern w:val="0"/>
                <w:sz w:val="32"/>
                <w:szCs w:val="32"/>
              </w:rPr>
            </w:pPr>
          </w:p>
        </w:tc>
        <w:tc>
          <w:tcPr>
            <w:tcW w:w="1732" w:type="dxa"/>
            <w:tcBorders>
              <w:top w:val="single" w:color="000000" w:sz="4" w:space="0"/>
              <w:left w:val="single" w:color="000000" w:sz="4" w:space="0"/>
              <w:bottom w:val="single" w:color="000000" w:sz="12" w:space="0"/>
              <w:right w:val="single" w:color="000000" w:sz="4" w:space="0"/>
            </w:tcBorders>
            <w:shd w:val="clear" w:color="auto" w:fill="FFFFFF"/>
          </w:tcPr>
          <w:p w14:paraId="7EC748F3">
            <w:pPr>
              <w:pStyle w:val="19"/>
              <w:rPr>
                <w:rFonts w:ascii="仿宋" w:hAnsi="仿宋" w:eastAsia="仿宋" w:cs="仿宋"/>
                <w:bCs/>
                <w:color w:val="000000"/>
                <w:kern w:val="0"/>
                <w:sz w:val="32"/>
                <w:szCs w:val="32"/>
              </w:rPr>
            </w:pPr>
          </w:p>
        </w:tc>
        <w:tc>
          <w:tcPr>
            <w:tcW w:w="2768" w:type="dxa"/>
            <w:tcBorders>
              <w:top w:val="single" w:color="000000" w:sz="4" w:space="0"/>
              <w:left w:val="single" w:color="000000" w:sz="4" w:space="0"/>
              <w:bottom w:val="single" w:color="000000" w:sz="12" w:space="0"/>
              <w:right w:val="single" w:color="000000" w:sz="4" w:space="0"/>
            </w:tcBorders>
            <w:shd w:val="clear" w:color="auto" w:fill="FFFFFF"/>
          </w:tcPr>
          <w:p w14:paraId="115AE8E7">
            <w:pPr>
              <w:pStyle w:val="19"/>
              <w:jc w:val="center"/>
              <w:rPr>
                <w:rFonts w:ascii="仿宋" w:hAnsi="仿宋" w:eastAsia="仿宋" w:cs="仿宋"/>
                <w:bCs/>
                <w:color w:val="000000"/>
                <w:kern w:val="0"/>
                <w:sz w:val="32"/>
                <w:szCs w:val="32"/>
              </w:rPr>
            </w:pPr>
            <w:r>
              <w:rPr>
                <w:rFonts w:hint="eastAsia" w:ascii="仿宋" w:hAnsi="仿宋" w:eastAsia="仿宋" w:cs="仿宋"/>
                <w:bCs/>
                <w:color w:val="000000"/>
                <w:kern w:val="0"/>
                <w:sz w:val="32"/>
                <w:szCs w:val="32"/>
              </w:rPr>
              <w:t>……</w:t>
            </w:r>
          </w:p>
        </w:tc>
        <w:tc>
          <w:tcPr>
            <w:tcW w:w="1418" w:type="dxa"/>
            <w:tcBorders>
              <w:top w:val="single" w:color="000000" w:sz="4" w:space="0"/>
              <w:left w:val="single" w:color="000000" w:sz="4" w:space="0"/>
              <w:bottom w:val="single" w:color="000000" w:sz="12" w:space="0"/>
              <w:right w:val="single" w:color="000000" w:sz="4" w:space="0"/>
            </w:tcBorders>
            <w:shd w:val="clear" w:color="auto" w:fill="FFFFFF"/>
          </w:tcPr>
          <w:p w14:paraId="653D8C6F">
            <w:pPr>
              <w:pStyle w:val="19"/>
              <w:rPr>
                <w:rFonts w:ascii="仿宋" w:hAnsi="仿宋" w:eastAsia="仿宋" w:cs="仿宋"/>
                <w:bCs/>
                <w:color w:val="000000"/>
                <w:kern w:val="0"/>
                <w:sz w:val="32"/>
                <w:szCs w:val="32"/>
              </w:rPr>
            </w:pPr>
          </w:p>
        </w:tc>
        <w:tc>
          <w:tcPr>
            <w:tcW w:w="1660" w:type="dxa"/>
            <w:tcBorders>
              <w:top w:val="single" w:color="000000" w:sz="4" w:space="0"/>
              <w:left w:val="single" w:color="000000" w:sz="4" w:space="0"/>
              <w:bottom w:val="single" w:color="000000" w:sz="12" w:space="0"/>
              <w:right w:val="single" w:color="000000" w:sz="12" w:space="0"/>
            </w:tcBorders>
            <w:shd w:val="clear" w:color="auto" w:fill="FFFFFF"/>
          </w:tcPr>
          <w:p w14:paraId="175F5142">
            <w:pPr>
              <w:pStyle w:val="19"/>
              <w:rPr>
                <w:rFonts w:ascii="仿宋" w:hAnsi="仿宋" w:eastAsia="仿宋" w:cs="仿宋"/>
                <w:bCs/>
                <w:color w:val="000000"/>
                <w:kern w:val="0"/>
                <w:sz w:val="32"/>
                <w:szCs w:val="32"/>
              </w:rPr>
            </w:pPr>
          </w:p>
        </w:tc>
      </w:tr>
    </w:tbl>
    <w:p w14:paraId="3B661524">
      <w:pPr>
        <w:pStyle w:val="176"/>
        <w:tabs>
          <w:tab w:val="left" w:pos="1110"/>
        </w:tabs>
        <w:adjustRightInd w:val="0"/>
        <w:snapToGrid w:val="0"/>
        <w:ind w:firstLine="441"/>
        <w:jc w:val="left"/>
        <w:rPr>
          <w:rFonts w:ascii="仿宋" w:hAnsi="仿宋" w:eastAsia="仿宋" w:cs="仿宋"/>
          <w:szCs w:val="21"/>
        </w:rPr>
      </w:pPr>
    </w:p>
    <w:p w14:paraId="3CDE4F41">
      <w:pPr>
        <w:pStyle w:val="176"/>
        <w:tabs>
          <w:tab w:val="left" w:pos="1110"/>
        </w:tabs>
        <w:adjustRightInd w:val="0"/>
        <w:snapToGrid w:val="0"/>
        <w:ind w:firstLine="441"/>
        <w:jc w:val="left"/>
        <w:rPr>
          <w:rFonts w:ascii="仿宋" w:hAnsi="仿宋" w:eastAsia="仿宋" w:cs="仿宋"/>
          <w:szCs w:val="21"/>
        </w:rPr>
      </w:pPr>
      <w:r>
        <w:rPr>
          <w:rFonts w:hint="eastAsia" w:ascii="仿宋" w:hAnsi="仿宋" w:eastAsia="仿宋" w:cs="仿宋"/>
          <w:szCs w:val="21"/>
        </w:rPr>
        <w:t>注：1.响应供应商应如实填写同类项目业绩，不得弄虚作假；</w:t>
      </w:r>
    </w:p>
    <w:p w14:paraId="08A90D2D">
      <w:pPr>
        <w:pStyle w:val="176"/>
        <w:tabs>
          <w:tab w:val="left" w:pos="1110"/>
        </w:tabs>
        <w:adjustRightInd w:val="0"/>
        <w:snapToGrid w:val="0"/>
        <w:ind w:firstLine="840" w:firstLineChars="400"/>
        <w:jc w:val="left"/>
        <w:rPr>
          <w:rFonts w:ascii="仿宋" w:hAnsi="仿宋" w:eastAsia="仿宋" w:cs="仿宋"/>
          <w:spacing w:val="-15"/>
          <w:szCs w:val="21"/>
        </w:rPr>
      </w:pPr>
      <w:r>
        <w:rPr>
          <w:rFonts w:hint="eastAsia" w:ascii="仿宋" w:hAnsi="仿宋" w:eastAsia="仿宋" w:cs="仿宋"/>
          <w:szCs w:val="21"/>
        </w:rPr>
        <w:t>2.如果响应供应商没有同类经验业绩的，请在上表正文内容第一行填写“无”；</w:t>
      </w:r>
    </w:p>
    <w:p w14:paraId="33EF2C58">
      <w:pPr>
        <w:pStyle w:val="176"/>
        <w:tabs>
          <w:tab w:val="left" w:pos="1110"/>
        </w:tabs>
        <w:adjustRightInd w:val="0"/>
        <w:snapToGrid w:val="0"/>
        <w:ind w:firstLine="840" w:firstLineChars="400"/>
        <w:jc w:val="left"/>
        <w:rPr>
          <w:rFonts w:ascii="仿宋" w:hAnsi="仿宋" w:eastAsia="仿宋" w:cs="仿宋"/>
          <w:szCs w:val="21"/>
        </w:rPr>
      </w:pPr>
      <w:r>
        <w:rPr>
          <w:rFonts w:hint="eastAsia" w:ascii="仿宋" w:hAnsi="仿宋" w:eastAsia="仿宋" w:cs="仿宋"/>
          <w:szCs w:val="21"/>
        </w:rPr>
        <w:t>3.请按照商务评审表所列要求提供相应证明材料，否则不得分。</w:t>
      </w:r>
    </w:p>
    <w:p w14:paraId="3C1B225B">
      <w:pPr>
        <w:pStyle w:val="16"/>
        <w:tabs>
          <w:tab w:val="left" w:pos="900"/>
        </w:tabs>
        <w:adjustRightInd w:val="0"/>
        <w:snapToGrid w:val="0"/>
        <w:spacing w:line="400" w:lineRule="exact"/>
        <w:jc w:val="center"/>
        <w:rPr>
          <w:rFonts w:ascii="仿宋" w:hAnsi="仿宋" w:eastAsia="仿宋" w:cs="仿宋"/>
          <w:sz w:val="24"/>
        </w:rPr>
      </w:pPr>
      <w:r>
        <w:rPr>
          <w:rFonts w:hint="eastAsia" w:ascii="仿宋" w:hAnsi="仿宋" w:eastAsia="仿宋" w:cs="仿宋"/>
          <w:sz w:val="24"/>
        </w:rPr>
        <w:t xml:space="preserve">     </w:t>
      </w:r>
    </w:p>
    <w:p w14:paraId="4B3B7703">
      <w:pPr>
        <w:pStyle w:val="16"/>
        <w:tabs>
          <w:tab w:val="left" w:pos="900"/>
        </w:tabs>
        <w:adjustRightInd w:val="0"/>
        <w:snapToGrid w:val="0"/>
        <w:spacing w:line="400" w:lineRule="exact"/>
        <w:jc w:val="center"/>
        <w:rPr>
          <w:rFonts w:ascii="仿宋" w:hAnsi="仿宋" w:eastAsia="仿宋" w:cs="仿宋"/>
          <w:sz w:val="24"/>
        </w:rPr>
      </w:pPr>
      <w:r>
        <w:rPr>
          <w:rFonts w:hint="eastAsia" w:ascii="仿宋" w:hAnsi="仿宋" w:eastAsia="仿宋" w:cs="仿宋"/>
          <w:sz w:val="24"/>
        </w:rPr>
        <w:t xml:space="preserve">    响应供应商（盖章）：   </w:t>
      </w:r>
    </w:p>
    <w:p w14:paraId="11893985">
      <w:pPr>
        <w:pStyle w:val="16"/>
        <w:tabs>
          <w:tab w:val="left" w:pos="900"/>
        </w:tabs>
        <w:adjustRightInd w:val="0"/>
        <w:snapToGrid w:val="0"/>
        <w:spacing w:line="400" w:lineRule="exact"/>
        <w:jc w:val="center"/>
        <w:rPr>
          <w:rFonts w:ascii="仿宋" w:hAnsi="仿宋" w:eastAsia="仿宋" w:cs="仿宋"/>
          <w:sz w:val="24"/>
        </w:rPr>
      </w:pPr>
      <w:r>
        <w:rPr>
          <w:rFonts w:hint="eastAsia" w:ascii="仿宋" w:hAnsi="仿宋" w:eastAsia="仿宋" w:cs="仿宋"/>
          <w:sz w:val="24"/>
        </w:rPr>
        <w:t xml:space="preserve">                  法定代表人/授权代表（签名/签章）：</w:t>
      </w:r>
    </w:p>
    <w:p w14:paraId="6D8196FD">
      <w:pPr>
        <w:pStyle w:val="16"/>
        <w:tabs>
          <w:tab w:val="left" w:pos="900"/>
        </w:tabs>
        <w:adjustRightInd w:val="0"/>
        <w:snapToGrid w:val="0"/>
        <w:spacing w:line="400" w:lineRule="exact"/>
        <w:jc w:val="center"/>
        <w:rPr>
          <w:rFonts w:ascii="仿宋" w:hAnsi="仿宋" w:eastAsia="仿宋" w:cs="仿宋"/>
          <w:sz w:val="24"/>
        </w:rPr>
      </w:pPr>
      <w:r>
        <w:rPr>
          <w:rFonts w:hint="eastAsia" w:ascii="仿宋" w:hAnsi="仿宋" w:eastAsia="仿宋" w:cs="仿宋"/>
          <w:sz w:val="24"/>
        </w:rPr>
        <w:t xml:space="preserve">        日期：    年    月    日</w:t>
      </w:r>
    </w:p>
    <w:p w14:paraId="27A0D83C">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0F3C0EF3">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32BDFD7A">
      <w:pPr>
        <w:pStyle w:val="114"/>
        <w:spacing w:line="440" w:lineRule="exact"/>
        <w:ind w:firstLine="0" w:firstLineChars="0"/>
        <w:jc w:val="left"/>
        <w:rPr>
          <w:rFonts w:hint="eastAsia" w:ascii="宋体" w:hAnsi="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7</w:t>
      </w:r>
      <w:r>
        <w:rPr>
          <w:rFonts w:hint="eastAsia" w:ascii="宋体" w:hAnsi="宋体" w:cs="宋体"/>
          <w:b/>
          <w:bCs/>
          <w:color w:val="000000" w:themeColor="text1"/>
          <w:szCs w:val="21"/>
          <w:highlight w:val="none"/>
          <w14:textFill>
            <w14:solidFill>
              <w14:schemeClr w14:val="tx1"/>
            </w14:solidFill>
          </w14:textFill>
        </w:rPr>
        <w:t>.供应商属于中小企业的应提供《中小企业声明函》（详见附件）；或属于监狱企业的，应当提供由省级以上监狱管理局、戒毒管理局(含新疆生产建设兵团)出具的属于监狱企业的证明文件；或符合条件的残疾人福利性单位在参加政府采购活动时，应当提供《残疾人福利性单位声明函》（详见附件），并对声明的真实性负责</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lang w:val="en-US" w:eastAsia="zh-CN"/>
          <w14:textFill>
            <w14:solidFill>
              <w14:schemeClr w14:val="tx1"/>
            </w14:solidFill>
          </w14:textFill>
        </w:rPr>
        <w:t>如有，请</w:t>
      </w:r>
      <w:r>
        <w:rPr>
          <w:rFonts w:hint="eastAsia" w:ascii="宋体" w:hAnsi="宋体" w:cs="宋体"/>
          <w:b/>
          <w:color w:val="000000" w:themeColor="text1"/>
          <w:szCs w:val="21"/>
          <w:highlight w:val="none"/>
          <w14:textFill>
            <w14:solidFill>
              <w14:schemeClr w14:val="tx1"/>
            </w14:solidFill>
          </w14:textFill>
        </w:rPr>
        <w:t>提供）；</w:t>
      </w:r>
    </w:p>
    <w:p w14:paraId="24863D71">
      <w:pPr>
        <w:snapToGrid w:val="0"/>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中小企业声明函（格式）</w:t>
      </w:r>
    </w:p>
    <w:p w14:paraId="042FC59F">
      <w:pPr>
        <w:spacing w:line="440" w:lineRule="exact"/>
        <w:ind w:firstLine="641"/>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本公司郑重声明，根据《政府采购促进中小企业发展管理办法》（财库﹝2020﹞46号）的规定，本公司参加</w:t>
      </w:r>
      <w:r>
        <w:rPr>
          <w:rFonts w:hint="eastAsia" w:ascii="宋体" w:hAnsi="宋体" w:cs="宋体"/>
          <w:bCs/>
          <w:color w:val="000000" w:themeColor="text1"/>
          <w:spacing w:val="-10"/>
          <w:szCs w:val="21"/>
          <w:highlight w:val="none"/>
          <w:u w:val="single"/>
          <w14:textFill>
            <w14:solidFill>
              <w14:schemeClr w14:val="tx1"/>
            </w14:solidFill>
          </w14:textFill>
        </w:rPr>
        <w:t>（单位名称）</w:t>
      </w:r>
      <w:r>
        <w:rPr>
          <w:rFonts w:hint="eastAsia" w:ascii="宋体" w:hAnsi="宋体" w:cs="宋体"/>
          <w:bCs/>
          <w:color w:val="000000" w:themeColor="text1"/>
          <w:spacing w:val="-10"/>
          <w:szCs w:val="21"/>
          <w:highlight w:val="none"/>
          <w14:textFill>
            <w14:solidFill>
              <w14:schemeClr w14:val="tx1"/>
            </w14:solidFill>
          </w14:textFill>
        </w:rPr>
        <w:t>的</w:t>
      </w:r>
      <w:r>
        <w:rPr>
          <w:rFonts w:hint="eastAsia" w:ascii="宋体" w:hAnsi="宋体" w:cs="宋体"/>
          <w:bCs/>
          <w:color w:val="000000" w:themeColor="text1"/>
          <w:spacing w:val="-10"/>
          <w:szCs w:val="21"/>
          <w:highlight w:val="none"/>
          <w:u w:val="single"/>
          <w14:textFill>
            <w14:solidFill>
              <w14:schemeClr w14:val="tx1"/>
            </w14:solidFill>
          </w14:textFill>
        </w:rPr>
        <w:t>（项目名称）</w:t>
      </w:r>
      <w:r>
        <w:rPr>
          <w:rFonts w:hint="eastAsia" w:ascii="宋体" w:hAnsi="宋体" w:cs="宋体"/>
          <w:color w:val="000000" w:themeColor="text1"/>
          <w:szCs w:val="21"/>
          <w:highlight w:val="none"/>
          <w14:textFill>
            <w14:solidFill>
              <w14:schemeClr w14:val="tx1"/>
            </w14:solidFill>
          </w14:textFill>
        </w:rPr>
        <w:t>采购活动，服务全部由符合政策要求的中小企业承接。相关企业的具体情况如下：</w:t>
      </w:r>
    </w:p>
    <w:p w14:paraId="76217078">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u w:val="single"/>
          <w14:textFill>
            <w14:solidFill>
              <w14:schemeClr w14:val="tx1"/>
            </w14:solidFill>
          </w14:textFill>
        </w:rPr>
        <w:t>（标的名称）</w:t>
      </w:r>
      <w:r>
        <w:rPr>
          <w:rFonts w:hint="eastAsia" w:ascii="宋体" w:hAnsi="宋体" w:cs="宋体"/>
          <w:color w:val="000000" w:themeColor="text1"/>
          <w:szCs w:val="21"/>
          <w:highlight w:val="none"/>
          <w14:textFill>
            <w14:solidFill>
              <w14:schemeClr w14:val="tx1"/>
            </w14:solidFill>
          </w14:textFill>
        </w:rPr>
        <w:t>，属于</w:t>
      </w:r>
      <w:r>
        <w:rPr>
          <w:rFonts w:hint="eastAsia" w:ascii="宋体" w:hAnsi="宋体" w:cs="宋体"/>
          <w:color w:val="000000" w:themeColor="text1"/>
          <w:szCs w:val="21"/>
          <w:highlight w:val="none"/>
          <w:u w:val="single"/>
          <w14:textFill>
            <w14:solidFill>
              <w14:schemeClr w14:val="tx1"/>
            </w14:solidFill>
          </w14:textFill>
        </w:rPr>
        <w:t xml:space="preserve"> （其他未列明行业） </w:t>
      </w:r>
      <w:r>
        <w:rPr>
          <w:rFonts w:hint="eastAsia" w:ascii="宋体" w:hAnsi="宋体" w:cs="宋体"/>
          <w:color w:val="000000" w:themeColor="text1"/>
          <w:szCs w:val="21"/>
          <w:highlight w:val="none"/>
          <w14:textFill>
            <w14:solidFill>
              <w14:schemeClr w14:val="tx1"/>
            </w14:solidFill>
          </w14:textFill>
        </w:rPr>
        <w:t xml:space="preserve"> 行业；承接企业为</w:t>
      </w:r>
      <w:r>
        <w:rPr>
          <w:rFonts w:hint="eastAsia" w:ascii="宋体" w:hAnsi="宋体" w:cs="宋体"/>
          <w:color w:val="000000" w:themeColor="text1"/>
          <w:szCs w:val="21"/>
          <w:highlight w:val="none"/>
          <w:u w:val="singl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，从业人员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人，营业收入为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万元，资产总额为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万元，属于</w:t>
      </w:r>
      <w:r>
        <w:rPr>
          <w:rFonts w:hint="eastAsia" w:ascii="宋体" w:hAnsi="宋体" w:cs="宋体"/>
          <w:color w:val="000000" w:themeColor="text1"/>
          <w:szCs w:val="21"/>
          <w:highlight w:val="none"/>
          <w:u w:val="single"/>
          <w14:textFill>
            <w14:solidFill>
              <w14:schemeClr w14:val="tx1"/>
            </w14:solidFill>
          </w14:textFill>
        </w:rPr>
        <w:t>（中型企业、小型企业、微型企业）</w:t>
      </w:r>
      <w:r>
        <w:rPr>
          <w:rFonts w:hint="eastAsia" w:ascii="宋体" w:hAnsi="宋体" w:cs="宋体"/>
          <w:color w:val="000000" w:themeColor="text1"/>
          <w:szCs w:val="21"/>
          <w:highlight w:val="none"/>
          <w14:textFill>
            <w14:solidFill>
              <w14:schemeClr w14:val="tx1"/>
            </w14:solidFill>
          </w14:textFill>
        </w:rPr>
        <w:t>；</w:t>
      </w:r>
    </w:p>
    <w:p w14:paraId="5193FA42">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u w:val="single"/>
          <w14:textFill>
            <w14:solidFill>
              <w14:schemeClr w14:val="tx1"/>
            </w14:solidFill>
          </w14:textFill>
        </w:rPr>
        <w:t>（标的名称）</w:t>
      </w:r>
      <w:r>
        <w:rPr>
          <w:rFonts w:hint="eastAsia" w:ascii="宋体" w:hAnsi="宋体" w:cs="宋体"/>
          <w:color w:val="000000" w:themeColor="text1"/>
          <w:szCs w:val="21"/>
          <w:highlight w:val="none"/>
          <w14:textFill>
            <w14:solidFill>
              <w14:schemeClr w14:val="tx1"/>
            </w14:solidFill>
          </w14:textFill>
        </w:rPr>
        <w:t>，属于</w:t>
      </w:r>
      <w:r>
        <w:rPr>
          <w:rFonts w:hint="eastAsia" w:ascii="宋体" w:hAnsi="宋体" w:cs="宋体"/>
          <w:color w:val="000000" w:themeColor="text1"/>
          <w:szCs w:val="21"/>
          <w:highlight w:val="none"/>
          <w:u w:val="single"/>
          <w14:textFill>
            <w14:solidFill>
              <w14:schemeClr w14:val="tx1"/>
            </w14:solidFill>
          </w14:textFill>
        </w:rPr>
        <w:t xml:space="preserve"> （其他未列明行业） </w:t>
      </w:r>
      <w:r>
        <w:rPr>
          <w:rFonts w:hint="eastAsia" w:ascii="宋体" w:hAnsi="宋体" w:cs="宋体"/>
          <w:color w:val="000000" w:themeColor="text1"/>
          <w:szCs w:val="21"/>
          <w:highlight w:val="none"/>
          <w14:textFill>
            <w14:solidFill>
              <w14:schemeClr w14:val="tx1"/>
            </w14:solidFill>
          </w14:textFill>
        </w:rPr>
        <w:t xml:space="preserve"> 行业；承接企业为</w:t>
      </w:r>
      <w:r>
        <w:rPr>
          <w:rFonts w:hint="eastAsia" w:ascii="宋体" w:hAnsi="宋体" w:cs="宋体"/>
          <w:color w:val="000000" w:themeColor="text1"/>
          <w:szCs w:val="21"/>
          <w:highlight w:val="none"/>
          <w:u w:val="singl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，从业人员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人，营业收入为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万元，资产总额为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万元，属于</w:t>
      </w:r>
      <w:r>
        <w:rPr>
          <w:rFonts w:hint="eastAsia" w:ascii="宋体" w:hAnsi="宋体" w:cs="宋体"/>
          <w:color w:val="000000" w:themeColor="text1"/>
          <w:szCs w:val="21"/>
          <w:highlight w:val="none"/>
          <w:u w:val="single"/>
          <w14:textFill>
            <w14:solidFill>
              <w14:schemeClr w14:val="tx1"/>
            </w14:solidFill>
          </w14:textFill>
        </w:rPr>
        <w:t>（中型企业、小型企业、微型企业）</w:t>
      </w:r>
      <w:r>
        <w:rPr>
          <w:rFonts w:hint="eastAsia" w:ascii="宋体" w:hAnsi="宋体" w:cs="宋体"/>
          <w:color w:val="000000" w:themeColor="text1"/>
          <w:szCs w:val="21"/>
          <w:highlight w:val="none"/>
          <w14:textFill>
            <w14:solidFill>
              <w14:schemeClr w14:val="tx1"/>
            </w14:solidFill>
          </w14:textFill>
        </w:rPr>
        <w:t>；</w:t>
      </w:r>
    </w:p>
    <w:p w14:paraId="2A4799E7">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0D3AAEAE">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本企业对上述声明内容的真实性负责。如有虚假，将依法承担相应责任。</w:t>
      </w:r>
    </w:p>
    <w:p w14:paraId="1C3E6180">
      <w:pPr>
        <w:spacing w:line="440" w:lineRule="exact"/>
        <w:ind w:firstLine="480"/>
        <w:rPr>
          <w:rFonts w:hint="eastAsia" w:ascii="宋体" w:hAnsi="宋体" w:cs="宋体"/>
          <w:color w:val="000000" w:themeColor="text1"/>
          <w:szCs w:val="21"/>
          <w:highlight w:val="none"/>
          <w14:textFill>
            <w14:solidFill>
              <w14:schemeClr w14:val="tx1"/>
            </w14:solidFill>
          </w14:textFill>
        </w:rPr>
      </w:pPr>
    </w:p>
    <w:p w14:paraId="103BC80F">
      <w:pPr>
        <w:wordWrap w:val="0"/>
        <w:snapToGrid w:val="0"/>
        <w:spacing w:line="440" w:lineRule="exact"/>
        <w:jc w:val="righ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企业公章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自然人除外）：</w:t>
      </w:r>
      <w:r>
        <w:rPr>
          <w:rFonts w:hint="eastAsia" w:ascii="宋体" w:hAnsi="宋体" w:cs="宋体"/>
          <w:color w:val="000000" w:themeColor="text1"/>
          <w:szCs w:val="21"/>
          <w:highlight w:val="none"/>
          <w:lang w:val="en-US" w:eastAsia="zh-CN"/>
          <w14:textFill>
            <w14:solidFill>
              <w14:schemeClr w14:val="tx1"/>
            </w14:solidFill>
          </w14:textFill>
        </w:rPr>
        <w:t xml:space="preserve">              </w:t>
      </w:r>
    </w:p>
    <w:p w14:paraId="562EA74B">
      <w:pPr>
        <w:snapToGrid w:val="0"/>
        <w:spacing w:line="440" w:lineRule="exact"/>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日</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期：</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  月  日</w:t>
      </w:r>
    </w:p>
    <w:p w14:paraId="0E3AD7D5">
      <w:pPr>
        <w:spacing w:line="440" w:lineRule="exact"/>
        <w:ind w:firstLine="48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注：1.从业人员、营业收入、资产总额填报上一年度数据，无上一年度数据的新成立企业可不填报。</w:t>
      </w:r>
    </w:p>
    <w:p w14:paraId="379B6427">
      <w:pPr>
        <w:spacing w:line="440" w:lineRule="exact"/>
        <w:jc w:val="center"/>
        <w:rPr>
          <w:rFonts w:hint="eastAsia" w:ascii="宋体" w:hAnsi="宋体" w:cs="宋体"/>
          <w:b/>
          <w:color w:val="000000" w:themeColor="text1"/>
          <w:spacing w:val="6"/>
          <w:szCs w:val="21"/>
          <w:highlight w:val="none"/>
          <w14:textFill>
            <w14:solidFill>
              <w14:schemeClr w14:val="tx1"/>
            </w14:solidFill>
          </w14:textFill>
        </w:rPr>
      </w:pPr>
      <w:bookmarkStart w:id="393" w:name="OLE_LINK14"/>
      <w:bookmarkStart w:id="394" w:name="OLE_LINK13"/>
    </w:p>
    <w:p w14:paraId="61D5A613">
      <w:pPr>
        <w:spacing w:line="440" w:lineRule="exact"/>
        <w:jc w:val="center"/>
        <w:rPr>
          <w:rFonts w:hint="eastAsia" w:ascii="宋体" w:hAnsi="宋体" w:cs="宋体"/>
          <w:b/>
          <w:color w:val="000000" w:themeColor="text1"/>
          <w:spacing w:val="6"/>
          <w:szCs w:val="21"/>
          <w:highlight w:val="none"/>
          <w14:textFill>
            <w14:solidFill>
              <w14:schemeClr w14:val="tx1"/>
            </w14:solidFill>
          </w14:textFill>
        </w:rPr>
      </w:pPr>
    </w:p>
    <w:p w14:paraId="43489BA7">
      <w:pPr>
        <w:spacing w:line="440" w:lineRule="exact"/>
        <w:jc w:val="center"/>
        <w:rPr>
          <w:rFonts w:hint="eastAsia" w:ascii="宋体" w:hAnsi="宋体" w:cs="宋体"/>
          <w:b/>
          <w:color w:val="000000" w:themeColor="text1"/>
          <w:spacing w:val="6"/>
          <w:szCs w:val="21"/>
          <w:highlight w:val="none"/>
          <w14:textFill>
            <w14:solidFill>
              <w14:schemeClr w14:val="tx1"/>
            </w14:solidFill>
          </w14:textFill>
        </w:rPr>
      </w:pPr>
    </w:p>
    <w:p w14:paraId="4FCF614E">
      <w:pPr>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残疾人福利性单位声明函</w:t>
      </w:r>
    </w:p>
    <w:bookmarkEnd w:id="393"/>
    <w:bookmarkEnd w:id="394"/>
    <w:p w14:paraId="7EFD32BC">
      <w:pPr>
        <w:spacing w:line="440" w:lineRule="exact"/>
        <w:rPr>
          <w:rFonts w:hint="eastAsia" w:ascii="宋体" w:hAnsi="宋体" w:cs="宋体"/>
          <w:b/>
          <w:color w:val="000000" w:themeColor="text1"/>
          <w:spacing w:val="6"/>
          <w:szCs w:val="21"/>
          <w:highlight w:val="none"/>
          <w14:textFill>
            <w14:solidFill>
              <w14:schemeClr w14:val="tx1"/>
            </w14:solidFill>
          </w14:textFill>
        </w:rPr>
      </w:pPr>
    </w:p>
    <w:p w14:paraId="25ACB391">
      <w:pPr>
        <w:spacing w:line="440" w:lineRule="exact"/>
        <w:ind w:firstLine="50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spacing w:val="6"/>
          <w:szCs w:val="21"/>
          <w:highlight w:val="none"/>
          <w:lang w:eastAsia="zh-CN"/>
          <w14:textFill>
            <w14:solidFill>
              <w14:schemeClr w14:val="tx1"/>
            </w14:solidFill>
          </w14:textFill>
        </w:rPr>
        <w:t>〔2017〕141号</w:t>
      </w:r>
      <w:r>
        <w:rPr>
          <w:rFonts w:hint="eastAsia" w:ascii="宋体" w:hAnsi="宋体" w:cs="宋体"/>
          <w:color w:val="000000" w:themeColor="text1"/>
          <w:spacing w:val="6"/>
          <w:szCs w:val="2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5B6284E">
      <w:pPr>
        <w:spacing w:line="440" w:lineRule="exact"/>
        <w:ind w:firstLine="50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本单位对上述声明的真实性负责。如有虚假，将依法承担相应责任。</w:t>
      </w:r>
    </w:p>
    <w:p w14:paraId="11EC49FF">
      <w:pPr>
        <w:spacing w:line="440" w:lineRule="exact"/>
        <w:ind w:firstLine="504"/>
        <w:rPr>
          <w:rFonts w:hint="eastAsia" w:ascii="宋体" w:hAnsi="宋体" w:cs="宋体"/>
          <w:color w:val="000000" w:themeColor="text1"/>
          <w:spacing w:val="6"/>
          <w:szCs w:val="21"/>
          <w:highlight w:val="none"/>
          <w14:textFill>
            <w14:solidFill>
              <w14:schemeClr w14:val="tx1"/>
            </w14:solidFill>
          </w14:textFill>
        </w:rPr>
      </w:pPr>
    </w:p>
    <w:p w14:paraId="0BC406C1">
      <w:pPr>
        <w:spacing w:line="440" w:lineRule="exact"/>
        <w:ind w:firstLine="504"/>
        <w:rPr>
          <w:rFonts w:hint="eastAsia" w:ascii="宋体" w:hAnsi="宋体" w:cs="宋体"/>
          <w:color w:val="000000" w:themeColor="text1"/>
          <w:spacing w:val="6"/>
          <w:szCs w:val="21"/>
          <w:highlight w:val="none"/>
          <w14:textFill>
            <w14:solidFill>
              <w14:schemeClr w14:val="tx1"/>
            </w14:solidFill>
          </w14:textFill>
        </w:rPr>
      </w:pPr>
    </w:p>
    <w:p w14:paraId="577CC1AA">
      <w:pPr>
        <w:tabs>
          <w:tab w:val="left" w:pos="4860"/>
        </w:tabs>
        <w:spacing w:line="440" w:lineRule="exact"/>
        <w:ind w:firstLine="50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 xml:space="preserve">                 单位公章</w:t>
      </w:r>
      <w:r>
        <w:rPr>
          <w:rFonts w:hint="eastAsia" w:ascii="宋体" w:hAnsi="宋体" w:cs="宋体"/>
          <w:color w:val="000000" w:themeColor="text1"/>
          <w:spacing w:val="6"/>
          <w:szCs w:val="21"/>
          <w:highlight w:val="none"/>
          <w:lang w:eastAsia="zh-CN"/>
          <w14:textFill>
            <w14:solidFill>
              <w14:schemeClr w14:val="tx1"/>
            </w14:solidFill>
          </w14:textFill>
        </w:rPr>
        <w:t>（</w:t>
      </w:r>
      <w:r>
        <w:rPr>
          <w:rFonts w:hint="eastAsia" w:ascii="宋体" w:hAnsi="宋体" w:cs="宋体"/>
          <w:color w:val="000000" w:themeColor="text1"/>
          <w:spacing w:val="6"/>
          <w:szCs w:val="21"/>
          <w:highlight w:val="none"/>
          <w14:textFill>
            <w14:solidFill>
              <w14:schemeClr w14:val="tx1"/>
            </w14:solidFill>
          </w14:textFill>
        </w:rPr>
        <w:t>自然人除外）：</w:t>
      </w:r>
    </w:p>
    <w:p w14:paraId="29E7957E">
      <w:pPr>
        <w:pStyle w:val="15"/>
        <w:spacing w:line="440" w:lineRule="exact"/>
        <w:ind w:firstLine="468"/>
        <w:jc w:val="center"/>
        <w:rPr>
          <w:rFonts w:hint="eastAsia" w:ascii="宋体" w:hAnsi="宋体" w:cs="宋体"/>
          <w:color w:val="000000" w:themeColor="text1"/>
          <w:spacing w:val="6"/>
          <w:sz w:val="21"/>
          <w:szCs w:val="21"/>
          <w:highlight w:val="none"/>
          <w14:textFill>
            <w14:solidFill>
              <w14:schemeClr w14:val="tx1"/>
            </w14:solidFill>
          </w14:textFill>
        </w:rPr>
      </w:pPr>
      <w:r>
        <w:rPr>
          <w:rFonts w:hint="eastAsia" w:ascii="宋体" w:hAnsi="宋体" w:cs="宋体"/>
          <w:color w:val="000000" w:themeColor="text1"/>
          <w:spacing w:val="6"/>
          <w:sz w:val="21"/>
          <w:szCs w:val="21"/>
          <w:highlight w:val="none"/>
          <w14:textFill>
            <w14:solidFill>
              <w14:schemeClr w14:val="tx1"/>
            </w14:solidFill>
          </w14:textFill>
        </w:rPr>
        <w:t>日  期：</w:t>
      </w:r>
    </w:p>
    <w:p w14:paraId="3C35A625">
      <w:pPr>
        <w:pStyle w:val="15"/>
        <w:spacing w:line="440" w:lineRule="exact"/>
        <w:rPr>
          <w:rFonts w:hint="eastAsia" w:ascii="宋体" w:hAnsi="宋体" w:cs="宋体"/>
          <w:b/>
          <w:bCs/>
          <w:color w:val="000000" w:themeColor="text1"/>
          <w:sz w:val="21"/>
          <w:szCs w:val="21"/>
          <w:highlight w:val="none"/>
          <w14:textFill>
            <w14:solidFill>
              <w14:schemeClr w14:val="tx1"/>
            </w14:solidFill>
          </w14:textFill>
        </w:rPr>
      </w:pPr>
    </w:p>
    <w:p w14:paraId="775206A3">
      <w:pPr>
        <w:spacing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8.</w:t>
      </w:r>
      <w:r>
        <w:rPr>
          <w:rFonts w:hint="eastAsia" w:ascii="宋体" w:hAnsi="宋体" w:cs="宋体"/>
          <w:b/>
          <w:bCs/>
          <w:color w:val="000000" w:themeColor="text1"/>
          <w:szCs w:val="21"/>
          <w:highlight w:val="none"/>
          <w14:textFill>
            <w14:solidFill>
              <w14:schemeClr w14:val="tx1"/>
            </w14:solidFill>
          </w14:textFill>
        </w:rPr>
        <w:t>供应商相关认证证书等复印件（如有请提供）</w:t>
      </w:r>
    </w:p>
    <w:p w14:paraId="451B653A">
      <w:pPr>
        <w:spacing w:line="440" w:lineRule="exact"/>
        <w:rPr>
          <w:rFonts w:hint="eastAsia" w:ascii="宋体" w:hAnsi="宋体" w:cs="宋体"/>
          <w:b/>
          <w:bCs/>
          <w:color w:val="000000" w:themeColor="text1"/>
          <w:szCs w:val="21"/>
          <w:highlight w:val="none"/>
          <w14:textFill>
            <w14:solidFill>
              <w14:schemeClr w14:val="tx1"/>
            </w14:solidFill>
          </w14:textFill>
        </w:rPr>
      </w:pPr>
    </w:p>
    <w:p w14:paraId="74E77B55">
      <w:pPr>
        <w:pStyle w:val="15"/>
        <w:rPr>
          <w:rFonts w:hint="eastAsia" w:ascii="宋体" w:hAnsi="宋体" w:cs="宋体"/>
          <w:b/>
          <w:bCs/>
          <w:color w:val="000000" w:themeColor="text1"/>
          <w:szCs w:val="21"/>
          <w:highlight w:val="none"/>
          <w14:textFill>
            <w14:solidFill>
              <w14:schemeClr w14:val="tx1"/>
            </w14:solidFill>
          </w14:textFill>
        </w:rPr>
      </w:pPr>
    </w:p>
    <w:p w14:paraId="14B85168">
      <w:pPr>
        <w:rPr>
          <w:rFonts w:hint="eastAsia"/>
          <w:color w:val="000000" w:themeColor="text1"/>
          <w14:textFill>
            <w14:solidFill>
              <w14:schemeClr w14:val="tx1"/>
            </w14:solidFill>
          </w14:textFill>
        </w:rPr>
      </w:pPr>
    </w:p>
    <w:p w14:paraId="3C184720">
      <w:pPr>
        <w:pStyle w:val="19"/>
        <w:adjustRightInd w:val="0"/>
        <w:spacing w:line="360" w:lineRule="exact"/>
        <w:contextualSpacing/>
        <w:rPr>
          <w:rFonts w:hint="eastAsia" w:ascii="宋体" w:hAnsi="宋体" w:cs="宋体"/>
          <w:b/>
          <w:bCs/>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lang w:val="en-US" w:eastAsia="zh-CN"/>
          <w14:textFill>
            <w14:solidFill>
              <w14:schemeClr w14:val="tx1"/>
            </w14:solidFill>
          </w14:textFill>
        </w:rPr>
        <w:t>9</w:t>
      </w:r>
      <w:r>
        <w:rPr>
          <w:rFonts w:hint="eastAsia" w:ascii="宋体" w:hAnsi="宋体" w:cs="宋体"/>
          <w:b/>
          <w:bCs/>
          <w:color w:val="000000" w:themeColor="text1"/>
          <w:szCs w:val="21"/>
          <w:highlight w:val="none"/>
          <w14:textFill>
            <w14:solidFill>
              <w14:schemeClr w14:val="tx1"/>
            </w14:solidFill>
          </w14:textFill>
        </w:rPr>
        <w:t>.供应商认为有必要提供的其他资料（如有，请提供）</w:t>
      </w:r>
    </w:p>
    <w:p w14:paraId="27A38EC9">
      <w:pPr>
        <w:pStyle w:val="19"/>
        <w:adjustRightInd w:val="0"/>
        <w:spacing w:line="360" w:lineRule="exact"/>
        <w:contextualSpacing/>
        <w:rPr>
          <w:rFonts w:hint="eastAsia" w:ascii="宋体" w:hAnsi="宋体" w:cs="宋体"/>
          <w:b/>
          <w:bCs/>
          <w:color w:val="000000" w:themeColor="text1"/>
          <w:szCs w:val="21"/>
          <w:highlight w:val="none"/>
          <w14:textFill>
            <w14:solidFill>
              <w14:schemeClr w14:val="tx1"/>
            </w14:solidFill>
          </w14:textFill>
        </w:rPr>
      </w:pPr>
    </w:p>
    <w:p w14:paraId="5A190B93">
      <w:pPr>
        <w:pStyle w:val="19"/>
        <w:adjustRightInd w:val="0"/>
        <w:spacing w:line="360" w:lineRule="exact"/>
        <w:contextualSpacing/>
        <w:rPr>
          <w:rFonts w:hint="eastAsia" w:hAnsi="宋体" w:cs="宋体"/>
          <w:b/>
          <w:color w:val="000000" w:themeColor="text1"/>
          <w:szCs w:val="24"/>
          <w:highlight w:val="none"/>
          <w14:textFill>
            <w14:solidFill>
              <w14:schemeClr w14:val="tx1"/>
            </w14:solidFill>
          </w14:textFill>
        </w:rPr>
      </w:pPr>
      <w:r>
        <w:rPr>
          <w:rFonts w:hint="eastAsia" w:hAnsi="宋体" w:cs="宋体"/>
          <w:b/>
          <w:color w:val="000000" w:themeColor="text1"/>
          <w:szCs w:val="24"/>
          <w:highlight w:val="none"/>
          <w14:textFill>
            <w14:solidFill>
              <w14:schemeClr w14:val="tx1"/>
            </w14:solidFill>
          </w14:textFill>
        </w:rPr>
        <w:t>附表1：</w:t>
      </w:r>
    </w:p>
    <w:p w14:paraId="4424A226">
      <w:pPr>
        <w:widowControl/>
        <w:spacing w:beforeLines="50" w:afterLines="50" w:line="360" w:lineRule="exact"/>
        <w:jc w:val="center"/>
        <w:rPr>
          <w:rFonts w:ascii="Arial" w:hAnsi="Arial" w:cs="Arial"/>
          <w:b/>
          <w:bCs/>
          <w:color w:val="000000" w:themeColor="text1"/>
          <w:kern w:val="0"/>
          <w:sz w:val="15"/>
          <w:szCs w:val="15"/>
          <w:highlight w:val="none"/>
          <w14:textFill>
            <w14:solidFill>
              <w14:schemeClr w14:val="tx1"/>
            </w14:solidFill>
          </w14:textFill>
        </w:rPr>
      </w:pPr>
      <w:bookmarkStart w:id="395" w:name="_Toc28361_WPSOffice_Level2"/>
      <w:r>
        <w:rPr>
          <w:rFonts w:ascii="Arial" w:hAnsi="Arial" w:cs="Arial"/>
          <w:b/>
          <w:bCs/>
          <w:color w:val="000000" w:themeColor="text1"/>
          <w:kern w:val="0"/>
          <w:sz w:val="15"/>
          <w:szCs w:val="15"/>
          <w:highlight w:val="none"/>
          <w14:textFill>
            <w14:solidFill>
              <w14:schemeClr w14:val="tx1"/>
            </w14:solidFill>
          </w14:textFill>
        </w:rPr>
        <w:t>统计上大中小微型企业划分标准</w:t>
      </w:r>
      <w:bookmarkEnd w:id="395"/>
    </w:p>
    <w:tbl>
      <w:tblPr>
        <w:tblStyle w:val="36"/>
        <w:tblW w:w="9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1639"/>
        <w:gridCol w:w="1026"/>
        <w:gridCol w:w="1015"/>
        <w:gridCol w:w="1750"/>
        <w:gridCol w:w="1513"/>
        <w:gridCol w:w="1432"/>
      </w:tblGrid>
      <w:tr w14:paraId="59E5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blHeader/>
          <w:jc w:val="center"/>
        </w:trPr>
        <w:tc>
          <w:tcPr>
            <w:tcW w:w="1615" w:type="dxa"/>
            <w:shd w:val="clear" w:color="auto" w:fill="8DB3E2"/>
            <w:vAlign w:val="center"/>
          </w:tcPr>
          <w:p w14:paraId="204C4108">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行业名称</w:t>
            </w:r>
          </w:p>
        </w:tc>
        <w:tc>
          <w:tcPr>
            <w:tcW w:w="1639" w:type="dxa"/>
            <w:shd w:val="clear" w:color="auto" w:fill="8DB3E2"/>
            <w:vAlign w:val="center"/>
          </w:tcPr>
          <w:p w14:paraId="36CC5352">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指标名称</w:t>
            </w:r>
          </w:p>
        </w:tc>
        <w:tc>
          <w:tcPr>
            <w:tcW w:w="1026" w:type="dxa"/>
            <w:shd w:val="clear" w:color="auto" w:fill="8DB3E2"/>
            <w:vAlign w:val="center"/>
          </w:tcPr>
          <w:p w14:paraId="535B1DAD">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计量单位</w:t>
            </w:r>
          </w:p>
        </w:tc>
        <w:tc>
          <w:tcPr>
            <w:tcW w:w="1015" w:type="dxa"/>
            <w:shd w:val="clear" w:color="auto" w:fill="8DB3E2"/>
            <w:vAlign w:val="center"/>
          </w:tcPr>
          <w:p w14:paraId="3533A9D4">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大型</w:t>
            </w:r>
          </w:p>
        </w:tc>
        <w:tc>
          <w:tcPr>
            <w:tcW w:w="1750" w:type="dxa"/>
            <w:shd w:val="clear" w:color="auto" w:fill="8DB3E2"/>
            <w:vAlign w:val="center"/>
          </w:tcPr>
          <w:p w14:paraId="32C52111">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中型</w:t>
            </w:r>
          </w:p>
        </w:tc>
        <w:tc>
          <w:tcPr>
            <w:tcW w:w="1513" w:type="dxa"/>
            <w:shd w:val="clear" w:color="auto" w:fill="8DB3E2"/>
            <w:vAlign w:val="center"/>
          </w:tcPr>
          <w:p w14:paraId="38104540">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小型</w:t>
            </w:r>
          </w:p>
        </w:tc>
        <w:tc>
          <w:tcPr>
            <w:tcW w:w="1432" w:type="dxa"/>
            <w:shd w:val="clear" w:color="auto" w:fill="8DB3E2"/>
            <w:vAlign w:val="center"/>
          </w:tcPr>
          <w:p w14:paraId="46246636">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微型</w:t>
            </w:r>
          </w:p>
        </w:tc>
      </w:tr>
      <w:tr w14:paraId="141E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Align w:val="center"/>
          </w:tcPr>
          <w:p w14:paraId="5071CA8C">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农、林、牧、渔业</w:t>
            </w:r>
          </w:p>
        </w:tc>
        <w:tc>
          <w:tcPr>
            <w:tcW w:w="1639" w:type="dxa"/>
            <w:vAlign w:val="center"/>
          </w:tcPr>
          <w:p w14:paraId="408BB69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84179C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B478E9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Y≥20000</w:t>
            </w:r>
          </w:p>
        </w:tc>
        <w:tc>
          <w:tcPr>
            <w:tcW w:w="1750" w:type="dxa"/>
            <w:vAlign w:val="center"/>
          </w:tcPr>
          <w:p w14:paraId="3F355FB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500≤Y＜20000</w:t>
            </w:r>
          </w:p>
        </w:tc>
        <w:tc>
          <w:tcPr>
            <w:tcW w:w="1513" w:type="dxa"/>
            <w:vAlign w:val="center"/>
          </w:tcPr>
          <w:p w14:paraId="65D6E6A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50≤Y＜500</w:t>
            </w:r>
          </w:p>
        </w:tc>
        <w:tc>
          <w:tcPr>
            <w:tcW w:w="1432" w:type="dxa"/>
            <w:vAlign w:val="center"/>
          </w:tcPr>
          <w:p w14:paraId="2E7CD13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w:t>
            </w:r>
          </w:p>
        </w:tc>
      </w:tr>
      <w:tr w14:paraId="4F79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56C1AFC9">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工业 ×</w:t>
            </w:r>
          </w:p>
        </w:tc>
        <w:tc>
          <w:tcPr>
            <w:tcW w:w="1639" w:type="dxa"/>
            <w:vAlign w:val="center"/>
          </w:tcPr>
          <w:p w14:paraId="1278489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0621F59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05F7E43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4817A13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0DCD822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20≤X＜300</w:t>
            </w:r>
          </w:p>
        </w:tc>
        <w:tc>
          <w:tcPr>
            <w:tcW w:w="1432" w:type="dxa"/>
            <w:vAlign w:val="center"/>
          </w:tcPr>
          <w:p w14:paraId="3981FE4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0CBD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0B0E81A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00B6500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1D4DA5B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7D15AA0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Y≥40000</w:t>
            </w:r>
          </w:p>
        </w:tc>
        <w:tc>
          <w:tcPr>
            <w:tcW w:w="1750" w:type="dxa"/>
            <w:vAlign w:val="center"/>
          </w:tcPr>
          <w:p w14:paraId="1C5B5AD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2000≤Y＜40000</w:t>
            </w:r>
          </w:p>
        </w:tc>
        <w:tc>
          <w:tcPr>
            <w:tcW w:w="1513" w:type="dxa"/>
            <w:vAlign w:val="center"/>
          </w:tcPr>
          <w:p w14:paraId="72E218D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300≤Y＜2000</w:t>
            </w:r>
          </w:p>
        </w:tc>
        <w:tc>
          <w:tcPr>
            <w:tcW w:w="1432" w:type="dxa"/>
            <w:vAlign w:val="center"/>
          </w:tcPr>
          <w:p w14:paraId="5733286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w:t>
            </w:r>
          </w:p>
        </w:tc>
      </w:tr>
      <w:tr w14:paraId="643B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49A40895">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建筑业</w:t>
            </w:r>
          </w:p>
        </w:tc>
        <w:tc>
          <w:tcPr>
            <w:tcW w:w="1639" w:type="dxa"/>
            <w:vAlign w:val="center"/>
          </w:tcPr>
          <w:p w14:paraId="6B61391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7FF0B13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7C86CC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Y≥80000</w:t>
            </w:r>
          </w:p>
        </w:tc>
        <w:tc>
          <w:tcPr>
            <w:tcW w:w="1750" w:type="dxa"/>
            <w:vAlign w:val="center"/>
          </w:tcPr>
          <w:p w14:paraId="765A8A3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6000≤Y＜80000</w:t>
            </w:r>
          </w:p>
        </w:tc>
        <w:tc>
          <w:tcPr>
            <w:tcW w:w="1513" w:type="dxa"/>
            <w:vAlign w:val="center"/>
          </w:tcPr>
          <w:p w14:paraId="5F49BA0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300≤Y＜6000</w:t>
            </w:r>
          </w:p>
        </w:tc>
        <w:tc>
          <w:tcPr>
            <w:tcW w:w="1432" w:type="dxa"/>
            <w:vAlign w:val="center"/>
          </w:tcPr>
          <w:p w14:paraId="0F6A1F6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w:t>
            </w:r>
          </w:p>
        </w:tc>
      </w:tr>
      <w:tr w14:paraId="1E1B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798AAB06">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522612A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资产总额(Z)</w:t>
            </w:r>
          </w:p>
        </w:tc>
        <w:tc>
          <w:tcPr>
            <w:tcW w:w="1026" w:type="dxa"/>
            <w:vAlign w:val="center"/>
          </w:tcPr>
          <w:p w14:paraId="58B54AA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52F134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Z≥80000</w:t>
            </w:r>
          </w:p>
        </w:tc>
        <w:tc>
          <w:tcPr>
            <w:tcW w:w="1750" w:type="dxa"/>
            <w:vAlign w:val="center"/>
          </w:tcPr>
          <w:p w14:paraId="3916F80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5000≤Z＜80000</w:t>
            </w:r>
          </w:p>
        </w:tc>
        <w:tc>
          <w:tcPr>
            <w:tcW w:w="1513" w:type="dxa"/>
            <w:vAlign w:val="center"/>
          </w:tcPr>
          <w:p w14:paraId="4DDAD30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300≤Z＜5000</w:t>
            </w:r>
          </w:p>
        </w:tc>
        <w:tc>
          <w:tcPr>
            <w:tcW w:w="1432" w:type="dxa"/>
            <w:vAlign w:val="center"/>
          </w:tcPr>
          <w:p w14:paraId="771B9CD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Z＜300</w:t>
            </w:r>
          </w:p>
        </w:tc>
      </w:tr>
      <w:tr w14:paraId="3C7F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165EB034">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批发业</w:t>
            </w:r>
          </w:p>
        </w:tc>
        <w:tc>
          <w:tcPr>
            <w:tcW w:w="1639" w:type="dxa"/>
            <w:vAlign w:val="center"/>
          </w:tcPr>
          <w:p w14:paraId="5C2BD54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40D60CF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5DAF59C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X≥200</w:t>
            </w:r>
          </w:p>
        </w:tc>
        <w:tc>
          <w:tcPr>
            <w:tcW w:w="1750" w:type="dxa"/>
            <w:vAlign w:val="center"/>
          </w:tcPr>
          <w:p w14:paraId="21DC30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20≤X＜200</w:t>
            </w:r>
          </w:p>
        </w:tc>
        <w:tc>
          <w:tcPr>
            <w:tcW w:w="1513" w:type="dxa"/>
            <w:vAlign w:val="center"/>
          </w:tcPr>
          <w:p w14:paraId="4E64F13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5≤X＜20</w:t>
            </w:r>
          </w:p>
        </w:tc>
        <w:tc>
          <w:tcPr>
            <w:tcW w:w="1432" w:type="dxa"/>
            <w:vAlign w:val="center"/>
          </w:tcPr>
          <w:p w14:paraId="693CAAC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X＜5</w:t>
            </w:r>
          </w:p>
        </w:tc>
      </w:tr>
      <w:tr w14:paraId="2D10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14A26BFF">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73B73A7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6ABA08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576152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Y≥40000</w:t>
            </w:r>
          </w:p>
        </w:tc>
        <w:tc>
          <w:tcPr>
            <w:tcW w:w="1750" w:type="dxa"/>
            <w:vAlign w:val="center"/>
          </w:tcPr>
          <w:p w14:paraId="532273E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5000≤Y＜40000</w:t>
            </w:r>
          </w:p>
        </w:tc>
        <w:tc>
          <w:tcPr>
            <w:tcW w:w="1513" w:type="dxa"/>
            <w:vAlign w:val="center"/>
          </w:tcPr>
          <w:p w14:paraId="68C7453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1000≤Y＜5000</w:t>
            </w:r>
          </w:p>
        </w:tc>
        <w:tc>
          <w:tcPr>
            <w:tcW w:w="1432" w:type="dxa"/>
            <w:vAlign w:val="center"/>
          </w:tcPr>
          <w:p w14:paraId="29D0EC4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w:t>
            </w:r>
          </w:p>
        </w:tc>
      </w:tr>
      <w:tr w14:paraId="74A0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102F03F4">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零售业</w:t>
            </w:r>
          </w:p>
        </w:tc>
        <w:tc>
          <w:tcPr>
            <w:tcW w:w="1639" w:type="dxa"/>
            <w:vAlign w:val="center"/>
          </w:tcPr>
          <w:p w14:paraId="4A02C63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5F12A0A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5F27884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690F3D3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50≤X＜300</w:t>
            </w:r>
          </w:p>
        </w:tc>
        <w:tc>
          <w:tcPr>
            <w:tcW w:w="1513" w:type="dxa"/>
            <w:vAlign w:val="center"/>
          </w:tcPr>
          <w:p w14:paraId="707A09E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 xml:space="preserve">10≤X＜50 </w:t>
            </w:r>
          </w:p>
        </w:tc>
        <w:tc>
          <w:tcPr>
            <w:tcW w:w="1432" w:type="dxa"/>
            <w:vAlign w:val="center"/>
          </w:tcPr>
          <w:p w14:paraId="13400F6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22BB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5E5B461B">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3E02C74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F9509A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222D9A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Y≥20000</w:t>
            </w:r>
          </w:p>
        </w:tc>
        <w:tc>
          <w:tcPr>
            <w:tcW w:w="1750" w:type="dxa"/>
            <w:vAlign w:val="center"/>
          </w:tcPr>
          <w:p w14:paraId="7249709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500≤Y＜20000</w:t>
            </w:r>
          </w:p>
        </w:tc>
        <w:tc>
          <w:tcPr>
            <w:tcW w:w="1513" w:type="dxa"/>
            <w:vAlign w:val="center"/>
          </w:tcPr>
          <w:p w14:paraId="27A0C1A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100≤Y＜500</w:t>
            </w:r>
          </w:p>
        </w:tc>
        <w:tc>
          <w:tcPr>
            <w:tcW w:w="1432" w:type="dxa"/>
            <w:vAlign w:val="center"/>
          </w:tcPr>
          <w:p w14:paraId="6BC5041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06A8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6D4E1438">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交通运输业 ×</w:t>
            </w:r>
          </w:p>
        </w:tc>
        <w:tc>
          <w:tcPr>
            <w:tcW w:w="1639" w:type="dxa"/>
            <w:vAlign w:val="center"/>
          </w:tcPr>
          <w:p w14:paraId="65055B8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6FB6B1E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73C3723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1D56FAB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3A8B78B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20≤X＜300</w:t>
            </w:r>
          </w:p>
        </w:tc>
        <w:tc>
          <w:tcPr>
            <w:tcW w:w="1432" w:type="dxa"/>
            <w:vAlign w:val="center"/>
          </w:tcPr>
          <w:p w14:paraId="4C58009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5DA1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7838ED28">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6AA3C0C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2FC3E5F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B307A8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Y≥30000</w:t>
            </w:r>
          </w:p>
        </w:tc>
        <w:tc>
          <w:tcPr>
            <w:tcW w:w="1750" w:type="dxa"/>
            <w:vAlign w:val="center"/>
          </w:tcPr>
          <w:p w14:paraId="1DFE32A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3000≤Y＜30000</w:t>
            </w:r>
          </w:p>
        </w:tc>
        <w:tc>
          <w:tcPr>
            <w:tcW w:w="1513" w:type="dxa"/>
            <w:vAlign w:val="center"/>
          </w:tcPr>
          <w:p w14:paraId="54BCDA8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200≤Y＜3000</w:t>
            </w:r>
          </w:p>
        </w:tc>
        <w:tc>
          <w:tcPr>
            <w:tcW w:w="1432" w:type="dxa"/>
            <w:vAlign w:val="center"/>
          </w:tcPr>
          <w:p w14:paraId="51DAFA2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w:t>
            </w:r>
          </w:p>
        </w:tc>
      </w:tr>
      <w:tr w14:paraId="2788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4479EDCA">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仓储业×</w:t>
            </w:r>
          </w:p>
        </w:tc>
        <w:tc>
          <w:tcPr>
            <w:tcW w:w="1639" w:type="dxa"/>
            <w:vAlign w:val="center"/>
          </w:tcPr>
          <w:p w14:paraId="2145C7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5520E32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724C34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X≥200</w:t>
            </w:r>
          </w:p>
        </w:tc>
        <w:tc>
          <w:tcPr>
            <w:tcW w:w="1750" w:type="dxa"/>
            <w:vAlign w:val="center"/>
          </w:tcPr>
          <w:p w14:paraId="0579DBC7">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100≤X＜200</w:t>
            </w:r>
          </w:p>
        </w:tc>
        <w:tc>
          <w:tcPr>
            <w:tcW w:w="1513" w:type="dxa"/>
            <w:vAlign w:val="center"/>
          </w:tcPr>
          <w:p w14:paraId="78FAFB6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20≤X＜100</w:t>
            </w:r>
          </w:p>
        </w:tc>
        <w:tc>
          <w:tcPr>
            <w:tcW w:w="1432" w:type="dxa"/>
            <w:vAlign w:val="center"/>
          </w:tcPr>
          <w:p w14:paraId="79C6433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11AE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3E3A993E">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629295F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7EF18D2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09990C7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Y≥30000</w:t>
            </w:r>
          </w:p>
        </w:tc>
        <w:tc>
          <w:tcPr>
            <w:tcW w:w="1750" w:type="dxa"/>
            <w:vAlign w:val="center"/>
          </w:tcPr>
          <w:p w14:paraId="0E5D393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1000≤Y＜30000</w:t>
            </w:r>
          </w:p>
        </w:tc>
        <w:tc>
          <w:tcPr>
            <w:tcW w:w="1513" w:type="dxa"/>
            <w:vAlign w:val="center"/>
          </w:tcPr>
          <w:p w14:paraId="463C60E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100≤Y＜1000</w:t>
            </w:r>
          </w:p>
        </w:tc>
        <w:tc>
          <w:tcPr>
            <w:tcW w:w="1432" w:type="dxa"/>
            <w:vAlign w:val="center"/>
          </w:tcPr>
          <w:p w14:paraId="690714B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2B4F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707034B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邮政业</w:t>
            </w:r>
          </w:p>
        </w:tc>
        <w:tc>
          <w:tcPr>
            <w:tcW w:w="1639" w:type="dxa"/>
            <w:vAlign w:val="center"/>
          </w:tcPr>
          <w:p w14:paraId="7130401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41606C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4E6E30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5AA864A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5A393F0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20≤X＜300</w:t>
            </w:r>
          </w:p>
        </w:tc>
        <w:tc>
          <w:tcPr>
            <w:tcW w:w="1432" w:type="dxa"/>
            <w:vAlign w:val="center"/>
          </w:tcPr>
          <w:p w14:paraId="7BC8300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3E19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62B20EAF">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4C394CF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523DD7B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16DAA3D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Y≥30000</w:t>
            </w:r>
          </w:p>
        </w:tc>
        <w:tc>
          <w:tcPr>
            <w:tcW w:w="1750" w:type="dxa"/>
            <w:vAlign w:val="center"/>
          </w:tcPr>
          <w:p w14:paraId="7CCAA05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2000≤Y＜30000</w:t>
            </w:r>
          </w:p>
        </w:tc>
        <w:tc>
          <w:tcPr>
            <w:tcW w:w="1513" w:type="dxa"/>
            <w:vAlign w:val="center"/>
          </w:tcPr>
          <w:p w14:paraId="20DC5C8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100≤Y＜2000</w:t>
            </w:r>
          </w:p>
        </w:tc>
        <w:tc>
          <w:tcPr>
            <w:tcW w:w="1432" w:type="dxa"/>
            <w:vAlign w:val="center"/>
          </w:tcPr>
          <w:p w14:paraId="0614540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3DC8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11A8A845">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住宿业</w:t>
            </w:r>
          </w:p>
        </w:tc>
        <w:tc>
          <w:tcPr>
            <w:tcW w:w="1639" w:type="dxa"/>
            <w:vAlign w:val="center"/>
          </w:tcPr>
          <w:p w14:paraId="6B5F726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23553BB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5891F93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782A5923">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513" w:type="dxa"/>
            <w:vAlign w:val="center"/>
          </w:tcPr>
          <w:p w14:paraId="2662C6F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7FEC8ED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25C7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559054C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30EE6CB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055EDF3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1D2749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w:t>
            </w:r>
          </w:p>
        </w:tc>
        <w:tc>
          <w:tcPr>
            <w:tcW w:w="1750" w:type="dxa"/>
            <w:vAlign w:val="center"/>
          </w:tcPr>
          <w:p w14:paraId="5F61E94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2000≤Y＜10000</w:t>
            </w:r>
          </w:p>
        </w:tc>
        <w:tc>
          <w:tcPr>
            <w:tcW w:w="1513" w:type="dxa"/>
            <w:vAlign w:val="center"/>
          </w:tcPr>
          <w:p w14:paraId="1CE2D65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100≤Y＜2000</w:t>
            </w:r>
          </w:p>
        </w:tc>
        <w:tc>
          <w:tcPr>
            <w:tcW w:w="1432" w:type="dxa"/>
            <w:vAlign w:val="center"/>
          </w:tcPr>
          <w:p w14:paraId="6A7B132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67D5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559E5646">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餐饮业</w:t>
            </w:r>
          </w:p>
        </w:tc>
        <w:tc>
          <w:tcPr>
            <w:tcW w:w="1639" w:type="dxa"/>
            <w:vAlign w:val="center"/>
          </w:tcPr>
          <w:p w14:paraId="3CEC9F0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12F18C2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C18792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4994C521">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 xml:space="preserve">100≤X＜300 </w:t>
            </w:r>
          </w:p>
        </w:tc>
        <w:tc>
          <w:tcPr>
            <w:tcW w:w="1513" w:type="dxa"/>
            <w:vAlign w:val="center"/>
          </w:tcPr>
          <w:p w14:paraId="6476C13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599AEC5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18A9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4ABFB6CB">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447520C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21723A1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4A7BFF8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w:t>
            </w:r>
          </w:p>
        </w:tc>
        <w:tc>
          <w:tcPr>
            <w:tcW w:w="1750" w:type="dxa"/>
            <w:vAlign w:val="center"/>
          </w:tcPr>
          <w:p w14:paraId="581160F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2000≤Y＜10000</w:t>
            </w:r>
          </w:p>
        </w:tc>
        <w:tc>
          <w:tcPr>
            <w:tcW w:w="1513" w:type="dxa"/>
            <w:vAlign w:val="center"/>
          </w:tcPr>
          <w:p w14:paraId="0652DAD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100≤Y＜2000</w:t>
            </w:r>
          </w:p>
        </w:tc>
        <w:tc>
          <w:tcPr>
            <w:tcW w:w="1432" w:type="dxa"/>
            <w:vAlign w:val="center"/>
          </w:tcPr>
          <w:p w14:paraId="168E983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6864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3F8559AA">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信息业 ×</w:t>
            </w:r>
          </w:p>
        </w:tc>
        <w:tc>
          <w:tcPr>
            <w:tcW w:w="1639" w:type="dxa"/>
            <w:vAlign w:val="center"/>
          </w:tcPr>
          <w:p w14:paraId="7C7116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3692407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051278E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X≥2000</w:t>
            </w:r>
          </w:p>
        </w:tc>
        <w:tc>
          <w:tcPr>
            <w:tcW w:w="1750" w:type="dxa"/>
            <w:vAlign w:val="center"/>
          </w:tcPr>
          <w:p w14:paraId="3B8B8A3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100≤X＜2000</w:t>
            </w:r>
          </w:p>
        </w:tc>
        <w:tc>
          <w:tcPr>
            <w:tcW w:w="1513" w:type="dxa"/>
            <w:vAlign w:val="center"/>
          </w:tcPr>
          <w:p w14:paraId="52668D3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51F28F8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7924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0145F2C6">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5FF6EF2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755D74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40D29F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Y≥100000</w:t>
            </w:r>
          </w:p>
        </w:tc>
        <w:tc>
          <w:tcPr>
            <w:tcW w:w="1750" w:type="dxa"/>
            <w:vAlign w:val="center"/>
          </w:tcPr>
          <w:p w14:paraId="1A29145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1000≤Y＜100000</w:t>
            </w:r>
          </w:p>
        </w:tc>
        <w:tc>
          <w:tcPr>
            <w:tcW w:w="1513" w:type="dxa"/>
            <w:vAlign w:val="center"/>
          </w:tcPr>
          <w:p w14:paraId="2E47B31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100≤Y＜1000</w:t>
            </w:r>
          </w:p>
        </w:tc>
        <w:tc>
          <w:tcPr>
            <w:tcW w:w="1432" w:type="dxa"/>
            <w:vAlign w:val="center"/>
          </w:tcPr>
          <w:p w14:paraId="50BB1FE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597C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51466239">
            <w:pPr>
              <w:widowControl/>
              <w:spacing w:line="360" w:lineRule="exact"/>
              <w:jc w:val="left"/>
              <w:rPr>
                <w:rFonts w:hint="eastAsia" w:ascii="宋体" w:hAnsi="宋体" w:cs="宋体"/>
                <w:color w:val="000000" w:themeColor="text1"/>
                <w:spacing w:val="-12"/>
                <w:kern w:val="0"/>
                <w:sz w:val="15"/>
                <w:szCs w:val="15"/>
                <w:highlight w:val="none"/>
                <w14:textFill>
                  <w14:solidFill>
                    <w14:schemeClr w14:val="tx1"/>
                  </w14:solidFill>
                </w14:textFill>
              </w:rPr>
            </w:pPr>
            <w:r>
              <w:rPr>
                <w:rFonts w:hint="eastAsia" w:ascii="宋体" w:hAnsi="宋体" w:cs="宋体"/>
                <w:color w:val="000000" w:themeColor="text1"/>
                <w:spacing w:val="-12"/>
                <w:kern w:val="0"/>
                <w:sz w:val="15"/>
                <w:szCs w:val="15"/>
                <w:highlight w:val="none"/>
                <w14:textFill>
                  <w14:solidFill>
                    <w14:schemeClr w14:val="tx1"/>
                  </w14:solidFill>
                </w14:textFill>
              </w:rPr>
              <w:t>软件和信息技术服</w:t>
            </w:r>
            <w:r>
              <w:rPr>
                <w:rFonts w:hint="eastAsia" w:ascii="宋体" w:hAnsi="宋体" w:cs="宋体"/>
                <w:color w:val="000000" w:themeColor="text1"/>
                <w:kern w:val="0"/>
                <w:sz w:val="15"/>
                <w:szCs w:val="15"/>
                <w:highlight w:val="none"/>
                <w14:textFill>
                  <w14:solidFill>
                    <w14:schemeClr w14:val="tx1"/>
                  </w14:solidFill>
                </w14:textFill>
              </w:rPr>
              <w:t>务业</w:t>
            </w:r>
          </w:p>
        </w:tc>
        <w:tc>
          <w:tcPr>
            <w:tcW w:w="1639" w:type="dxa"/>
            <w:vAlign w:val="center"/>
          </w:tcPr>
          <w:p w14:paraId="1E16BB2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06368FE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14EAA6E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27297D67">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 xml:space="preserve">100≤X＜300 </w:t>
            </w:r>
          </w:p>
        </w:tc>
        <w:tc>
          <w:tcPr>
            <w:tcW w:w="1513" w:type="dxa"/>
            <w:vAlign w:val="center"/>
          </w:tcPr>
          <w:p w14:paraId="01ECEFB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447A75E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3F5D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6452E392">
            <w:pPr>
              <w:widowControl/>
              <w:spacing w:line="360" w:lineRule="exact"/>
              <w:jc w:val="left"/>
              <w:rPr>
                <w:rFonts w:hint="eastAsia" w:ascii="宋体" w:hAnsi="宋体" w:cs="宋体"/>
                <w:color w:val="000000" w:themeColor="text1"/>
                <w:spacing w:val="-12"/>
                <w:kern w:val="0"/>
                <w:sz w:val="15"/>
                <w:szCs w:val="15"/>
                <w:highlight w:val="none"/>
                <w14:textFill>
                  <w14:solidFill>
                    <w14:schemeClr w14:val="tx1"/>
                  </w14:solidFill>
                </w14:textFill>
              </w:rPr>
            </w:pPr>
          </w:p>
        </w:tc>
        <w:tc>
          <w:tcPr>
            <w:tcW w:w="1639" w:type="dxa"/>
            <w:vAlign w:val="center"/>
          </w:tcPr>
          <w:p w14:paraId="1DD00ED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075489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4CEAF7D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w:t>
            </w:r>
          </w:p>
        </w:tc>
        <w:tc>
          <w:tcPr>
            <w:tcW w:w="1750" w:type="dxa"/>
            <w:vAlign w:val="center"/>
          </w:tcPr>
          <w:p w14:paraId="15BE241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1000≤Y＜10000</w:t>
            </w:r>
          </w:p>
        </w:tc>
        <w:tc>
          <w:tcPr>
            <w:tcW w:w="1513" w:type="dxa"/>
            <w:vAlign w:val="center"/>
          </w:tcPr>
          <w:p w14:paraId="7405A71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50≤Y＜1000</w:t>
            </w:r>
          </w:p>
        </w:tc>
        <w:tc>
          <w:tcPr>
            <w:tcW w:w="1432" w:type="dxa"/>
            <w:vAlign w:val="center"/>
          </w:tcPr>
          <w:p w14:paraId="7252889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w:t>
            </w:r>
          </w:p>
        </w:tc>
      </w:tr>
      <w:tr w14:paraId="720D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1877DD5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房地产开发经营</w:t>
            </w:r>
          </w:p>
        </w:tc>
        <w:tc>
          <w:tcPr>
            <w:tcW w:w="1639" w:type="dxa"/>
            <w:vAlign w:val="center"/>
          </w:tcPr>
          <w:p w14:paraId="7A88292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3378D83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6D3913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Y≥200000</w:t>
            </w:r>
          </w:p>
        </w:tc>
        <w:tc>
          <w:tcPr>
            <w:tcW w:w="1750" w:type="dxa"/>
            <w:vAlign w:val="center"/>
          </w:tcPr>
          <w:p w14:paraId="08DA2C7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1000≤Y＜200000</w:t>
            </w:r>
          </w:p>
        </w:tc>
        <w:tc>
          <w:tcPr>
            <w:tcW w:w="1513" w:type="dxa"/>
            <w:vAlign w:val="center"/>
          </w:tcPr>
          <w:p w14:paraId="1E5A232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100≤Y＜1000</w:t>
            </w:r>
          </w:p>
        </w:tc>
        <w:tc>
          <w:tcPr>
            <w:tcW w:w="1432" w:type="dxa"/>
            <w:vAlign w:val="center"/>
          </w:tcPr>
          <w:p w14:paraId="2D12FEB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3ED5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5B0BA63C">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368A44D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资产总额(Z)</w:t>
            </w:r>
          </w:p>
        </w:tc>
        <w:tc>
          <w:tcPr>
            <w:tcW w:w="1026" w:type="dxa"/>
            <w:vAlign w:val="center"/>
          </w:tcPr>
          <w:p w14:paraId="05C3DD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F0B659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Z≥10000</w:t>
            </w:r>
          </w:p>
        </w:tc>
        <w:tc>
          <w:tcPr>
            <w:tcW w:w="1750" w:type="dxa"/>
            <w:vAlign w:val="center"/>
          </w:tcPr>
          <w:p w14:paraId="0500BC3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5000≤Z＜10000</w:t>
            </w:r>
          </w:p>
        </w:tc>
        <w:tc>
          <w:tcPr>
            <w:tcW w:w="1513" w:type="dxa"/>
            <w:vAlign w:val="center"/>
          </w:tcPr>
          <w:p w14:paraId="0310A6C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2000≤Z＜5000</w:t>
            </w:r>
          </w:p>
        </w:tc>
        <w:tc>
          <w:tcPr>
            <w:tcW w:w="1432" w:type="dxa"/>
            <w:vAlign w:val="center"/>
          </w:tcPr>
          <w:p w14:paraId="4EFA25B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Z＜2000</w:t>
            </w:r>
          </w:p>
        </w:tc>
      </w:tr>
      <w:tr w14:paraId="7A72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086CE6AA">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物业管理</w:t>
            </w:r>
          </w:p>
        </w:tc>
        <w:tc>
          <w:tcPr>
            <w:tcW w:w="1639" w:type="dxa"/>
            <w:vAlign w:val="center"/>
          </w:tcPr>
          <w:p w14:paraId="70CB37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2F7062B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311883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7B01574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73FB318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432" w:type="dxa"/>
            <w:vAlign w:val="center"/>
          </w:tcPr>
          <w:p w14:paraId="5BA1A3B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w:t>
            </w:r>
          </w:p>
        </w:tc>
      </w:tr>
      <w:tr w14:paraId="5E5D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68C5FECC">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52287BF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119DC0F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70DA550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Y≥5000</w:t>
            </w:r>
          </w:p>
        </w:tc>
        <w:tc>
          <w:tcPr>
            <w:tcW w:w="1750" w:type="dxa"/>
            <w:vAlign w:val="center"/>
          </w:tcPr>
          <w:p w14:paraId="51173CAB">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1000≤Y＜5000</w:t>
            </w:r>
          </w:p>
        </w:tc>
        <w:tc>
          <w:tcPr>
            <w:tcW w:w="1513" w:type="dxa"/>
            <w:vAlign w:val="center"/>
          </w:tcPr>
          <w:p w14:paraId="4B076BB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500≤Y＜1000</w:t>
            </w:r>
          </w:p>
        </w:tc>
        <w:tc>
          <w:tcPr>
            <w:tcW w:w="1432" w:type="dxa"/>
            <w:vAlign w:val="center"/>
          </w:tcPr>
          <w:p w14:paraId="5950382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Y＜500</w:t>
            </w:r>
          </w:p>
        </w:tc>
      </w:tr>
      <w:tr w14:paraId="08F3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10FB86FE">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租赁和商务服务业</w:t>
            </w:r>
          </w:p>
        </w:tc>
        <w:tc>
          <w:tcPr>
            <w:tcW w:w="1639" w:type="dxa"/>
            <w:vAlign w:val="center"/>
          </w:tcPr>
          <w:p w14:paraId="36D3A12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1E972A7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6137AC2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4B5DB836">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513" w:type="dxa"/>
            <w:vAlign w:val="center"/>
          </w:tcPr>
          <w:p w14:paraId="58B1D22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0F35999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4D53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2A35C5BF">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4B5589B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资产总额(Z)</w:t>
            </w:r>
          </w:p>
        </w:tc>
        <w:tc>
          <w:tcPr>
            <w:tcW w:w="1026" w:type="dxa"/>
            <w:vAlign w:val="center"/>
          </w:tcPr>
          <w:p w14:paraId="4AE8950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E5E7A5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Z≥120000</w:t>
            </w:r>
          </w:p>
        </w:tc>
        <w:tc>
          <w:tcPr>
            <w:tcW w:w="1750" w:type="dxa"/>
            <w:vAlign w:val="center"/>
          </w:tcPr>
          <w:p w14:paraId="461CBE3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8000≤Z＜120000</w:t>
            </w:r>
          </w:p>
        </w:tc>
        <w:tc>
          <w:tcPr>
            <w:tcW w:w="1513" w:type="dxa"/>
            <w:vAlign w:val="center"/>
          </w:tcPr>
          <w:p w14:paraId="16BBC27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100≤Z＜8000</w:t>
            </w:r>
          </w:p>
        </w:tc>
        <w:tc>
          <w:tcPr>
            <w:tcW w:w="1432" w:type="dxa"/>
            <w:vAlign w:val="center"/>
          </w:tcPr>
          <w:p w14:paraId="394E7A3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Z＜100</w:t>
            </w:r>
          </w:p>
        </w:tc>
      </w:tr>
      <w:tr w14:paraId="4232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Align w:val="center"/>
          </w:tcPr>
          <w:p w14:paraId="03015993">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其他未列明行业 ×</w:t>
            </w:r>
          </w:p>
        </w:tc>
        <w:tc>
          <w:tcPr>
            <w:tcW w:w="1639" w:type="dxa"/>
            <w:vAlign w:val="center"/>
          </w:tcPr>
          <w:p w14:paraId="236C57D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208460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4A74086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27033349">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513" w:type="dxa"/>
            <w:vAlign w:val="center"/>
          </w:tcPr>
          <w:p w14:paraId="3F77C31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6CEDE71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bl>
    <w:p w14:paraId="3D115E99">
      <w:pPr>
        <w:widowControl/>
        <w:spacing w:line="360" w:lineRule="exact"/>
        <w:rPr>
          <w:rFonts w:hint="eastAsia" w:ascii="宋体" w:hAnsi="宋体" w:cs="宋体"/>
          <w:color w:val="000000" w:themeColor="text1"/>
          <w:spacing w:val="8"/>
          <w:kern w:val="0"/>
          <w:sz w:val="15"/>
          <w:szCs w:val="15"/>
          <w:highlight w:val="none"/>
          <w14:textFill>
            <w14:solidFill>
              <w14:schemeClr w14:val="tx1"/>
            </w14:solidFill>
          </w14:textFill>
        </w:rPr>
      </w:pPr>
    </w:p>
    <w:p w14:paraId="62D7AFBF">
      <w:pPr>
        <w:widowControl/>
        <w:spacing w:line="240" w:lineRule="auto"/>
        <w:rPr>
          <w:rFonts w:hint="eastAsia" w:ascii="宋体" w:hAnsi="宋体" w:cs="宋体"/>
          <w:color w:val="000000" w:themeColor="text1"/>
          <w:spacing w:val="8"/>
          <w:kern w:val="0"/>
          <w:sz w:val="15"/>
          <w:szCs w:val="15"/>
          <w:highlight w:val="none"/>
          <w14:textFill>
            <w14:solidFill>
              <w14:schemeClr w14:val="tx1"/>
            </w14:solidFill>
          </w14:textFill>
        </w:rPr>
      </w:pPr>
      <w:r>
        <w:rPr>
          <w:rFonts w:hint="eastAsia" w:ascii="宋体" w:hAnsi="宋体" w:cs="宋体"/>
          <w:color w:val="000000" w:themeColor="text1"/>
          <w:spacing w:val="8"/>
          <w:kern w:val="0"/>
          <w:sz w:val="15"/>
          <w:szCs w:val="15"/>
          <w:highlight w:val="none"/>
          <w14:textFill>
            <w14:solidFill>
              <w14:schemeClr w14:val="tx1"/>
            </w14:solidFill>
          </w14:textFill>
        </w:rPr>
        <w:t>说明：</w:t>
      </w:r>
    </w:p>
    <w:p w14:paraId="3896C123">
      <w:pPr>
        <w:pStyle w:val="19"/>
        <w:adjustRightInd w:val="0"/>
        <w:spacing w:line="240" w:lineRule="auto"/>
        <w:ind w:firstLine="332" w:firstLineChars="200"/>
        <w:contextualSpacing/>
        <w:rPr>
          <w:rFonts w:hint="eastAsia" w:hAnsi="宋体" w:cs="宋体"/>
          <w:color w:val="000000" w:themeColor="text1"/>
          <w:spacing w:val="8"/>
          <w:kern w:val="0"/>
          <w:sz w:val="15"/>
          <w:szCs w:val="15"/>
          <w:highlight w:val="none"/>
          <w14:textFill>
            <w14:solidFill>
              <w14:schemeClr w14:val="tx1"/>
            </w14:solidFill>
          </w14:textFill>
        </w:rPr>
      </w:pPr>
      <w:r>
        <w:rPr>
          <w:rFonts w:hint="eastAsia" w:hAnsi="宋体" w:cs="宋体"/>
          <w:color w:val="000000" w:themeColor="text1"/>
          <w:spacing w:val="8"/>
          <w:kern w:val="0"/>
          <w:sz w:val="15"/>
          <w:szCs w:val="15"/>
          <w:highlight w:val="none"/>
          <w14:textFill>
            <w14:solidFill>
              <w14:schemeClr w14:val="tx1"/>
            </w14:solidFill>
          </w14:textFill>
        </w:rPr>
        <w:t>1.大型、中型和小型企业须同时满足所列指标的下限，否则下划一档；微型企业只</w:t>
      </w:r>
      <w:r>
        <w:rPr>
          <w:rFonts w:hint="eastAsia" w:hAnsi="宋体" w:cs="宋体"/>
          <w:color w:val="000000" w:themeColor="text1"/>
          <w:spacing w:val="8"/>
          <w:kern w:val="0"/>
          <w:sz w:val="15"/>
          <w:szCs w:val="15"/>
          <w:highlight w:val="none"/>
          <w:lang w:eastAsia="zh-CN"/>
          <w14:textFill>
            <w14:solidFill>
              <w14:schemeClr w14:val="tx1"/>
            </w14:solidFill>
          </w14:textFill>
        </w:rPr>
        <w:t>需</w:t>
      </w:r>
      <w:r>
        <w:rPr>
          <w:rFonts w:hint="eastAsia" w:hAnsi="宋体" w:cs="宋体"/>
          <w:color w:val="000000" w:themeColor="text1"/>
          <w:spacing w:val="8"/>
          <w:kern w:val="0"/>
          <w:sz w:val="15"/>
          <w:szCs w:val="15"/>
          <w:highlight w:val="none"/>
          <w14:textFill>
            <w14:solidFill>
              <w14:schemeClr w14:val="tx1"/>
            </w14:solidFill>
          </w14:textFill>
        </w:rPr>
        <w:t>满足所列指标中的一项即可。</w:t>
      </w:r>
    </w:p>
    <w:p w14:paraId="3FF2CEB7">
      <w:pPr>
        <w:pStyle w:val="19"/>
        <w:adjustRightInd w:val="0"/>
        <w:spacing w:line="240" w:lineRule="auto"/>
        <w:ind w:firstLine="332" w:firstLineChars="200"/>
        <w:contextualSpacing/>
        <w:rPr>
          <w:rFonts w:hint="eastAsia" w:hAnsi="宋体" w:cs="宋体"/>
          <w:color w:val="000000" w:themeColor="text1"/>
          <w:spacing w:val="8"/>
          <w:kern w:val="0"/>
          <w:sz w:val="15"/>
          <w:szCs w:val="15"/>
          <w:highlight w:val="none"/>
          <w14:textFill>
            <w14:solidFill>
              <w14:schemeClr w14:val="tx1"/>
            </w14:solidFill>
          </w14:textFill>
        </w:rPr>
      </w:pPr>
      <w:r>
        <w:rPr>
          <w:rFonts w:hint="eastAsia" w:hAnsi="宋体" w:cs="宋体"/>
          <w:color w:val="000000" w:themeColor="text1"/>
          <w:spacing w:val="8"/>
          <w:kern w:val="0"/>
          <w:sz w:val="15"/>
          <w:szCs w:val="15"/>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000000" w:themeColor="text1"/>
          <w:spacing w:val="8"/>
          <w:kern w:val="0"/>
          <w:sz w:val="15"/>
          <w:szCs w:val="15"/>
          <w:highlight w:val="none"/>
          <w:lang w:eastAsia="zh-CN"/>
          <w14:textFill>
            <w14:solidFill>
              <w14:schemeClr w14:val="tx1"/>
            </w14:solidFill>
          </w14:textFill>
        </w:rPr>
        <w:t>；</w:t>
      </w:r>
      <w:r>
        <w:rPr>
          <w:rFonts w:hint="eastAsia" w:hAnsi="宋体" w:cs="宋体"/>
          <w:color w:val="000000" w:themeColor="text1"/>
          <w:spacing w:val="8"/>
          <w:kern w:val="0"/>
          <w:sz w:val="15"/>
          <w:szCs w:val="15"/>
          <w:highlight w:val="none"/>
          <w14:textFill>
            <w14:solidFill>
              <w14:schemeClr w14:val="tx1"/>
            </w14:solidFill>
          </w14:textFill>
        </w:rPr>
        <w:t>信息业包括电信、广播电视和卫星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8BAEA62">
      <w:pPr>
        <w:pStyle w:val="19"/>
        <w:adjustRightInd w:val="0"/>
        <w:spacing w:line="240" w:lineRule="auto"/>
        <w:ind w:firstLine="332" w:firstLineChars="200"/>
        <w:contextualSpacing/>
        <w:rPr>
          <w:rFonts w:hint="eastAsia" w:hAnsi="宋体" w:cs="宋体"/>
          <w:bCs/>
          <w:color w:val="000000" w:themeColor="text1"/>
          <w:sz w:val="15"/>
          <w:szCs w:val="15"/>
          <w:highlight w:val="none"/>
          <w14:textFill>
            <w14:solidFill>
              <w14:schemeClr w14:val="tx1"/>
            </w14:solidFill>
          </w14:textFill>
        </w:rPr>
      </w:pPr>
      <w:r>
        <w:rPr>
          <w:rFonts w:hint="eastAsia" w:hAnsi="宋体" w:cs="宋体"/>
          <w:color w:val="000000" w:themeColor="text1"/>
          <w:spacing w:val="8"/>
          <w:kern w:val="0"/>
          <w:sz w:val="15"/>
          <w:szCs w:val="15"/>
          <w:highlight w:val="none"/>
          <w14:textFill>
            <w14:solidFill>
              <w14:schemeClr w14:val="tx1"/>
            </w14:solidFill>
          </w14:textFill>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6FBD089">
      <w:pPr>
        <w:spacing w:line="360" w:lineRule="auto"/>
        <w:rPr>
          <w:rFonts w:hint="eastAsia" w:ascii="宋体" w:hAnsi="宋体" w:cs="宋体"/>
          <w:b/>
          <w:bCs/>
          <w:color w:val="000000" w:themeColor="text1"/>
          <w:szCs w:val="21"/>
          <w:highlight w:val="none"/>
          <w14:textFill>
            <w14:solidFill>
              <w14:schemeClr w14:val="tx1"/>
            </w14:solidFill>
          </w14:textFill>
        </w:rPr>
      </w:pPr>
    </w:p>
    <w:sectPr>
      <w:footerReference r:id="rId6" w:type="default"/>
      <w:pgSz w:w="11906" w:h="16838"/>
      <w:pgMar w:top="1440" w:right="1080" w:bottom="1440" w:left="108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5CCA2E4-22F8-410E-9740-FAB1CEF7AA4F}"/>
  </w:font>
  <w:font w:name="黑体">
    <w:panose1 w:val="02010609060101010101"/>
    <w:charset w:val="86"/>
    <w:family w:val="auto"/>
    <w:pitch w:val="default"/>
    <w:sig w:usb0="800002BF" w:usb1="38CF7CFA" w:usb2="00000016" w:usb3="00000000" w:csb0="00040001" w:csb1="00000000"/>
    <w:embedRegular r:id="rId2" w:fontKey="{C6E6F67B-2132-49B5-A8CF-F4D810371A71}"/>
  </w:font>
  <w:font w:name="Courier New">
    <w:panose1 w:val="02070309020205020404"/>
    <w:charset w:val="01"/>
    <w:family w:val="modern"/>
    <w:pitch w:val="default"/>
    <w:sig w:usb0="E0002EFF" w:usb1="C0007843" w:usb2="00000009" w:usb3="00000000" w:csb0="400001FF" w:csb1="FFFF0000"/>
    <w:embedRegular r:id="rId3" w:fontKey="{27C4768D-35E6-4190-9FBC-C51A58C9ADC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embedRegular r:id="rId4" w:fontKey="{F8F98E40-4733-4BF7-B6CE-E2AA29BB4F6C}"/>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im Sun">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embedRegular r:id="rId5" w:fontKey="{D021D4B1-1191-490A-BEF4-2C8A9B1BA32B}"/>
  </w:font>
  <w:font w:name="Ђ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auto"/>
    <w:pitch w:val="default"/>
    <w:sig w:usb0="A00006FF" w:usb1="4000205B" w:usb2="00000010" w:usb3="00000000" w:csb0="2000019F" w:csb1="00000000"/>
  </w:font>
  <w:font w:name="Calibri Light">
    <w:panose1 w:val="020F0302020204030204"/>
    <w:charset w:val="00"/>
    <w:family w:val="auto"/>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embedRegular r:id="rId6" w:fontKey="{B77CE5B8-FC3D-408A-8884-9480903FAE6A}"/>
  </w:font>
  <w:font w:name="Arial Unicode MS">
    <w:panose1 w:val="020B0604020202020204"/>
    <w:charset w:val="86"/>
    <w:family w:val="auto"/>
    <w:pitch w:val="default"/>
    <w:sig w:usb0="FFFFFFFF" w:usb1="E9FFFFFF" w:usb2="0000003F" w:usb3="00000000" w:csb0="603F01FF" w:csb1="FFFF0000"/>
    <w:embedRegular r:id="rId7" w:fontKey="{B4DD9686-BA8B-43A4-9E1F-BB883801F2A8}"/>
  </w:font>
  <w:font w:name="仿宋">
    <w:panose1 w:val="02010609060101010101"/>
    <w:charset w:val="86"/>
    <w:family w:val="auto"/>
    <w:pitch w:val="default"/>
    <w:sig w:usb0="800002BF" w:usb1="38CF7CFA" w:usb2="00000016" w:usb3="00000000" w:csb0="00040001" w:csb1="00000000"/>
    <w:embedRegular r:id="rId8" w:fontKey="{1E1CE7DB-1155-4606-948C-68EDFD77B71A}"/>
  </w:font>
  <w:font w:name="Wingdings 2">
    <w:altName w:val="Wingdings"/>
    <w:panose1 w:val="05020102010507070707"/>
    <w:charset w:val="02"/>
    <w:family w:val="auto"/>
    <w:pitch w:val="default"/>
    <w:sig w:usb0="00000000" w:usb1="00000000" w:usb2="00000000" w:usb3="00000000" w:csb0="80000000" w:csb1="00000000"/>
    <w:embedRegular r:id="rId9" w:fontKey="{CFFA952E-7EA3-4D65-B7A2-CF6466AA8AC1}"/>
  </w:font>
  <w:font w:name="WPSEMBED24">
    <w:panose1 w:val="02010800040101010101"/>
    <w:charset w:val="86"/>
    <w:family w:val="auto"/>
    <w:pitch w:val="default"/>
    <w:sig w:usb0="00000001" w:usb1="080F0000" w:usb2="00000000" w:usb3="00000000" w:csb0="00040000" w:csb1="00000000"/>
  </w:font>
  <w:font w:name="WPSEMBED25">
    <w:panose1 w:val="020B0604020202020204"/>
    <w:charset w:val="86"/>
    <w:family w:val="auto"/>
    <w:pitch w:val="default"/>
    <w:sig w:usb0="FFFFFFFF" w:usb1="E9FFFFFF" w:usb2="0000003F" w:usb3="00000000" w:csb0="603F01FF" w:csb1="FFFF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D9EAD">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F1F97">
    <w:pPr>
      <w:pStyle w:val="23"/>
    </w:pPr>
    <w:r>
      <w:rPr>
        <w:rFonts w:ascii="Tahoma" w:hAnsi="Tahoma"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56CC8052">
                          <w:pPr>
                            <w:pStyle w:val="23"/>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LKcMRfEAQAAkAMAAA4AAAAAAAAAAQAgAAAAHwEAAGRycy9lMm9Eb2MueG1s&#10;UEsFBgAAAAAGAAYAWQEAAFUFAAAAAA==&#10;">
              <v:fill on="f" focussize="0,0"/>
              <v:stroke on="f"/>
              <v:imagedata o:title=""/>
              <o:lock v:ext="edit" aspectratio="f"/>
              <v:textbox inset="0mm,0mm,0mm,0mm" style="mso-fit-shape-to-text:t;">
                <w:txbxContent>
                  <w:p w14:paraId="56CC8052">
                    <w:pPr>
                      <w:pStyle w:val="23"/>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6DA32">
    <w:pPr>
      <w:pStyle w:val="25"/>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CEA6B">
    <w:pPr>
      <w:pStyle w:val="25"/>
      <w:pBdr>
        <w:bottom w:val="none" w:color="000000"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revisionView w:markup="0"/>
  <w:documentProtection w:enforcement="0"/>
  <w:defaultTabStop w:val="844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zYmQzOGI3Nzk1ZTBkNGI4YzA4NDJhZmFmODg2ZDUifQ=="/>
  </w:docVars>
  <w:rsids>
    <w:rsidRoot w:val="00000000"/>
    <w:rsid w:val="00641E35"/>
    <w:rsid w:val="009A7605"/>
    <w:rsid w:val="01362291"/>
    <w:rsid w:val="017936BE"/>
    <w:rsid w:val="01B42322"/>
    <w:rsid w:val="01F36FCC"/>
    <w:rsid w:val="02B41891"/>
    <w:rsid w:val="03906AAC"/>
    <w:rsid w:val="04094F9D"/>
    <w:rsid w:val="05485881"/>
    <w:rsid w:val="06AF5321"/>
    <w:rsid w:val="06DD024B"/>
    <w:rsid w:val="08666CD9"/>
    <w:rsid w:val="0A530095"/>
    <w:rsid w:val="0B49271F"/>
    <w:rsid w:val="0BA720DE"/>
    <w:rsid w:val="0BBF669C"/>
    <w:rsid w:val="0C837641"/>
    <w:rsid w:val="0E6F3A53"/>
    <w:rsid w:val="0E98231D"/>
    <w:rsid w:val="0F425010"/>
    <w:rsid w:val="0F4A461B"/>
    <w:rsid w:val="0F9A670D"/>
    <w:rsid w:val="102B6B23"/>
    <w:rsid w:val="12B14EE2"/>
    <w:rsid w:val="12F87D71"/>
    <w:rsid w:val="134C29E0"/>
    <w:rsid w:val="140137CB"/>
    <w:rsid w:val="1453670D"/>
    <w:rsid w:val="14C447F8"/>
    <w:rsid w:val="19213EB6"/>
    <w:rsid w:val="1A975725"/>
    <w:rsid w:val="1AB5530F"/>
    <w:rsid w:val="1AEE0821"/>
    <w:rsid w:val="1B31079C"/>
    <w:rsid w:val="1C166659"/>
    <w:rsid w:val="1C874A89"/>
    <w:rsid w:val="1D2B4C10"/>
    <w:rsid w:val="1F2B2044"/>
    <w:rsid w:val="1F8452B0"/>
    <w:rsid w:val="1FA91C77"/>
    <w:rsid w:val="20601879"/>
    <w:rsid w:val="207277FE"/>
    <w:rsid w:val="20A07520"/>
    <w:rsid w:val="22FA4207"/>
    <w:rsid w:val="23F70746"/>
    <w:rsid w:val="24184D89"/>
    <w:rsid w:val="24781891"/>
    <w:rsid w:val="24984D89"/>
    <w:rsid w:val="24FD1E47"/>
    <w:rsid w:val="256817EC"/>
    <w:rsid w:val="25A93CC2"/>
    <w:rsid w:val="261C22B9"/>
    <w:rsid w:val="27134FE3"/>
    <w:rsid w:val="27800622"/>
    <w:rsid w:val="27E9484A"/>
    <w:rsid w:val="28110526"/>
    <w:rsid w:val="281D7374"/>
    <w:rsid w:val="282E04AF"/>
    <w:rsid w:val="28315E83"/>
    <w:rsid w:val="28A8200F"/>
    <w:rsid w:val="2970538A"/>
    <w:rsid w:val="2B066F5A"/>
    <w:rsid w:val="2C3562B0"/>
    <w:rsid w:val="2C9F197B"/>
    <w:rsid w:val="2CBF5B6F"/>
    <w:rsid w:val="2D7626DC"/>
    <w:rsid w:val="2DD97C6E"/>
    <w:rsid w:val="2E4E3659"/>
    <w:rsid w:val="2F6D7B0F"/>
    <w:rsid w:val="300A0D74"/>
    <w:rsid w:val="30CE6CD3"/>
    <w:rsid w:val="31164DA2"/>
    <w:rsid w:val="318906F7"/>
    <w:rsid w:val="32E53E60"/>
    <w:rsid w:val="33943C0E"/>
    <w:rsid w:val="34D32B0A"/>
    <w:rsid w:val="34E72111"/>
    <w:rsid w:val="36A729BE"/>
    <w:rsid w:val="36FB7BC2"/>
    <w:rsid w:val="36FE3764"/>
    <w:rsid w:val="39630C30"/>
    <w:rsid w:val="3AEF1D20"/>
    <w:rsid w:val="3B3337EC"/>
    <w:rsid w:val="3BD80C9A"/>
    <w:rsid w:val="3C872751"/>
    <w:rsid w:val="3E1C675A"/>
    <w:rsid w:val="41124178"/>
    <w:rsid w:val="4164121A"/>
    <w:rsid w:val="4292190E"/>
    <w:rsid w:val="4447497A"/>
    <w:rsid w:val="45270069"/>
    <w:rsid w:val="45284B01"/>
    <w:rsid w:val="45E16709"/>
    <w:rsid w:val="45FA555E"/>
    <w:rsid w:val="467A1461"/>
    <w:rsid w:val="46EE10DD"/>
    <w:rsid w:val="4799729B"/>
    <w:rsid w:val="491B090B"/>
    <w:rsid w:val="49C20B73"/>
    <w:rsid w:val="4B2201E1"/>
    <w:rsid w:val="4C5E0AB3"/>
    <w:rsid w:val="4D657D8E"/>
    <w:rsid w:val="4E1731E4"/>
    <w:rsid w:val="50015CA1"/>
    <w:rsid w:val="50871C0B"/>
    <w:rsid w:val="524244DF"/>
    <w:rsid w:val="550D1034"/>
    <w:rsid w:val="565F7902"/>
    <w:rsid w:val="567809C3"/>
    <w:rsid w:val="56C105BC"/>
    <w:rsid w:val="57961A49"/>
    <w:rsid w:val="58F9211A"/>
    <w:rsid w:val="591744C4"/>
    <w:rsid w:val="5B7A2AEE"/>
    <w:rsid w:val="5C8876A6"/>
    <w:rsid w:val="5CF63844"/>
    <w:rsid w:val="5D4810F0"/>
    <w:rsid w:val="5E10474A"/>
    <w:rsid w:val="5E9B4E8C"/>
    <w:rsid w:val="5F1A1FCF"/>
    <w:rsid w:val="5F287B9B"/>
    <w:rsid w:val="5F970351"/>
    <w:rsid w:val="60036CCD"/>
    <w:rsid w:val="60D20B61"/>
    <w:rsid w:val="61720E31"/>
    <w:rsid w:val="61CB5F64"/>
    <w:rsid w:val="61E25CA1"/>
    <w:rsid w:val="620F7F89"/>
    <w:rsid w:val="62652D5E"/>
    <w:rsid w:val="63402C15"/>
    <w:rsid w:val="64212F8D"/>
    <w:rsid w:val="64D91619"/>
    <w:rsid w:val="64DF3B8A"/>
    <w:rsid w:val="64E32AD7"/>
    <w:rsid w:val="664C3ABA"/>
    <w:rsid w:val="66660838"/>
    <w:rsid w:val="66DE4873"/>
    <w:rsid w:val="67662E07"/>
    <w:rsid w:val="68035E0F"/>
    <w:rsid w:val="682D3D04"/>
    <w:rsid w:val="684150B9"/>
    <w:rsid w:val="68482C2A"/>
    <w:rsid w:val="684921C0"/>
    <w:rsid w:val="69220F37"/>
    <w:rsid w:val="69424A44"/>
    <w:rsid w:val="696D6B39"/>
    <w:rsid w:val="69A24BAC"/>
    <w:rsid w:val="6A6D488B"/>
    <w:rsid w:val="6AC459F9"/>
    <w:rsid w:val="6B276E1D"/>
    <w:rsid w:val="6B304E9E"/>
    <w:rsid w:val="6BB603B9"/>
    <w:rsid w:val="6BD6587A"/>
    <w:rsid w:val="6CB57E24"/>
    <w:rsid w:val="6CDC1D32"/>
    <w:rsid w:val="6D287C0C"/>
    <w:rsid w:val="6D463172"/>
    <w:rsid w:val="6D65184A"/>
    <w:rsid w:val="6E4A0A40"/>
    <w:rsid w:val="6E7032E1"/>
    <w:rsid w:val="6EE90EED"/>
    <w:rsid w:val="6FE920DB"/>
    <w:rsid w:val="707B3571"/>
    <w:rsid w:val="71A37DA0"/>
    <w:rsid w:val="71E61DC4"/>
    <w:rsid w:val="71F413EE"/>
    <w:rsid w:val="72005FE5"/>
    <w:rsid w:val="727F33AE"/>
    <w:rsid w:val="74253B04"/>
    <w:rsid w:val="743C4CEA"/>
    <w:rsid w:val="743C545E"/>
    <w:rsid w:val="7496678D"/>
    <w:rsid w:val="74F846EB"/>
    <w:rsid w:val="753B0C44"/>
    <w:rsid w:val="75CC47B3"/>
    <w:rsid w:val="75CD61DE"/>
    <w:rsid w:val="76EC08E6"/>
    <w:rsid w:val="771A5453"/>
    <w:rsid w:val="78CF7A2A"/>
    <w:rsid w:val="7A794B87"/>
    <w:rsid w:val="7B212602"/>
    <w:rsid w:val="7B8A691F"/>
    <w:rsid w:val="7C386577"/>
    <w:rsid w:val="7C9059A5"/>
    <w:rsid w:val="7DBB1012"/>
    <w:rsid w:val="7DFD6BF3"/>
    <w:rsid w:val="7E837D82"/>
    <w:rsid w:val="7EAB1087"/>
    <w:rsid w:val="7EBE0DB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qFormat="1" w:uiPriority="99"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line="500" w:lineRule="exact"/>
      <w:jc w:val="center"/>
      <w:outlineLvl w:val="0"/>
    </w:pPr>
    <w:rPr>
      <w:rFonts w:ascii="Tahoma" w:hAnsi="Tahoma"/>
      <w:b/>
      <w:bCs/>
      <w:kern w:val="44"/>
      <w:sz w:val="32"/>
      <w:szCs w:val="44"/>
    </w:rPr>
  </w:style>
  <w:style w:type="paragraph" w:styleId="3">
    <w:name w:val="heading 2"/>
    <w:basedOn w:val="1"/>
    <w:next w:val="1"/>
    <w:link w:val="54"/>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56"/>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0"/>
    <w:pPr>
      <w:keepNext/>
      <w:spacing w:before="240" w:after="60"/>
      <w:outlineLvl w:val="3"/>
    </w:pPr>
    <w:rPr>
      <w:b/>
      <w:bCs/>
      <w:sz w:val="28"/>
      <w:szCs w:val="28"/>
    </w:rPr>
  </w:style>
  <w:style w:type="paragraph" w:styleId="6">
    <w:name w:val="heading 6"/>
    <w:basedOn w:val="1"/>
    <w:next w:val="1"/>
    <w:link w:val="124"/>
    <w:qFormat/>
    <w:uiPriority w:val="0"/>
    <w:pPr>
      <w:keepNext/>
      <w:keepLines/>
      <w:spacing w:before="240" w:after="64" w:line="320" w:lineRule="auto"/>
      <w:outlineLvl w:val="5"/>
    </w:pPr>
    <w:rPr>
      <w:rFonts w:ascii="Arial" w:hAnsi="Arial" w:eastAsia="黑体"/>
      <w:b/>
      <w:bCs/>
      <w:sz w:val="24"/>
    </w:rPr>
  </w:style>
  <w:style w:type="character" w:default="1" w:styleId="38">
    <w:name w:val="Default Paragraph Font"/>
    <w:unhideWhenUsed/>
    <w:qFormat/>
    <w:uiPriority w:val="1"/>
  </w:style>
  <w:style w:type="table" w:default="1" w:styleId="36">
    <w:name w:val="Normal Table"/>
    <w:unhideWhenUsed/>
    <w:qFormat/>
    <w:uiPriority w:val="99"/>
    <w:tblPr>
      <w:tblCellMar>
        <w:top w:w="0" w:type="dxa"/>
        <w:left w:w="108" w:type="dxa"/>
        <w:bottom w:w="0" w:type="dxa"/>
        <w:right w:w="108" w:type="dxa"/>
      </w:tblCellMar>
    </w:tblPr>
  </w:style>
  <w:style w:type="paragraph" w:styleId="7">
    <w:name w:val="table of authorities"/>
    <w:basedOn w:val="1"/>
    <w:next w:val="1"/>
    <w:qFormat/>
    <w:uiPriority w:val="0"/>
    <w:pPr>
      <w:ind w:left="420" w:leftChars="200"/>
    </w:pPr>
  </w:style>
  <w:style w:type="paragraph" w:styleId="8">
    <w:name w:val="index 8"/>
    <w:basedOn w:val="1"/>
    <w:next w:val="1"/>
    <w:qFormat/>
    <w:uiPriority w:val="0"/>
    <w:pPr>
      <w:ind w:left="2940"/>
    </w:pPr>
  </w:style>
  <w:style w:type="paragraph" w:styleId="9">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0">
    <w:name w:val="Normal Indent"/>
    <w:basedOn w:val="1"/>
    <w:link w:val="125"/>
    <w:qFormat/>
    <w:uiPriority w:val="0"/>
    <w:pPr>
      <w:ind w:firstLine="420"/>
    </w:pPr>
    <w:rPr>
      <w:szCs w:val="20"/>
    </w:rPr>
  </w:style>
  <w:style w:type="paragraph" w:styleId="11">
    <w:name w:val="Document Map"/>
    <w:basedOn w:val="1"/>
    <w:link w:val="126"/>
    <w:qFormat/>
    <w:uiPriority w:val="0"/>
    <w:rPr>
      <w:rFonts w:ascii="宋体" w:hAnsi="Tahoma"/>
      <w:sz w:val="18"/>
      <w:szCs w:val="18"/>
    </w:rPr>
  </w:style>
  <w:style w:type="paragraph" w:styleId="12">
    <w:name w:val="toa heading"/>
    <w:basedOn w:val="1"/>
    <w:next w:val="1"/>
    <w:qFormat/>
    <w:uiPriority w:val="0"/>
    <w:rPr>
      <w:rFonts w:ascii="Arial" w:hAnsi="Arial"/>
      <w:sz w:val="24"/>
    </w:rPr>
  </w:style>
  <w:style w:type="paragraph" w:styleId="13">
    <w:name w:val="annotation text"/>
    <w:basedOn w:val="1"/>
    <w:link w:val="127"/>
    <w:semiHidden/>
    <w:qFormat/>
    <w:uiPriority w:val="0"/>
    <w:pPr>
      <w:jc w:val="left"/>
    </w:pPr>
  </w:style>
  <w:style w:type="paragraph" w:styleId="14">
    <w:name w:val="Body Text 3"/>
    <w:basedOn w:val="1"/>
    <w:qFormat/>
    <w:uiPriority w:val="0"/>
    <w:pPr>
      <w:spacing w:line="240" w:lineRule="exact"/>
    </w:pPr>
    <w:rPr>
      <w:rFonts w:ascii="宋体" w:hAnsi="宋体"/>
      <w:color w:val="000000"/>
      <w:szCs w:val="21"/>
    </w:rPr>
  </w:style>
  <w:style w:type="paragraph" w:styleId="15">
    <w:name w:val="Body Text"/>
    <w:basedOn w:val="1"/>
    <w:qFormat/>
    <w:uiPriority w:val="0"/>
    <w:pPr>
      <w:spacing w:line="380" w:lineRule="exact"/>
    </w:pPr>
    <w:rPr>
      <w:sz w:val="24"/>
    </w:rPr>
  </w:style>
  <w:style w:type="paragraph" w:styleId="16">
    <w:name w:val="Body Text Indent"/>
    <w:basedOn w:val="1"/>
    <w:link w:val="128"/>
    <w:qFormat/>
    <w:uiPriority w:val="0"/>
    <w:pPr>
      <w:spacing w:after="120"/>
      <w:ind w:left="420" w:leftChars="200"/>
    </w:pPr>
    <w:rPr>
      <w:rFonts w:ascii="Tahoma" w:hAnsi="Tahoma"/>
    </w:rPr>
  </w:style>
  <w:style w:type="paragraph" w:styleId="17">
    <w:name w:val="Block Text"/>
    <w:basedOn w:val="1"/>
    <w:qFormat/>
    <w:uiPriority w:val="0"/>
    <w:pPr>
      <w:snapToGrid w:val="0"/>
      <w:spacing w:line="480" w:lineRule="atLeast"/>
      <w:ind w:left="-57" w:right="69" w:firstLine="0"/>
    </w:pPr>
    <w:rPr>
      <w:rFonts w:ascii="宋体" w:hAnsi="宋体"/>
      <w:b/>
      <w:sz w:val="24"/>
      <w:szCs w:val="20"/>
    </w:rPr>
  </w:style>
  <w:style w:type="paragraph" w:styleId="18">
    <w:name w:val="toc 3"/>
    <w:basedOn w:val="1"/>
    <w:next w:val="1"/>
    <w:qFormat/>
    <w:uiPriority w:val="39"/>
    <w:pPr>
      <w:ind w:left="840" w:leftChars="400"/>
    </w:pPr>
  </w:style>
  <w:style w:type="paragraph" w:styleId="19">
    <w:name w:val="Plain Text"/>
    <w:basedOn w:val="1"/>
    <w:next w:val="1"/>
    <w:link w:val="129"/>
    <w:qFormat/>
    <w:uiPriority w:val="0"/>
    <w:rPr>
      <w:rFonts w:ascii="宋体" w:hAnsi="Courier New"/>
      <w:szCs w:val="20"/>
    </w:rPr>
  </w:style>
  <w:style w:type="paragraph" w:styleId="20">
    <w:name w:val="Date"/>
    <w:basedOn w:val="1"/>
    <w:next w:val="1"/>
    <w:qFormat/>
    <w:uiPriority w:val="0"/>
    <w:pPr>
      <w:ind w:left="100" w:leftChars="2500"/>
    </w:pPr>
  </w:style>
  <w:style w:type="paragraph" w:styleId="21">
    <w:name w:val="Body Text Indent 2"/>
    <w:basedOn w:val="1"/>
    <w:qFormat/>
    <w:uiPriority w:val="0"/>
    <w:pPr>
      <w:ind w:firstLine="630"/>
    </w:pPr>
    <w:rPr>
      <w:sz w:val="32"/>
      <w:szCs w:val="20"/>
    </w:rPr>
  </w:style>
  <w:style w:type="paragraph" w:styleId="22">
    <w:name w:val="Balloon Text"/>
    <w:basedOn w:val="1"/>
    <w:semiHidden/>
    <w:qFormat/>
    <w:uiPriority w:val="0"/>
    <w:rPr>
      <w:sz w:val="18"/>
      <w:szCs w:val="18"/>
    </w:rPr>
  </w:style>
  <w:style w:type="paragraph" w:styleId="23">
    <w:name w:val="footer"/>
    <w:basedOn w:val="1"/>
    <w:link w:val="130"/>
    <w:qFormat/>
    <w:uiPriority w:val="99"/>
    <w:pPr>
      <w:tabs>
        <w:tab w:val="center" w:pos="4153"/>
        <w:tab w:val="right" w:pos="8306"/>
      </w:tabs>
      <w:snapToGrid w:val="0"/>
      <w:jc w:val="left"/>
    </w:pPr>
    <w:rPr>
      <w:rFonts w:ascii="Tahoma" w:hAnsi="Tahoma"/>
      <w:sz w:val="18"/>
      <w:szCs w:val="18"/>
    </w:rPr>
  </w:style>
  <w:style w:type="paragraph" w:styleId="24">
    <w:name w:val="envelope return"/>
    <w:basedOn w:val="1"/>
    <w:qFormat/>
    <w:uiPriority w:val="0"/>
    <w:pPr>
      <w:snapToGrid w:val="0"/>
    </w:pPr>
    <w:rPr>
      <w:rFonts w:ascii="Arial" w:hAnsi="Arial"/>
    </w:rPr>
  </w:style>
  <w:style w:type="paragraph" w:styleId="25">
    <w:name w:val="header"/>
    <w:basedOn w:val="1"/>
    <w:link w:val="131"/>
    <w:qFormat/>
    <w:uiPriority w:val="99"/>
    <w:pPr>
      <w:pBdr>
        <w:bottom w:val="single" w:color="auto" w:sz="6" w:space="1"/>
      </w:pBdr>
      <w:tabs>
        <w:tab w:val="center" w:pos="4153"/>
        <w:tab w:val="right" w:pos="8306"/>
      </w:tabs>
      <w:snapToGrid w:val="0"/>
      <w:jc w:val="center"/>
    </w:pPr>
    <w:rPr>
      <w:rFonts w:ascii="Tahoma" w:hAnsi="Tahoma"/>
      <w:sz w:val="18"/>
      <w:szCs w:val="18"/>
    </w:rPr>
  </w:style>
  <w:style w:type="paragraph" w:styleId="26">
    <w:name w:val="toc 1"/>
    <w:basedOn w:val="1"/>
    <w:next w:val="1"/>
    <w:qFormat/>
    <w:uiPriority w:val="39"/>
  </w:style>
  <w:style w:type="paragraph" w:styleId="27">
    <w:name w:val="toc 2"/>
    <w:basedOn w:val="1"/>
    <w:next w:val="1"/>
    <w:qFormat/>
    <w:uiPriority w:val="39"/>
    <w:pPr>
      <w:ind w:left="420" w:leftChars="200"/>
    </w:pPr>
  </w:style>
  <w:style w:type="paragraph" w:styleId="28">
    <w:name w:val="toc 9"/>
    <w:basedOn w:val="1"/>
    <w:next w:val="1"/>
    <w:qFormat/>
    <w:uiPriority w:val="39"/>
    <w:pPr>
      <w:ind w:left="1680"/>
      <w:jc w:val="left"/>
    </w:pPr>
    <w:rPr>
      <w:sz w:val="18"/>
      <w:szCs w:val="18"/>
    </w:rPr>
  </w:style>
  <w:style w:type="paragraph" w:styleId="29">
    <w:name w:val="List 4"/>
    <w:basedOn w:val="1"/>
    <w:unhideWhenUsed/>
    <w:qFormat/>
    <w:uiPriority w:val="99"/>
    <w:pPr>
      <w:ind w:left="100" w:leftChars="600" w:hanging="200" w:hangingChars="200"/>
      <w:contextualSpacing/>
    </w:pPr>
  </w:style>
  <w:style w:type="paragraph" w:styleId="30">
    <w:name w:val="Message Header"/>
    <w:basedOn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Cambria" w:hAnsi="Cambria"/>
    </w:r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qFormat/>
    <w:uiPriority w:val="10"/>
    <w:pPr>
      <w:spacing w:before="240" w:after="60"/>
      <w:jc w:val="center"/>
      <w:outlineLvl w:val="0"/>
    </w:pPr>
    <w:rPr>
      <w:rFonts w:ascii="等线 Light" w:hAnsi="等线 Light"/>
      <w:b/>
      <w:bCs/>
      <w:sz w:val="32"/>
      <w:szCs w:val="32"/>
    </w:rPr>
  </w:style>
  <w:style w:type="paragraph" w:styleId="33">
    <w:name w:val="annotation subject"/>
    <w:basedOn w:val="13"/>
    <w:next w:val="13"/>
    <w:semiHidden/>
    <w:qFormat/>
    <w:uiPriority w:val="0"/>
    <w:rPr>
      <w:b/>
      <w:bCs/>
    </w:rPr>
  </w:style>
  <w:style w:type="paragraph" w:styleId="34">
    <w:name w:val="Body Text First Indent"/>
    <w:basedOn w:val="15"/>
    <w:next w:val="1"/>
    <w:qFormat/>
    <w:uiPriority w:val="99"/>
    <w:pPr>
      <w:spacing w:line="240" w:lineRule="auto"/>
      <w:ind w:firstLine="420" w:firstLineChars="100"/>
    </w:pPr>
    <w:rPr>
      <w:sz w:val="21"/>
    </w:rPr>
  </w:style>
  <w:style w:type="paragraph" w:styleId="35">
    <w:name w:val="Body Text First Indent 2"/>
    <w:basedOn w:val="1"/>
    <w:qFormat/>
    <w:uiPriority w:val="0"/>
    <w:pPr>
      <w:spacing w:after="120"/>
      <w:ind w:left="420" w:leftChars="200" w:firstLine="420" w:firstLineChars="200"/>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rFonts w:ascii="Tahoma" w:hAnsi="Tahoma"/>
      <w:b/>
      <w:bCs/>
      <w:sz w:val="24"/>
      <w:szCs w:val="20"/>
    </w:rPr>
  </w:style>
  <w:style w:type="character" w:styleId="40">
    <w:name w:val="page number"/>
    <w:qFormat/>
    <w:uiPriority w:val="0"/>
  </w:style>
  <w:style w:type="character" w:styleId="41">
    <w:name w:val="FollowedHyperlink"/>
    <w:unhideWhenUsed/>
    <w:qFormat/>
    <w:uiPriority w:val="99"/>
    <w:rPr>
      <w:color w:val="954F72"/>
      <w:u w:val="single"/>
    </w:rPr>
  </w:style>
  <w:style w:type="character" w:styleId="42">
    <w:name w:val="Emphasis"/>
    <w:qFormat/>
    <w:uiPriority w:val="0"/>
  </w:style>
  <w:style w:type="character" w:styleId="43">
    <w:name w:val="HTML Definition"/>
    <w:qFormat/>
    <w:uiPriority w:val="0"/>
  </w:style>
  <w:style w:type="character" w:styleId="44">
    <w:name w:val="HTML Typewriter"/>
    <w:qFormat/>
    <w:uiPriority w:val="0"/>
    <w:rPr>
      <w:rFonts w:hint="default" w:ascii="monospace" w:hAnsi="monospace" w:eastAsia="monospace" w:cs="monospace"/>
      <w:sz w:val="20"/>
    </w:rPr>
  </w:style>
  <w:style w:type="character" w:styleId="45">
    <w:name w:val="HTML Acronym"/>
    <w:qFormat/>
    <w:uiPriority w:val="0"/>
  </w:style>
  <w:style w:type="character" w:styleId="46">
    <w:name w:val="HTML Variable"/>
    <w:qFormat/>
    <w:uiPriority w:val="0"/>
    <w:rPr>
      <w:rFonts w:ascii="Tahoma" w:hAnsi="Tahoma"/>
      <w:sz w:val="24"/>
      <w:szCs w:val="20"/>
    </w:rPr>
  </w:style>
  <w:style w:type="character" w:styleId="47">
    <w:name w:val="Hyperlink"/>
    <w:qFormat/>
    <w:uiPriority w:val="99"/>
    <w:rPr>
      <w:rFonts w:ascii="Tahoma" w:hAnsi="Tahoma"/>
      <w:color w:val="0000FF"/>
      <w:sz w:val="24"/>
      <w:szCs w:val="20"/>
      <w:u w:val="single"/>
    </w:rPr>
  </w:style>
  <w:style w:type="character" w:styleId="48">
    <w:name w:val="HTML Code"/>
    <w:qFormat/>
    <w:uiPriority w:val="0"/>
    <w:rPr>
      <w:rFonts w:ascii="monospace" w:hAnsi="monospace" w:eastAsia="monospace" w:cs="monospace"/>
      <w:sz w:val="20"/>
    </w:rPr>
  </w:style>
  <w:style w:type="character" w:styleId="49">
    <w:name w:val="annotation reference"/>
    <w:semiHidden/>
    <w:qFormat/>
    <w:uiPriority w:val="0"/>
    <w:rPr>
      <w:rFonts w:ascii="Tahoma" w:hAnsi="Tahoma"/>
      <w:sz w:val="21"/>
      <w:szCs w:val="21"/>
    </w:rPr>
  </w:style>
  <w:style w:type="character" w:styleId="50">
    <w:name w:val="HTML Cite"/>
    <w:qFormat/>
    <w:uiPriority w:val="0"/>
  </w:style>
  <w:style w:type="character" w:styleId="51">
    <w:name w:val="HTML Keyboard"/>
    <w:qFormat/>
    <w:uiPriority w:val="0"/>
    <w:rPr>
      <w:rFonts w:hint="default" w:ascii="monospace" w:hAnsi="monospace" w:eastAsia="monospace" w:cs="monospace"/>
      <w:sz w:val="20"/>
    </w:rPr>
  </w:style>
  <w:style w:type="character" w:styleId="52">
    <w:name w:val="HTML Sample"/>
    <w:qFormat/>
    <w:uiPriority w:val="0"/>
    <w:rPr>
      <w:rFonts w:hint="default" w:ascii="monospace" w:hAnsi="monospace" w:eastAsia="monospace" w:cs="monospace"/>
    </w:rPr>
  </w:style>
  <w:style w:type="character" w:customStyle="1" w:styleId="53">
    <w:name w:val="标题 1 Char"/>
    <w:link w:val="2"/>
    <w:qFormat/>
    <w:uiPriority w:val="0"/>
    <w:rPr>
      <w:rFonts w:ascii="Tahoma" w:hAnsi="Tahoma" w:eastAsia="宋体"/>
      <w:b/>
      <w:bCs/>
      <w:kern w:val="44"/>
      <w:sz w:val="32"/>
      <w:szCs w:val="44"/>
    </w:rPr>
  </w:style>
  <w:style w:type="character" w:customStyle="1" w:styleId="54">
    <w:name w:val="标题 2 Char"/>
    <w:link w:val="3"/>
    <w:semiHidden/>
    <w:qFormat/>
    <w:uiPriority w:val="0"/>
    <w:rPr>
      <w:rFonts w:ascii="Cambria" w:hAnsi="Cambria" w:eastAsia="宋体" w:cs="Times New Roman"/>
      <w:b/>
      <w:bCs/>
      <w:kern w:val="2"/>
      <w:sz w:val="32"/>
      <w:szCs w:val="32"/>
    </w:rPr>
  </w:style>
  <w:style w:type="paragraph" w:customStyle="1" w:styleId="55">
    <w:name w:val="表格文字"/>
    <w:basedOn w:val="1"/>
    <w:qFormat/>
    <w:uiPriority w:val="0"/>
    <w:pPr>
      <w:adjustRightInd w:val="0"/>
      <w:snapToGrid w:val="0"/>
      <w:jc w:val="center"/>
    </w:pPr>
    <w:rPr>
      <w:rFonts w:ascii="Times New Roman" w:hAnsi="Times New Roman" w:eastAsia="宋体" w:cs="Times New Roman"/>
      <w:kern w:val="0"/>
      <w:sz w:val="24"/>
    </w:rPr>
  </w:style>
  <w:style w:type="character" w:customStyle="1" w:styleId="56">
    <w:name w:val="标题 3 Char"/>
    <w:link w:val="4"/>
    <w:qFormat/>
    <w:uiPriority w:val="0"/>
    <w:rPr>
      <w:b/>
      <w:bCs/>
      <w:sz w:val="32"/>
      <w:szCs w:val="32"/>
    </w:rPr>
  </w:style>
  <w:style w:type="paragraph" w:customStyle="1" w:styleId="5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58">
    <w:name w:val="段"/>
    <w:next w:val="1"/>
    <w:qFormat/>
    <w:uiPriority w:val="99"/>
    <w:pPr>
      <w:autoSpaceDE w:val="0"/>
      <w:autoSpaceDN w:val="0"/>
      <w:ind w:firstLine="200"/>
      <w:jc w:val="both"/>
    </w:pPr>
    <w:rPr>
      <w:rFonts w:ascii="宋体" w:hAnsi="宋体" w:eastAsia="宋体" w:cs="Times New Roman"/>
      <w:sz w:val="21"/>
      <w:szCs w:val="21"/>
      <w:lang w:val="en-US" w:eastAsia="zh-CN" w:bidi="ar-SA"/>
    </w:rPr>
  </w:style>
  <w:style w:type="paragraph" w:customStyle="1" w:styleId="59">
    <w:name w:val="正文文本缩进1"/>
    <w:basedOn w:val="1"/>
    <w:qFormat/>
    <w:uiPriority w:val="0"/>
    <w:pPr>
      <w:spacing w:before="0" w:after="120"/>
      <w:ind w:left="420" w:right="0" w:firstLine="0"/>
    </w:pPr>
  </w:style>
  <w:style w:type="paragraph" w:customStyle="1" w:styleId="60">
    <w:name w:val="列出段落"/>
    <w:basedOn w:val="1"/>
    <w:link w:val="158"/>
    <w:qFormat/>
    <w:uiPriority w:val="0"/>
    <w:pPr>
      <w:ind w:firstLine="420" w:firstLineChars="200"/>
    </w:pPr>
  </w:style>
  <w:style w:type="paragraph" w:customStyle="1" w:styleId="61">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62">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63">
    <w:name w:val="p0"/>
    <w:basedOn w:val="1"/>
    <w:qFormat/>
    <w:uiPriority w:val="0"/>
    <w:pPr>
      <w:widowControl/>
    </w:pPr>
    <w:rPr>
      <w:kern w:val="0"/>
      <w:szCs w:val="20"/>
    </w:rPr>
  </w:style>
  <w:style w:type="paragraph" w:customStyle="1" w:styleId="64">
    <w:name w:val="Body text|1"/>
    <w:basedOn w:val="1"/>
    <w:qFormat/>
    <w:uiPriority w:val="0"/>
    <w:pPr>
      <w:spacing w:line="350" w:lineRule="auto"/>
      <w:ind w:firstLine="400"/>
      <w:jc w:val="left"/>
    </w:pPr>
    <w:rPr>
      <w:rFonts w:ascii="宋体" w:hAnsi="宋体" w:cs="宋体"/>
      <w:kern w:val="0"/>
      <w:sz w:val="30"/>
      <w:szCs w:val="30"/>
    </w:rPr>
  </w:style>
  <w:style w:type="paragraph" w:customStyle="1" w:styleId="65">
    <w:name w:val="p17"/>
    <w:basedOn w:val="1"/>
    <w:qFormat/>
    <w:uiPriority w:val="0"/>
    <w:pPr>
      <w:widowControl/>
    </w:pPr>
    <w:rPr>
      <w:rFonts w:ascii="宋体" w:hAnsi="宋体" w:cs="宋体"/>
      <w:kern w:val="0"/>
      <w:szCs w:val="21"/>
    </w:rPr>
  </w:style>
  <w:style w:type="paragraph" w:customStyle="1" w:styleId="66">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0"/>
    <w:qFormat/>
    <w:uiPriority w:val="0"/>
    <w:pPr>
      <w:widowControl w:val="0"/>
      <w:tabs>
        <w:tab w:val="left" w:pos="480"/>
      </w:tabs>
      <w:spacing w:line="360" w:lineRule="auto"/>
      <w:jc w:val="both"/>
    </w:pPr>
    <w:rPr>
      <w:rFonts w:ascii="Times New Roman" w:hAnsi="Times New Roman" w:eastAsia="宋体" w:cs="Times New Roman"/>
      <w:kern w:val="2"/>
      <w:sz w:val="24"/>
      <w:szCs w:val="22"/>
      <w:lang w:val="en-US" w:eastAsia="zh-CN" w:bidi="ar-SA"/>
    </w:rPr>
  </w:style>
  <w:style w:type="paragraph" w:customStyle="1" w:styleId="68">
    <w:name w:val="xl72"/>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69">
    <w:name w:val="Table Paragraph"/>
    <w:basedOn w:val="1"/>
    <w:qFormat/>
    <w:uiPriority w:val="1"/>
  </w:style>
  <w:style w:type="paragraph" w:customStyle="1" w:styleId="70">
    <w:name w:val="Body text|3"/>
    <w:basedOn w:val="1"/>
    <w:qFormat/>
    <w:uiPriority w:val="0"/>
    <w:pPr>
      <w:spacing w:after="460"/>
      <w:jc w:val="center"/>
    </w:pPr>
    <w:rPr>
      <w:rFonts w:ascii="宋体" w:hAnsi="宋体" w:cs="宋体"/>
      <w:kern w:val="0"/>
      <w:sz w:val="34"/>
      <w:szCs w:val="34"/>
    </w:rPr>
  </w:style>
  <w:style w:type="paragraph" w:customStyle="1" w:styleId="7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72">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73">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7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75">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76">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77">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78">
    <w:name w:val="Heading2"/>
    <w:basedOn w:val="1"/>
    <w:next w:val="1"/>
    <w:qFormat/>
    <w:uiPriority w:val="0"/>
    <w:pPr>
      <w:keepNext/>
      <w:keepLines/>
      <w:spacing w:before="260" w:after="260" w:line="416" w:lineRule="auto"/>
    </w:pPr>
    <w:rPr>
      <w:rFonts w:ascii="Arial" w:hAnsi="Arial" w:eastAsia="黑体" w:cs="Times New Roman"/>
      <w:b/>
      <w:bCs/>
      <w:kern w:val="0"/>
      <w:sz w:val="32"/>
      <w:szCs w:val="32"/>
    </w:rPr>
  </w:style>
  <w:style w:type="paragraph" w:customStyle="1" w:styleId="79">
    <w:name w:val="CM15"/>
    <w:basedOn w:val="57"/>
    <w:next w:val="57"/>
    <w:qFormat/>
    <w:uiPriority w:val="0"/>
    <w:pPr>
      <w:spacing w:line="468" w:lineRule="atLeast"/>
    </w:pPr>
    <w:rPr>
      <w:rFonts w:ascii="Sim Sun" w:eastAsia="Sim Sun" w:cs="Times New Roman"/>
      <w:color w:val="auto"/>
    </w:rPr>
  </w:style>
  <w:style w:type="paragraph" w:customStyle="1" w:styleId="80">
    <w:name w:val="1"/>
    <w:basedOn w:val="1"/>
    <w:next w:val="19"/>
    <w:qFormat/>
    <w:uiPriority w:val="0"/>
    <w:rPr>
      <w:rFonts w:ascii="宋体" w:hAnsi="Courier New"/>
      <w:szCs w:val="20"/>
    </w:rPr>
  </w:style>
  <w:style w:type="paragraph" w:customStyle="1" w:styleId="81">
    <w:name w:val="_Style 36"/>
    <w:basedOn w:val="1"/>
    <w:qFormat/>
    <w:uiPriority w:val="0"/>
    <w:rPr>
      <w:rFonts w:ascii="Tahoma" w:hAnsi="Tahoma"/>
      <w:sz w:val="24"/>
      <w:szCs w:val="20"/>
    </w:rPr>
  </w:style>
  <w:style w:type="paragraph" w:customStyle="1" w:styleId="82">
    <w:name w:val="普通(网站)1"/>
    <w:basedOn w:val="1"/>
    <w:qFormat/>
    <w:uiPriority w:val="0"/>
    <w:pPr>
      <w:jc w:val="left"/>
    </w:pPr>
    <w:rPr>
      <w:kern w:val="0"/>
      <w:sz w:val="24"/>
    </w:rPr>
  </w:style>
  <w:style w:type="paragraph" w:customStyle="1" w:styleId="83">
    <w:name w:val="列出段落1"/>
    <w:basedOn w:val="1"/>
    <w:qFormat/>
    <w:uiPriority w:val="0"/>
    <w:pPr>
      <w:ind w:firstLine="420" w:firstLineChars="200"/>
    </w:pPr>
    <w:rPr>
      <w:rFonts w:ascii="仿宋_GB2312" w:eastAsia="仿宋_GB2312"/>
      <w:sz w:val="32"/>
    </w:rPr>
  </w:style>
  <w:style w:type="paragraph" w:customStyle="1" w:styleId="84">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5">
    <w:name w:val="样式1"/>
    <w:basedOn w:val="1"/>
    <w:qFormat/>
    <w:uiPriority w:val="0"/>
    <w:pPr>
      <w:widowControl/>
      <w:jc w:val="left"/>
    </w:pPr>
    <w:rPr>
      <w:rFonts w:ascii="宋体" w:hAnsi="宋体"/>
      <w:kern w:val="0"/>
      <w:szCs w:val="21"/>
    </w:rPr>
  </w:style>
  <w:style w:type="paragraph" w:customStyle="1" w:styleId="8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87">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8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89">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0">
    <w:name w:val="首行缩进"/>
    <w:basedOn w:val="1"/>
    <w:qFormat/>
    <w:uiPriority w:val="0"/>
    <w:pPr>
      <w:ind w:firstLine="480" w:firstLineChars="200"/>
    </w:pPr>
  </w:style>
  <w:style w:type="paragraph" w:customStyle="1" w:styleId="91">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92">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3">
    <w:name w:val="xl8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4">
    <w:name w:val="xl88"/>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5">
    <w:name w:val="xl78"/>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96">
    <w:name w:val="Char Char8"/>
    <w:basedOn w:val="1"/>
    <w:qFormat/>
    <w:uiPriority w:val="0"/>
    <w:rPr>
      <w:rFonts w:ascii="Tahoma" w:hAnsi="Tahoma" w:eastAsia="Times New Roman"/>
      <w:kern w:val="0"/>
      <w:sz w:val="24"/>
      <w:szCs w:val="20"/>
    </w:rPr>
  </w:style>
  <w:style w:type="paragraph" w:customStyle="1" w:styleId="97">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98">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9">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00">
    <w:name w:val="CM14"/>
    <w:basedOn w:val="57"/>
    <w:next w:val="57"/>
    <w:qFormat/>
    <w:uiPriority w:val="0"/>
    <w:pPr>
      <w:spacing w:line="468" w:lineRule="atLeast"/>
    </w:pPr>
    <w:rPr>
      <w:rFonts w:ascii="Sim Sun" w:eastAsia="Sim Sun" w:cs="Times New Roman"/>
      <w:color w:val="auto"/>
    </w:rPr>
  </w:style>
  <w:style w:type="paragraph" w:customStyle="1" w:styleId="101">
    <w:name w:val="正文_0_0"/>
    <w:qFormat/>
    <w:uiPriority w:val="0"/>
    <w:pPr>
      <w:widowControl w:val="0"/>
      <w:spacing w:line="360" w:lineRule="auto"/>
      <w:ind w:firstLine="480" w:firstLineChars="200"/>
      <w:jc w:val="both"/>
    </w:pPr>
    <w:rPr>
      <w:rFonts w:ascii="宋体" w:hAnsi="宋体" w:eastAsia="宋体" w:cs="Times New Roman"/>
      <w:color w:val="000000"/>
      <w:kern w:val="2"/>
      <w:sz w:val="24"/>
      <w:szCs w:val="24"/>
      <w:lang w:val="en-US" w:eastAsia="zh-CN" w:bidi="ar-SA"/>
    </w:rPr>
  </w:style>
  <w:style w:type="paragraph" w:customStyle="1" w:styleId="102">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03">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05">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7">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08">
    <w:name w:val="Char Char2 Char Char"/>
    <w:basedOn w:val="1"/>
    <w:qFormat/>
    <w:uiPriority w:val="0"/>
    <w:rPr>
      <w:rFonts w:ascii="Tahoma" w:hAnsi="Tahoma"/>
      <w:sz w:val="24"/>
      <w:szCs w:val="20"/>
    </w:rPr>
  </w:style>
  <w:style w:type="paragraph" w:customStyle="1" w:styleId="109">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0">
    <w:name w:val="Char"/>
    <w:basedOn w:val="1"/>
    <w:qFormat/>
    <w:uiPriority w:val="0"/>
    <w:pPr>
      <w:widowControl/>
      <w:adjustRightInd w:val="0"/>
      <w:snapToGrid w:val="0"/>
      <w:spacing w:after="160" w:line="240" w:lineRule="exact"/>
      <w:jc w:val="left"/>
    </w:pPr>
    <w:rPr>
      <w:szCs w:val="20"/>
    </w:rPr>
  </w:style>
  <w:style w:type="paragraph" w:customStyle="1" w:styleId="111">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12">
    <w:name w:val="BodyText"/>
    <w:basedOn w:val="1"/>
    <w:next w:val="1"/>
    <w:qFormat/>
    <w:uiPriority w:val="0"/>
    <w:pPr>
      <w:textAlignment w:val="baseline"/>
    </w:pPr>
    <w:rPr>
      <w:rFonts w:ascii="宋体" w:hAnsi="宋体"/>
      <w:sz w:val="24"/>
    </w:rPr>
  </w:style>
  <w:style w:type="paragraph" w:customStyle="1" w:styleId="113">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4">
    <w:name w:val="正文呀2"/>
    <w:basedOn w:val="115"/>
    <w:qFormat/>
    <w:uiPriority w:val="0"/>
    <w:rPr>
      <w:rFonts w:ascii="Times New Roman" w:hAnsi="Times New Roman"/>
    </w:rPr>
  </w:style>
  <w:style w:type="paragraph" w:customStyle="1" w:styleId="115">
    <w:name w:val="正文呀"/>
    <w:basedOn w:val="1"/>
    <w:qFormat/>
    <w:uiPriority w:val="0"/>
    <w:pPr>
      <w:spacing w:line="420" w:lineRule="exact"/>
      <w:ind w:firstLine="420" w:firstLineChars="200"/>
    </w:pPr>
    <w:rPr>
      <w:rFonts w:ascii="宋体" w:hAnsi="宋体"/>
    </w:rPr>
  </w:style>
  <w:style w:type="paragraph" w:customStyle="1" w:styleId="116">
    <w:name w:val="_Style 2"/>
    <w:next w:val="1"/>
    <w:qFormat/>
    <w:uiPriority w:val="1"/>
    <w:rPr>
      <w:rFonts w:ascii="Times New Roman" w:hAnsi="Times New Roman" w:eastAsia="宋体" w:cs="Times New Roman"/>
      <w:sz w:val="22"/>
      <w:szCs w:val="22"/>
      <w:lang w:val="en-US" w:eastAsia="zh-CN" w:bidi="ar-SA"/>
    </w:rPr>
  </w:style>
  <w:style w:type="paragraph" w:customStyle="1" w:styleId="117">
    <w:name w:val="_Style 5"/>
    <w:qFormat/>
    <w:uiPriority w:val="1"/>
    <w:rPr>
      <w:rFonts w:ascii="Times New Roman" w:hAnsi="Times New Roman" w:eastAsia="宋体" w:cs="Times New Roman"/>
      <w:sz w:val="22"/>
      <w:szCs w:val="22"/>
      <w:lang w:val="en-US" w:eastAsia="zh-CN" w:bidi="ar-SA"/>
    </w:rPr>
  </w:style>
  <w:style w:type="paragraph" w:customStyle="1" w:styleId="118">
    <w:name w:val="无间隔"/>
    <w:qFormat/>
    <w:uiPriority w:val="0"/>
    <w:pPr>
      <w:widowControl w:val="0"/>
      <w:suppressAutoHyphens/>
      <w:jc w:val="both"/>
    </w:pPr>
    <w:rPr>
      <w:rFonts w:ascii="Times New Roman" w:hAnsi="Times New Roman" w:eastAsia="宋体" w:cs="Times New Roman"/>
      <w:kern w:val="2"/>
      <w:sz w:val="21"/>
      <w:szCs w:val="24"/>
      <w:lang w:val="en-US" w:eastAsia="zh-CN" w:bidi="ar-SA"/>
    </w:rPr>
  </w:style>
  <w:style w:type="paragraph" w:customStyle="1" w:styleId="119">
    <w:name w:val="正文_2"/>
    <w:qFormat/>
    <w:uiPriority w:val="0"/>
    <w:pPr>
      <w:widowControl w:val="0"/>
      <w:suppressAutoHyphens/>
      <w:jc w:val="both"/>
    </w:pPr>
    <w:rPr>
      <w:rFonts w:ascii="Times New Roman" w:hAnsi="Times New Roman" w:eastAsia="宋体" w:cs="Times New Roman"/>
      <w:kern w:val="2"/>
      <w:sz w:val="21"/>
      <w:szCs w:val="22"/>
      <w:lang w:val="en-US" w:eastAsia="zh-CN" w:bidi="ar-SA"/>
    </w:rPr>
  </w:style>
  <w:style w:type="paragraph" w:customStyle="1" w:styleId="120">
    <w:name w:val="正文_1_0"/>
    <w:qFormat/>
    <w:uiPriority w:val="0"/>
    <w:pPr>
      <w:widowControl w:val="0"/>
      <w:suppressAutoHyphens/>
      <w:jc w:val="both"/>
    </w:pPr>
    <w:rPr>
      <w:rFonts w:ascii="Times New Roman" w:hAnsi="Times New Roman" w:eastAsia="宋体" w:cs="Times New Roman"/>
      <w:kern w:val="2"/>
      <w:sz w:val="21"/>
      <w:lang w:val="en-US" w:eastAsia="zh-CN" w:bidi="ar-SA"/>
    </w:rPr>
  </w:style>
  <w:style w:type="paragraph" w:customStyle="1" w:styleId="121">
    <w:name w:val="正文_3"/>
    <w:qFormat/>
    <w:uiPriority w:val="0"/>
    <w:pPr>
      <w:widowControl w:val="0"/>
      <w:suppressAutoHyphens/>
      <w:jc w:val="both"/>
    </w:pPr>
    <w:rPr>
      <w:rFonts w:ascii="Calibri" w:hAnsi="Calibri" w:eastAsia="宋体" w:cs="Times New Roman"/>
      <w:kern w:val="2"/>
      <w:sz w:val="21"/>
      <w:szCs w:val="22"/>
      <w:lang w:val="en-US" w:eastAsia="zh-CN" w:bidi="ar-SA"/>
    </w:rPr>
  </w:style>
  <w:style w:type="paragraph" w:customStyle="1" w:styleId="122">
    <w:name w:val="TOC1"/>
    <w:basedOn w:val="1"/>
    <w:next w:val="1"/>
    <w:qFormat/>
    <w:uiPriority w:val="0"/>
    <w:pPr>
      <w:jc w:val="both"/>
      <w:textAlignment w:val="baseline"/>
    </w:pPr>
    <w:rPr>
      <w:rFonts w:ascii="Calibri" w:hAnsi="Calibri" w:eastAsia="宋体"/>
      <w:kern w:val="2"/>
      <w:sz w:val="21"/>
      <w:szCs w:val="22"/>
      <w:lang w:val="en-US" w:eastAsia="zh-CN" w:bidi="ar-SA"/>
    </w:rPr>
  </w:style>
  <w:style w:type="paragraph" w:customStyle="1" w:styleId="123">
    <w:name w:val="Table of contents|1"/>
    <w:basedOn w:val="1"/>
    <w:qFormat/>
    <w:uiPriority w:val="0"/>
    <w:pPr>
      <w:widowControl w:val="0"/>
      <w:shd w:val="clear" w:color="auto" w:fill="auto"/>
      <w:spacing w:line="474" w:lineRule="exact"/>
      <w:ind w:firstLine="500"/>
    </w:pPr>
    <w:rPr>
      <w:rFonts w:ascii="宋体" w:hAnsi="宋体" w:eastAsia="宋体" w:cs="宋体"/>
      <w:sz w:val="22"/>
      <w:szCs w:val="22"/>
      <w:u w:val="none"/>
      <w:shd w:val="clear" w:color="auto" w:fill="auto"/>
      <w:lang w:val="zh-TW" w:eastAsia="zh-TW" w:bidi="zh-TW"/>
    </w:rPr>
  </w:style>
  <w:style w:type="character" w:customStyle="1" w:styleId="124">
    <w:name w:val="标题 6 Char"/>
    <w:link w:val="6"/>
    <w:qFormat/>
    <w:uiPriority w:val="0"/>
    <w:rPr>
      <w:rFonts w:ascii="Arial" w:hAnsi="Arial" w:eastAsia="黑体"/>
      <w:b/>
      <w:bCs/>
      <w:kern w:val="2"/>
      <w:sz w:val="24"/>
      <w:szCs w:val="24"/>
      <w:lang w:val="en-US" w:eastAsia="zh-CN" w:bidi="ar-SA"/>
    </w:rPr>
  </w:style>
  <w:style w:type="character" w:customStyle="1" w:styleId="125">
    <w:name w:val="正文缩进 Char"/>
    <w:link w:val="10"/>
    <w:qFormat/>
    <w:locked/>
    <w:uiPriority w:val="0"/>
    <w:rPr>
      <w:rFonts w:eastAsia="宋体"/>
      <w:kern w:val="2"/>
      <w:sz w:val="21"/>
      <w:lang w:val="en-US" w:eastAsia="zh-CN" w:bidi="ar-SA"/>
    </w:rPr>
  </w:style>
  <w:style w:type="character" w:customStyle="1" w:styleId="126">
    <w:name w:val="文档结构图 Char"/>
    <w:link w:val="11"/>
    <w:qFormat/>
    <w:uiPriority w:val="0"/>
    <w:rPr>
      <w:rFonts w:ascii="宋体" w:hAnsi="Tahoma"/>
      <w:kern w:val="2"/>
      <w:sz w:val="18"/>
      <w:szCs w:val="18"/>
    </w:rPr>
  </w:style>
  <w:style w:type="character" w:customStyle="1" w:styleId="127">
    <w:name w:val="批注文字 Char"/>
    <w:link w:val="13"/>
    <w:qFormat/>
    <w:uiPriority w:val="0"/>
    <w:rPr>
      <w:rFonts w:eastAsia="宋体"/>
      <w:kern w:val="2"/>
      <w:sz w:val="21"/>
      <w:szCs w:val="24"/>
      <w:lang w:val="en-US" w:eastAsia="zh-CN" w:bidi="ar-SA"/>
    </w:rPr>
  </w:style>
  <w:style w:type="character" w:customStyle="1" w:styleId="128">
    <w:name w:val="正文文本缩进 Char1"/>
    <w:link w:val="16"/>
    <w:qFormat/>
    <w:uiPriority w:val="0"/>
    <w:rPr>
      <w:rFonts w:ascii="Tahoma" w:hAnsi="Tahoma"/>
      <w:kern w:val="2"/>
      <w:sz w:val="21"/>
      <w:szCs w:val="24"/>
    </w:rPr>
  </w:style>
  <w:style w:type="character" w:customStyle="1" w:styleId="129">
    <w:name w:val="纯文本 Char1"/>
    <w:link w:val="19"/>
    <w:qFormat/>
    <w:uiPriority w:val="0"/>
    <w:rPr>
      <w:rFonts w:ascii="宋体" w:hAnsi="Courier New" w:eastAsia="宋体"/>
      <w:kern w:val="2"/>
      <w:sz w:val="21"/>
      <w:szCs w:val="20"/>
      <w:lang w:val="en-US" w:eastAsia="zh-CN" w:bidi="ar-SA"/>
    </w:rPr>
  </w:style>
  <w:style w:type="character" w:customStyle="1" w:styleId="130">
    <w:name w:val="页脚 Char"/>
    <w:link w:val="23"/>
    <w:qFormat/>
    <w:uiPriority w:val="99"/>
    <w:rPr>
      <w:rFonts w:ascii="Tahoma" w:hAnsi="Tahoma"/>
      <w:kern w:val="2"/>
      <w:sz w:val="18"/>
      <w:szCs w:val="18"/>
    </w:rPr>
  </w:style>
  <w:style w:type="character" w:customStyle="1" w:styleId="131">
    <w:name w:val="页眉 Char"/>
    <w:link w:val="25"/>
    <w:qFormat/>
    <w:uiPriority w:val="99"/>
    <w:rPr>
      <w:rFonts w:ascii="Tahoma" w:hAnsi="Tahoma"/>
      <w:kern w:val="2"/>
      <w:sz w:val="18"/>
      <w:szCs w:val="18"/>
    </w:rPr>
  </w:style>
  <w:style w:type="character" w:customStyle="1" w:styleId="132">
    <w:name w:val="未处理的提及1"/>
    <w:unhideWhenUsed/>
    <w:qFormat/>
    <w:uiPriority w:val="99"/>
    <w:rPr>
      <w:rFonts w:ascii="Tahoma" w:hAnsi="Tahoma"/>
      <w:color w:val="808080"/>
      <w:sz w:val="24"/>
      <w:szCs w:val="20"/>
      <w:shd w:val="clear" w:color="auto" w:fill="E6E6E6"/>
    </w:rPr>
  </w:style>
  <w:style w:type="character" w:customStyle="1" w:styleId="133">
    <w:name w:val="qxdate"/>
    <w:qFormat/>
    <w:uiPriority w:val="0"/>
    <w:rPr>
      <w:color w:val="333333"/>
      <w:sz w:val="18"/>
      <w:szCs w:val="18"/>
    </w:rPr>
  </w:style>
  <w:style w:type="character" w:customStyle="1" w:styleId="134">
    <w:name w:val="font21"/>
    <w:qFormat/>
    <w:uiPriority w:val="0"/>
    <w:rPr>
      <w:rFonts w:hint="eastAsia" w:ascii="宋体" w:hAnsi="宋体" w:eastAsia="宋体" w:cs="宋体"/>
      <w:color w:val="000000"/>
      <w:sz w:val="22"/>
      <w:szCs w:val="22"/>
      <w:u w:val="none"/>
    </w:rPr>
  </w:style>
  <w:style w:type="character" w:customStyle="1" w:styleId="135">
    <w:name w:val="font122"/>
    <w:qFormat/>
    <w:uiPriority w:val="0"/>
    <w:rPr>
      <w:rFonts w:hint="eastAsia" w:ascii="宋体" w:hAnsi="宋体" w:eastAsia="宋体" w:cs="宋体"/>
      <w:color w:val="FF0000"/>
      <w:sz w:val="20"/>
      <w:szCs w:val="20"/>
      <w:u w:val="none"/>
    </w:rPr>
  </w:style>
  <w:style w:type="character" w:customStyle="1" w:styleId="136">
    <w:name w:val="纯文本 字符2"/>
    <w:qFormat/>
    <w:uiPriority w:val="0"/>
    <w:rPr>
      <w:rFonts w:ascii="宋体" w:hAnsi="Courier New" w:eastAsia="宋体"/>
      <w:kern w:val="2"/>
      <w:sz w:val="21"/>
      <w:lang w:val="en-US" w:eastAsia="zh-CN" w:bidi="ar-SA"/>
    </w:rPr>
  </w:style>
  <w:style w:type="character" w:customStyle="1" w:styleId="137">
    <w:name w:val="main12"/>
    <w:qFormat/>
    <w:uiPriority w:val="0"/>
    <w:rPr>
      <w:rFonts w:ascii="Arial" w:hAnsi="Arial" w:cs="Arial"/>
      <w:color w:val="000000"/>
      <w:sz w:val="18"/>
      <w:szCs w:val="18"/>
    </w:rPr>
  </w:style>
  <w:style w:type="character" w:customStyle="1" w:styleId="138">
    <w:name w:val="Char Char10"/>
    <w:qFormat/>
    <w:locked/>
    <w:uiPriority w:val="0"/>
    <w:rPr>
      <w:rFonts w:ascii="宋体" w:hAnsi="宋体" w:eastAsia="宋体"/>
      <w:kern w:val="2"/>
      <w:sz w:val="21"/>
      <w:szCs w:val="24"/>
      <w:lang w:val="en-US" w:eastAsia="zh-CN" w:bidi="ar-SA"/>
    </w:rPr>
  </w:style>
  <w:style w:type="character" w:customStyle="1" w:styleId="139">
    <w:name w:val="font61"/>
    <w:qFormat/>
    <w:uiPriority w:val="0"/>
    <w:rPr>
      <w:rFonts w:hint="eastAsia" w:ascii="宋体" w:hAnsi="宋体" w:eastAsia="宋体" w:cs="宋体"/>
      <w:color w:val="000000"/>
      <w:sz w:val="21"/>
      <w:szCs w:val="21"/>
      <w:u w:val="none"/>
    </w:rPr>
  </w:style>
  <w:style w:type="character" w:customStyle="1" w:styleId="140">
    <w:name w:val="无"/>
    <w:qFormat/>
    <w:uiPriority w:val="0"/>
  </w:style>
  <w:style w:type="character" w:customStyle="1" w:styleId="141">
    <w:name w:val="cfdate"/>
    <w:qFormat/>
    <w:uiPriority w:val="0"/>
    <w:rPr>
      <w:color w:val="333333"/>
      <w:sz w:val="18"/>
      <w:szCs w:val="18"/>
    </w:rPr>
  </w:style>
  <w:style w:type="character" w:customStyle="1" w:styleId="142">
    <w:name w:val="正文文本缩进 Char"/>
    <w:qFormat/>
    <w:uiPriority w:val="0"/>
    <w:rPr>
      <w:rFonts w:ascii="Times New Roman" w:hAnsi="Times New Roman" w:eastAsia="宋体" w:cs="Times New Roman"/>
      <w:kern w:val="2"/>
      <w:sz w:val="21"/>
      <w:szCs w:val="24"/>
    </w:rPr>
  </w:style>
  <w:style w:type="character" w:customStyle="1" w:styleId="143">
    <w:name w:val="正文缩进 Char1"/>
    <w:qFormat/>
    <w:locked/>
    <w:uiPriority w:val="0"/>
    <w:rPr>
      <w:rFonts w:eastAsia="宋体"/>
      <w:kern w:val="2"/>
      <w:sz w:val="21"/>
      <w:lang w:val="en-US" w:eastAsia="zh-CN" w:bidi="ar-SA"/>
    </w:rPr>
  </w:style>
  <w:style w:type="character" w:customStyle="1" w:styleId="144">
    <w:name w:val="apple-converted-space"/>
    <w:qFormat/>
    <w:uiPriority w:val="0"/>
  </w:style>
  <w:style w:type="character" w:customStyle="1" w:styleId="145">
    <w:name w:val="font31"/>
    <w:qFormat/>
    <w:uiPriority w:val="0"/>
    <w:rPr>
      <w:rFonts w:hint="eastAsia" w:ascii="宋体" w:hAnsi="宋体" w:eastAsia="宋体" w:cs="宋体"/>
      <w:color w:val="000000"/>
      <w:sz w:val="24"/>
      <w:szCs w:val="24"/>
      <w:u w:val="none"/>
    </w:rPr>
  </w:style>
  <w:style w:type="character" w:customStyle="1" w:styleId="146">
    <w:name w:val="font71"/>
    <w:qFormat/>
    <w:uiPriority w:val="0"/>
    <w:rPr>
      <w:rFonts w:hint="default" w:ascii="Times New Roman" w:hAnsi="Times New Roman" w:cs="Times New Roman"/>
      <w:color w:val="000000"/>
      <w:sz w:val="24"/>
      <w:szCs w:val="24"/>
      <w:u w:val="none"/>
    </w:rPr>
  </w:style>
  <w:style w:type="character" w:customStyle="1" w:styleId="147">
    <w:name w:val="纯文本 字符1"/>
    <w:qFormat/>
    <w:uiPriority w:val="0"/>
    <w:rPr>
      <w:rFonts w:ascii="Ђˎ̥" w:hAnsi="Verdana" w:eastAsia="Ђˎ̥" w:cs="Verdana"/>
      <w:szCs w:val="21"/>
    </w:rPr>
  </w:style>
  <w:style w:type="character" w:customStyle="1" w:styleId="148">
    <w:name w:val="列出段落 Char"/>
    <w:qFormat/>
    <w:locked/>
    <w:uiPriority w:val="34"/>
    <w:rPr>
      <w:rFonts w:ascii="Times New Roman" w:hAnsi="Times New Roman" w:eastAsia="宋体" w:cs="Times New Roman"/>
      <w:kern w:val="0"/>
      <w:sz w:val="24"/>
      <w:szCs w:val="20"/>
    </w:rPr>
  </w:style>
  <w:style w:type="character" w:customStyle="1" w:styleId="149">
    <w:name w:val="页脚 字符"/>
    <w:qFormat/>
    <w:uiPriority w:val="99"/>
  </w:style>
  <w:style w:type="character" w:customStyle="1" w:styleId="150">
    <w:name w:val="纯文本 字符"/>
    <w:qFormat/>
    <w:uiPriority w:val="0"/>
    <w:rPr>
      <w:rFonts w:ascii="宋体" w:hAnsi="Courier New" w:eastAsia="宋体" w:cs="Courier New"/>
      <w:szCs w:val="21"/>
    </w:rPr>
  </w:style>
  <w:style w:type="character" w:customStyle="1" w:styleId="151">
    <w:name w:val="fontstyle01"/>
    <w:qFormat/>
    <w:uiPriority w:val="0"/>
    <w:rPr>
      <w:rFonts w:hint="eastAsia" w:ascii="宋体" w:hAnsi="宋体" w:eastAsia="宋体"/>
      <w:color w:val="000000"/>
      <w:sz w:val="22"/>
      <w:szCs w:val="22"/>
    </w:rPr>
  </w:style>
  <w:style w:type="character" w:customStyle="1" w:styleId="152">
    <w:name w:val="redfilenumber"/>
    <w:qFormat/>
    <w:uiPriority w:val="0"/>
    <w:rPr>
      <w:color w:val="BA2636"/>
      <w:sz w:val="18"/>
      <w:szCs w:val="18"/>
    </w:rPr>
  </w:style>
  <w:style w:type="character" w:customStyle="1" w:styleId="153">
    <w:name w:val="gjfg"/>
    <w:qFormat/>
    <w:uiPriority w:val="0"/>
  </w:style>
  <w:style w:type="character" w:customStyle="1" w:styleId="154">
    <w:name w:val="纯文本 Char"/>
    <w:qFormat/>
    <w:uiPriority w:val="99"/>
    <w:rPr>
      <w:rFonts w:ascii="宋体" w:hAnsi="Courier New" w:eastAsia="宋体"/>
    </w:rPr>
  </w:style>
  <w:style w:type="character" w:customStyle="1" w:styleId="155">
    <w:name w:val="displayarti"/>
    <w:qFormat/>
    <w:uiPriority w:val="0"/>
    <w:rPr>
      <w:color w:val="FFFFFF"/>
      <w:shd w:val="clear" w:color="auto" w:fill="A00000"/>
    </w:rPr>
  </w:style>
  <w:style w:type="character" w:customStyle="1" w:styleId="156">
    <w:name w:val="Char Char1"/>
    <w:qFormat/>
    <w:uiPriority w:val="0"/>
    <w:rPr>
      <w:rFonts w:eastAsia="宋体"/>
      <w:kern w:val="2"/>
      <w:sz w:val="21"/>
      <w:szCs w:val="24"/>
      <w:lang w:val="en-US" w:eastAsia="zh-CN" w:bidi="ar-SA"/>
    </w:rPr>
  </w:style>
  <w:style w:type="character" w:customStyle="1" w:styleId="157">
    <w:name w:val="font01"/>
    <w:qFormat/>
    <w:uiPriority w:val="0"/>
    <w:rPr>
      <w:rFonts w:hint="eastAsia" w:ascii="宋体" w:hAnsi="宋体" w:eastAsia="宋体" w:cs="宋体"/>
      <w:color w:val="000000"/>
      <w:sz w:val="22"/>
      <w:szCs w:val="22"/>
      <w:u w:val="none"/>
    </w:rPr>
  </w:style>
  <w:style w:type="character" w:customStyle="1" w:styleId="158">
    <w:name w:val="列出段落 Char1"/>
    <w:link w:val="60"/>
    <w:qFormat/>
    <w:locked/>
    <w:uiPriority w:val="0"/>
    <w:rPr>
      <w:kern w:val="2"/>
      <w:sz w:val="21"/>
      <w:szCs w:val="24"/>
    </w:rPr>
  </w:style>
  <w:style w:type="character" w:customStyle="1" w:styleId="159">
    <w:name w:val="普通文字 Char Char5"/>
    <w:qFormat/>
    <w:uiPriority w:val="0"/>
    <w:rPr>
      <w:rFonts w:ascii="宋体" w:hAnsi="Courier New" w:eastAsia="宋体"/>
      <w:szCs w:val="21"/>
      <w:lang w:bidi="ar-SA"/>
    </w:rPr>
  </w:style>
  <w:style w:type="character" w:customStyle="1" w:styleId="160">
    <w:name w:val="标题 Char"/>
    <w:qFormat/>
    <w:uiPriority w:val="10"/>
    <w:rPr>
      <w:rFonts w:ascii="Calibri Light" w:hAnsi="Calibri Light" w:cs="Times New Roman"/>
      <w:b/>
      <w:bCs/>
      <w:kern w:val="2"/>
      <w:sz w:val="32"/>
      <w:szCs w:val="32"/>
    </w:rPr>
  </w:style>
  <w:style w:type="character" w:customStyle="1" w:styleId="161">
    <w:name w:val="font131"/>
    <w:qFormat/>
    <w:uiPriority w:val="0"/>
    <w:rPr>
      <w:rFonts w:hint="eastAsia" w:ascii="宋体" w:hAnsi="宋体" w:eastAsia="宋体" w:cs="宋体"/>
      <w:b/>
      <w:bCs/>
      <w:color w:val="FF0000"/>
      <w:sz w:val="18"/>
      <w:szCs w:val="18"/>
      <w:u w:val="none"/>
    </w:rPr>
  </w:style>
  <w:style w:type="character" w:customStyle="1" w:styleId="162">
    <w:name w:val="font121"/>
    <w:qFormat/>
    <w:uiPriority w:val="0"/>
    <w:rPr>
      <w:rFonts w:hint="eastAsia" w:ascii="宋体" w:hAnsi="宋体" w:eastAsia="宋体" w:cs="宋体"/>
      <w:b/>
      <w:color w:val="000000"/>
      <w:sz w:val="22"/>
      <w:szCs w:val="22"/>
      <w:u w:val="none"/>
    </w:rPr>
  </w:style>
  <w:style w:type="character" w:customStyle="1" w:styleId="163">
    <w:name w:val="redfilefwwh"/>
    <w:qFormat/>
    <w:uiPriority w:val="0"/>
    <w:rPr>
      <w:color w:val="BA2636"/>
      <w:sz w:val="18"/>
      <w:szCs w:val="18"/>
    </w:rPr>
  </w:style>
  <w:style w:type="character" w:customStyle="1" w:styleId="164">
    <w:name w:val="font41"/>
    <w:qFormat/>
    <w:uiPriority w:val="0"/>
    <w:rPr>
      <w:rFonts w:hint="eastAsia" w:ascii="宋体" w:hAnsi="宋体" w:eastAsia="宋体" w:cs="宋体"/>
      <w:color w:val="000000"/>
      <w:sz w:val="22"/>
      <w:szCs w:val="22"/>
      <w:u w:val="none"/>
    </w:rPr>
  </w:style>
  <w:style w:type="character" w:customStyle="1" w:styleId="165">
    <w:name w:val="c-icon30"/>
    <w:qFormat/>
    <w:uiPriority w:val="0"/>
  </w:style>
  <w:style w:type="character" w:customStyle="1" w:styleId="166">
    <w:name w:val="hover24"/>
    <w:qFormat/>
    <w:uiPriority w:val="0"/>
  </w:style>
  <w:style w:type="character" w:customStyle="1" w:styleId="167">
    <w:name w:val="hover25"/>
    <w:qFormat/>
    <w:uiPriority w:val="0"/>
    <w:rPr>
      <w:color w:val="315EFB"/>
    </w:rPr>
  </w:style>
  <w:style w:type="character" w:customStyle="1" w:styleId="168">
    <w:name w:val="hover26"/>
    <w:qFormat/>
    <w:uiPriority w:val="0"/>
    <w:rPr>
      <w:color w:val="315EFB"/>
    </w:rPr>
  </w:style>
  <w:style w:type="character" w:customStyle="1" w:styleId="169">
    <w:name w:val="hover27"/>
    <w:qFormat/>
    <w:uiPriority w:val="0"/>
    <w:rPr>
      <w:color w:val="315EFB"/>
      <w:shd w:val="clear" w:color="auto" w:fill="F0F3FD"/>
    </w:rPr>
  </w:style>
  <w:style w:type="character" w:customStyle="1" w:styleId="170">
    <w:name w:val="font11"/>
    <w:qFormat/>
    <w:uiPriority w:val="0"/>
    <w:rPr>
      <w:rFonts w:hint="eastAsia" w:ascii="宋体" w:hAnsi="宋体" w:eastAsia="宋体" w:cs="宋体"/>
      <w:color w:val="000000"/>
      <w:sz w:val="21"/>
      <w:szCs w:val="21"/>
      <w:u w:val="none"/>
    </w:rPr>
  </w:style>
  <w:style w:type="character" w:customStyle="1" w:styleId="171">
    <w:name w:val="NormalCharacter"/>
    <w:qFormat/>
    <w:uiPriority w:val="0"/>
  </w:style>
  <w:style w:type="paragraph" w:customStyle="1" w:styleId="172">
    <w:name w:val="Normal (Web)_file_246"/>
    <w:basedOn w:val="173"/>
    <w:unhideWhenUsed/>
    <w:qFormat/>
    <w:uiPriority w:val="99"/>
  </w:style>
  <w:style w:type="paragraph" w:customStyle="1" w:styleId="173">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null3"/>
    <w:hidden/>
    <w:qFormat/>
    <w:uiPriority w:val="0"/>
    <w:rPr>
      <w:rFonts w:hint="eastAsia" w:asciiTheme="minorHAnsi" w:hAnsiTheme="minorHAnsi" w:eastAsiaTheme="minorEastAsia" w:cstheme="minorBidi"/>
      <w:lang w:val="en-US" w:eastAsia="zh-Hans"/>
    </w:rPr>
  </w:style>
  <w:style w:type="paragraph" w:customStyle="1" w:styleId="175">
    <w:name w:val="_Style 3"/>
    <w:basedOn w:val="1"/>
    <w:autoRedefine/>
    <w:qFormat/>
    <w:uiPriority w:val="0"/>
    <w:pPr>
      <w:ind w:firstLine="420" w:firstLineChars="200"/>
    </w:pPr>
    <w:rPr>
      <w:sz w:val="20"/>
    </w:rPr>
  </w:style>
  <w:style w:type="paragraph" w:styleId="176">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0784dcf4-8737-4f36-b33a-0a0c7ff580be</errorID>
      <errorWord>2026年02月</errorWord>
      <group>L1_Knowledge</group>
      <groupName>知识性问题</groupName>
      <ability>L2_Time</ability>
      <abilityName>日期时间</abilityName>
      <candidateList>
        <item>2026年2月</item>
      </candidateList>
      <explain>根据日常书写习惯，月份一般会省略前导零。</explain>
      <paraID>5C41EE69</paraID>
      <start>1</start>
      <end>9</end>
      <status>ignored</status>
      <modifiedWord/>
      <trackRevisions>false</trackRevisions>
    </reviewItem>
    <reviewItem>
      <errorID>ee215c1a-926b-4beb-a38d-3168ed1aa9e5</errorID>
      <errorWord>，</errorWord>
      <group>L1_AI</group>
      <groupName>深度校对</groupName>
      <ability>L2_AI_Punc</ability>
      <abilityName>标点纠错</abilityName>
      <candidateList>
        <item>,</item>
      </candidateList>
      <explain/>
      <paraID>2BA54138</paraID>
      <start>16</start>
      <end>17</end>
      <status>modified</status>
      <modifiedWord>,</modifiedWord>
      <trackRevisions>false</trackRevisions>
    </reviewItem>
    <reviewItem>
      <errorID>8d6987d9-96f3-4da0-8f1a-79fed8e3fe70</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38E6EEE3</paraID>
      <start>14</start>
      <end>25</end>
      <status>ignored</status>
      <modifiedWord/>
      <trackRevisions>false</trackRevisions>
    </reviewItem>
    <reviewItem>
      <errorID>d7a36280-57e3-41a7-b049-e8e7d7741f69</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38E6EEE3</paraID>
      <start>39</start>
      <end>50</end>
      <status>ignored</status>
      <modifiedWord/>
      <trackRevisions>false</trackRevisions>
    </reviewItem>
    <reviewItem>
      <errorID>0eecc457-d15a-463f-92ce-0bf5af0daf64</errorID>
      <errorWord>2026年02月</errorWord>
      <group>L1_Knowledge</group>
      <groupName>知识性问题</groupName>
      <ability>L2_Time</ability>
      <abilityName>日期时间</abilityName>
      <candidateList>
        <item>2026年2月</item>
      </candidateList>
      <explain>根据日常书写习惯，月份一般会省略前导零。</explain>
      <paraID>543AACBA</paraID>
      <start>5</start>
      <end>13</end>
      <status>ignored</status>
      <modifiedWord/>
      <trackRevisions>false</trackRevisions>
    </reviewItem>
    <reviewItem>
      <errorID>6c2858ba-02f8-4921-81ad-7cb8249f92ed</errorID>
      <errorWord>09</errorWord>
      <group>L1_AI</group>
      <groupName>深度校对</groupName>
      <ability>L2_AI_Word</ability>
      <abilityName>字词纠错</abilityName>
      <candidateList>
        <item> 09</item>
      </candidateList>
      <explain/>
      <paraID>543AACBA</paraID>
      <start>16</start>
      <end>18</end>
      <status>ignored</status>
      <modifiedWord/>
      <trackRevisions>false</trackRevisions>
    </reviewItem>
    <reviewItem>
      <errorID>5b63c3f3-c5ed-4d45-b15f-d0effcf6bceb</errorID>
      <errorWord>点</errorWord>
      <group>L1_AI</group>
      <groupName>深度校对</groupName>
      <ability>L2_AI_Word</ability>
      <abilityName>字词纠错</abilityName>
      <candidateList>
        <item>:</item>
      </candidateList>
      <explain/>
      <paraID>543AACBA</paraID>
      <start>18</start>
      <end>19</end>
      <status>modified</status>
      <modifiedWord>:</modifiedWord>
      <trackRevisions>false</trackRevisions>
    </reviewItem>
    <reviewItem>
      <errorID>8cde1fd8-a5d9-45ea-b2b4-851f1284db1d</errorID>
      <errorWord>30分</errorWord>
      <group>L1_AI</group>
      <groupName>深度校对</groupName>
      <ability>L2_AI_Word</ability>
      <abilityName>字词纠错</abilityName>
      <candidateList>
        <item>30</item>
      </candidateList>
      <explain/>
      <paraID>543AACBA</paraID>
      <start>19</start>
      <end>21</end>
      <status>modified</status>
      <modifiedWord>30</modifiedWord>
      <trackRevisions>false</trackRevisions>
    </reviewItem>
    <reviewItem>
      <errorID>b59bee4f-c158-4c76-88a0-b71862100feb</errorID>
      <errorWord>采购的项目</errorWord>
      <group>L1_AI</group>
      <groupName>深度校对</groupName>
      <ability>L2_AI_Grammar</ability>
      <abilityName>语法纠错</abilityName>
      <candidateList>
        <item>采购</item>
      </candidateList>
      <explain/>
      <paraID>74522EFC</paraID>
      <start>15</start>
      <end>20</end>
      <status>ignored</status>
      <modifiedWord/>
      <trackRevisions>false</trackRevisions>
    </reviewItem>
    <reviewItem>
      <errorID>2ff591b3-65c6-4e60-b57e-e14ac1824688</errorID>
      <errorWord>享受</errorWord>
      <group>L1_AI</group>
      <groupName>深度校对</groupName>
      <ability>L2_AI_Grammar</ability>
      <abilityName>语法纠错</abilityName>
      <candidateList>
        <item>，可享受</item>
      </candidateList>
      <explain/>
      <paraID>74522EFC</paraID>
      <start>38</start>
      <end>42</end>
      <status>modified</status>
      <modifiedWord>，可享受</modifiedWord>
      <trackRevisions>false</trackRevisions>
    </reviewItem>
    <reviewItem>
      <errorID>07cfefb2-07bf-4640-913a-13b3435e9142</errorID>
      <errorWord>末</errorWord>
      <group>L1_Word</group>
      <groupName>字词问题</groupName>
      <ability>L2_Typo</ability>
      <abilityName>字词错误</abilityName>
      <candidateList>
        <item>未</item>
      </candidateList>
      <explain>〈副〉❶没（跟“已”相对）：尚～成年｜健康仍～恢复。❷不：～便｜～敢苟同｜～可厚非。</explain>
      <paraID>1799547E</paraID>
      <start>11</start>
      <end>12</end>
      <status>modified</status>
      <modifiedWord>未</modifiedWord>
      <trackRevisions>false</trackRevisions>
    </reviewItem>
    <reviewItem>
      <errorID>2c3f87b7-60f5-48c1-bb9c-9d7c8d7ce1f7</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2E076552</paraID>
      <start>16</start>
      <end>27</end>
      <status>ignored</status>
      <modifiedWord/>
      <trackRevisions>false</trackRevisions>
    </reviewItem>
    <reviewItem>
      <errorID>f587bc91-2b13-426a-a1be-f1bff5afa607</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2E076552</paraID>
      <start>41</start>
      <end>52</end>
      <status>ignored</status>
      <modifiedWord/>
      <trackRevisions>false</trackRevisions>
    </reviewItem>
    <reviewItem>
      <errorID>7f3e7c16-d828-4f96-bad5-ac80f78a47e2</errorID>
      <errorWord>间</errorWord>
      <group>L1_Word</group>
      <groupName>字词问题</groupName>
      <ability>L2_Typo</ability>
      <abilityName>字词错误</abilityName>
      <candidateList>
        <item>间之</item>
      </candidateList>
      <explain/>
      <paraID>63FB2013</paraID>
      <start>66</start>
      <end>67</end>
      <status>ignored</status>
      <modifiedWord/>
      <trackRevisions>false</trackRevisions>
    </reviewItem>
    <reviewItem>
      <errorID>5598b1bd-79d4-4a52-a5cd-e31d6e2b12f7</errorID>
      <errorWord>(</errorWord>
      <group>L1_Format</group>
      <groupName>格式问题</groupName>
      <ability>L2_HalfPunc</ability>
      <abilityName>全半角检查</abilityName>
      <candidateList>
        <item>（</item>
      </candidateList>
      <explain>文本全半角错误。</explain>
      <paraID>7BB68193</paraID>
      <start>21</start>
      <end>22</end>
      <status>ignored</status>
      <modifiedWord/>
      <trackRevisions>false</trackRevisions>
    </reviewItem>
    <reviewItem>
      <errorID>a152ba41-31c4-4fdf-a541-837249e437bc</errorID>
      <errorWord>)</errorWord>
      <group>L1_Format</group>
      <groupName>格式问题</groupName>
      <ability>L2_HalfPunc</ability>
      <abilityName>全半角检查</abilityName>
      <candidateList>
        <item>）</item>
      </candidateList>
      <explain>文本全半角错误。</explain>
      <paraID>7BB68193</paraID>
      <start>29</start>
      <end>30</end>
      <status>ignored</status>
      <modifiedWord/>
      <trackRevisions>false</trackRevisions>
    </reviewItem>
    <reviewItem>
      <errorID>30b4b7f2-6b96-4cc4-bfeb-05e69d666f09</errorID>
      <errorWord>评审</errorWord>
      <group>L1_AI</group>
      <groupName>深度校对</groupName>
      <ability>L2_AI_Word</ability>
      <abilityName>字词纠错</abilityName>
      <candidateList>
        <item>和评审</item>
      </candidateList>
      <explain/>
      <paraID>63770C14</paraID>
      <start>8</start>
      <end>10</end>
      <status>ignored</status>
      <modifiedWord/>
      <trackRevisions>false</trackRevisions>
    </reviewItem>
    <reviewItem>
      <errorID>fc18525e-0ba8-45da-bf69-f256c576b2b4</errorID>
      <errorWord>单数</errorWord>
      <group>L1_AI</group>
      <groupName>深度校对</groupName>
      <ability>L2_AI_Punc</ability>
      <abilityName>标点纠错</abilityName>
      <candidateList>
        <item>单数。</item>
      </candidateList>
      <explain/>
      <paraID>63770C14</paraID>
      <start>28</start>
      <end>30</end>
      <status>ignored</status>
      <modifiedWord/>
      <trackRevisions>false</trackRevisions>
    </reviewItem>
    <reviewItem>
      <errorID>cb649f34-86c1-4db1-874e-05e75f258995</errorID>
      <errorWord>）</errorWord>
      <group>L1_AI</group>
      <groupName>深度校对</groupName>
      <ability>L2_AI_Word</ability>
      <abilityName>字词纠错</abilityName>
      <candidateList>
        <item>号）</item>
      </candidateList>
      <explain/>
      <paraID>175175CB</paraID>
      <start>59</start>
      <end>61</end>
      <status>modified</status>
      <modifiedWord>号）</modifiedWord>
      <trackRevisions>false</trackRevisions>
    </reviewItem>
    <reviewItem>
      <errorID>28bd966c-1871-4640-9918-8713e8e394ea</errorID>
      <errorWord>(</errorWord>
      <group>L1_Format</group>
      <groupName>格式问题</groupName>
      <ability>L2_HalfPunc</ability>
      <abilityName>全半角检查</abilityName>
      <candidateList>
        <item>（</item>
      </candidateList>
      <explain>文本全半角错误。</explain>
      <paraID> 6E93149</paraID>
      <start>14</start>
      <end>15</end>
      <status>ignored</status>
      <modifiedWord/>
      <trackRevisions>false</trackRevisions>
    </reviewItem>
    <reviewItem>
      <errorID>9efabe6c-bcb8-481c-9d4c-920a7f4f9046</errorID>
      <errorWord>)</errorWord>
      <group>L1_Format</group>
      <groupName>格式问题</groupName>
      <ability>L2_HalfPunc</ability>
      <abilityName>全半角检查</abilityName>
      <candidateList>
        <item>）</item>
      </candidateList>
      <explain>文本全半角错误。</explain>
      <paraID> 6E93149</paraID>
      <start>37</start>
      <end>38</end>
      <status>ignored</status>
      <modifiedWord/>
      <trackRevisions>false</trackRevisions>
    </reviewItem>
    <reviewItem>
      <errorID>18550a05-ed84-45ed-be69-07831d3ce19a</errorID>
      <errorWord>(</errorWord>
      <group>L1_Format</group>
      <groupName>格式问题</groupName>
      <ability>L2_HalfPunc</ability>
      <abilityName>全半角检查</abilityName>
      <candidateList>
        <item>（</item>
      </candidateList>
      <explain>文本全半角错误。</explain>
      <paraID> 6E93149</paraID>
      <start>46</start>
      <end>47</end>
      <status>ignored</status>
      <modifiedWord/>
      <trackRevisions>false</trackRevisions>
    </reviewItem>
    <reviewItem>
      <errorID>9f1e2692-8d9b-4dbd-bba9-709cd2d3b2cc</errorID>
      <errorWord>)</errorWord>
      <group>L1_Format</group>
      <groupName>格式问题</groupName>
      <ability>L2_HalfPunc</ability>
      <abilityName>全半角检查</abilityName>
      <candidateList>
        <item>）</item>
      </candidateList>
      <explain>文本全半角错误。</explain>
      <paraID> 6E93149</paraID>
      <start>62</start>
      <end>63</end>
      <status>ignored</status>
      <modifiedWord/>
      <trackRevisions>false</trackRevisions>
    </reviewItem>
    <reviewItem>
      <errorID>a8bb35ea-f052-4353-89dd-af56f89b22db</errorID>
      <errorWord>(</errorWord>
      <group>L1_Format</group>
      <groupName>格式问题</groupName>
      <ability>L2_HalfPunc</ability>
      <abilityName>全半角检查</abilityName>
      <candidateList>
        <item>（</item>
      </candidateList>
      <explain>文本全半角错误。</explain>
      <paraID>458E585C</paraID>
      <start>20</start>
      <end>21</end>
      <status>ignored</status>
      <modifiedWord/>
      <trackRevisions>false</trackRevisions>
    </reviewItem>
    <reviewItem>
      <errorID>a8660747-ebf6-4202-a835-95f29902f2db</errorID>
      <errorWord>)</errorWord>
      <group>L1_Format</group>
      <groupName>格式问题</groupName>
      <ability>L2_HalfPunc</ability>
      <abilityName>全半角检查</abilityName>
      <candidateList>
        <item>）</item>
      </candidateList>
      <explain>文本全半角错误。</explain>
      <paraID>458E585C</paraID>
      <start>43</start>
      <end>44</end>
      <status>ignored</status>
      <modifiedWord/>
      <trackRevisions>false</trackRevisions>
    </reviewItem>
    <reviewItem>
      <errorID>9758aabd-2a6a-4872-8e21-96f0f1e2c989</errorID>
      <errorWord>(</errorWord>
      <group>L1_Format</group>
      <groupName>格式问题</groupName>
      <ability>L2_HalfPunc</ability>
      <abilityName>全半角检查</abilityName>
      <candidateList>
        <item>（</item>
      </candidateList>
      <explain>文本全半角错误。</explain>
      <paraID>458E585C</paraID>
      <start>52</start>
      <end>53</end>
      <status>ignored</status>
      <modifiedWord/>
      <trackRevisions>false</trackRevisions>
    </reviewItem>
    <reviewItem>
      <errorID>0e1a62ec-bb5b-454f-9b65-33b89623e517</errorID>
      <errorWord>)</errorWord>
      <group>L1_Format</group>
      <groupName>格式问题</groupName>
      <ability>L2_HalfPunc</ability>
      <abilityName>全半角检查</abilityName>
      <candidateList>
        <item>）</item>
      </candidateList>
      <explain>文本全半角错误。</explain>
      <paraID>458E585C</paraID>
      <start>68</start>
      <end>69</end>
      <status>ignored</status>
      <modifiedWord/>
      <trackRevisions>false</trackRevisions>
    </reviewItem>
    <reviewItem>
      <errorID>7ea8de53-01a7-4ea4-ad82-2e637e7b0d77</errorID>
      <errorWord>中标人</errorWord>
      <group>L1_AI</group>
      <groupName>深度校对</groupName>
      <ability>L2_AI_Grammar</ability>
      <abilityName>语法纠错</abilityName>
      <candidateList>
        <item>成交候选人</item>
      </candidateList>
      <explain/>
      <paraID>6A3B3164</paraID>
      <start>8</start>
      <end>13</end>
      <status>modified</status>
      <modifiedWord>成交候选人</modifiedWord>
      <trackRevisions>false</trackRevisions>
    </reviewItem>
    <reviewItem>
      <errorID>c244f61f-ee04-480e-923c-bd347e684eac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F5C45A1</paraID>
      <start>24</start>
      <end>26</end>
      <status>modified</status>
      <modifiedWord>》《</modifiedWord>
      <trackRevisions>false</trackRevisions>
    </reviewItem>
    <reviewItem>
      <errorID>2983486c-0f5d-4fe4-a02a-d832a48373ab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F5C45A1</paraID>
      <start>42</start>
      <end>44</end>
      <status>modified</status>
      <modifiedWord>》《</modifiedWord>
      <trackRevisions>false</trackRevisions>
    </reviewItem>
    <reviewItem>
      <errorID>1a82493d-2f5f-4031-b478-dde3a6742e17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F5C45A1</paraID>
      <start>59</start>
      <end>61</end>
      <status>modified</status>
      <modifiedWord>》《</modifiedWord>
      <trackRevisions>false</trackRevisions>
    </reviewItem>
    <reviewItem>
      <errorID>576080ac-ff16-484b-afbe-c6d525b6577b</errorID>
      <errorWord>法律、法规</errorWord>
      <group>L1_Word</group>
      <groupName>字词问题</groupName>
      <ability>L2_Typo</ability>
      <abilityName>字词错误</abilityName>
      <candidateList>
        <item>法律法规</item>
      </candidateList>
      <explain/>
      <paraID>5E7CD373</paraID>
      <start>50</start>
      <end>54</end>
      <status>modified</status>
      <modifiedWord>法律法规</modifiedWord>
      <trackRevisions>false</trackRevisions>
    </reviewItem>
    <reviewItem>
      <errorID>c003d51d-3608-48e0-b898-72ed1b8e2a28</errorID>
      <errorWord>：</errorWord>
      <group>L1_AI</group>
      <groupName>深度校对</groupName>
      <ability>L2_AI_Punc</ability>
      <abilityName>标点纠错</abilityName>
      <candidateList>
        <item/>
      </candidateList>
      <explain/>
      <paraID> 45C2091</paraID>
      <start>7</start>
      <end>8</end>
      <status>ignored</status>
      <modifiedWord/>
      <trackRevisions>false</trackRevisions>
    </reviewItem>
    <reviewItem>
      <errorID>a0b6f445-a36e-4f73-a797-0dfe5f03dfcd</errorID>
      <errorWord>承担是</errorWord>
      <group>L1_AI</group>
      <groupName>深度校对</groupName>
      <ability>L2_AI_Word</ability>
      <abilityName>字词纠错</abilityName>
      <candidateList>
        <item>承担</item>
      </candidateList>
      <explain/>
      <paraID> 45C2091</paraID>
      <start>22</start>
      <end>24</end>
      <status>modified</status>
      <modifiedWord>承担</modifiedWord>
      <trackRevisions>false</trackRevisions>
    </reviewItem>
    <reviewItem>
      <errorID>034afedb-89e7-4aa4-a035-ddb59321dc10</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30BF6112</paraID>
      <start>3</start>
      <end>14</end>
      <status>ignored</status>
      <modifiedWord/>
      <trackRevisions>false</trackRevisions>
    </reviewItem>
    <reviewItem>
      <errorID>ee371aa7-e093-46cb-ae7f-b3a241a96a49</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30BF6112</paraID>
      <start>28</start>
      <end>39</end>
      <status>ignored</status>
      <modifiedWord/>
      <trackRevisions>false</trackRevisions>
    </reviewItem>
    <reviewItem>
      <errorID>833ee403-956e-41b7-996b-26f4ff26d72b</errorID>
      <errorWord>(</errorWord>
      <group>L1_Format</group>
      <groupName>格式问题</groupName>
      <ability>L2_HalfPunc</ability>
      <abilityName>全半角检查</abilityName>
      <candidateList>
        <item>（</item>
      </candidateList>
      <explain>文本全半角错误。</explain>
      <paraID>2C9DF0DB</paraID>
      <start>61</start>
      <end>62</end>
      <status>ignored</status>
      <modifiedWord/>
      <trackRevisions>false</trackRevisions>
    </reviewItem>
    <reviewItem>
      <errorID>aecc372b-5783-417a-a66e-74b72d42de62</errorID>
      <errorWord>)</errorWord>
      <group>L1_Format</group>
      <groupName>格式问题</groupName>
      <ability>L2_HalfPunc</ability>
      <abilityName>全半角检查</abilityName>
      <candidateList>
        <item>）</item>
      </candidateList>
      <explain>文本全半角错误。</explain>
      <paraID>2C9DF0DB</paraID>
      <start>71</start>
      <end>72</end>
      <status>ignored</status>
      <modifiedWord/>
      <trackRevisions>false</trackRevisions>
    </reviewItem>
    <reviewItem>
      <errorID>25157a95-fa21-41ef-82e1-0113d64b3ae4</errorID>
      <errorWord>其它</errorWord>
      <group>L1_Word</group>
      <groupName>字词问题</groupName>
      <ability>L2_Alias</ability>
      <abilityName>也作/曾用词</abilityName>
      <candidateList>
        <item>其他</item>
      </candidateList>
      <explain>词汇[其它]为不规范表述或旧称，其规范书面表述为[其他]。</explain>
      <paraID>10BDE7F9</paraID>
      <start>60</start>
      <end>62</end>
      <status>modified</status>
      <modifiedWord>其他</modifiedWord>
      <trackRevisions>false</trackRevisions>
    </reviewItem>
    <reviewItem>
      <errorID>37f04753-b82f-4436-abe9-c3d0a8d6cb89</errorID>
      <errorWord>间</errorWord>
      <group>L1_Word</group>
      <groupName>字词问题</groupName>
      <ability>L2_Typo</ability>
      <abilityName>字词错误</abilityName>
      <candidateList>
        <item>间之</item>
      </candidateList>
      <explain/>
      <paraID>5354D5B7</paraID>
      <start>66</start>
      <end>67</end>
      <status>ignored</status>
      <modifiedWord/>
      <trackRevisions>false</trackRevisions>
    </reviewItem>
    <reviewItem>
      <errorID>26a79a9b-2224-4a22-a172-c04c50a46e2a</errorID>
      <errorWord>第9条</errorWord>
      <group>L1_Knowledge</group>
      <groupName>知识性问题</groupName>
      <ability>L2_Knowledge</ability>
      <abilityName>其他知识</abilityName>
      <candidateList>
        <item>第九条</item>
      </candidateList>
      <explain/>
      <paraID>7395FD8E</paraID>
      <start>27</start>
      <end>30</end>
      <status>ignored</status>
      <modifiedWord/>
      <trackRevisions>false</trackRevisions>
    </reviewItem>
    <reviewItem>
      <errorID>6df7f85d-b704-4a13-932a-a3c41e5b6d4b</errorID>
      <errorWord>第10条</errorWord>
      <group>L1_Knowledge</group>
      <groupName>知识性问题</groupName>
      <ability>L2_Knowledge</ability>
      <abilityName>其他知识</abilityName>
      <candidateList>
        <item>第十条</item>
      </candidateList>
      <explain/>
      <paraID>1E4B102B</paraID>
      <start>25</start>
      <end>29</end>
      <status>ignored</status>
      <modifiedWord/>
      <trackRevisions>false</trackRevisions>
    </reviewItem>
    <reviewItem>
      <errorID>5ef8bcf8-4cfd-4fba-b7ed-2dff76602758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1DEC8050</paraID>
      <start>0</start>
      <end>2</end>
      <status>modified</status>
      <modifiedWord>1.</modifiedWord>
      <trackRevisions>false</trackRevisions>
    </reviewItem>
    <reviewItem>
      <errorID>75454bc0-47e2-4dc4-912d-6d7295e96239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33ACF811</paraID>
      <start>0</start>
      <end>2</end>
      <status>modified</status>
      <modifiedWord>2.</modifiedWord>
      <trackRevisions>false</trackRevisions>
    </reviewItem>
    <reviewItem>
      <errorID>57081dc2-0179-4beb-b73f-d874f43e4eeb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42A19726</paraID>
      <start>0</start>
      <end>2</end>
      <status>modified</status>
      <modifiedWord>3.</modifiedWord>
      <trackRevisions>false</trackRevisions>
    </reviewItem>
    <reviewItem>
      <errorID>f41c4d84-4895-4b35-9455-14246fc5d0bc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3CD2683F</paraID>
      <start>0</start>
      <end>2</end>
      <status>modified</status>
      <modifiedWord>4.</modifiedWord>
      <trackRevisions>false</trackRevisions>
    </reviewItem>
    <reviewItem>
      <errorID>5e4bf5be-9c73-4fa1-a8ea-907b824881cd</errorID>
      <errorWord>(</errorWord>
      <group>L1_Format</group>
      <groupName>格式问题</groupName>
      <ability>L2_HalfPunc</ability>
      <abilityName>全半角检查</abilityName>
      <candidateList>
        <item>（</item>
      </candidateList>
      <explain>文本全半角错误。</explain>
      <paraID>6F48F83F</paraID>
      <start>43</start>
      <end>44</end>
      <status>ignored</status>
      <modifiedWord/>
      <trackRevisions>false</trackRevisions>
    </reviewItem>
    <reviewItem>
      <errorID>c26321ee-3833-47e0-9806-c3159ce7f599</errorID>
      <errorWord>)</errorWord>
      <group>L1_Format</group>
      <groupName>格式问题</groupName>
      <ability>L2_HalfPunc</ability>
      <abilityName>全半角检查</abilityName>
      <candidateList>
        <item>）</item>
      </candidateList>
      <explain>文本全半角错误。</explain>
      <paraID>6F48F83F</paraID>
      <start>57</start>
      <end>58</end>
      <status>ignored</status>
      <modifiedWord/>
      <trackRevisions>false</trackRevisions>
    </reviewItem>
    <reviewItem>
      <errorID>94bc1c68-a95a-4175-ae29-91575ff80196</errorID>
      <errorWord>(</errorWord>
      <group>L1_Format</group>
      <groupName>格式问题</groupName>
      <ability>L2_HalfPunc</ability>
      <abilityName>全半角检查</abilityName>
      <candidateList>
        <item>（</item>
      </candidateList>
      <explain>文本全半角错误。</explain>
      <paraID>4CD2D5EF</paraID>
      <start>29</start>
      <end>30</end>
      <status>ignored</status>
      <modifiedWord/>
      <trackRevisions>false</trackRevisions>
    </reviewItem>
    <reviewItem>
      <errorID>3b35ebbd-4113-4e5e-9477-f6cf544c4769</errorID>
      <errorWord>)</errorWord>
      <group>L1_Format</group>
      <groupName>格式问题</groupName>
      <ability>L2_HalfPunc</ability>
      <abilityName>全半角检查</abilityName>
      <candidateList>
        <item>）</item>
      </candidateList>
      <explain>文本全半角错误。</explain>
      <paraID>4CD2D5EF</paraID>
      <start>43</start>
      <end>44</end>
      <status>ignored</status>
      <modifiedWord/>
      <trackRevisions>false</trackRevisions>
    </reviewItem>
    <reviewItem>
      <errorID>e5443d90-f522-4e35-921f-e1c9d278a34f</errorID>
      <errorWord>(</errorWord>
      <group>L1_Format</group>
      <groupName>格式问题</groupName>
      <ability>L2_HalfPunc</ability>
      <abilityName>全半角检查</abilityName>
      <candidateList>
        <item>（</item>
      </candidateList>
      <explain>文本全半角错误。</explain>
      <paraID>4CD2D5EF</paraID>
      <start>74</start>
      <end>75</end>
      <status>ignored</status>
      <modifiedWord/>
      <trackRevisions>false</trackRevisions>
    </reviewItem>
    <reviewItem>
      <errorID>fc59f9e0-f223-42fd-85f1-4dcfa5ecc27b</errorID>
      <errorWord>)</errorWord>
      <group>L1_Format</group>
      <groupName>格式问题</groupName>
      <ability>L2_HalfPunc</ability>
      <abilityName>全半角检查</abilityName>
      <candidateList>
        <item>）</item>
      </candidateList>
      <explain>文本全半角错误。</explain>
      <paraID>4CD2D5EF</paraID>
      <start>88</start>
      <end>89</end>
      <status>ignored</status>
      <modifiedWord/>
      <trackRevisions>false</trackRevisions>
    </reviewItem>
    <reviewItem>
      <errorID>2625a3de-c8a4-43bf-9eb0-eed1c4ed62f2</errorID>
      <errorWord>(</errorWord>
      <group>L1_Format</group>
      <groupName>格式问题</groupName>
      <ability>L2_HalfPunc</ability>
      <abilityName>全半角检查</abilityName>
      <candidateList>
        <item>（</item>
      </candidateList>
      <explain>文本全半角错误。</explain>
      <paraID>7FCA2F21</paraID>
      <start>21</start>
      <end>22</end>
      <status>ignored</status>
      <modifiedWord/>
      <trackRevisions>false</trackRevisions>
    </reviewItem>
    <reviewItem>
      <errorID>b720aba1-b354-4b51-8344-78944713167e</errorID>
      <errorWord>)</errorWord>
      <group>L1_Format</group>
      <groupName>格式问题</groupName>
      <ability>L2_HalfPunc</ability>
      <abilityName>全半角检查</abilityName>
      <candidateList>
        <item>）</item>
      </candidateList>
      <explain>文本全半角错误。</explain>
      <paraID>7FCA2F21</paraID>
      <start>28</start>
      <end>29</end>
      <status>ignored</status>
      <modifiedWord/>
      <trackRevisions>false</trackRevisions>
    </reviewItem>
    <reviewItem>
      <errorID>e34ee82f-b7b0-47d3-884f-087f7a557ffb</errorID>
      <errorWord>做变动</errorWord>
      <group>L1_Word</group>
      <groupName>字词问题</groupName>
      <ability>L2_Typo</ability>
      <abilityName>字词错误</abilityName>
      <candidateList>
        <item>作变动</item>
      </candidateList>
      <explain/>
      <paraID>538A0361</paraID>
      <start>13</start>
      <end>16</end>
      <status>modified</status>
      <modifiedWord>作变动</modifiedWord>
      <trackRevisions>false</trackRevisions>
    </reviewItem>
    <reviewItem>
      <errorID>b0b47b8b-b1f8-4877-af2b-afab0a975086</errorID>
      <errorWord>法律、法规</errorWord>
      <group>L1_Word</group>
      <groupName>字词问题</groupName>
      <ability>L2_Typo</ability>
      <abilityName>字词错误</abilityName>
      <candidateList>
        <item>法律法规</item>
      </candidateList>
      <explain/>
      <paraID>16847BC1</paraID>
      <start>6</start>
      <end>10</end>
      <status>modified</status>
      <modifiedWord>法律法规</modifiedWord>
      <trackRevisions>false</trackRevisions>
    </reviewItem>
    <reviewItem>
      <errorID>1e0acf09-c846-45d5-a793-a4438c724bfa</errorID>
      <errorWord>做变动</errorWord>
      <group>L1_Word</group>
      <groupName>字词问题</groupName>
      <ability>L2_Typo</ability>
      <abilityName>字词错误</abilityName>
      <candidateList>
        <item>作变动</item>
      </candidateList>
      <explain/>
      <paraID> 34120C5</paraID>
      <start>13</start>
      <end>16</end>
      <status>modified</status>
      <modifiedWord>作变动</modifiedWord>
      <trackRevisions>false</trackRevisions>
    </reviewItem>
    <reviewItem>
      <errorID>e2c107dd-8971-4fab-8170-a20558d2988e</errorID>
      <errorWord>(</errorWord>
      <group>L1_Format</group>
      <groupName>格式问题</groupName>
      <ability>L2_HalfPunc</ability>
      <abilityName>全半角检查</abilityName>
      <candidateList>
        <item>（</item>
      </candidateList>
      <explain>文本全半角错误。</explain>
      <paraID>704A2DB1</paraID>
      <start>14</start>
      <end>15</end>
      <status>ignored</status>
      <modifiedWord/>
      <trackRevisions>false</trackRevisions>
    </reviewItem>
    <reviewItem>
      <errorID>89b8b350-a4f8-458d-ae34-96d5fbe9c76e</errorID>
      <errorWord>)</errorWord>
      <group>L1_Format</group>
      <groupName>格式问题</groupName>
      <ability>L2_HalfPunc</ability>
      <abilityName>全半角检查</abilityName>
      <candidateList>
        <item>）</item>
      </candidateList>
      <explain>文本全半角错误。</explain>
      <paraID>704A2DB1</paraID>
      <start>37</start>
      <end>38</end>
      <status>ignored</status>
      <modifiedWord/>
      <trackRevisions>false</trackRevisions>
    </reviewItem>
    <reviewItem>
      <errorID>9bdb52a5-02dd-4cf1-af98-2cf81d105c52</errorID>
      <errorWord>(</errorWord>
      <group>L1_Format</group>
      <groupName>格式问题</groupName>
      <ability>L2_HalfPunc</ability>
      <abilityName>全半角检查</abilityName>
      <candidateList>
        <item>（</item>
      </candidateList>
      <explain>文本全半角错误。</explain>
      <paraID>53831B75</paraID>
      <start>20</start>
      <end>21</end>
      <status>ignored</status>
      <modifiedWord/>
      <trackRevisions>false</trackRevisions>
    </reviewItem>
    <reviewItem>
      <errorID>4bac9d55-0934-4836-992b-3527e093f9b7</errorID>
      <errorWord>)</errorWord>
      <group>L1_Format</group>
      <groupName>格式问题</groupName>
      <ability>L2_HalfPunc</ability>
      <abilityName>全半角检查</abilityName>
      <candidateList>
        <item>）</item>
      </candidateList>
      <explain>文本全半角错误。</explain>
      <paraID>53831B75</paraID>
      <start>43</start>
      <end>44</end>
      <status>ignored</status>
      <modifiedWord/>
      <trackRevisions>false</trackRevisions>
    </reviewItem>
    <reviewItem>
      <errorID>8ca3c69d-0372-4be8-af5b-1d670199cfa5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73F4CCAF</paraID>
      <start>24</start>
      <end>26</end>
      <status>modified</status>
      <modifiedWord>》《</modifiedWord>
      <trackRevisions>false</trackRevisions>
    </reviewItem>
    <reviewItem>
      <errorID>d70a71fa-4797-43df-8243-c109c8f0ef50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73F4CCAF</paraID>
      <start>42</start>
      <end>44</end>
      <status>modified</status>
      <modifiedWord>》《</modifiedWord>
      <trackRevisions>false</trackRevisions>
    </reviewItem>
    <reviewItem>
      <errorID>12ce2076-fe37-411d-aa00-27393be22ca0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73F4CCAF</paraID>
      <start>59</start>
      <end>61</end>
      <status>modified</status>
      <modifiedWord>》《</modifiedWord>
      <trackRevisions>false</trackRevisions>
    </reviewItem>
    <reviewItem>
      <errorID>d95c610d-0345-4e27-ba85-53563ed8a222</errorID>
      <errorWord>全</errorWord>
      <group>L1_Word</group>
      <groupName>字词问题</groupName>
      <ability>L2_Typo</ability>
      <abilityName>字词错误</abilityName>
      <candidateList>
        <item>全年</item>
      </candidateList>
      <explain/>
      <paraID>5BEED35E</paraID>
      <start>86</start>
      <end>87</end>
      <status>ignored</status>
      <modifiedWord/>
      <trackRevisions>false</trackRevisions>
    </reviewItem>
    <reviewItem>
      <errorID>e9966500-5f14-4e3e-ba67-a618a4197c17</errorID>
      <errorWord>度年</errorWord>
      <group>L1_Word</group>
      <groupName>字词问题</groupName>
      <ability>L2_Typo</ability>
      <abilityName>字词错误</abilityName>
      <candidateList>
        <item>年度</item>
      </candidateList>
      <explain/>
      <paraID>5BEED35E</paraID>
      <start>134</start>
      <end>136</end>
      <status>modified</status>
      <modifiedWord>年度</modifiedWord>
      <trackRevisions>false</trackRevisions>
    </reviewItem>
    <reviewItem>
      <errorID>1ee3409e-f1df-45e9-8719-fa92a3f18b1a</errorID>
      <errorWord>(</errorWord>
      <group>L1_Format</group>
      <groupName>格式问题</groupName>
      <ability>L2_HalfPunc</ability>
      <abilityName>全半角检查</abilityName>
      <candidateList>
        <item>（</item>
      </candidateList>
      <explain>文本全半角错误。</explain>
      <paraID>5BEED35E</paraID>
      <start>154</start>
      <end>155</end>
      <status>ignored</status>
      <modifiedWord/>
      <trackRevisions>false</trackRevisions>
    </reviewItem>
    <reviewItem>
      <errorID>1294369c-57d1-4f3d-8fad-e7da29840a39</errorID>
      <errorWord>)</errorWord>
      <group>L1_Format</group>
      <groupName>格式问题</groupName>
      <ability>L2_HalfPunc</ability>
      <abilityName>全半角检查</abilityName>
      <candidateList>
        <item>）</item>
      </candidateList>
      <explain>文本全半角错误。</explain>
      <paraID>5BEED35E</paraID>
      <start>191</start>
      <end>192</end>
      <status>ignored</status>
      <modifiedWord/>
      <trackRevisions>false</trackRevisions>
    </reviewItem>
    <reviewItem>
      <errorID>1c96718f-e979-4df0-8b32-0eb20e5f1856</errorID>
      <errorWord>。。</errorWord>
      <group>L1_Punc</group>
      <groupName>标点问题</groupName>
      <ability>L2_Punc</ability>
      <abilityName>标点符号检查</abilityName>
      <candidateList>
        <item>。</item>
      </candidateList>
      <explain/>
      <paraID>5BEED35E</paraID>
      <start>192</start>
      <end>193</end>
      <status>modified</status>
      <modifiedWord>。</modifiedWord>
      <trackRevisions>false</trackRevisions>
    </reviewItem>
    <reviewItem>
      <errorID>92fb632b-bc69-4e84-b031-f2906de85a0a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57BDF37E</paraID>
      <start>0</start>
      <end>2</end>
      <status>modified</status>
      <modifiedWord>一、</modifiedWord>
      <trackRevisions>false</trackRevisions>
    </reviewItem>
    <reviewItem>
      <errorID>aea2d4a1-554c-40ed-bb82-756671b40c9b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256D49D6</paraID>
      <start>0</start>
      <end>2</end>
      <status>modified</status>
      <modifiedWord>二、</modifiedWord>
      <trackRevisions>false</trackRevisions>
    </reviewItem>
    <reviewItem>
      <errorID>271eb85a-ccd0-403e-ad05-0b186c988d1e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190C5DD0</paraID>
      <start>0</start>
      <end>2</end>
      <status>modified</status>
      <modifiedWord>三、</modifiedWord>
      <trackRevisions>false</trackRevisions>
    </reviewItem>
    <reviewItem>
      <errorID>1583463f-10fd-45d0-9432-9cb938d736c5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56F3BC22</paraID>
      <start>0</start>
      <end>2</end>
      <status>modified</status>
      <modifiedWord>四、</modifiedWord>
      <trackRevisions>false</trackRevisions>
    </reviewItem>
    <reviewItem>
      <errorID>830e359d-a295-4ac7-9c8c-ed4b6357bd81</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F8F0EBC</paraID>
      <start>0</start>
      <end>2</end>
      <status>modified</status>
      <modifiedWord>五、</modifiedWord>
      <trackRevisions>false</trackRevisions>
    </reviewItem>
    <reviewItem>
      <errorID>5b539085-4703-4c80-8329-7f9417c462d3</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6E8B5EC6</paraID>
      <start>0</start>
      <end>2</end>
      <status>modified</status>
      <modifiedWord>六、</modifiedWord>
      <trackRevisions>false</trackRevisions>
    </reviewItem>
    <reviewItem>
      <errorID>e48ebf16-e6e6-41fc-9c0c-ef9de991e4b4</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E176036</paraID>
      <start>0</start>
      <end>2</end>
      <status>modified</status>
      <modifiedWord>七、</modifiedWord>
      <trackRevisions>false</trackRevisions>
    </reviewItem>
    <reviewItem>
      <errorID>ce750547-a528-4746-a9df-74b7e7928b70</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3712B3EB</paraID>
      <start>0</start>
      <end>2</end>
      <status>modified</status>
      <modifiedWord>八、</modifiedWord>
      <trackRevisions>false</trackRevisions>
    </reviewItem>
    <reviewItem>
      <errorID>8dd9f2ef-fd2a-406f-931c-eb924d0293b1</errorID>
      <errorWord>(</errorWord>
      <group>L1_Format</group>
      <groupName>格式问题</groupName>
      <ability>L2_HalfPunc</ability>
      <abilityName>全半角检查</abilityName>
      <candidateList>
        <item>（</item>
      </candidateList>
      <explain>文本全半角错误。</explain>
      <paraID>7DCC7FE8</paraID>
      <start>131</start>
      <end>132</end>
      <status>ignored</status>
      <modifiedWord/>
      <trackRevisions>false</trackRevisions>
    </reviewItem>
    <reviewItem>
      <errorID>fb57f358-bbf4-4d96-9d1b-ec56e72b3adb</errorID>
      <errorWord>)</errorWord>
      <group>L1_Format</group>
      <groupName>格式问题</groupName>
      <ability>L2_HalfPunc</ability>
      <abilityName>全半角检查</abilityName>
      <candidateList>
        <item>）</item>
      </candidateList>
      <explain>文本全半角错误。</explain>
      <paraID>7DCC7FE8</paraID>
      <start>141</start>
      <end>142</end>
      <status>ignored</status>
      <modifiedWord/>
      <trackRevisions>false</trackRevisions>
    </reviewItem>
    <reviewItem>
      <errorID>090cc926-f07d-4cc4-8e00-5665d64591f6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422CB358</paraID>
      <start>0</start>
      <end>2</end>
      <status>modified</status>
      <modifiedWord>1.</modifiedWord>
      <trackRevisions>false</trackRevisions>
    </reviewItem>
    <reviewItem>
      <errorID>81bbc6df-875f-41b4-8533-c1669ac56581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15BEF970</paraID>
      <start>0</start>
      <end>2</end>
      <status>modified</status>
      <modifiedWord>2.</modifiedWord>
      <trackRevisions>false</trackRevisions>
    </reviewItem>
    <reviewItem>
      <errorID>1bfcbeb8-ac72-412c-be8a-7e06c9facd17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255989D4</paraID>
      <start>0</start>
      <end>2</end>
      <status>modified</status>
      <modifiedWord>3.</modifiedWord>
      <trackRevisions>false</trackRevisions>
    </reviewItem>
    <reviewItem>
      <errorID>70ad3748-3ebf-4218-ae90-6c1ce23df39f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1720027D</paraID>
      <start>0</start>
      <end>2</end>
      <status>modified</status>
      <modifiedWord>4.</modifiedWord>
      <trackRevisions>false</trackRevisions>
    </reviewItem>
    <reviewItem>
      <errorID>5043c0b9-2c8b-4803-a446-c0d7821cf550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4091DFCE</paraID>
      <start>0</start>
      <end>2</end>
      <status>modified</status>
      <modifiedWord>2.</modifiedWord>
      <trackRevisions>false</trackRevisions>
    </reviewItem>
    <reviewItem>
      <errorID>9baa88fc-853d-4b39-bb50-2e49ce428b5a</errorID>
      <errorWord>繁琐</errorWord>
      <group>L1_Word</group>
      <groupName>字词问题</groupName>
      <ability>L2_Typo</ability>
      <abilityName>字词错误</abilityName>
      <candidateList>
        <item>烦琐</item>
      </candidateList>
      <explain/>
      <paraID>4091DFCE</paraID>
      <start>77</start>
      <end>79</end>
      <status>ignored</status>
      <modifiedWord/>
      <trackRevisions>false</trackRevisions>
    </reviewItem>
    <reviewItem>
      <errorID>d99ef1cd-3bf7-4886-be6c-13c9c5bc93b2</errorID>
      <errorWord>繁琐</errorWord>
      <group>L1_Word</group>
      <groupName>字词问题</groupName>
      <ability>L2_Typo</ability>
      <abilityName>字词错误</abilityName>
      <candidateList>
        <item>烦琐</item>
      </candidateList>
      <explain/>
      <paraID>29B2DD20</paraID>
      <start>88</start>
      <end>90</end>
      <status>ignored</status>
      <modifiedWord/>
      <trackRevisions>false</trackRevisions>
    </reviewItem>
    <reviewItem>
      <errorID>56be2ac4-a01a-4563-b81c-f55fde10fcd4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68A11A32</paraID>
      <start>0</start>
      <end>2</end>
      <status>modified</status>
      <modifiedWord>4.</modifiedWord>
      <trackRevisions>false</trackRevisions>
    </reviewItem>
    <reviewItem>
      <errorID>acbb8d6d-a184-46fb-9f64-45829f1ff92b</errorID>
      <errorWord>&lt;</errorWord>
      <group>L1_Format</group>
      <groupName>格式问题</groupName>
      <ability>L2_HalfPunc</ability>
      <abilityName>全半角检查</abilityName>
      <candidateList>
        <item>〈</item>
      </candidateList>
      <explain>文本全半角错误。</explain>
      <paraID>1087DAEC</paraID>
      <start>48</start>
      <end>49</end>
      <status>modified</status>
      <modifiedWord>〈</modifiedWord>
      <trackRevisions>false</trackRevisions>
    </reviewItem>
    <reviewItem>
      <errorID>d3d9dcfe-ec86-47ff-ae48-e75fd674081e</errorID>
      <errorWord>&lt;</errorWord>
      <group>L1_Format</group>
      <groupName>格式问题</groupName>
      <ability>L2_HalfPunc</ability>
      <abilityName>全半角检查</abilityName>
      <candidateList>
        <item>〈</item>
      </candidateList>
      <explain>文本全半角错误。</explain>
      <paraID>422546D6</paraID>
      <start>48</start>
      <end>49</end>
      <status>modified</status>
      <modifiedWord>〈</modifiedWord>
      <trackRevisions>false</trackRevisions>
    </reviewItem>
    <reviewItem>
      <errorID>1acc0897-3e96-4f84-96a9-a2cde4797a2e</errorID>
      <errorWord>&lt;</errorWord>
      <group>L1_Format</group>
      <groupName>格式问题</groupName>
      <ability>L2_HalfPunc</ability>
      <abilityName>全半角检查</abilityName>
      <candidateList>
        <item>〈</item>
      </candidateList>
      <explain>文本全半角错误。</explain>
      <paraID> 935979E</paraID>
      <start>33</start>
      <end>34</end>
      <status>modified</status>
      <modifiedWord>〈</modifiedWord>
      <trackRevisions>false</trackRevisions>
    </reviewItem>
    <reviewItem>
      <errorID>fee65cf5-2812-4ce5-9594-58718bb0f9ab</errorID>
      <errorWord>双反</errorWord>
      <group>L1_Word</group>
      <groupName>字词问题</groupName>
      <ability>L2_Typo</ability>
      <abilityName>字词错误</abilityName>
      <candidateList>
        <item>双方</item>
      </candidateList>
      <explain/>
      <paraID>1D887E9E</paraID>
      <start>29</start>
      <end>31</end>
      <status>modified</status>
      <modifiedWord>双方</modifiedWord>
      <trackRevisions>false</trackRevisions>
    </reviewItem>
    <reviewItem>
      <errorID>dbe7b1b7-2325-45c5-814c-c408767febc0</errorID>
      <errorWord>,</errorWord>
      <group>L1_Format</group>
      <groupName>格式问题</groupName>
      <ability>L2_HalfPunc</ability>
      <abilityName>全半角检查</abilityName>
      <candidateList>
        <item>，</item>
      </candidateList>
      <explain>文本全半角错误。</explain>
      <paraID>6C63AF85</paraID>
      <start>23</start>
      <end>24</end>
      <status>modified</status>
      <modifiedWord>，</modifiedWord>
      <trackRevisions>false</trackRevisions>
    </reviewItem>
    <reviewItem>
      <errorID>53967815-35a1-47a5-8196-aacb28178e83</errorID>
      <errorWord>,</errorWord>
      <group>L1_Format</group>
      <groupName>格式问题</groupName>
      <ability>L2_HalfPunc</ability>
      <abilityName>全半角检查</abilityName>
      <candidateList>
        <item>，</item>
      </candidateList>
      <explain>文本全半角错误。</explain>
      <paraID>6C63AF85</paraID>
      <start>49</start>
      <end>50</end>
      <status>modified</status>
      <modifiedWord>，</modifiedWord>
      <trackRevisions>false</trackRevisions>
    </reviewItem>
    <reviewItem>
      <errorID>7073d328-3275-42c2-8a62-9e5440d9a017</errorID>
      <errorWord>,</errorWord>
      <group>L1_Format</group>
      <groupName>格式问题</groupName>
      <ability>L2_HalfPunc</ability>
      <abilityName>全半角检查</abilityName>
      <candidateList>
        <item>，</item>
      </candidateList>
      <explain>文本全半角错误。</explain>
      <paraID>6C63AF85</paraID>
      <start>66</start>
      <end>67</end>
      <status>modified</status>
      <modifiedWord>，</modifiedWord>
      <trackRevisions>false</trackRevisions>
    </reviewItem>
    <reviewItem>
      <errorID>64eec764-d485-4c09-b0e5-67ac7e92b849</errorID>
      <errorWord>(</errorWord>
      <group>L1_Format</group>
      <groupName>格式问题</groupName>
      <ability>L2_HalfPunc</ability>
      <abilityName>全半角检查</abilityName>
      <candidateList>
        <item>（</item>
      </candidateList>
      <explain>文本全半角错误。</explain>
      <paraID>54D30243</paraID>
      <start>13</start>
      <end>14</end>
      <status>ignored</status>
      <modifiedWord/>
      <trackRevisions>false</trackRevisions>
    </reviewItem>
    <reviewItem>
      <errorID>4d3298ae-841c-4b14-a280-540d60f9f656</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70E74608</paraID>
      <start>4</start>
      <end>15</end>
      <status>ignored</status>
      <modifiedWord/>
      <trackRevisions>false</trackRevisions>
    </reviewItem>
    <reviewItem>
      <errorID>72fb3f8e-da04-4a38-bdd7-c09198e068f4</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70E74608</paraID>
      <start>29</start>
      <end>40</end>
      <status>ignored</status>
      <modifiedWord/>
      <trackRevisions>false</trackRevisions>
    </reviewItem>
    <reviewItem>
      <errorID>1ec2fcd2-d3b3-418a-9be3-0ae50d8a4ab5</errorID>
      <errorWord>法律、法规</errorWord>
      <group>L1_Word</group>
      <groupName>字词问题</groupName>
      <ability>L2_Typo</ability>
      <abilityName>字词错误</abilityName>
      <candidateList>
        <item>法律法规</item>
      </candidateList>
      <explain/>
      <paraID>6DA33017</paraID>
      <start>39</start>
      <end>43</end>
      <status>modified</status>
      <modifiedWord>法律法规</modifiedWord>
      <trackRevisions>false</trackRevisions>
    </reviewItem>
    <reviewItem>
      <errorID>de619327-bac2-4e23-bd41-e2aec2367f6d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377B6C1B</paraID>
      <start>39</start>
      <end>41</end>
      <status>modified</status>
      <modifiedWord>”“</modifiedWord>
      <trackRevisions>false</trackRevisions>
    </reviewItem>
    <reviewItem>
      <errorID>7cb22652-cdd8-4c70-874f-1992ef71b92f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723E74FC</paraID>
      <start>139</start>
      <end>140</end>
      <status>ignored</status>
      <modifiedWord/>
      <trackRevisions>false</trackRevisions>
    </reviewItem>
    <reviewItem>
      <errorID>22814680-fe59-4e2c-820d-f886a7fbe006</errorID>
      <errorWord>(</errorWord>
      <group>L1_Format</group>
      <groupName>格式问题</groupName>
      <ability>L2_HalfPunc</ability>
      <abilityName>全半角检查</abilityName>
      <candidateList>
        <item>（</item>
      </candidateList>
      <explain>文本全半角错误。</explain>
      <paraID>32BDFD7A</paraID>
      <start>61</start>
      <end>62</end>
      <status>ignored</status>
      <modifiedWord/>
      <trackRevisions>false</trackRevisions>
    </reviewItem>
    <reviewItem>
      <errorID>43bda7af-d822-422d-894e-7e331737dc44</errorID>
      <errorWord>)</errorWord>
      <group>L1_Format</group>
      <groupName>格式问题</groupName>
      <ability>L2_HalfPunc</ability>
      <abilityName>全半角检查</abilityName>
      <candidateList>
        <item>）</item>
      </candidateList>
      <explain>文本全半角错误。</explain>
      <paraID>32BDFD7A</paraID>
      <start>71</start>
      <end>72</end>
      <status>ignored</status>
      <modifiedWord/>
      <trackRevisions>false</trackRevisions>
    </reviewItem>
    <reviewItem>
      <errorID>1e061879-a96f-452f-8a17-70f59e82e393</errorID>
      <errorWord>〔2017〕 141号</errorWord>
      <group>L1_Knowledge</group>
      <groupName>知识性问题</groupName>
      <ability>L2_Knowledge</ability>
      <abilityName>其他知识</abilityName>
      <candidateList>
        <item>〔2017〕141号</item>
      </candidateList>
      <explain>发文字号格式错误。</explain>
      <paraID>25ACB391</paraID>
      <start>49</start>
      <end>59</end>
      <status>modified</status>
      <modifiedWord>〔2017〕141号</modifiedWord>
      <trackRevisions>false</trackRevisions>
    </reviewItem>
    <reviewItem>
      <errorID>3088cfe1-624b-492b-9baf-5661c08a4619</errorID>
      <errorWord>(</errorWord>
      <group>L1_Format</group>
      <groupName>格式问题</groupName>
      <ability>L2_HalfPunc</ability>
      <abilityName>全半角检查</abilityName>
      <candidateList>
        <item>（</item>
      </candidateList>
      <explain>文本全半角错误。</explain>
      <paraID>408BB699</paraID>
      <start>4</start>
      <end>5</end>
      <status>ignored</status>
      <modifiedWord/>
      <trackRevisions>false</trackRevisions>
    </reviewItem>
    <reviewItem>
      <errorID>5226ac6e-7106-4855-b6ad-9044611c8f1d</errorID>
      <errorWord>)</errorWord>
      <group>L1_Format</group>
      <groupName>格式问题</groupName>
      <ability>L2_HalfPunc</ability>
      <abilityName>全半角检查</abilityName>
      <candidateList>
        <item>）</item>
      </candidateList>
      <explain>文本全半角错误。</explain>
      <paraID>408BB699</paraID>
      <start>6</start>
      <end>7</end>
      <status>ignored</status>
      <modifiedWord/>
      <trackRevisions>false</trackRevisions>
    </reviewItem>
    <reviewItem>
      <errorID>71fb0dd5-c6d3-4612-b7e1-c54f04cca843</errorID>
      <errorWord>(</errorWord>
      <group>L1_Format</group>
      <groupName>格式问题</groupName>
      <ability>L2_HalfPunc</ability>
      <abilityName>全半角检查</abilityName>
      <candidateList>
        <item>（</item>
      </candidateList>
      <explain>文本全半角错误。</explain>
      <paraID>1278489B</paraID>
      <start>4</start>
      <end>5</end>
      <status>ignored</status>
      <modifiedWord/>
      <trackRevisions>false</trackRevisions>
    </reviewItem>
    <reviewItem>
      <errorID>e238f97d-94f5-4ee2-8981-6ab40d94a7fe</errorID>
      <errorWord>)</errorWord>
      <group>L1_Format</group>
      <groupName>格式问题</groupName>
      <ability>L2_HalfPunc</ability>
      <abilityName>全半角检查</abilityName>
      <candidateList>
        <item>）</item>
      </candidateList>
      <explain>文本全半角错误。</explain>
      <paraID>1278489B</paraID>
      <start>6</start>
      <end>7</end>
      <status>ignored</status>
      <modifiedWord/>
      <trackRevisions>false</trackRevisions>
    </reviewItem>
    <reviewItem>
      <errorID>f02d7c99-e5de-4a40-b932-dd6dae4babbe</errorID>
      <errorWord>(</errorWord>
      <group>L1_Format</group>
      <groupName>格式问题</groupName>
      <ability>L2_HalfPunc</ability>
      <abilityName>全半角检查</abilityName>
      <candidateList>
        <item>（</item>
      </candidateList>
      <explain>文本全半角错误。</explain>
      <paraID>  B6500E</paraID>
      <start>4</start>
      <end>5</end>
      <status>ignored</status>
      <modifiedWord/>
      <trackRevisions>false</trackRevisions>
    </reviewItem>
    <reviewItem>
      <errorID>901856e6-e8cc-4114-a418-a6a1e4d65702</errorID>
      <errorWord>)</errorWord>
      <group>L1_Format</group>
      <groupName>格式问题</groupName>
      <ability>L2_HalfPunc</ability>
      <abilityName>全半角检查</abilityName>
      <candidateList>
        <item>）</item>
      </candidateList>
      <explain>文本全半角错误。</explain>
      <paraID>  B6500E</paraID>
      <start>6</start>
      <end>7</end>
      <status>ignored</status>
      <modifiedWord/>
      <trackRevisions>false</trackRevisions>
    </reviewItem>
    <reviewItem>
      <errorID>c6cf23eb-530c-4440-bb58-8c95ff109c41</errorID>
      <errorWord>(</errorWord>
      <group>L1_Format</group>
      <groupName>格式问题</groupName>
      <ability>L2_HalfPunc</ability>
      <abilityName>全半角检查</abilityName>
      <candidateList>
        <item>（</item>
      </candidateList>
      <explain>文本全半角错误。</explain>
      <paraID>6B613918</paraID>
      <start>4</start>
      <end>5</end>
      <status>ignored</status>
      <modifiedWord/>
      <trackRevisions>false</trackRevisions>
    </reviewItem>
    <reviewItem>
      <errorID>095bea03-2104-4537-b6dc-2500000c21cc</errorID>
      <errorWord>)</errorWord>
      <group>L1_Format</group>
      <groupName>格式问题</groupName>
      <ability>L2_HalfPunc</ability>
      <abilityName>全半角检查</abilityName>
      <candidateList>
        <item>）</item>
      </candidateList>
      <explain>文本全半角错误。</explain>
      <paraID>6B613918</paraID>
      <start>6</start>
      <end>7</end>
      <status>ignored</status>
      <modifiedWord/>
      <trackRevisions>false</trackRevisions>
    </reviewItem>
    <reviewItem>
      <errorID>f5b4d508-4c7c-4064-97d1-74f0f02c3a39</errorID>
      <errorWord>(</errorWord>
      <group>L1_Format</group>
      <groupName>格式问题</groupName>
      <ability>L2_HalfPunc</ability>
      <abilityName>全半角检查</abilityName>
      <candidateList>
        <item>（</item>
      </candidateList>
      <explain>文本全半角错误。</explain>
      <paraID>522612AE</paraID>
      <start>4</start>
      <end>5</end>
      <status>ignored</status>
      <modifiedWord/>
      <trackRevisions>false</trackRevisions>
    </reviewItem>
    <reviewItem>
      <errorID>38a60b52-064e-4bbc-b5b1-f6ae58ebc4ad</errorID>
      <errorWord>)</errorWord>
      <group>L1_Format</group>
      <groupName>格式问题</groupName>
      <ability>L2_HalfPunc</ability>
      <abilityName>全半角检查</abilityName>
      <candidateList>
        <item>）</item>
      </candidateList>
      <explain>文本全半角错误。</explain>
      <paraID>522612AE</paraID>
      <start>6</start>
      <end>7</end>
      <status>ignored</status>
      <modifiedWord/>
      <trackRevisions>false</trackRevisions>
    </reviewItem>
    <reviewItem>
      <errorID>4c942dff-fa95-4530-ac45-cea20a6de59a</errorID>
      <errorWord>(</errorWord>
      <group>L1_Format</group>
      <groupName>格式问题</groupName>
      <ability>L2_HalfPunc</ability>
      <abilityName>全半角检查</abilityName>
      <candidateList>
        <item>（</item>
      </candidateList>
      <explain>文本全半角错误。</explain>
      <paraID>5C2BD549</paraID>
      <start>4</start>
      <end>5</end>
      <status>ignored</status>
      <modifiedWord/>
      <trackRevisions>false</trackRevisions>
    </reviewItem>
    <reviewItem>
      <errorID>546a556e-5123-4640-8065-5133f79edce9</errorID>
      <errorWord>)</errorWord>
      <group>L1_Format</group>
      <groupName>格式问题</groupName>
      <ability>L2_HalfPunc</ability>
      <abilityName>全半角检查</abilityName>
      <candidateList>
        <item>）</item>
      </candidateList>
      <explain>文本全半角错误。</explain>
      <paraID>5C2BD549</paraID>
      <start>6</start>
      <end>7</end>
      <status>ignored</status>
      <modifiedWord/>
      <trackRevisions>false</trackRevisions>
    </reviewItem>
    <reviewItem>
      <errorID>957e6b0d-1f04-475f-8d4c-09dfb87a2412</errorID>
      <errorWord>(</errorWord>
      <group>L1_Format</group>
      <groupName>格式问题</groupName>
      <ability>L2_HalfPunc</ability>
      <abilityName>全半角检查</abilityName>
      <candidateList>
        <item>（</item>
      </candidateList>
      <explain>文本全半角错误。</explain>
      <paraID>73B73A7C</paraID>
      <start>4</start>
      <end>5</end>
      <status>ignored</status>
      <modifiedWord/>
      <trackRevisions>false</trackRevisions>
    </reviewItem>
    <reviewItem>
      <errorID>91e05930-656b-4f1a-98ba-9234e0d08664</errorID>
      <errorWord>)</errorWord>
      <group>L1_Format</group>
      <groupName>格式问题</groupName>
      <ability>L2_HalfPunc</ability>
      <abilityName>全半角检查</abilityName>
      <candidateList>
        <item>）</item>
      </candidateList>
      <explain>文本全半角错误。</explain>
      <paraID>73B73A7C</paraID>
      <start>6</start>
      <end>7</end>
      <status>ignored</status>
      <modifiedWord/>
      <trackRevisions>false</trackRevisions>
    </reviewItem>
    <reviewItem>
      <errorID>dde57179-c6f7-486d-8ce5-a8a30083571c</errorID>
      <errorWord>(</errorWord>
      <group>L1_Format</group>
      <groupName>格式问题</groupName>
      <ability>L2_HalfPunc</ability>
      <abilityName>全半角检查</abilityName>
      <candidateList>
        <item>（</item>
      </candidateList>
      <explain>文本全半角错误。</explain>
      <paraID>4A02C63B</paraID>
      <start>4</start>
      <end>5</end>
      <status>ignored</status>
      <modifiedWord/>
      <trackRevisions>false</trackRevisions>
    </reviewItem>
    <reviewItem>
      <errorID>3847dd10-ce3b-41bf-9271-334c1d33a4a0</errorID>
      <errorWord>)</errorWord>
      <group>L1_Format</group>
      <groupName>格式问题</groupName>
      <ability>L2_HalfPunc</ability>
      <abilityName>全半角检查</abilityName>
      <candidateList>
        <item>）</item>
      </candidateList>
      <explain>文本全半角错误。</explain>
      <paraID>4A02C63B</paraID>
      <start>6</start>
      <end>7</end>
      <status>ignored</status>
      <modifiedWord/>
      <trackRevisions>false</trackRevisions>
    </reviewItem>
    <reviewItem>
      <errorID>67ac1a7c-9a76-4971-bb74-9fa911ba4a56</errorID>
      <errorWord>(</errorWord>
      <group>L1_Format</group>
      <groupName>格式问题</groupName>
      <ability>L2_HalfPunc</ability>
      <abilityName>全半角检查</abilityName>
      <candidateList>
        <item>（</item>
      </candidateList>
      <explain>文本全半角错误。</explain>
      <paraID>3E02C747</paraID>
      <start>4</start>
      <end>5</end>
      <status>ignored</status>
      <modifiedWord/>
      <trackRevisions>false</trackRevisions>
    </reviewItem>
    <reviewItem>
      <errorID>5133940d-d546-4e76-9e84-8ff6fd1946e6</errorID>
      <errorWord>)</errorWord>
      <group>L1_Format</group>
      <groupName>格式问题</groupName>
      <ability>L2_HalfPunc</ability>
      <abilityName>全半角检查</abilityName>
      <candidateList>
        <item>）</item>
      </candidateList>
      <explain>文本全半角错误。</explain>
      <paraID>3E02C747</paraID>
      <start>6</start>
      <end>7</end>
      <status>ignored</status>
      <modifiedWord/>
      <trackRevisions>false</trackRevisions>
    </reviewItem>
    <reviewItem>
      <errorID>0be49cd9-3a4a-44da-a611-9350d0b8d874</errorID>
      <errorWord>(</errorWord>
      <group>L1_Format</group>
      <groupName>格式问题</groupName>
      <ability>L2_HalfPunc</ability>
      <abilityName>全半角检查</abilityName>
      <candidateList>
        <item>（</item>
      </candidateList>
      <explain>文本全半角错误。</explain>
      <paraID>65055B83</paraID>
      <start>4</start>
      <end>5</end>
      <status>ignored</status>
      <modifiedWord/>
      <trackRevisions>false</trackRevisions>
    </reviewItem>
    <reviewItem>
      <errorID>33a83bf0-3ca9-40fb-b428-3705e518d8f9</errorID>
      <errorWord>)</errorWord>
      <group>L1_Format</group>
      <groupName>格式问题</groupName>
      <ability>L2_HalfPunc</ability>
      <abilityName>全半角检查</abilityName>
      <candidateList>
        <item>）</item>
      </candidateList>
      <explain>文本全半角错误。</explain>
      <paraID>65055B83</paraID>
      <start>6</start>
      <end>7</end>
      <status>ignored</status>
      <modifiedWord/>
      <trackRevisions>false</trackRevisions>
    </reviewItem>
    <reviewItem>
      <errorID>c9787a11-9e8f-412c-81f8-eeacb0c487a3</errorID>
      <errorWord>(</errorWord>
      <group>L1_Format</group>
      <groupName>格式问题</groupName>
      <ability>L2_HalfPunc</ability>
      <abilityName>全半角检查</abilityName>
      <candidateList>
        <item>（</item>
      </candidateList>
      <explain>文本全半角错误。</explain>
      <paraID>6AA3C0CC</paraID>
      <start>4</start>
      <end>5</end>
      <status>ignored</status>
      <modifiedWord/>
      <trackRevisions>false</trackRevisions>
    </reviewItem>
    <reviewItem>
      <errorID>ae837333-e7c8-4879-b20f-208a960ab7a0</errorID>
      <errorWord>)</errorWord>
      <group>L1_Format</group>
      <groupName>格式问题</groupName>
      <ability>L2_HalfPunc</ability>
      <abilityName>全半角检查</abilityName>
      <candidateList>
        <item>）</item>
      </candidateList>
      <explain>文本全半角错误。</explain>
      <paraID>6AA3C0CC</paraID>
      <start>6</start>
      <end>7</end>
      <status>ignored</status>
      <modifiedWord/>
      <trackRevisions>false</trackRevisions>
    </reviewItem>
    <reviewItem>
      <errorID>fed91e80-cf3b-4bcf-bcf4-14c994bcc96f</errorID>
      <errorWord>(</errorWord>
      <group>L1_Format</group>
      <groupName>格式问题</groupName>
      <ability>L2_HalfPunc</ability>
      <abilityName>全半角检查</abilityName>
      <candidateList>
        <item>（</item>
      </candidateList>
      <explain>文本全半角错误。</explain>
      <paraID>2145C790</paraID>
      <start>4</start>
      <end>5</end>
      <status>ignored</status>
      <modifiedWord/>
      <trackRevisions>false</trackRevisions>
    </reviewItem>
    <reviewItem>
      <errorID>2e0adc56-7548-4289-9601-158ed7fd1dd0</errorID>
      <errorWord>)</errorWord>
      <group>L1_Format</group>
      <groupName>格式问题</groupName>
      <ability>L2_HalfPunc</ability>
      <abilityName>全半角检查</abilityName>
      <candidateList>
        <item>）</item>
      </candidateList>
      <explain>文本全半角错误。</explain>
      <paraID>2145C790</paraID>
      <start>6</start>
      <end>7</end>
      <status>ignored</status>
      <modifiedWord/>
      <trackRevisions>false</trackRevisions>
    </reviewItem>
    <reviewItem>
      <errorID>9064fd5f-5ed1-4630-a3fa-0277ceb9b089</errorID>
      <errorWord>(</errorWord>
      <group>L1_Format</group>
      <groupName>格式问题</groupName>
      <ability>L2_HalfPunc</ability>
      <abilityName>全半角检查</abilityName>
      <candidateList>
        <item>（</item>
      </candidateList>
      <explain>文本全半角错误。</explain>
      <paraID>629295FC</paraID>
      <start>4</start>
      <end>5</end>
      <status>ignored</status>
      <modifiedWord/>
      <trackRevisions>false</trackRevisions>
    </reviewItem>
    <reviewItem>
      <errorID>1afcbeb6-4048-4121-a617-f535036feef3</errorID>
      <errorWord>)</errorWord>
      <group>L1_Format</group>
      <groupName>格式问题</groupName>
      <ability>L2_HalfPunc</ability>
      <abilityName>全半角检查</abilityName>
      <candidateList>
        <item>）</item>
      </candidateList>
      <explain>文本全半角错误。</explain>
      <paraID>629295FC</paraID>
      <start>6</start>
      <end>7</end>
      <status>ignored</status>
      <modifiedWord/>
      <trackRevisions>false</trackRevisions>
    </reviewItem>
    <reviewItem>
      <errorID>721d7474-783a-4786-9bed-e349f03319f2</errorID>
      <errorWord>(</errorWord>
      <group>L1_Format</group>
      <groupName>格式问题</groupName>
      <ability>L2_HalfPunc</ability>
      <abilityName>全半角检查</abilityName>
      <candidateList>
        <item>（</item>
      </candidateList>
      <explain>文本全半角错误。</explain>
      <paraID>71304015</paraID>
      <start>4</start>
      <end>5</end>
      <status>ignored</status>
      <modifiedWord/>
      <trackRevisions>false</trackRevisions>
    </reviewItem>
    <reviewItem>
      <errorID>b0a27441-d9cb-4264-a297-60a4da73021f</errorID>
      <errorWord>)</errorWord>
      <group>L1_Format</group>
      <groupName>格式问题</groupName>
      <ability>L2_HalfPunc</ability>
      <abilityName>全半角检查</abilityName>
      <candidateList>
        <item>）</item>
      </candidateList>
      <explain>文本全半角错误。</explain>
      <paraID>71304015</paraID>
      <start>6</start>
      <end>7</end>
      <status>ignored</status>
      <modifiedWord/>
      <trackRevisions>false</trackRevisions>
    </reviewItem>
    <reviewItem>
      <errorID>bd73c3b5-fc80-46d2-a9c5-babc7447419c</errorID>
      <errorWord>(</errorWord>
      <group>L1_Format</group>
      <groupName>格式问题</groupName>
      <ability>L2_HalfPunc</ability>
      <abilityName>全半角检查</abilityName>
      <candidateList>
        <item>（</item>
      </candidateList>
      <explain>文本全半角错误。</explain>
      <paraID>4C394CFA</paraID>
      <start>4</start>
      <end>5</end>
      <status>ignored</status>
      <modifiedWord/>
      <trackRevisions>false</trackRevisions>
    </reviewItem>
    <reviewItem>
      <errorID>7bf3f3cf-9858-45fe-81d4-0687fdf6bed3</errorID>
      <errorWord>)</errorWord>
      <group>L1_Format</group>
      <groupName>格式问题</groupName>
      <ability>L2_HalfPunc</ability>
      <abilityName>全半角检查</abilityName>
      <candidateList>
        <item>）</item>
      </candidateList>
      <explain>文本全半角错误。</explain>
      <paraID>4C394CFA</paraID>
      <start>6</start>
      <end>7</end>
      <status>ignored</status>
      <modifiedWord/>
      <trackRevisions>false</trackRevisions>
    </reviewItem>
    <reviewItem>
      <errorID>76a1031f-906b-4dbc-9e4b-64499c16635f</errorID>
      <errorWord>(</errorWord>
      <group>L1_Format</group>
      <groupName>格式问题</groupName>
      <ability>L2_HalfPunc</ability>
      <abilityName>全半角检查</abilityName>
      <candidateList>
        <item>（</item>
      </candidateList>
      <explain>文本全半角错误。</explain>
      <paraID>6B5F726D</paraID>
      <start>4</start>
      <end>5</end>
      <status>ignored</status>
      <modifiedWord/>
      <trackRevisions>false</trackRevisions>
    </reviewItem>
    <reviewItem>
      <errorID>7025833c-948a-4574-93e9-8bff6167c86e</errorID>
      <errorWord>)</errorWord>
      <group>L1_Format</group>
      <groupName>格式问题</groupName>
      <ability>L2_HalfPunc</ability>
      <abilityName>全半角检查</abilityName>
      <candidateList>
        <item>）</item>
      </candidateList>
      <explain>文本全半角错误。</explain>
      <paraID>6B5F726D</paraID>
      <start>6</start>
      <end>7</end>
      <status>ignored</status>
      <modifiedWord/>
      <trackRevisions>false</trackRevisions>
    </reviewItem>
    <reviewItem>
      <errorID>bfd71a61-dd38-49ce-ad3b-cfa7acd586e6</errorID>
      <errorWord>(</errorWord>
      <group>L1_Format</group>
      <groupName>格式问题</groupName>
      <ability>L2_HalfPunc</ability>
      <abilityName>全半角检查</abilityName>
      <candidateList>
        <item>（</item>
      </candidateList>
      <explain>文本全半角错误。</explain>
      <paraID>30EE6CB6</paraID>
      <start>4</start>
      <end>5</end>
      <status>ignored</status>
      <modifiedWord/>
      <trackRevisions>false</trackRevisions>
    </reviewItem>
    <reviewItem>
      <errorID>894841f0-0c2d-43e0-89b4-919671102b5a</errorID>
      <errorWord>)</errorWord>
      <group>L1_Format</group>
      <groupName>格式问题</groupName>
      <ability>L2_HalfPunc</ability>
      <abilityName>全半角检查</abilityName>
      <candidateList>
        <item>）</item>
      </candidateList>
      <explain>文本全半角错误。</explain>
      <paraID>30EE6CB6</paraID>
      <start>6</start>
      <end>7</end>
      <status>ignored</status>
      <modifiedWord/>
      <trackRevisions>false</trackRevisions>
    </reviewItem>
    <reviewItem>
      <errorID>176d8700-ea4d-4779-a28f-8169ca98dee6</errorID>
      <errorWord>(</errorWord>
      <group>L1_Format</group>
      <groupName>格式问题</groupName>
      <ability>L2_HalfPunc</ability>
      <abilityName>全半角检查</abilityName>
      <candidateList>
        <item>（</item>
      </candidateList>
      <explain>文本全半角错误。</explain>
      <paraID>3CEC9F0E</paraID>
      <start>4</start>
      <end>5</end>
      <status>ignored</status>
      <modifiedWord/>
      <trackRevisions>false</trackRevisions>
    </reviewItem>
    <reviewItem>
      <errorID>1ff0af50-cf12-448c-a837-5ffba49af15e</errorID>
      <errorWord>)</errorWord>
      <group>L1_Format</group>
      <groupName>格式问题</groupName>
      <ability>L2_HalfPunc</ability>
      <abilityName>全半角检查</abilityName>
      <candidateList>
        <item>）</item>
      </candidateList>
      <explain>文本全半角错误。</explain>
      <paraID>3CEC9F0E</paraID>
      <start>6</start>
      <end>7</end>
      <status>ignored</status>
      <modifiedWord/>
      <trackRevisions>false</trackRevisions>
    </reviewItem>
    <reviewItem>
      <errorID>7b723b84-3ab5-4b5a-a48f-57a4a362bb02</errorID>
      <errorWord>(</errorWord>
      <group>L1_Format</group>
      <groupName>格式问题</groupName>
      <ability>L2_HalfPunc</ability>
      <abilityName>全半角检查</abilityName>
      <candidateList>
        <item>（</item>
      </candidateList>
      <explain>文本全半角错误。</explain>
      <paraID>447520C7</paraID>
      <start>4</start>
      <end>5</end>
      <status>ignored</status>
      <modifiedWord/>
      <trackRevisions>false</trackRevisions>
    </reviewItem>
    <reviewItem>
      <errorID>0e5b21d0-a771-4f0c-8b40-63f6256c4231</errorID>
      <errorWord>)</errorWord>
      <group>L1_Format</group>
      <groupName>格式问题</groupName>
      <ability>L2_HalfPunc</ability>
      <abilityName>全半角检查</abilityName>
      <candidateList>
        <item>）</item>
      </candidateList>
      <explain>文本全半角错误。</explain>
      <paraID>447520C7</paraID>
      <start>6</start>
      <end>7</end>
      <status>ignored</status>
      <modifiedWord/>
      <trackRevisions>false</trackRevisions>
    </reviewItem>
    <reviewItem>
      <errorID>c24dd920-3b90-4508-a27f-6e5d60d9ece3</errorID>
      <errorWord>(</errorWord>
      <group>L1_Format</group>
      <groupName>格式问题</groupName>
      <ability>L2_HalfPunc</ability>
      <abilityName>全半角检查</abilityName>
      <candidateList>
        <item>（</item>
      </candidateList>
      <explain>文本全半角错误。</explain>
      <paraID>7C711690</paraID>
      <start>4</start>
      <end>5</end>
      <status>ignored</status>
      <modifiedWord/>
      <trackRevisions>false</trackRevisions>
    </reviewItem>
    <reviewItem>
      <errorID>b9a401a1-654a-49bf-b89d-40e48c0a5742</errorID>
      <errorWord>)</errorWord>
      <group>L1_Format</group>
      <groupName>格式问题</groupName>
      <ability>L2_HalfPunc</ability>
      <abilityName>全半角检查</abilityName>
      <candidateList>
        <item>）</item>
      </candidateList>
      <explain>文本全半角错误。</explain>
      <paraID>7C711690</paraID>
      <start>6</start>
      <end>7</end>
      <status>ignored</status>
      <modifiedWord/>
      <trackRevisions>false</trackRevisions>
    </reviewItem>
    <reviewItem>
      <errorID>f0d9158a-a3e2-43f9-8f65-95c54bc493ae</errorID>
      <errorWord>(</errorWord>
      <group>L1_Format</group>
      <groupName>格式问题</groupName>
      <ability>L2_HalfPunc</ability>
      <abilityName>全半角检查</abilityName>
      <candidateList>
        <item>（</item>
      </candidateList>
      <explain>文本全半角错误。</explain>
      <paraID>5FF6EF2F</paraID>
      <start>4</start>
      <end>5</end>
      <status>ignored</status>
      <modifiedWord/>
      <trackRevisions>false</trackRevisions>
    </reviewItem>
    <reviewItem>
      <errorID>9099c1e3-aaa2-4fc8-8da6-c3d2b613efa6</errorID>
      <errorWord>)</errorWord>
      <group>L1_Format</group>
      <groupName>格式问题</groupName>
      <ability>L2_HalfPunc</ability>
      <abilityName>全半角检查</abilityName>
      <candidateList>
        <item>）</item>
      </candidateList>
      <explain>文本全半角错误。</explain>
      <paraID>5FF6EF2F</paraID>
      <start>6</start>
      <end>7</end>
      <status>ignored</status>
      <modifiedWord/>
      <trackRevisions>false</trackRevisions>
    </reviewItem>
    <reviewItem>
      <errorID>abf98e77-9149-4205-b45f-3ab10ea16de8</errorID>
      <errorWord>(</errorWord>
      <group>L1_Format</group>
      <groupName>格式问题</groupName>
      <ability>L2_HalfPunc</ability>
      <abilityName>全半角检查</abilityName>
      <candidateList>
        <item>（</item>
      </candidateList>
      <explain>文本全半角错误。</explain>
      <paraID>1E16BB24</paraID>
      <start>4</start>
      <end>5</end>
      <status>ignored</status>
      <modifiedWord/>
      <trackRevisions>false</trackRevisions>
    </reviewItem>
    <reviewItem>
      <errorID>1470b1fd-e296-4eb7-887b-be8e9114efd7</errorID>
      <errorWord>)</errorWord>
      <group>L1_Format</group>
      <groupName>格式问题</groupName>
      <ability>L2_HalfPunc</ability>
      <abilityName>全半角检查</abilityName>
      <candidateList>
        <item>）</item>
      </candidateList>
      <explain>文本全半角错误。</explain>
      <paraID>1E16BB24</paraID>
      <start>6</start>
      <end>7</end>
      <status>ignored</status>
      <modifiedWord/>
      <trackRevisions>false</trackRevisions>
    </reviewItem>
    <reviewItem>
      <errorID>30efc03a-77a1-4a00-9804-cbac3a0f0542</errorID>
      <errorWord>(</errorWord>
      <group>L1_Format</group>
      <groupName>格式问题</groupName>
      <ability>L2_HalfPunc</ability>
      <abilityName>全半角检查</abilityName>
      <candidateList>
        <item>（</item>
      </candidateList>
      <explain>文本全半角错误。</explain>
      <paraID>1DD00ED9</paraID>
      <start>4</start>
      <end>5</end>
      <status>ignored</status>
      <modifiedWord/>
      <trackRevisions>false</trackRevisions>
    </reviewItem>
    <reviewItem>
      <errorID>e22428a6-7d0b-4264-966e-d5acd2e16f99</errorID>
      <errorWord>)</errorWord>
      <group>L1_Format</group>
      <groupName>格式问题</groupName>
      <ability>L2_HalfPunc</ability>
      <abilityName>全半角检查</abilityName>
      <candidateList>
        <item>）</item>
      </candidateList>
      <explain>文本全半角错误。</explain>
      <paraID>1DD00ED9</paraID>
      <start>6</start>
      <end>7</end>
      <status>ignored</status>
      <modifiedWord/>
      <trackRevisions>false</trackRevisions>
    </reviewItem>
    <reviewItem>
      <errorID>974b5061-034d-4a74-8271-8100baf3eac0</errorID>
      <errorWord>(</errorWord>
      <group>L1_Format</group>
      <groupName>格式问题</groupName>
      <ability>L2_HalfPunc</ability>
      <abilityName>全半角检查</abilityName>
      <candidateList>
        <item>（</item>
      </candidateList>
      <explain>文本全半角错误。</explain>
      <paraID>7A882920</paraID>
      <start>4</start>
      <end>5</end>
      <status>ignored</status>
      <modifiedWord/>
      <trackRevisions>false</trackRevisions>
    </reviewItem>
    <reviewItem>
      <errorID>e25492a1-0a98-4911-b654-2d96e483c176</errorID>
      <errorWord>)</errorWord>
      <group>L1_Format</group>
      <groupName>格式问题</groupName>
      <ability>L2_HalfPunc</ability>
      <abilityName>全半角检查</abilityName>
      <candidateList>
        <item>）</item>
      </candidateList>
      <explain>文本全半角错误。</explain>
      <paraID>7A882920</paraID>
      <start>6</start>
      <end>7</end>
      <status>ignored</status>
      <modifiedWord/>
      <trackRevisions>false</trackRevisions>
    </reviewItem>
    <reviewItem>
      <errorID>e43e7f18-5080-4ba4-ab0a-448ac9b0094f</errorID>
      <errorWord>(</errorWord>
      <group>L1_Format</group>
      <groupName>格式问题</groupName>
      <ability>L2_HalfPunc</ability>
      <abilityName>全半角检查</abilityName>
      <candidateList>
        <item>（</item>
      </candidateList>
      <explain>文本全半角错误。</explain>
      <paraID>368A44DA</paraID>
      <start>4</start>
      <end>5</end>
      <status>ignored</status>
      <modifiedWord/>
      <trackRevisions>false</trackRevisions>
    </reviewItem>
    <reviewItem>
      <errorID>d8f954aa-9ca3-4dc7-a799-3cd3012594e7</errorID>
      <errorWord>)</errorWord>
      <group>L1_Format</group>
      <groupName>格式问题</groupName>
      <ability>L2_HalfPunc</ability>
      <abilityName>全半角检查</abilityName>
      <candidateList>
        <item>）</item>
      </candidateList>
      <explain>文本全半角错误。</explain>
      <paraID>368A44DA</paraID>
      <start>6</start>
      <end>7</end>
      <status>ignored</status>
      <modifiedWord/>
      <trackRevisions>false</trackRevisions>
    </reviewItem>
    <reviewItem>
      <errorID>1a08bf53-8d44-488c-9e45-b96726bd8971</errorID>
      <errorWord>(</errorWord>
      <group>L1_Format</group>
      <groupName>格式问题</groupName>
      <ability>L2_HalfPunc</ability>
      <abilityName>全半角检查</abilityName>
      <candidateList>
        <item>（</item>
      </candidateList>
      <explain>文本全半角错误。</explain>
      <paraID>70CB378A</paraID>
      <start>4</start>
      <end>5</end>
      <status>ignored</status>
      <modifiedWord/>
      <trackRevisions>false</trackRevisions>
    </reviewItem>
    <reviewItem>
      <errorID>8c63aba2-d1f3-4165-b501-0df1affbada5</errorID>
      <errorWord>)</errorWord>
      <group>L1_Format</group>
      <groupName>格式问题</groupName>
      <ability>L2_HalfPunc</ability>
      <abilityName>全半角检查</abilityName>
      <candidateList>
        <item>）</item>
      </candidateList>
      <explain>文本全半角错误。</explain>
      <paraID>70CB378A</paraID>
      <start>6</start>
      <end>7</end>
      <status>ignored</status>
      <modifiedWord/>
      <trackRevisions>false</trackRevisions>
    </reviewItem>
    <reviewItem>
      <errorID>ee1e42f5-de43-493a-9366-c890b19f6f16</errorID>
      <errorWord>(</errorWord>
      <group>L1_Format</group>
      <groupName>格式问题</groupName>
      <ability>L2_HalfPunc</ability>
      <abilityName>全半角检查</abilityName>
      <candidateList>
        <item>（</item>
      </candidateList>
      <explain>文本全半角错误。</explain>
      <paraID>52287BF7</paraID>
      <start>4</start>
      <end>5</end>
      <status>ignored</status>
      <modifiedWord/>
      <trackRevisions>false</trackRevisions>
    </reviewItem>
    <reviewItem>
      <errorID>a12aaa45-265b-4e68-8417-c29e46390c6d</errorID>
      <errorWord>)</errorWord>
      <group>L1_Format</group>
      <groupName>格式问题</groupName>
      <ability>L2_HalfPunc</ability>
      <abilityName>全半角检查</abilityName>
      <candidateList>
        <item>）</item>
      </candidateList>
      <explain>文本全半角错误。</explain>
      <paraID>52287BF7</paraID>
      <start>6</start>
      <end>7</end>
      <status>ignored</status>
      <modifiedWord/>
      <trackRevisions>false</trackRevisions>
    </reviewItem>
    <reviewItem>
      <errorID>cbec07f1-774a-4361-8480-ceba8fa9f80f</errorID>
      <errorWord>(</errorWord>
      <group>L1_Format</group>
      <groupName>格式问题</groupName>
      <ability>L2_HalfPunc</ability>
      <abilityName>全半角检查</abilityName>
      <candidateList>
        <item>（</item>
      </candidateList>
      <explain>文本全半角错误。</explain>
      <paraID>36D3A12E</paraID>
      <start>4</start>
      <end>5</end>
      <status>ignored</status>
      <modifiedWord/>
      <trackRevisions>false</trackRevisions>
    </reviewItem>
    <reviewItem>
      <errorID>53cfa9f1-0f07-4e57-9c00-4414aee9052a</errorID>
      <errorWord>)</errorWord>
      <group>L1_Format</group>
      <groupName>格式问题</groupName>
      <ability>L2_HalfPunc</ability>
      <abilityName>全半角检查</abilityName>
      <candidateList>
        <item>）</item>
      </candidateList>
      <explain>文本全半角错误。</explain>
      <paraID>36D3A12E</paraID>
      <start>6</start>
      <end>7</end>
      <status>ignored</status>
      <modifiedWord/>
      <trackRevisions>false</trackRevisions>
    </reviewItem>
    <reviewItem>
      <errorID>538447eb-d98a-4270-9774-6da083598f9f</errorID>
      <errorWord>(</errorWord>
      <group>L1_Format</group>
      <groupName>格式问题</groupName>
      <ability>L2_HalfPunc</ability>
      <abilityName>全半角检查</abilityName>
      <candidateList>
        <item>（</item>
      </candidateList>
      <explain>文本全半角错误。</explain>
      <paraID>4B5589B2</paraID>
      <start>4</start>
      <end>5</end>
      <status>ignored</status>
      <modifiedWord/>
      <trackRevisions>false</trackRevisions>
    </reviewItem>
    <reviewItem>
      <errorID>be13c3c3-d00a-4ee7-82e4-a14a68a3ed32</errorID>
      <errorWord>)</errorWord>
      <group>L1_Format</group>
      <groupName>格式问题</groupName>
      <ability>L2_HalfPunc</ability>
      <abilityName>全半角检查</abilityName>
      <candidateList>
        <item>）</item>
      </candidateList>
      <explain>文本全半角错误。</explain>
      <paraID>4B5589B2</paraID>
      <start>6</start>
      <end>7</end>
      <status>ignored</status>
      <modifiedWord/>
      <trackRevisions>false</trackRevisions>
    </reviewItem>
    <reviewItem>
      <errorID>55d52cef-0891-4df8-872c-9e26cc0c1096</errorID>
      <errorWord>(</errorWord>
      <group>L1_Format</group>
      <groupName>格式问题</groupName>
      <ability>L2_HalfPunc</ability>
      <abilityName>全半角检查</abilityName>
      <candidateList>
        <item>（</item>
      </candidateList>
      <explain>文本全半角错误。</explain>
      <paraID>236C57D7</paraID>
      <start>4</start>
      <end>5</end>
      <status>ignored</status>
      <modifiedWord/>
      <trackRevisions>false</trackRevisions>
    </reviewItem>
    <reviewItem>
      <errorID>58b95adf-0dfb-4c72-8379-43131cab0930</errorID>
      <errorWord>)</errorWord>
      <group>L1_Format</group>
      <groupName>格式问题</groupName>
      <ability>L2_HalfPunc</ability>
      <abilityName>全半角检查</abilityName>
      <candidateList>
        <item>）</item>
      </candidateList>
      <explain>文本全半角错误。</explain>
      <paraID>236C57D7</paraID>
      <start>6</start>
      <end>7</end>
      <status>ignored</status>
      <modifiedWord/>
      <trackRevisions>false</trackRevisions>
    </reviewItem>
    <reviewItem>
      <errorID>3b11fbed-a099-45b5-a1b8-179384772a05</errorID>
      <errorWord>须</errorWord>
      <group>L1_Word</group>
      <groupName>字词问题</groupName>
      <ability>L2_Typo</ability>
      <abilityName>字词错误</abilityName>
      <candidateList>
        <item>需</item>
      </candidateList>
      <explain>存在发音相同字词的误用。</explain>
      <paraID>3896C123</paraID>
      <start>37</start>
      <end>38</end>
      <status>modified</status>
      <modifiedWord>需</modifiedWord>
      <trackRevisions>false</trackRevisions>
    </reviewItem>
    <reviewItem>
      <errorID>fd9879a6-5fee-4175-b13f-f1cafb9aa7f5</errorID>
      <errorWord>;</errorWord>
      <group>L1_Format</group>
      <groupName>格式问题</groupName>
      <ability>L2_HalfPunc</ability>
      <abilityName>全半角检查</abilityName>
      <candidateList>
        <item>；</item>
      </candidateList>
      <explain>文本全半角错误。</explain>
      <paraID>3FF2CEB7</paraID>
      <start>184</start>
      <end>185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906207-8030-4070-b7a4-102c15d8e22b}">
  <ds:schemaRefs/>
</ds:datastoreItem>
</file>

<file path=docProps/app.xml><?xml version="1.0" encoding="utf-8"?>
<Properties xmlns="http://schemas.openxmlformats.org/officeDocument/2006/extended-properties" xmlns:vt="http://schemas.openxmlformats.org/officeDocument/2006/docPropsVTypes">
  <Template>Normal</Template>
  <Pages>35</Pages>
  <Words>2694</Words>
  <Characters>3044</Characters>
  <Lines>252</Lines>
  <Paragraphs>71</Paragraphs>
  <TotalTime>9</TotalTime>
  <ScaleCrop>false</ScaleCrop>
  <LinksUpToDate>false</LinksUpToDate>
  <CharactersWithSpaces>3085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2022-07-11T08:18:00Z</dcterms:created>
  <dc:creator>微软用户</dc:creator>
  <cp:lastModifiedBy>2</cp:lastModifiedBy>
  <cp:lastPrinted>2024-09-06T07:59:00Z</cp:lastPrinted>
  <dcterms:modified xsi:type="dcterms:W3CDTF">2026-03-07T08:56:13Z</dcterms:modified>
  <dc:title>工程类公开招标文件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F4527C8148554268930EBAD68113C352_13</vt:lpwstr>
  </property>
  <property fmtid="{D5CDD505-2E9C-101B-9397-08002B2CF9AE}" pid="4" name="KSOTemplateDocerSaveRecord">
    <vt:lpwstr>eyJoZGlkIjoiNjU1YzFiYTBmYzhkZTkxNjhiZTcwNjI2MTFkZjEwMzEiLCJ1c2VySWQiOiI5NTIwNzI0NzkifQ==</vt:lpwstr>
  </property>
</Properties>
</file>