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3715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广西骨伤医院</w:t>
      </w:r>
    </w:p>
    <w:p w14:paraId="2CE89597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智慧物流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</w:rPr>
        <w:t>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项目需求方案</w:t>
      </w:r>
    </w:p>
    <w:p w14:paraId="29F91377">
      <w:pPr>
        <w:pStyle w:val="6"/>
        <w:spacing w:before="98" w:line="328" w:lineRule="auto"/>
        <w:ind w:right="239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3B92F5C0">
      <w:pPr>
        <w:pStyle w:val="6"/>
        <w:spacing w:before="98" w:line="328" w:lineRule="auto"/>
        <w:ind w:right="239"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根据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国家卫生健康委办公厅发布的《卫生健康行业人工智能应用场景参考指引》以及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《广西数字健康和医学人工智能高质量发展三年行动方案（2025-2027）》等文件有关精神，为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加强医院物资运输效率与安全性，提升物流综合能力，我院拟引入物流机器人应用场景，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推进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我院智慧物流建设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63EA4CBC">
      <w:pPr>
        <w:pStyle w:val="6"/>
        <w:numPr>
          <w:ilvl w:val="0"/>
          <w:numId w:val="1"/>
        </w:numPr>
        <w:spacing w:before="98" w:line="328" w:lineRule="auto"/>
        <w:ind w:left="119" w:right="239"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建设内容</w:t>
      </w:r>
    </w:p>
    <w:p w14:paraId="4B39B710">
      <w:pPr>
        <w:pStyle w:val="6"/>
        <w:numPr>
          <w:ilvl w:val="0"/>
          <w:numId w:val="0"/>
        </w:numPr>
        <w:spacing w:before="98" w:line="328" w:lineRule="auto"/>
        <w:ind w:right="239" w:rightChars="0"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采用先进的机器人及机器人集群调度技术，建设一套机器人自动化柔性机器人物流系统。</w:t>
      </w:r>
    </w:p>
    <w:p w14:paraId="3B307354">
      <w:pPr>
        <w:pStyle w:val="3"/>
        <w:numPr>
          <w:ilvl w:val="0"/>
          <w:numId w:val="0"/>
        </w:numPr>
        <w:bidi w:val="0"/>
        <w:spacing w:beforeLines="0" w:beforeAutospacing="0" w:afterLines="0" w:afterAutospacing="0" w:line="413" w:lineRule="auto"/>
        <w:ind w:left="420" w:leftChars="0"/>
        <w:rPr>
          <w:rFonts w:hint="default"/>
          <w:sz w:val="28"/>
          <w:szCs w:val="28"/>
          <w:lang w:val="en-US" w:eastAsia="zh-CN"/>
        </w:rPr>
      </w:pPr>
      <w:bookmarkStart w:id="0" w:name="_Toc5240"/>
      <w:bookmarkStart w:id="1" w:name="_Toc25977"/>
      <w:bookmarkStart w:id="2" w:name="_Toc21114"/>
      <w:bookmarkStart w:id="3" w:name="_Toc12816"/>
      <w:r>
        <w:rPr>
          <w:rFonts w:hint="eastAsia" w:cstheme="minorBidi"/>
          <w:sz w:val="28"/>
          <w:szCs w:val="28"/>
          <w:lang w:val="en-US" w:eastAsia="zh-CN"/>
        </w:rPr>
        <w:t>（一）内容概述</w:t>
      </w:r>
      <w:bookmarkEnd w:id="0"/>
      <w:bookmarkEnd w:id="1"/>
      <w:bookmarkEnd w:id="2"/>
      <w:bookmarkEnd w:id="3"/>
    </w:p>
    <w:p w14:paraId="48CCB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本方案适用于广西骨伤医院项目系统配置、功能、性能、部署面的技术要求。</w:t>
      </w:r>
    </w:p>
    <w:p w14:paraId="5C9F7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供方应保证所供的机器人系统是软、硬件安全、自主可控、先进、可靠、高质量的产品。</w:t>
      </w:r>
    </w:p>
    <w:p w14:paraId="506F3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供方应提供满足本建设方案质量要求的优质产品及服务。对国家有关安全、环保等强制性标准，必须满足其要求。</w:t>
      </w:r>
    </w:p>
    <w:p w14:paraId="53790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 w14:paraId="0AB44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项目设备需求：4台至少100kg级一体式配送机器人，用于配送全院二级库药品耗材补充、临时医嘱、耗材、急救药品等。</w:t>
      </w:r>
    </w:p>
    <w:p w14:paraId="550DAD08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br w:type="page"/>
      </w:r>
    </w:p>
    <w:p w14:paraId="336D7180">
      <w:pPr>
        <w:pStyle w:val="3"/>
        <w:numPr>
          <w:ilvl w:val="0"/>
          <w:numId w:val="0"/>
        </w:numPr>
        <w:spacing w:beforeLines="0" w:afterLines="0" w:line="413" w:lineRule="auto"/>
        <w:ind w:left="420" w:leftChars="0"/>
        <w:rPr>
          <w:rFonts w:hint="default"/>
          <w:sz w:val="28"/>
          <w:szCs w:val="28"/>
          <w:highlight w:val="none"/>
          <w:lang w:val="en-US" w:eastAsia="zh-CN"/>
        </w:rPr>
      </w:pPr>
      <w:bookmarkStart w:id="4" w:name="_Toc9434"/>
      <w:bookmarkStart w:id="5" w:name="_Toc20676"/>
      <w:bookmarkStart w:id="6" w:name="_Toc3309"/>
      <w:bookmarkStart w:id="7" w:name="_Toc7148"/>
      <w:bookmarkStart w:id="8" w:name="_Toc25589"/>
      <w:bookmarkStart w:id="9" w:name="_Toc27756"/>
      <w:bookmarkStart w:id="10" w:name="_Toc26263"/>
      <w:bookmarkStart w:id="11" w:name="_Toc5396"/>
      <w:r>
        <w:rPr>
          <w:rFonts w:hint="eastAsia" w:cstheme="minorBidi"/>
          <w:sz w:val="28"/>
          <w:szCs w:val="28"/>
          <w:highlight w:val="none"/>
          <w:lang w:val="en-US" w:eastAsia="zh-CN"/>
        </w:rPr>
        <w:t>（二）工作范围</w:t>
      </w:r>
      <w:bookmarkEnd w:id="4"/>
      <w:bookmarkEnd w:id="5"/>
      <w:bookmarkEnd w:id="6"/>
      <w:bookmarkEnd w:id="7"/>
      <w:bookmarkEnd w:id="8"/>
      <w:bookmarkEnd w:id="9"/>
      <w:r>
        <w:rPr>
          <w:rFonts w:hint="eastAsia" w:cstheme="minorBidi"/>
          <w:sz w:val="28"/>
          <w:szCs w:val="28"/>
          <w:highlight w:val="none"/>
          <w:lang w:val="en-US" w:eastAsia="zh-CN"/>
        </w:rPr>
        <w:t>、配送路线、工作流程</w:t>
      </w:r>
      <w:bookmarkEnd w:id="10"/>
      <w:bookmarkEnd w:id="11"/>
    </w:p>
    <w:p w14:paraId="0EC95E17">
      <w:pPr>
        <w:pStyle w:val="4"/>
        <w:numPr>
          <w:ilvl w:val="0"/>
          <w:numId w:val="2"/>
        </w:numPr>
        <w:bidi w:val="0"/>
        <w:spacing w:beforeLines="0" w:beforeAutospacing="0" w:afterLines="0" w:afterAutospacing="0" w:line="413" w:lineRule="auto"/>
        <w:ind w:left="845" w:leftChars="0" w:hanging="425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12" w:name="_Toc6181"/>
      <w:bookmarkStart w:id="13" w:name="_Toc30422"/>
      <w:bookmarkStart w:id="14" w:name="_Toc26623"/>
      <w:bookmarkStart w:id="15" w:name="_Toc29617"/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工作范围</w:t>
      </w:r>
      <w:bookmarkEnd w:id="12"/>
      <w:bookmarkEnd w:id="13"/>
      <w:bookmarkEnd w:id="14"/>
      <w:bookmarkEnd w:id="15"/>
    </w:p>
    <w:p w14:paraId="005E7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于项目现场配置一套完整的机器人配送系统，包括机器人本体，机器人集群调度系统，机器人医疗配送任务管理系统，机器人操作终端，机器人到达通知铃，现场场地、电梯及防火门改造。</w:t>
      </w:r>
    </w:p>
    <w:p w14:paraId="2B11E5B0">
      <w:pPr>
        <w:pStyle w:val="4"/>
        <w:numPr>
          <w:ilvl w:val="0"/>
          <w:numId w:val="2"/>
        </w:numPr>
        <w:bidi w:val="0"/>
        <w:spacing w:beforeLines="0" w:beforeAutospacing="0" w:afterLines="0" w:afterAutospacing="0" w:line="413" w:lineRule="auto"/>
        <w:ind w:left="845" w:leftChars="0" w:hanging="425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16" w:name="_Toc25789"/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配送出发地及目的地清单</w:t>
      </w:r>
      <w:bookmarkEnd w:id="16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818"/>
        <w:gridCol w:w="4751"/>
      </w:tblGrid>
      <w:tr w14:paraId="733E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3" w:type="dxa"/>
          </w:tcPr>
          <w:p w14:paraId="5D979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818" w:type="dxa"/>
          </w:tcPr>
          <w:p w14:paraId="63EB2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出发地</w:t>
            </w:r>
          </w:p>
        </w:tc>
        <w:tc>
          <w:tcPr>
            <w:tcW w:w="4751" w:type="dxa"/>
          </w:tcPr>
          <w:p w14:paraId="2BF50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目的地</w:t>
            </w:r>
          </w:p>
        </w:tc>
      </w:tr>
      <w:tr w14:paraId="54B3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3" w:type="dxa"/>
          </w:tcPr>
          <w:p w14:paraId="0E100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818" w:type="dxa"/>
          </w:tcPr>
          <w:p w14:paraId="05259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0160F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1F急诊抢救室</w:t>
            </w:r>
          </w:p>
        </w:tc>
      </w:tr>
      <w:tr w14:paraId="36CE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241B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818" w:type="dxa"/>
            <w:vAlign w:val="top"/>
          </w:tcPr>
          <w:p w14:paraId="03263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51DE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2F中医经典病房、急诊科病区</w:t>
            </w:r>
          </w:p>
        </w:tc>
      </w:tr>
      <w:tr w14:paraId="35C7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42B85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818" w:type="dxa"/>
            <w:vAlign w:val="top"/>
          </w:tcPr>
          <w:p w14:paraId="6EEB7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71967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3F康复科病区</w:t>
            </w:r>
          </w:p>
        </w:tc>
      </w:tr>
      <w:tr w14:paraId="669D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1125A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818" w:type="dxa"/>
            <w:vAlign w:val="top"/>
          </w:tcPr>
          <w:p w14:paraId="45F3A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1B46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4F四肢创伤科病区</w:t>
            </w:r>
          </w:p>
        </w:tc>
      </w:tr>
      <w:tr w14:paraId="30B4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30166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818" w:type="dxa"/>
            <w:vAlign w:val="top"/>
          </w:tcPr>
          <w:p w14:paraId="24FC6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1601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5F关节科病区</w:t>
            </w:r>
          </w:p>
        </w:tc>
      </w:tr>
      <w:tr w14:paraId="472A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264B9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818" w:type="dxa"/>
            <w:vAlign w:val="top"/>
          </w:tcPr>
          <w:p w14:paraId="346AF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616F1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6F脊柱骨病科病区</w:t>
            </w:r>
          </w:p>
        </w:tc>
      </w:tr>
      <w:tr w14:paraId="5F5D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51EAF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818" w:type="dxa"/>
            <w:vAlign w:val="top"/>
          </w:tcPr>
          <w:p w14:paraId="3AACF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1F中心药房外发货点</w:t>
            </w:r>
          </w:p>
        </w:tc>
        <w:tc>
          <w:tcPr>
            <w:tcW w:w="4751" w:type="dxa"/>
          </w:tcPr>
          <w:p w14:paraId="0AE82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7F内科老年病科病区</w:t>
            </w:r>
          </w:p>
        </w:tc>
      </w:tr>
    </w:tbl>
    <w:p w14:paraId="15CE4EF2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</w:t>
      </w:r>
    </w:p>
    <w:p w14:paraId="3026D53E">
      <w:pPr>
        <w:pStyle w:val="4"/>
        <w:numPr>
          <w:ilvl w:val="0"/>
          <w:numId w:val="2"/>
        </w:numPr>
        <w:bidi w:val="0"/>
        <w:spacing w:beforeLines="0" w:beforeAutospacing="0" w:afterLines="0" w:afterAutospacing="0" w:line="413" w:lineRule="auto"/>
        <w:ind w:left="845" w:leftChars="0" w:hanging="425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bookmarkStart w:id="17" w:name="_Toc4567"/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配送路线</w:t>
      </w:r>
      <w:bookmarkEnd w:id="17"/>
    </w:p>
    <w:p w14:paraId="70E05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一层急诊抢救室</w:t>
      </w:r>
    </w:p>
    <w:p w14:paraId="65022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机器人由一层中心药房门外待命点出发，经过一层门诊客梯或医护专梯前往二层，通过二层连廊及二层病区电梯前往一层抢救室完成配送。</w:t>
      </w:r>
    </w:p>
    <w:p w14:paraId="525EC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二层病区</w:t>
      </w:r>
    </w:p>
    <w:p w14:paraId="7F9EE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机器人由一层中心药房门外待命点出发，经过一层门诊客梯或医护专梯前往二层，前往二层病区护士站外完成配送。</w:t>
      </w:r>
    </w:p>
    <w:p w14:paraId="1547E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三层病区</w:t>
      </w:r>
    </w:p>
    <w:p w14:paraId="7E952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机器人由一层中心药房门外待命点出发，经过一层门诊客梯或医护专梯前往三层病区护士站外完成配送。</w:t>
      </w:r>
    </w:p>
    <w:p w14:paraId="721A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四层病区</w:t>
      </w:r>
    </w:p>
    <w:p w14:paraId="19AB0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机器人由一层中心药房门外待命点出发，经过一层门诊客梯或医护专梯前往四层病区护士站外完成配送。</w:t>
      </w:r>
    </w:p>
    <w:p w14:paraId="6239B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五层病区</w:t>
      </w:r>
    </w:p>
    <w:p w14:paraId="2381A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机器人由一层中心药房门外待命点出发，经过一层门诊客梯或医护专梯前往五层病区护士站外完成配送。</w:t>
      </w:r>
    </w:p>
    <w:p w14:paraId="34EB9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六层病区</w:t>
      </w:r>
    </w:p>
    <w:p w14:paraId="3792B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机器人由一层中心药房门外待命点出发，经过一层门诊客梯或医护专梯前往六层病区护士站外完成配送。</w:t>
      </w:r>
    </w:p>
    <w:p w14:paraId="568C3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七层病区</w:t>
      </w:r>
    </w:p>
    <w:p w14:paraId="5C290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机器人由一层中心药房门外待命点出发，经过一层门诊客梯或医护专梯前往七层病区护士站外完成配送。</w:t>
      </w:r>
    </w:p>
    <w:p w14:paraId="2D0F6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</w:p>
    <w:p w14:paraId="7FEA3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注：由于项目现场医护专用电梯暂未完成改造，机器人乘坐医护专用电梯线路及门诊客梯线路暂无法合理规划，后续将结合医护专梯改造进度及现场实际情况调整机器人乘梯情况。</w:t>
      </w:r>
    </w:p>
    <w:p w14:paraId="5E62824E">
      <w:pPr>
        <w:pStyle w:val="3"/>
        <w:numPr>
          <w:ilvl w:val="0"/>
          <w:numId w:val="0"/>
        </w:numPr>
        <w:bidi w:val="0"/>
        <w:spacing w:beforeLines="0" w:beforeAutospacing="0" w:afterLines="0" w:afterAutospacing="0" w:line="413" w:lineRule="auto"/>
        <w:ind w:left="420" w:leftChars="0"/>
        <w:rPr>
          <w:rFonts w:hint="default" w:cstheme="minorBidi"/>
          <w:sz w:val="28"/>
          <w:szCs w:val="28"/>
          <w:lang w:val="en-US" w:eastAsia="zh-CN"/>
        </w:rPr>
      </w:pPr>
      <w:bookmarkStart w:id="18" w:name="_Toc8479"/>
      <w:r>
        <w:rPr>
          <w:rFonts w:hint="eastAsia" w:cstheme="minorBidi"/>
          <w:sz w:val="28"/>
          <w:szCs w:val="28"/>
          <w:lang w:val="en-US" w:eastAsia="zh-CN"/>
        </w:rPr>
        <w:t>（三）机器人二次开发接口</w:t>
      </w:r>
      <w:bookmarkEnd w:id="18"/>
    </w:p>
    <w:p w14:paraId="1D4ED71E">
      <w:pPr>
        <w:pStyle w:val="6"/>
        <w:numPr>
          <w:ilvl w:val="0"/>
          <w:numId w:val="0"/>
        </w:numPr>
        <w:spacing w:before="98" w:line="328" w:lineRule="auto"/>
        <w:ind w:right="239" w:rightChars="0"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机器人系统需提供二次开发接口对接，以便实现与HIS系统、LIS系统，SPD等系统联动，提前为后续系统扩容提供基础条件。</w:t>
      </w:r>
    </w:p>
    <w:p w14:paraId="3D700363">
      <w:pPr>
        <w:pStyle w:val="2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9" w:name="_Toc28913"/>
    </w:p>
    <w:p w14:paraId="49039869">
      <w:pPr>
        <w:pStyle w:val="2"/>
        <w:numPr>
          <w:ilvl w:val="0"/>
          <w:numId w:val="0"/>
        </w:numPr>
        <w:bidi w:val="0"/>
        <w:spacing w:before="340" w:beforeLines="0" w:beforeAutospacing="0" w:after="330" w:afterLines="0" w:afterAutospacing="0" w:line="576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二、系统建设清单</w:t>
      </w:r>
      <w:bookmarkEnd w:id="19"/>
    </w:p>
    <w:p w14:paraId="4D3ACFEB">
      <w:pPr>
        <w:rPr>
          <w:rFonts w:hint="default"/>
          <w:lang w:val="en-US" w:eastAsia="zh-CN"/>
        </w:rPr>
      </w:pPr>
    </w:p>
    <w:tbl>
      <w:tblPr>
        <w:tblStyle w:val="10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2264"/>
        <w:gridCol w:w="1704"/>
        <w:gridCol w:w="920"/>
        <w:gridCol w:w="2910"/>
      </w:tblGrid>
      <w:tr w14:paraId="4648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09CB43EE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2264" w:type="dxa"/>
          </w:tcPr>
          <w:p w14:paraId="3DDE51CE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 w14:paraId="139768FC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920" w:type="dxa"/>
          </w:tcPr>
          <w:p w14:paraId="6425FC23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数量</w:t>
            </w:r>
          </w:p>
        </w:tc>
        <w:tc>
          <w:tcPr>
            <w:tcW w:w="2910" w:type="dxa"/>
          </w:tcPr>
          <w:p w14:paraId="34E70EDA"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vertAlign w:val="baseline"/>
                <w:lang w:val="en-US" w:eastAsia="zh-CN"/>
              </w:rPr>
              <w:t>安装点位</w:t>
            </w:r>
          </w:p>
        </w:tc>
      </w:tr>
      <w:tr w14:paraId="3C5C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51C30BA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264" w:type="dxa"/>
            <w:vAlign w:val="center"/>
          </w:tcPr>
          <w:p w14:paraId="0A8560C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机器人设备</w:t>
            </w:r>
          </w:p>
        </w:tc>
        <w:tc>
          <w:tcPr>
            <w:tcW w:w="1704" w:type="dxa"/>
            <w:vAlign w:val="center"/>
          </w:tcPr>
          <w:p w14:paraId="01F192D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100kg级别双柜门</w:t>
            </w:r>
          </w:p>
        </w:tc>
        <w:tc>
          <w:tcPr>
            <w:tcW w:w="920" w:type="dxa"/>
            <w:vAlign w:val="center"/>
          </w:tcPr>
          <w:p w14:paraId="0FB611E9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910" w:type="dxa"/>
            <w:vAlign w:val="center"/>
          </w:tcPr>
          <w:p w14:paraId="0BB07B4E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一层中心药房外</w:t>
            </w:r>
          </w:p>
        </w:tc>
      </w:tr>
      <w:tr w14:paraId="71EE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615D41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264" w:type="dxa"/>
            <w:vAlign w:val="center"/>
          </w:tcPr>
          <w:p w14:paraId="558EDF2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机器人充电桩</w:t>
            </w:r>
          </w:p>
        </w:tc>
        <w:tc>
          <w:tcPr>
            <w:tcW w:w="1704" w:type="dxa"/>
            <w:vAlign w:val="center"/>
          </w:tcPr>
          <w:p w14:paraId="0AF8FF0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1EC6696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DF10439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一层中心药房外</w:t>
            </w:r>
          </w:p>
        </w:tc>
      </w:tr>
      <w:tr w14:paraId="0A6F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50F195E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264" w:type="dxa"/>
            <w:vAlign w:val="center"/>
          </w:tcPr>
          <w:p w14:paraId="1561688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机器人梯控系统</w:t>
            </w:r>
          </w:p>
        </w:tc>
        <w:tc>
          <w:tcPr>
            <w:tcW w:w="1704" w:type="dxa"/>
            <w:vAlign w:val="center"/>
          </w:tcPr>
          <w:p w14:paraId="247F4CC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1B57176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910" w:type="dxa"/>
            <w:vAlign w:val="center"/>
          </w:tcPr>
          <w:p w14:paraId="7F3A9437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医护专梯</w:t>
            </w:r>
          </w:p>
          <w:p w14:paraId="4521B3FA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门诊客梯</w:t>
            </w:r>
          </w:p>
          <w:p w14:paraId="5CAE3993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住院病房客梯</w:t>
            </w:r>
          </w:p>
        </w:tc>
      </w:tr>
      <w:tr w14:paraId="0CC0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707690F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264" w:type="dxa"/>
            <w:vAlign w:val="center"/>
          </w:tcPr>
          <w:p w14:paraId="19453EA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机器人运行基础配套建设（如：常闭防火门改造、地面平整、4G/5G相关网络支持等）</w:t>
            </w:r>
          </w:p>
        </w:tc>
        <w:tc>
          <w:tcPr>
            <w:tcW w:w="1704" w:type="dxa"/>
            <w:vAlign w:val="center"/>
          </w:tcPr>
          <w:p w14:paraId="299FF22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7E04D0B7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根据实际情况定。</w:t>
            </w:r>
          </w:p>
        </w:tc>
        <w:tc>
          <w:tcPr>
            <w:tcW w:w="2910" w:type="dxa"/>
            <w:vAlign w:val="center"/>
          </w:tcPr>
          <w:p w14:paraId="6CA1F7F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483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03A7FF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264" w:type="dxa"/>
            <w:vAlign w:val="center"/>
          </w:tcPr>
          <w:p w14:paraId="00882EE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机器人操作终端(PAD)</w:t>
            </w:r>
          </w:p>
        </w:tc>
        <w:tc>
          <w:tcPr>
            <w:tcW w:w="1704" w:type="dxa"/>
            <w:vAlign w:val="center"/>
          </w:tcPr>
          <w:p w14:paraId="3795E37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42D6569A">
            <w:pPr>
              <w:tabs>
                <w:tab w:val="left" w:pos="373"/>
              </w:tabs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ab/>
            </w:r>
          </w:p>
        </w:tc>
        <w:tc>
          <w:tcPr>
            <w:tcW w:w="2910" w:type="dxa"/>
            <w:vAlign w:val="center"/>
          </w:tcPr>
          <w:p w14:paraId="3A805322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中心药房及第三方发件人员</w:t>
            </w:r>
          </w:p>
        </w:tc>
      </w:tr>
      <w:tr w14:paraId="53DE5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229EAE7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264" w:type="dxa"/>
            <w:vAlign w:val="center"/>
          </w:tcPr>
          <w:p w14:paraId="407A4110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智能门铃</w:t>
            </w:r>
          </w:p>
        </w:tc>
        <w:tc>
          <w:tcPr>
            <w:tcW w:w="1704" w:type="dxa"/>
            <w:vAlign w:val="center"/>
          </w:tcPr>
          <w:p w14:paraId="42D32B4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008F687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910" w:type="dxa"/>
            <w:vAlign w:val="center"/>
          </w:tcPr>
          <w:p w14:paraId="056F64A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中心药房</w:t>
            </w:r>
          </w:p>
          <w:p w14:paraId="6233B268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2-7层所有病区护士站</w:t>
            </w:r>
          </w:p>
          <w:p w14:paraId="077D1275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1层急诊抢救室</w:t>
            </w:r>
          </w:p>
        </w:tc>
      </w:tr>
      <w:tr w14:paraId="50C1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vAlign w:val="center"/>
          </w:tcPr>
          <w:p w14:paraId="18AB06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264" w:type="dxa"/>
            <w:vAlign w:val="center"/>
          </w:tcPr>
          <w:p w14:paraId="1901A85B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云端机器人集群调度系统</w:t>
            </w:r>
          </w:p>
        </w:tc>
        <w:tc>
          <w:tcPr>
            <w:tcW w:w="1704" w:type="dxa"/>
            <w:vAlign w:val="center"/>
          </w:tcPr>
          <w:p w14:paraId="582469A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</w:t>
            </w:r>
          </w:p>
        </w:tc>
        <w:tc>
          <w:tcPr>
            <w:tcW w:w="920" w:type="dxa"/>
            <w:vAlign w:val="center"/>
          </w:tcPr>
          <w:p w14:paraId="6DB359B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910" w:type="dxa"/>
            <w:vAlign w:val="center"/>
          </w:tcPr>
          <w:p w14:paraId="053238A4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供应商须具备机器人调度</w:t>
            </w:r>
            <w:bookmarkStart w:id="20" w:name="_GoBack"/>
            <w:bookmarkEnd w:id="20"/>
            <w:r>
              <w:rPr>
                <w:rFonts w:hint="eastAsia"/>
                <w:vertAlign w:val="baseline"/>
                <w:lang w:val="en-US" w:eastAsia="zh-CN"/>
              </w:rPr>
              <w:t>相关专利。</w:t>
            </w:r>
          </w:p>
        </w:tc>
      </w:tr>
    </w:tbl>
    <w:p w14:paraId="6A957FA3">
      <w:pPr>
        <w:rPr>
          <w:rFonts w:hint="default"/>
          <w:lang w:val="en-US" w:eastAsia="zh-CN"/>
        </w:rPr>
      </w:pPr>
    </w:p>
    <w:p w14:paraId="3BF5D2AD">
      <w:pPr>
        <w:jc w:val="left"/>
        <w:rPr>
          <w:rFonts w:hint="default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</w:p>
    <w:sectPr>
      <w:pgSz w:w="11906" w:h="16838"/>
      <w:pgMar w:top="1984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D7DA3"/>
    <w:multiLevelType w:val="multilevel"/>
    <w:tmpl w:val="998D7DA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  <w:sz w:val="24"/>
        <w:szCs w:val="24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AB72ECE4"/>
    <w:multiLevelType w:val="singleLevel"/>
    <w:tmpl w:val="AB72EC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MDE0MWRiYmFkZmExYzc5YTI4NzNlOTk1MzUzZTgifQ=="/>
  </w:docVars>
  <w:rsids>
    <w:rsidRoot w:val="00000000"/>
    <w:rsid w:val="00137D25"/>
    <w:rsid w:val="03605413"/>
    <w:rsid w:val="092C75D5"/>
    <w:rsid w:val="093B2925"/>
    <w:rsid w:val="0A8F3F52"/>
    <w:rsid w:val="0B76395D"/>
    <w:rsid w:val="0F730D53"/>
    <w:rsid w:val="14B43F9D"/>
    <w:rsid w:val="16E87EB2"/>
    <w:rsid w:val="19777A51"/>
    <w:rsid w:val="1F492760"/>
    <w:rsid w:val="258B2D19"/>
    <w:rsid w:val="270B5F28"/>
    <w:rsid w:val="2DE631D9"/>
    <w:rsid w:val="37552759"/>
    <w:rsid w:val="3D8923ED"/>
    <w:rsid w:val="43E16670"/>
    <w:rsid w:val="47A04D73"/>
    <w:rsid w:val="48872E05"/>
    <w:rsid w:val="48B87DAA"/>
    <w:rsid w:val="4C60482B"/>
    <w:rsid w:val="4D9673EC"/>
    <w:rsid w:val="4D9C0FDC"/>
    <w:rsid w:val="52607115"/>
    <w:rsid w:val="52C95592"/>
    <w:rsid w:val="52ED5B29"/>
    <w:rsid w:val="541D74A6"/>
    <w:rsid w:val="595471DB"/>
    <w:rsid w:val="5BF705DC"/>
    <w:rsid w:val="5D7E19C5"/>
    <w:rsid w:val="63DD4261"/>
    <w:rsid w:val="670047E9"/>
    <w:rsid w:val="69BC74FD"/>
    <w:rsid w:val="6BDD0BDB"/>
    <w:rsid w:val="6E604013"/>
    <w:rsid w:val="72E81B5C"/>
    <w:rsid w:val="764C06A2"/>
    <w:rsid w:val="7A69004B"/>
    <w:rsid w:val="7B970105"/>
    <w:rsid w:val="7D55385B"/>
    <w:rsid w:val="7D9E7EFC"/>
    <w:rsid w:val="7E3A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 w:line="578" w:lineRule="auto"/>
      <w:outlineLvl w:val="0"/>
    </w:pPr>
    <w:rPr>
      <w:rFonts w:ascii="宋体" w:hAnsi="宋体" w:eastAsia="宋体" w:cs="Times New Roman"/>
      <w:b/>
      <w:color w:val="000000"/>
      <w:kern w:val="44"/>
      <w:sz w:val="44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color w:val="000000"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宋体" w:hAnsi="宋体" w:eastAsia="宋体" w:cs="Times New Roman"/>
      <w:b/>
      <w:color w:val="000000"/>
      <w:szCs w:val="2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1366</Words>
  <Characters>1412</Characters>
  <Lines>0</Lines>
  <Paragraphs>0</Paragraphs>
  <TotalTime>12</TotalTime>
  <ScaleCrop>false</ScaleCrop>
  <LinksUpToDate>false</LinksUpToDate>
  <CharactersWithSpaces>1421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2025-07-10T01:52:00Z</dcterms:created>
  <dc:creator>Administrator</dc:creator>
  <cp:lastModifiedBy>紫水晶</cp:lastModifiedBy>
  <dcterms:modified xsi:type="dcterms:W3CDTF">2026-01-16T02:11:20Z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eyJoZGlkIjoiOWYyMTFmNzc0MWRjNjZlYzgxYmUzODhlYTljZDA5NzkiLCJ1c2VySWQiOiI5NzI4ODYyMzkifQ==</vt:lpwstr>
  </property>
  <property fmtid="{D5CDD505-2E9C-101B-9397-08002B2CF9AE}" pid="4" name="ICV">
    <vt:lpwstr>9FEF3420E9334D0C80B8E4C0EC8C8F65_13</vt:lpwstr>
  </property>
</Properties>
</file>