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3715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  <w:t>广西骨伤医院</w:t>
      </w:r>
    </w:p>
    <w:p w14:paraId="2CE89597"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  <w:t>智慧物流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</w:rPr>
        <w:t>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  <w:t>项目需求方案</w:t>
      </w:r>
    </w:p>
    <w:p w14:paraId="29F91377">
      <w:pPr>
        <w:pStyle w:val="6"/>
        <w:spacing w:before="98" w:line="328" w:lineRule="auto"/>
        <w:ind w:right="239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3B92F5C0">
      <w:pPr>
        <w:pStyle w:val="6"/>
        <w:spacing w:before="98" w:line="328" w:lineRule="auto"/>
        <w:ind w:right="239"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根据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国家卫生健康委办公厅发布的《卫生健康行业人工智能应用场景参考指引》以及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《广西数字健康和医学人工智能高质量发展三年行动方案（2025-2027）》等文件有关精神，为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加强医院物资运输效率与安全性，提升物流综合能力，我院拟引入物流机器人应用场景，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推进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我院智慧物流建设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63EA4CBC">
      <w:pPr>
        <w:pStyle w:val="6"/>
        <w:numPr>
          <w:ilvl w:val="0"/>
          <w:numId w:val="1"/>
        </w:numPr>
        <w:spacing w:before="98" w:line="328" w:lineRule="auto"/>
        <w:ind w:left="119" w:right="239"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建设内容</w:t>
      </w:r>
    </w:p>
    <w:p w14:paraId="4B39B710">
      <w:pPr>
        <w:pStyle w:val="6"/>
        <w:numPr>
          <w:ilvl w:val="0"/>
          <w:numId w:val="0"/>
        </w:numPr>
        <w:spacing w:before="98" w:line="328" w:lineRule="auto"/>
        <w:ind w:right="239" w:rightChars="0"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采用先进的机器人及机器人集群调度技术，建设一套机器人自动化柔性机器人物流系统。</w:t>
      </w:r>
    </w:p>
    <w:p w14:paraId="3B307354">
      <w:pPr>
        <w:pStyle w:val="3"/>
        <w:numPr>
          <w:ilvl w:val="0"/>
          <w:numId w:val="0"/>
        </w:numPr>
        <w:bidi w:val="0"/>
        <w:spacing w:beforeLines="0" w:beforeAutospacing="0" w:afterLines="0" w:afterAutospacing="0" w:line="413" w:lineRule="auto"/>
        <w:ind w:left="420" w:leftChars="0"/>
        <w:rPr>
          <w:rFonts w:hint="default"/>
          <w:sz w:val="28"/>
          <w:szCs w:val="28"/>
          <w:lang w:val="en-US" w:eastAsia="zh-CN"/>
        </w:rPr>
      </w:pPr>
      <w:bookmarkStart w:id="0" w:name="_Toc12816"/>
      <w:bookmarkStart w:id="1" w:name="_Toc5240"/>
      <w:bookmarkStart w:id="2" w:name="_Toc21114"/>
      <w:bookmarkStart w:id="3" w:name="_Toc25977"/>
      <w:r>
        <w:rPr>
          <w:rFonts w:hint="eastAsia" w:cstheme="minorBidi"/>
          <w:sz w:val="28"/>
          <w:szCs w:val="28"/>
          <w:lang w:val="en-US" w:eastAsia="zh-CN"/>
        </w:rPr>
        <w:t>（一）内容概述</w:t>
      </w:r>
      <w:bookmarkEnd w:id="0"/>
      <w:bookmarkEnd w:id="1"/>
      <w:bookmarkEnd w:id="2"/>
      <w:bookmarkEnd w:id="3"/>
    </w:p>
    <w:p w14:paraId="48CCB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本方案适用于广西骨伤医院项目系统配置、功能、性能、部署面的技术要求。</w:t>
      </w:r>
    </w:p>
    <w:p w14:paraId="5C9F7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供方应保证所供的机器人系统是软、硬件安全、自主可控、先进、可靠、高质量的产品。</w:t>
      </w:r>
    </w:p>
    <w:p w14:paraId="506F3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供方应提供满足本建设方案质量要求的优质产品及服务。对国家有关安全、环保等强制性标准，必须满足其要求。</w:t>
      </w:r>
    </w:p>
    <w:p w14:paraId="53790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 w14:paraId="0AB44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项目设备需求：4台至少100kg级一体式配送机器人，用于配送全院二级库药品耗材补充、临时医嘱、耗材、急救药品等。</w:t>
      </w:r>
    </w:p>
    <w:p w14:paraId="550DAD08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br w:type="page"/>
      </w:r>
    </w:p>
    <w:p w14:paraId="336D7180">
      <w:pPr>
        <w:pStyle w:val="3"/>
        <w:numPr>
          <w:ilvl w:val="0"/>
          <w:numId w:val="0"/>
        </w:numPr>
        <w:spacing w:beforeLines="0" w:afterLines="0" w:line="413" w:lineRule="auto"/>
        <w:ind w:left="420" w:leftChars="0"/>
        <w:rPr>
          <w:rFonts w:hint="default"/>
          <w:sz w:val="28"/>
          <w:szCs w:val="28"/>
          <w:highlight w:val="none"/>
          <w:lang w:val="en-US" w:eastAsia="zh-CN"/>
        </w:rPr>
      </w:pPr>
      <w:bookmarkStart w:id="4" w:name="_Toc7148"/>
      <w:bookmarkStart w:id="5" w:name="_Toc25589"/>
      <w:bookmarkStart w:id="6" w:name="_Toc20676"/>
      <w:bookmarkStart w:id="7" w:name="_Toc27756"/>
      <w:bookmarkStart w:id="8" w:name="_Toc9434"/>
      <w:bookmarkStart w:id="9" w:name="_Toc3309"/>
      <w:bookmarkStart w:id="10" w:name="_Toc26263"/>
      <w:bookmarkStart w:id="11" w:name="_Toc5396"/>
      <w:r>
        <w:rPr>
          <w:rFonts w:hint="eastAsia" w:cstheme="minorBidi"/>
          <w:sz w:val="28"/>
          <w:szCs w:val="28"/>
          <w:highlight w:val="none"/>
          <w:lang w:val="en-US" w:eastAsia="zh-CN"/>
        </w:rPr>
        <w:t>（二）工作范围</w:t>
      </w:r>
      <w:bookmarkEnd w:id="4"/>
      <w:bookmarkEnd w:id="5"/>
      <w:bookmarkEnd w:id="6"/>
      <w:bookmarkEnd w:id="7"/>
      <w:bookmarkEnd w:id="8"/>
      <w:bookmarkEnd w:id="9"/>
      <w:r>
        <w:rPr>
          <w:rFonts w:hint="eastAsia" w:cstheme="minorBidi"/>
          <w:sz w:val="28"/>
          <w:szCs w:val="28"/>
          <w:highlight w:val="none"/>
          <w:lang w:val="en-US" w:eastAsia="zh-CN"/>
        </w:rPr>
        <w:t>、配送路线、工作流程</w:t>
      </w:r>
      <w:bookmarkEnd w:id="10"/>
      <w:bookmarkEnd w:id="11"/>
    </w:p>
    <w:p w14:paraId="0EC95E17">
      <w:pPr>
        <w:pStyle w:val="4"/>
        <w:numPr>
          <w:ilvl w:val="0"/>
          <w:numId w:val="2"/>
        </w:numPr>
        <w:bidi w:val="0"/>
        <w:spacing w:beforeLines="0" w:beforeAutospacing="0" w:afterLines="0" w:afterAutospacing="0" w:line="413" w:lineRule="auto"/>
        <w:ind w:left="845" w:leftChars="0" w:hanging="425"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bookmarkStart w:id="12" w:name="_Toc6181"/>
      <w:bookmarkStart w:id="13" w:name="_Toc30422"/>
      <w:bookmarkStart w:id="14" w:name="_Toc29617"/>
      <w:bookmarkStart w:id="15" w:name="_Toc26623"/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工作范围</w:t>
      </w:r>
      <w:bookmarkEnd w:id="12"/>
      <w:bookmarkEnd w:id="13"/>
      <w:bookmarkEnd w:id="14"/>
      <w:bookmarkEnd w:id="15"/>
    </w:p>
    <w:p w14:paraId="005E7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于项目现场配置一套完整的机器人配送系统，包括机器人本体，机器人集群调度系统，机器人医疗配送任务管理系统，机器人操作终端，机器人到达通知铃，现场场地、电梯及防火门改造。</w:t>
      </w:r>
    </w:p>
    <w:p w14:paraId="2B11E5B0">
      <w:pPr>
        <w:pStyle w:val="4"/>
        <w:numPr>
          <w:ilvl w:val="0"/>
          <w:numId w:val="2"/>
        </w:numPr>
        <w:bidi w:val="0"/>
        <w:spacing w:beforeLines="0" w:beforeAutospacing="0" w:afterLines="0" w:afterAutospacing="0" w:line="413" w:lineRule="auto"/>
        <w:ind w:left="845" w:leftChars="0" w:hanging="425"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bookmarkStart w:id="16" w:name="_Toc25789"/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配送出发地及目的地清单</w:t>
      </w:r>
      <w:bookmarkEnd w:id="16"/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2818"/>
        <w:gridCol w:w="4751"/>
      </w:tblGrid>
      <w:tr w14:paraId="733E0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5D979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818" w:type="dxa"/>
          </w:tcPr>
          <w:p w14:paraId="63EB2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出发地</w:t>
            </w:r>
          </w:p>
        </w:tc>
        <w:tc>
          <w:tcPr>
            <w:tcW w:w="4751" w:type="dxa"/>
          </w:tcPr>
          <w:p w14:paraId="2BF50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目的地</w:t>
            </w:r>
          </w:p>
        </w:tc>
      </w:tr>
      <w:tr w14:paraId="54B3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0E100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818" w:type="dxa"/>
          </w:tcPr>
          <w:p w14:paraId="05259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0160F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1F急诊抢救室</w:t>
            </w:r>
          </w:p>
        </w:tc>
      </w:tr>
      <w:tr w14:paraId="36CE3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241B4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818" w:type="dxa"/>
            <w:vAlign w:val="top"/>
          </w:tcPr>
          <w:p w14:paraId="03263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51DE2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2F中医经典病房、急诊科病区</w:t>
            </w:r>
          </w:p>
        </w:tc>
      </w:tr>
      <w:tr w14:paraId="35C71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42B85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818" w:type="dxa"/>
            <w:vAlign w:val="top"/>
          </w:tcPr>
          <w:p w14:paraId="6EEB7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71967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3F康复科病区</w:t>
            </w:r>
          </w:p>
        </w:tc>
      </w:tr>
      <w:tr w14:paraId="669DC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1125A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818" w:type="dxa"/>
            <w:vAlign w:val="top"/>
          </w:tcPr>
          <w:p w14:paraId="45F3A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1B467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4F四肢创伤科病区</w:t>
            </w:r>
          </w:p>
        </w:tc>
      </w:tr>
      <w:tr w14:paraId="30B4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30166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818" w:type="dxa"/>
            <w:vAlign w:val="top"/>
          </w:tcPr>
          <w:p w14:paraId="24FC6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16016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5F关节科病区</w:t>
            </w:r>
          </w:p>
        </w:tc>
      </w:tr>
      <w:tr w14:paraId="472A2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264B9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818" w:type="dxa"/>
            <w:vAlign w:val="top"/>
          </w:tcPr>
          <w:p w14:paraId="346AF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616F1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6F脊柱骨病科病区</w:t>
            </w:r>
          </w:p>
        </w:tc>
      </w:tr>
      <w:tr w14:paraId="5F5D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51EAF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818" w:type="dxa"/>
            <w:vAlign w:val="top"/>
          </w:tcPr>
          <w:p w14:paraId="3AACF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0AE82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7F内科老年病科病区</w:t>
            </w:r>
          </w:p>
        </w:tc>
      </w:tr>
    </w:tbl>
    <w:p w14:paraId="15CE4EF2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</w:t>
      </w:r>
    </w:p>
    <w:p w14:paraId="3026D53E">
      <w:pPr>
        <w:pStyle w:val="4"/>
        <w:numPr>
          <w:ilvl w:val="0"/>
          <w:numId w:val="2"/>
        </w:numPr>
        <w:bidi w:val="0"/>
        <w:spacing w:beforeLines="0" w:beforeAutospacing="0" w:afterLines="0" w:afterAutospacing="0" w:line="413" w:lineRule="auto"/>
        <w:ind w:left="845" w:leftChars="0" w:hanging="425"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bookmarkStart w:id="17" w:name="_Toc4567"/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配送路线</w:t>
      </w:r>
      <w:bookmarkEnd w:id="17"/>
    </w:p>
    <w:p w14:paraId="70E05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一层急诊抢救室</w:t>
      </w:r>
    </w:p>
    <w:p w14:paraId="65022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机器人由一层中心药房门外待命点出发，经过一层门诊客梯或医护专梯前往二层，通过二层连廊及二层病区电梯前往一层抢救室完成配送。</w:t>
      </w:r>
    </w:p>
    <w:p w14:paraId="525EC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二层病区</w:t>
      </w:r>
    </w:p>
    <w:p w14:paraId="7F9EE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机器人由一层中心药房门外待命点出发，经过一层门诊客梯或医护专梯前往二层，前往二层病区护士站外完成配送。</w:t>
      </w:r>
    </w:p>
    <w:p w14:paraId="1547E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三层病区</w:t>
      </w:r>
    </w:p>
    <w:p w14:paraId="7E952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机器人由一层中心药房门外待命点出发，经过一层门诊客梯或医护专梯前往三层病区护士站外完成配送。</w:t>
      </w:r>
    </w:p>
    <w:p w14:paraId="721AD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四层病区</w:t>
      </w:r>
    </w:p>
    <w:p w14:paraId="19AB0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机器人由一层中心药房门外待命点出发，经过一层门诊客梯或医护专梯前往四层病区护士站外完成配送。</w:t>
      </w:r>
    </w:p>
    <w:p w14:paraId="6239B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五层病区</w:t>
      </w:r>
    </w:p>
    <w:p w14:paraId="2381A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机器人由一层中心药房门外待命点出发，经过一层门诊客梯或医护专梯前往五层病区护士站外完成配送。</w:t>
      </w:r>
    </w:p>
    <w:p w14:paraId="34EB9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六层病区</w:t>
      </w:r>
    </w:p>
    <w:p w14:paraId="3792B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机器人由一层中心药房门外待命点出发，经过一层门诊客梯或医护专梯前往六层病区护士站外完成配送。</w:t>
      </w:r>
    </w:p>
    <w:p w14:paraId="568C3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七层病区</w:t>
      </w:r>
    </w:p>
    <w:p w14:paraId="5C290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机器人由一层中心药房门外待命点出发，经过一层门诊客梯或医护专梯前往七层病区护士站外完成配送。</w:t>
      </w:r>
    </w:p>
    <w:p w14:paraId="2D0F6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</w:p>
    <w:p w14:paraId="7FEA3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  <w:t>注：由于项目现场医护专用电梯暂未完成改造，机器人乘坐医护专用电梯线路及门诊客梯线路暂无法合理规划，后续将结合医护专梯改造进度及现场实际情况调整机器人乘梯情况。</w:t>
      </w:r>
    </w:p>
    <w:p w14:paraId="5E62824E">
      <w:pPr>
        <w:pStyle w:val="3"/>
        <w:numPr>
          <w:ilvl w:val="0"/>
          <w:numId w:val="0"/>
        </w:numPr>
        <w:bidi w:val="0"/>
        <w:spacing w:beforeLines="0" w:beforeAutospacing="0" w:afterLines="0" w:afterAutospacing="0" w:line="413" w:lineRule="auto"/>
        <w:ind w:left="420" w:leftChars="0"/>
        <w:rPr>
          <w:rFonts w:hint="default" w:cstheme="minorBidi"/>
          <w:sz w:val="28"/>
          <w:szCs w:val="28"/>
          <w:lang w:val="en-US" w:eastAsia="zh-CN"/>
        </w:rPr>
      </w:pPr>
      <w:bookmarkStart w:id="18" w:name="_Toc8479"/>
      <w:r>
        <w:rPr>
          <w:rFonts w:hint="eastAsia" w:cstheme="minorBidi"/>
          <w:sz w:val="28"/>
          <w:szCs w:val="28"/>
          <w:lang w:val="en-US" w:eastAsia="zh-CN"/>
        </w:rPr>
        <w:t>（三）机器人二次开发接口</w:t>
      </w:r>
      <w:bookmarkEnd w:id="18"/>
    </w:p>
    <w:p w14:paraId="1D4ED71E">
      <w:pPr>
        <w:pStyle w:val="6"/>
        <w:numPr>
          <w:ilvl w:val="0"/>
          <w:numId w:val="0"/>
        </w:numPr>
        <w:spacing w:before="98" w:line="328" w:lineRule="auto"/>
        <w:ind w:right="239" w:rightChars="0"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机器人系统需提供二次开发接口对接，以便实现与HIS系统、LIS系统，SPD等系统联动，提前为后续系统扩容提供基础条件。</w:t>
      </w:r>
    </w:p>
    <w:p w14:paraId="3D700363">
      <w:pPr>
        <w:pStyle w:val="2"/>
        <w:numPr>
          <w:ilvl w:val="0"/>
          <w:numId w:val="0"/>
        </w:numPr>
        <w:bidi w:val="0"/>
        <w:spacing w:before="340" w:beforeLines="0" w:beforeAutospacing="0" w:after="330" w:afterLines="0" w:afterAutospacing="0" w:line="576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9" w:name="_Toc28913"/>
    </w:p>
    <w:p w14:paraId="49039869">
      <w:pPr>
        <w:pStyle w:val="2"/>
        <w:numPr>
          <w:ilvl w:val="0"/>
          <w:numId w:val="0"/>
        </w:numPr>
        <w:bidi w:val="0"/>
        <w:spacing w:before="340" w:beforeLines="0" w:beforeAutospacing="0" w:after="330" w:afterLines="0" w:afterAutospacing="0" w:line="576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二、系统建设清单</w:t>
      </w:r>
      <w:bookmarkEnd w:id="19"/>
    </w:p>
    <w:p w14:paraId="4D3ACFEB">
      <w:pPr>
        <w:rPr>
          <w:rFonts w:hint="default"/>
          <w:lang w:val="en-US" w:eastAsia="zh-CN"/>
        </w:rPr>
      </w:pPr>
    </w:p>
    <w:tbl>
      <w:tblPr>
        <w:tblStyle w:val="10"/>
        <w:tblW w:w="89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2264"/>
        <w:gridCol w:w="1704"/>
        <w:gridCol w:w="920"/>
        <w:gridCol w:w="2910"/>
      </w:tblGrid>
      <w:tr w14:paraId="46485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09CB43EE"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2264" w:type="dxa"/>
          </w:tcPr>
          <w:p w14:paraId="3DDE51CE"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类别</w:t>
            </w:r>
          </w:p>
        </w:tc>
        <w:tc>
          <w:tcPr>
            <w:tcW w:w="1704" w:type="dxa"/>
          </w:tcPr>
          <w:p w14:paraId="139768FC"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920" w:type="dxa"/>
          </w:tcPr>
          <w:p w14:paraId="6425FC23"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数量</w:t>
            </w:r>
          </w:p>
        </w:tc>
        <w:tc>
          <w:tcPr>
            <w:tcW w:w="2910" w:type="dxa"/>
          </w:tcPr>
          <w:p w14:paraId="34E70EDA"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安装点位</w:t>
            </w:r>
          </w:p>
        </w:tc>
      </w:tr>
      <w:tr w14:paraId="3C5C0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51C30BA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264" w:type="dxa"/>
            <w:vAlign w:val="center"/>
          </w:tcPr>
          <w:p w14:paraId="0A8560CB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机器人设备</w:t>
            </w:r>
          </w:p>
        </w:tc>
        <w:tc>
          <w:tcPr>
            <w:tcW w:w="1704" w:type="dxa"/>
            <w:vAlign w:val="center"/>
          </w:tcPr>
          <w:p w14:paraId="01F192DA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100kg级别双柜门</w:t>
            </w:r>
          </w:p>
        </w:tc>
        <w:tc>
          <w:tcPr>
            <w:tcW w:w="920" w:type="dxa"/>
            <w:vAlign w:val="center"/>
          </w:tcPr>
          <w:p w14:paraId="0FB611E9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910" w:type="dxa"/>
            <w:vAlign w:val="center"/>
          </w:tcPr>
          <w:p w14:paraId="0BB07B4E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一层中心药房外</w:t>
            </w:r>
          </w:p>
        </w:tc>
      </w:tr>
      <w:tr w14:paraId="71EE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615D417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264" w:type="dxa"/>
            <w:vAlign w:val="center"/>
          </w:tcPr>
          <w:p w14:paraId="558EDF2A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机器人充电桩</w:t>
            </w:r>
          </w:p>
        </w:tc>
        <w:tc>
          <w:tcPr>
            <w:tcW w:w="1704" w:type="dxa"/>
            <w:vAlign w:val="center"/>
          </w:tcPr>
          <w:p w14:paraId="0AF8FF0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1EC6696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DF10439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一层中心药房外</w:t>
            </w:r>
          </w:p>
        </w:tc>
      </w:tr>
      <w:tr w14:paraId="0A6F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50F195E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264" w:type="dxa"/>
            <w:vAlign w:val="center"/>
          </w:tcPr>
          <w:p w14:paraId="15616883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机器人梯控系统</w:t>
            </w:r>
          </w:p>
        </w:tc>
        <w:tc>
          <w:tcPr>
            <w:tcW w:w="1704" w:type="dxa"/>
            <w:vAlign w:val="center"/>
          </w:tcPr>
          <w:p w14:paraId="247F4CC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1B57176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910" w:type="dxa"/>
            <w:vAlign w:val="center"/>
          </w:tcPr>
          <w:p w14:paraId="7F3A9437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医护专梯</w:t>
            </w:r>
          </w:p>
          <w:p w14:paraId="4521B3FA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门诊客梯</w:t>
            </w:r>
          </w:p>
          <w:p w14:paraId="5CAE3993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住院病房客梯</w:t>
            </w:r>
            <w:bookmarkStart w:id="20" w:name="_GoBack"/>
            <w:bookmarkEnd w:id="20"/>
          </w:p>
        </w:tc>
      </w:tr>
      <w:tr w14:paraId="0CC0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707690F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264" w:type="dxa"/>
            <w:vAlign w:val="center"/>
          </w:tcPr>
          <w:p w14:paraId="19453EA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机器人运行基础配套建设（如：常闭防火门改造、地面平整、4G/5G相关网络支持等）</w:t>
            </w:r>
          </w:p>
        </w:tc>
        <w:tc>
          <w:tcPr>
            <w:tcW w:w="1704" w:type="dxa"/>
            <w:vAlign w:val="center"/>
          </w:tcPr>
          <w:p w14:paraId="299FF22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7E04D0B7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根据实际情况定。</w:t>
            </w:r>
          </w:p>
        </w:tc>
        <w:tc>
          <w:tcPr>
            <w:tcW w:w="2910" w:type="dxa"/>
            <w:vAlign w:val="center"/>
          </w:tcPr>
          <w:p w14:paraId="6CA1F7F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483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03A7FFE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264" w:type="dxa"/>
            <w:vAlign w:val="center"/>
          </w:tcPr>
          <w:p w14:paraId="00882EE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机器人操作终端(PAD)</w:t>
            </w:r>
          </w:p>
        </w:tc>
        <w:tc>
          <w:tcPr>
            <w:tcW w:w="1704" w:type="dxa"/>
            <w:vAlign w:val="center"/>
          </w:tcPr>
          <w:p w14:paraId="3795E372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42D6569A">
            <w:pPr>
              <w:tabs>
                <w:tab w:val="left" w:pos="373"/>
              </w:tabs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  <w:lang w:val="en-US" w:eastAsia="zh-CN"/>
              </w:rPr>
              <w:tab/>
            </w:r>
          </w:p>
        </w:tc>
        <w:tc>
          <w:tcPr>
            <w:tcW w:w="2910" w:type="dxa"/>
            <w:vAlign w:val="center"/>
          </w:tcPr>
          <w:p w14:paraId="3A805322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中心药房及第三方发件人员</w:t>
            </w:r>
          </w:p>
        </w:tc>
      </w:tr>
      <w:tr w14:paraId="53DE5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229EAE7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264" w:type="dxa"/>
            <w:vAlign w:val="center"/>
          </w:tcPr>
          <w:p w14:paraId="407A4110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智能门铃</w:t>
            </w:r>
          </w:p>
        </w:tc>
        <w:tc>
          <w:tcPr>
            <w:tcW w:w="1704" w:type="dxa"/>
            <w:vAlign w:val="center"/>
          </w:tcPr>
          <w:p w14:paraId="42D32B4C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008F687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910" w:type="dxa"/>
            <w:vAlign w:val="center"/>
          </w:tcPr>
          <w:p w14:paraId="056F64AF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中心药房</w:t>
            </w:r>
          </w:p>
          <w:p w14:paraId="6233B268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2-7层所有病区护士站</w:t>
            </w:r>
          </w:p>
          <w:p w14:paraId="077D127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1层急诊抢救室</w:t>
            </w:r>
          </w:p>
        </w:tc>
      </w:tr>
      <w:tr w14:paraId="50C1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18AB06D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264" w:type="dxa"/>
            <w:vAlign w:val="center"/>
          </w:tcPr>
          <w:p w14:paraId="1901A85B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云端机器人集群调度系统</w:t>
            </w:r>
          </w:p>
        </w:tc>
        <w:tc>
          <w:tcPr>
            <w:tcW w:w="1704" w:type="dxa"/>
            <w:vAlign w:val="center"/>
          </w:tcPr>
          <w:p w14:paraId="582469A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6DB359B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910" w:type="dxa"/>
            <w:vAlign w:val="center"/>
          </w:tcPr>
          <w:p w14:paraId="053238A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供应商须具备“机器人云端调度”和“机器人集群调度”相关专利。</w:t>
            </w:r>
          </w:p>
        </w:tc>
      </w:tr>
    </w:tbl>
    <w:p w14:paraId="6A957FA3">
      <w:pPr>
        <w:rPr>
          <w:rFonts w:hint="default"/>
          <w:lang w:val="en-US" w:eastAsia="zh-CN"/>
        </w:rPr>
      </w:pPr>
    </w:p>
    <w:p w14:paraId="3BF5D2AD">
      <w:pPr>
        <w:jc w:val="left"/>
        <w:rPr>
          <w:rFonts w:hint="default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</w:p>
    <w:sectPr>
      <w:pgSz w:w="11906" w:h="16838"/>
      <w:pgMar w:top="1984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D7DA3"/>
    <w:multiLevelType w:val="multilevel"/>
    <w:tmpl w:val="998D7DA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  <w:sz w:val="24"/>
        <w:szCs w:val="24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AB72ECE4"/>
    <w:multiLevelType w:val="singleLevel"/>
    <w:tmpl w:val="AB72EC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MDE0MWRiYmFkZmExYzc5YTI4NzNlOTk1MzUzZTgifQ=="/>
  </w:docVars>
  <w:rsids>
    <w:rsidRoot w:val="00000000"/>
    <w:rsid w:val="00137D25"/>
    <w:rsid w:val="03605413"/>
    <w:rsid w:val="092C75D5"/>
    <w:rsid w:val="093B2925"/>
    <w:rsid w:val="0A8F3F52"/>
    <w:rsid w:val="0B76395D"/>
    <w:rsid w:val="0F730D53"/>
    <w:rsid w:val="14B43F9D"/>
    <w:rsid w:val="16E87EB2"/>
    <w:rsid w:val="19777A51"/>
    <w:rsid w:val="1F492760"/>
    <w:rsid w:val="258B2D19"/>
    <w:rsid w:val="270B5F28"/>
    <w:rsid w:val="2DE631D9"/>
    <w:rsid w:val="37552759"/>
    <w:rsid w:val="3D8923ED"/>
    <w:rsid w:val="43E16670"/>
    <w:rsid w:val="47A04D73"/>
    <w:rsid w:val="48872E05"/>
    <w:rsid w:val="48B87DAA"/>
    <w:rsid w:val="4C60482B"/>
    <w:rsid w:val="4D9673EC"/>
    <w:rsid w:val="4D9C0FDC"/>
    <w:rsid w:val="52607115"/>
    <w:rsid w:val="52C95592"/>
    <w:rsid w:val="52ED5B29"/>
    <w:rsid w:val="541D74A6"/>
    <w:rsid w:val="595471DB"/>
    <w:rsid w:val="5BF705DC"/>
    <w:rsid w:val="5D7E19C5"/>
    <w:rsid w:val="63DD4261"/>
    <w:rsid w:val="670047E9"/>
    <w:rsid w:val="69BC74FD"/>
    <w:rsid w:val="6BDD0BDB"/>
    <w:rsid w:val="6E604013"/>
    <w:rsid w:val="72E81B5C"/>
    <w:rsid w:val="764C06A2"/>
    <w:rsid w:val="7A69004B"/>
    <w:rsid w:val="7B970105"/>
    <w:rsid w:val="7D9E7EFC"/>
    <w:rsid w:val="7E3A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 w:line="578" w:lineRule="auto"/>
      <w:outlineLvl w:val="0"/>
    </w:pPr>
    <w:rPr>
      <w:rFonts w:ascii="宋体" w:hAnsi="宋体" w:eastAsia="宋体" w:cs="Times New Roman"/>
      <w:b/>
      <w:color w:val="000000"/>
      <w:kern w:val="44"/>
      <w:sz w:val="44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color w:val="000000"/>
      <w:sz w:val="32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宋体" w:hAnsi="宋体" w:eastAsia="宋体" w:cs="Times New Roman"/>
      <w:b/>
      <w:color w:val="000000"/>
      <w:szCs w:val="2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1393</Words>
  <Characters>1441</Characters>
  <Lines>0</Lines>
  <Paragraphs>0</Paragraphs>
  <TotalTime>11</TotalTime>
  <ScaleCrop>false</ScaleCrop>
  <LinksUpToDate>false</LinksUpToDate>
  <CharactersWithSpaces>1450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2025-07-10T01:52:00Z</dcterms:created>
  <dc:creator>Administrator</dc:creator>
  <cp:lastModifiedBy>紫水晶</cp:lastModifiedBy>
  <dcterms:modified xsi:type="dcterms:W3CDTF">2026-01-15T03:41:33Z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eyJoZGlkIjoiOWYyMTFmNzc0MWRjNjZlYzgxYmUzODhlYTljZDA5NzkiLCJ1c2VySWQiOiI5NzI4ODYyMzkifQ==</vt:lpwstr>
  </property>
  <property fmtid="{D5CDD505-2E9C-101B-9397-08002B2CF9AE}" pid="4" name="ICV">
    <vt:lpwstr>9FEF3420E9334D0C80B8E4C0EC8C8F65_13</vt:lpwstr>
  </property>
</Properties>
</file>