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3E3EF66">
      <w:pPr>
        <w:spacing w:before="312" w:beforeLines="100" w:line="600" w:lineRule="exact"/>
        <w:jc w:val="center"/>
        <w:rPr>
          <w:rFonts w:ascii="方正小标宋简体" w:hAnsi="宋体" w:eastAsia="方正小标宋简体" w:cs="Times New Roman"/>
          <w:b/>
          <w:sz w:val="72"/>
          <w:szCs w:val="72"/>
          <w:highlight w:val="none"/>
        </w:rPr>
      </w:pPr>
      <w:r>
        <w:rPr>
          <w:rFonts w:hint="eastAsia" w:ascii="方正小标宋简体" w:hAnsi="宋体" w:eastAsia="方正小标宋简体" w:cs="Times New Roman"/>
          <w:b/>
          <w:sz w:val="72"/>
          <w:szCs w:val="72"/>
          <w:highlight w:val="none"/>
        </w:rPr>
        <w:t>竞争性磋商文件</w:t>
      </w:r>
    </w:p>
    <w:p w14:paraId="481178D7">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14:paraId="3C7FA945">
      <w:pPr>
        <w:snapToGrid w:val="0"/>
        <w:spacing w:before="156" w:beforeLines="50" w:line="360" w:lineRule="auto"/>
        <w:jc w:val="center"/>
        <w:rPr>
          <w:rFonts w:ascii="仿宋_GB2312" w:hAnsi="宋体" w:eastAsia="仿宋_GB2312" w:cs="Times New Roman"/>
          <w:color w:val="000000"/>
          <w:sz w:val="30"/>
          <w:szCs w:val="72"/>
          <w:highlight w:val="none"/>
        </w:rPr>
      </w:pPr>
    </w:p>
    <w:p w14:paraId="55FDD015">
      <w:pPr>
        <w:spacing w:line="400" w:lineRule="exact"/>
        <w:rPr>
          <w:rFonts w:ascii="宋体" w:hAnsi="宋体" w:eastAsia="宋体" w:cs="Times New Roman"/>
          <w:b/>
          <w:color w:val="000000"/>
          <w:sz w:val="32"/>
          <w:szCs w:val="32"/>
          <w:highlight w:val="none"/>
        </w:rPr>
      </w:pPr>
    </w:p>
    <w:p w14:paraId="1ED6BDC3">
      <w:pPr>
        <w:spacing w:line="400" w:lineRule="exact"/>
        <w:jc w:val="center"/>
        <w:rPr>
          <w:rFonts w:ascii="宋体" w:hAnsi="宋体" w:eastAsia="宋体" w:cs="Times New Roman"/>
          <w:b/>
          <w:color w:val="000000"/>
          <w:sz w:val="32"/>
          <w:szCs w:val="32"/>
          <w:highlight w:val="none"/>
        </w:rPr>
      </w:pPr>
    </w:p>
    <w:p w14:paraId="4D069836">
      <w:pPr>
        <w:spacing w:line="400" w:lineRule="exact"/>
        <w:jc w:val="center"/>
        <w:rPr>
          <w:rFonts w:ascii="宋体" w:hAnsi="宋体" w:eastAsia="宋体" w:cs="Times New Roman"/>
          <w:b/>
          <w:color w:val="000000"/>
          <w:sz w:val="32"/>
          <w:szCs w:val="32"/>
          <w:highlight w:val="none"/>
        </w:rPr>
      </w:pPr>
    </w:p>
    <w:p w14:paraId="5E9E406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宋体" w:eastAsia="仿宋_GB2312" w:cs="Times New Roman"/>
          <w:b/>
          <w:color w:val="000000"/>
          <w:sz w:val="32"/>
          <w:szCs w:val="32"/>
          <w:highlight w:val="none"/>
          <w:lang w:val="en-US" w:eastAsia="zh-CN"/>
        </w:rPr>
      </w:pPr>
      <w:r>
        <w:rPr>
          <w:rFonts w:hint="eastAsia" w:ascii="仿宋_GB2312" w:hAnsi="宋体" w:eastAsia="仿宋_GB2312" w:cs="Times New Roman"/>
          <w:b/>
          <w:color w:val="000000"/>
          <w:sz w:val="32"/>
          <w:szCs w:val="32"/>
          <w:highlight w:val="none"/>
        </w:rPr>
        <w:t>项目名称：</w:t>
      </w:r>
      <w:r>
        <w:rPr>
          <w:rFonts w:hint="eastAsia" w:ascii="仿宋_GB2312" w:hAnsi="宋体" w:eastAsia="仿宋_GB2312" w:cs="Times New Roman"/>
          <w:b/>
          <w:color w:val="000000"/>
          <w:sz w:val="32"/>
          <w:szCs w:val="32"/>
          <w:highlight w:val="none"/>
          <w:lang w:val="en-US" w:eastAsia="zh-CN"/>
        </w:rPr>
        <w:t>广西骨伤医院</w:t>
      </w:r>
      <w:r>
        <w:rPr>
          <w:rFonts w:hint="eastAsia" w:ascii="仿宋_GB2312" w:hAnsi="宋体" w:eastAsia="仿宋_GB2312" w:cs="Times New Roman"/>
          <w:b/>
          <w:color w:val="000000"/>
          <w:sz w:val="32"/>
          <w:szCs w:val="32"/>
          <w:highlight w:val="none"/>
        </w:rPr>
        <w:t>文献数据库服务</w:t>
      </w:r>
      <w:r>
        <w:rPr>
          <w:rFonts w:hint="eastAsia" w:ascii="仿宋_GB2312" w:hAnsi="宋体" w:eastAsia="仿宋_GB2312" w:cs="Times New Roman"/>
          <w:b/>
          <w:color w:val="000000"/>
          <w:sz w:val="32"/>
          <w:szCs w:val="32"/>
          <w:highlight w:val="none"/>
          <w:lang w:val="en-US" w:eastAsia="zh-CN"/>
        </w:rPr>
        <w:t>采购项目</w:t>
      </w:r>
    </w:p>
    <w:p w14:paraId="44D5AB6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ascii="仿宋_GB2312" w:hAnsi="宋体" w:eastAsia="仿宋_GB2312" w:cs="Times New Roman"/>
          <w:b/>
          <w:color w:val="000000"/>
          <w:sz w:val="32"/>
          <w:szCs w:val="32"/>
          <w:highlight w:val="none"/>
        </w:rPr>
      </w:pPr>
    </w:p>
    <w:p w14:paraId="14F8E07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宋体" w:eastAsia="仿宋_GB2312" w:cs="Times New Roman"/>
          <w:b w:val="0"/>
          <w:bCs/>
          <w:color w:val="000000"/>
          <w:sz w:val="32"/>
          <w:szCs w:val="32"/>
          <w:highlight w:val="none"/>
          <w:lang w:val="en-US" w:eastAsia="zh-CN"/>
        </w:rPr>
      </w:pPr>
      <w:r>
        <w:rPr>
          <w:rFonts w:hint="eastAsia" w:ascii="仿宋_GB2312" w:hAnsi="宋体" w:eastAsia="仿宋_GB2312" w:cs="Times New Roman"/>
          <w:b/>
          <w:color w:val="000000"/>
          <w:sz w:val="32"/>
          <w:szCs w:val="32"/>
          <w:highlight w:val="none"/>
        </w:rPr>
        <w:t>项目编号：</w:t>
      </w:r>
      <w:r>
        <w:rPr>
          <w:rFonts w:hint="eastAsia" w:ascii="仿宋_GB2312" w:hAnsi="宋体" w:eastAsia="仿宋_GB2312" w:cs="Times New Roman"/>
          <w:b w:val="0"/>
          <w:bCs/>
          <w:color w:val="000000"/>
          <w:sz w:val="32"/>
          <w:szCs w:val="32"/>
          <w:highlight w:val="none"/>
        </w:rPr>
        <w:t>GXGSYY-CGB-</w:t>
      </w:r>
      <w:r>
        <w:rPr>
          <w:rFonts w:hint="eastAsia" w:ascii="仿宋_GB2312" w:hAnsi="宋体" w:eastAsia="仿宋_GB2312" w:cs="Times New Roman"/>
          <w:b w:val="0"/>
          <w:bCs/>
          <w:color w:val="000000"/>
          <w:sz w:val="32"/>
          <w:szCs w:val="32"/>
          <w:highlight w:val="none"/>
          <w:lang w:val="en-US" w:eastAsia="zh-CN"/>
        </w:rPr>
        <w:t>KJB</w:t>
      </w:r>
      <w:r>
        <w:rPr>
          <w:rFonts w:hint="eastAsia" w:ascii="仿宋_GB2312" w:hAnsi="宋体" w:eastAsia="仿宋_GB2312" w:cs="Times New Roman"/>
          <w:b w:val="0"/>
          <w:bCs/>
          <w:color w:val="000000"/>
          <w:sz w:val="32"/>
          <w:szCs w:val="32"/>
          <w:highlight w:val="none"/>
        </w:rPr>
        <w:t>-2025-</w:t>
      </w:r>
      <w:r>
        <w:rPr>
          <w:rFonts w:hint="eastAsia" w:ascii="仿宋_GB2312" w:hAnsi="宋体" w:eastAsia="仿宋_GB2312" w:cs="Times New Roman"/>
          <w:b w:val="0"/>
          <w:bCs/>
          <w:color w:val="000000"/>
          <w:sz w:val="32"/>
          <w:szCs w:val="32"/>
          <w:highlight w:val="none"/>
          <w:lang w:val="en-US" w:eastAsia="zh-CN"/>
        </w:rPr>
        <w:t xml:space="preserve">02  </w:t>
      </w:r>
    </w:p>
    <w:p w14:paraId="65F8F5B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ascii="仿宋_GB2312" w:hAnsi="宋体" w:eastAsia="仿宋_GB2312" w:cs="Times New Roman"/>
          <w:b/>
          <w:color w:val="000000"/>
          <w:sz w:val="32"/>
          <w:szCs w:val="32"/>
          <w:highlight w:val="none"/>
        </w:rPr>
      </w:pPr>
    </w:p>
    <w:p w14:paraId="46A1608F">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 xml:space="preserve">采 购 人：广西骨伤医院 </w:t>
      </w:r>
    </w:p>
    <w:p w14:paraId="6A7F3B09">
      <w:pPr>
        <w:spacing w:line="400" w:lineRule="exact"/>
        <w:jc w:val="center"/>
        <w:rPr>
          <w:rFonts w:ascii="仿宋_GB2312" w:hAnsi="宋体" w:eastAsia="仿宋_GB2312" w:cs="Times New Roman"/>
          <w:b/>
          <w:color w:val="000000"/>
          <w:sz w:val="32"/>
          <w:szCs w:val="32"/>
          <w:highlight w:val="none"/>
        </w:rPr>
      </w:pPr>
    </w:p>
    <w:p w14:paraId="4AD1B7D6">
      <w:pPr>
        <w:spacing w:line="400" w:lineRule="exact"/>
        <w:jc w:val="center"/>
        <w:rPr>
          <w:rFonts w:ascii="仿宋_GB2312" w:hAnsi="宋体" w:eastAsia="仿宋_GB2312" w:cs="Times New Roman"/>
          <w:b/>
          <w:color w:val="000000"/>
          <w:sz w:val="32"/>
          <w:szCs w:val="32"/>
          <w:highlight w:val="none"/>
        </w:rPr>
      </w:pPr>
    </w:p>
    <w:p w14:paraId="24ABDB62">
      <w:pPr>
        <w:spacing w:line="400" w:lineRule="exact"/>
        <w:jc w:val="center"/>
        <w:rPr>
          <w:rFonts w:ascii="仿宋_GB2312" w:hAnsi="宋体" w:eastAsia="仿宋_GB2312" w:cs="Times New Roman"/>
          <w:b/>
          <w:color w:val="000000"/>
          <w:sz w:val="32"/>
          <w:szCs w:val="32"/>
          <w:highlight w:val="none"/>
        </w:rPr>
      </w:pPr>
    </w:p>
    <w:p w14:paraId="0ABEE70F">
      <w:pPr>
        <w:spacing w:line="400" w:lineRule="exact"/>
        <w:jc w:val="center"/>
        <w:rPr>
          <w:rFonts w:ascii="仿宋_GB2312" w:hAnsi="宋体" w:eastAsia="仿宋_GB2312" w:cs="Times New Roman"/>
          <w:b/>
          <w:color w:val="000000"/>
          <w:sz w:val="32"/>
          <w:szCs w:val="32"/>
          <w:highlight w:val="none"/>
        </w:rPr>
      </w:pPr>
    </w:p>
    <w:p w14:paraId="30E3D730">
      <w:pPr>
        <w:spacing w:line="400" w:lineRule="exact"/>
        <w:jc w:val="center"/>
        <w:rPr>
          <w:rFonts w:ascii="仿宋_GB2312" w:hAnsi="宋体" w:eastAsia="仿宋_GB2312" w:cs="Times New Roman"/>
          <w:b/>
          <w:color w:val="000000"/>
          <w:sz w:val="32"/>
          <w:szCs w:val="32"/>
          <w:highlight w:val="none"/>
        </w:rPr>
      </w:pPr>
    </w:p>
    <w:p w14:paraId="20983888">
      <w:pPr>
        <w:spacing w:line="400" w:lineRule="exact"/>
        <w:jc w:val="center"/>
        <w:rPr>
          <w:rFonts w:ascii="仿宋_GB2312" w:hAnsi="宋体" w:eastAsia="仿宋_GB2312" w:cs="Times New Roman"/>
          <w:b/>
          <w:color w:val="000000"/>
          <w:sz w:val="32"/>
          <w:szCs w:val="32"/>
          <w:highlight w:val="none"/>
        </w:rPr>
      </w:pPr>
    </w:p>
    <w:p w14:paraId="6BFA48D3">
      <w:pPr>
        <w:spacing w:line="400" w:lineRule="exact"/>
        <w:jc w:val="center"/>
        <w:rPr>
          <w:rFonts w:ascii="仿宋_GB2312" w:hAnsi="宋体" w:eastAsia="仿宋_GB2312" w:cs="Times New Roman"/>
          <w:b/>
          <w:color w:val="000000"/>
          <w:sz w:val="32"/>
          <w:szCs w:val="32"/>
          <w:highlight w:val="none"/>
        </w:rPr>
      </w:pPr>
    </w:p>
    <w:p w14:paraId="3BB35CFD">
      <w:pPr>
        <w:spacing w:line="400" w:lineRule="exact"/>
        <w:jc w:val="center"/>
        <w:rPr>
          <w:rFonts w:ascii="仿宋_GB2312" w:hAnsi="宋体" w:eastAsia="仿宋_GB2312" w:cs="Times New Roman"/>
          <w:b/>
          <w:color w:val="000000"/>
          <w:sz w:val="32"/>
          <w:szCs w:val="32"/>
          <w:highlight w:val="none"/>
        </w:rPr>
      </w:pPr>
    </w:p>
    <w:p w14:paraId="1050CE12">
      <w:pPr>
        <w:spacing w:line="400" w:lineRule="exact"/>
        <w:jc w:val="center"/>
        <w:rPr>
          <w:rFonts w:ascii="仿宋_GB2312" w:hAnsi="宋体" w:eastAsia="仿宋_GB2312" w:cs="Times New Roman"/>
          <w:b/>
          <w:color w:val="000000"/>
          <w:sz w:val="32"/>
          <w:szCs w:val="32"/>
          <w:highlight w:val="none"/>
        </w:rPr>
      </w:pPr>
    </w:p>
    <w:p w14:paraId="5E43634D">
      <w:pPr>
        <w:spacing w:line="400" w:lineRule="exact"/>
        <w:jc w:val="center"/>
        <w:rPr>
          <w:rFonts w:ascii="仿宋_GB2312" w:hAnsi="宋体" w:eastAsia="仿宋_GB2312" w:cs="Times New Roman"/>
          <w:b/>
          <w:color w:val="000000"/>
          <w:sz w:val="32"/>
          <w:szCs w:val="32"/>
          <w:highlight w:val="none"/>
        </w:rPr>
      </w:pPr>
    </w:p>
    <w:p w14:paraId="14DE920C">
      <w:pPr>
        <w:spacing w:line="400" w:lineRule="exact"/>
        <w:jc w:val="center"/>
        <w:rPr>
          <w:rFonts w:ascii="仿宋_GB2312" w:hAnsi="宋体" w:eastAsia="仿宋_GB2312" w:cs="Times New Roman"/>
          <w:b/>
          <w:color w:val="000000"/>
          <w:sz w:val="32"/>
          <w:szCs w:val="32"/>
          <w:highlight w:val="none"/>
        </w:rPr>
      </w:pPr>
    </w:p>
    <w:p w14:paraId="24557EE8">
      <w:pPr>
        <w:spacing w:line="400" w:lineRule="exact"/>
        <w:jc w:val="center"/>
        <w:rPr>
          <w:rFonts w:ascii="仿宋_GB2312" w:hAnsi="宋体" w:eastAsia="仿宋_GB2312" w:cs="Times New Roman"/>
          <w:b/>
          <w:color w:val="000000"/>
          <w:sz w:val="32"/>
          <w:szCs w:val="32"/>
          <w:highlight w:val="none"/>
        </w:rPr>
      </w:pPr>
    </w:p>
    <w:p w14:paraId="184BB0D1">
      <w:pPr>
        <w:spacing w:line="400" w:lineRule="exact"/>
        <w:jc w:val="center"/>
        <w:rPr>
          <w:rFonts w:ascii="仿宋_GB2312" w:hAnsi="宋体" w:eastAsia="仿宋_GB2312" w:cs="Times New Roman"/>
          <w:b/>
          <w:color w:val="000000"/>
          <w:sz w:val="32"/>
          <w:szCs w:val="32"/>
          <w:highlight w:val="none"/>
        </w:rPr>
      </w:pPr>
    </w:p>
    <w:p w14:paraId="290D0F56">
      <w:pPr>
        <w:spacing w:line="400" w:lineRule="exact"/>
        <w:rPr>
          <w:rFonts w:ascii="仿宋_GB2312" w:hAnsi="宋体" w:eastAsia="仿宋_GB2312" w:cs="Times New Roman"/>
          <w:b/>
          <w:color w:val="000000"/>
          <w:sz w:val="32"/>
          <w:szCs w:val="32"/>
          <w:highlight w:val="none"/>
        </w:rPr>
      </w:pPr>
    </w:p>
    <w:p w14:paraId="2D67840C">
      <w:pPr>
        <w:spacing w:line="400" w:lineRule="exact"/>
        <w:jc w:val="center"/>
        <w:rPr>
          <w:rFonts w:ascii="仿宋_GB2312" w:hAnsi="宋体" w:eastAsia="仿宋_GB2312" w:cs="Times New Roman"/>
          <w:b/>
          <w:color w:val="000000"/>
          <w:sz w:val="32"/>
          <w:szCs w:val="32"/>
          <w:highlight w:val="none"/>
        </w:rPr>
      </w:pPr>
    </w:p>
    <w:p w14:paraId="4E2669EA">
      <w:pPr>
        <w:spacing w:line="400" w:lineRule="exact"/>
        <w:rPr>
          <w:rFonts w:ascii="仿宋_GB2312" w:hAnsi="宋体" w:eastAsia="仿宋_GB2312" w:cs="Times New Roman"/>
          <w:b/>
          <w:color w:val="000000"/>
          <w:sz w:val="32"/>
          <w:szCs w:val="32"/>
          <w:highlight w:val="none"/>
        </w:rPr>
      </w:pPr>
    </w:p>
    <w:p w14:paraId="1C0238B6">
      <w:pPr>
        <w:spacing w:line="400" w:lineRule="exact"/>
        <w:jc w:val="center"/>
        <w:rPr>
          <w:rFonts w:hint="eastAsia"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5</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12</w:t>
      </w:r>
      <w:r>
        <w:rPr>
          <w:rFonts w:hint="eastAsia" w:ascii="仿宋_GB2312" w:hAnsi="宋体" w:eastAsia="仿宋_GB2312" w:cs="Times New Roman"/>
          <w:b/>
          <w:color w:val="000000"/>
          <w:sz w:val="32"/>
          <w:szCs w:val="32"/>
          <w:highlight w:val="none"/>
        </w:rPr>
        <w:t>月</w:t>
      </w:r>
    </w:p>
    <w:p w14:paraId="197A35DB">
      <w:pPr>
        <w:pStyle w:val="25"/>
        <w:keepNext w:val="0"/>
        <w:keepLines w:val="0"/>
        <w:pageBreakBefore w:val="0"/>
        <w:kinsoku/>
        <w:overflowPunct/>
        <w:topLinePunct w:val="0"/>
        <w:bidi w:val="0"/>
        <w:snapToGrid w:val="0"/>
        <w:spacing w:line="360" w:lineRule="auto"/>
        <w:jc w:val="center"/>
        <w:textAlignment w:val="auto"/>
        <w:rPr>
          <w:rFonts w:hAnsi="宋体"/>
          <w:color w:val="auto"/>
          <w:sz w:val="21"/>
          <w:szCs w:val="21"/>
          <w:highlight w:val="none"/>
        </w:rPr>
      </w:pPr>
    </w:p>
    <w:p w14:paraId="7E56FDC3">
      <w:pPr>
        <w:pStyle w:val="25"/>
        <w:keepNext w:val="0"/>
        <w:keepLines w:val="0"/>
        <w:pageBreakBefore w:val="0"/>
        <w:kinsoku/>
        <w:overflowPunct/>
        <w:topLinePunct w:val="0"/>
        <w:bidi w:val="0"/>
        <w:snapToGrid w:val="0"/>
        <w:spacing w:line="360" w:lineRule="auto"/>
        <w:jc w:val="both"/>
        <w:textAlignment w:val="auto"/>
        <w:rPr>
          <w:rFonts w:hint="eastAsia" w:hAnsi="宋体"/>
          <w:color w:val="auto"/>
          <w:sz w:val="21"/>
          <w:szCs w:val="21"/>
          <w:highlight w:val="none"/>
        </w:rPr>
      </w:pPr>
    </w:p>
    <w:sdt>
      <w:sdtPr>
        <w:rPr>
          <w:rFonts w:ascii="宋体" w:hAnsi="宋体" w:eastAsia="宋体" w:cs="Times New Roman"/>
          <w:kern w:val="2"/>
          <w:sz w:val="44"/>
          <w:szCs w:val="44"/>
          <w:highlight w:val="none"/>
          <w:lang w:val="en-US" w:eastAsia="zh-CN" w:bidi="ar-SA"/>
        </w:rPr>
        <w:id w:val="147458409"/>
        <w15:color w:val="DBDBDB"/>
        <w:docPartObj>
          <w:docPartGallery w:val="Table of Contents"/>
          <w:docPartUnique/>
        </w:docPartObj>
      </w:sdtPr>
      <w:sdtEndPr>
        <w:rPr>
          <w:rFonts w:hint="eastAsia" w:ascii="宋体" w:hAnsi="宋体" w:eastAsia="宋体" w:cs="Times New Roman"/>
          <w:color w:val="auto"/>
          <w:kern w:val="2"/>
          <w:sz w:val="28"/>
          <w:szCs w:val="28"/>
          <w:highlight w:val="none"/>
          <w:lang w:val="en-US" w:eastAsia="zh-CN" w:bidi="ar-SA"/>
        </w:rPr>
      </w:sdtEndPr>
      <w:sdtContent>
        <w:sdt>
          <w:sdtPr>
            <w:rPr>
              <w:rFonts w:ascii="宋体" w:hAnsi="宋体" w:eastAsia="宋体" w:cs="Times New Roman"/>
              <w:kern w:val="2"/>
              <w:sz w:val="44"/>
              <w:szCs w:val="44"/>
              <w:highlight w:val="none"/>
              <w:lang w:val="en-US" w:eastAsia="zh-CN" w:bidi="ar-SA"/>
            </w:rPr>
            <w:id w:val="147466283"/>
            <w15:color w:val="DBDBDB"/>
            <w:docPartObj>
              <w:docPartGallery w:val="Table of Contents"/>
              <w:docPartUnique/>
            </w:docPartObj>
          </w:sdtPr>
          <w:sdtEndPr>
            <w:rPr>
              <w:rFonts w:hint="eastAsia" w:ascii="宋体" w:hAnsi="宋体" w:eastAsia="宋体" w:cs="Times New Roman"/>
              <w:color w:val="auto"/>
              <w:kern w:val="2"/>
              <w:sz w:val="28"/>
              <w:szCs w:val="28"/>
              <w:highlight w:val="none"/>
              <w:lang w:val="en-US" w:eastAsia="zh-CN" w:bidi="ar-SA"/>
            </w:rPr>
          </w:sdtEndPr>
          <w:sdtContent>
            <w:p w14:paraId="5211BB23">
              <w:pPr>
                <w:keepNext w:val="0"/>
                <w:keepLines w:val="0"/>
                <w:pageBreakBefore w:val="0"/>
                <w:kinsoku/>
                <w:overflowPunct/>
                <w:topLinePunct w:val="0"/>
                <w:bidi w:val="0"/>
                <w:spacing w:before="0" w:beforeLines="0" w:after="0" w:afterLines="0" w:line="360" w:lineRule="auto"/>
                <w:ind w:left="0" w:leftChars="0" w:right="0" w:rightChars="0" w:firstLine="0" w:firstLineChars="0"/>
                <w:jc w:val="center"/>
                <w:textAlignment w:val="auto"/>
                <w:rPr>
                  <w:sz w:val="44"/>
                  <w:szCs w:val="44"/>
                  <w:highlight w:val="none"/>
                </w:rPr>
              </w:pPr>
              <w:r>
                <w:rPr>
                  <w:rFonts w:ascii="宋体" w:hAnsi="宋体" w:eastAsia="宋体"/>
                  <w:b/>
                  <w:bCs/>
                  <w:sz w:val="44"/>
                  <w:szCs w:val="44"/>
                  <w:highlight w:val="none"/>
                </w:rPr>
                <w:t>目</w:t>
              </w:r>
              <w:r>
                <w:rPr>
                  <w:rFonts w:hint="eastAsia" w:ascii="宋体" w:hAnsi="宋体" w:eastAsia="宋体"/>
                  <w:b/>
                  <w:bCs/>
                  <w:sz w:val="44"/>
                  <w:szCs w:val="44"/>
                  <w:highlight w:val="none"/>
                  <w:lang w:val="en-US" w:eastAsia="zh-CN"/>
                </w:rPr>
                <w:t xml:space="preserve"> </w:t>
              </w:r>
              <w:r>
                <w:rPr>
                  <w:rFonts w:ascii="宋体" w:hAnsi="宋体" w:eastAsia="宋体"/>
                  <w:b/>
                  <w:bCs/>
                  <w:sz w:val="44"/>
                  <w:szCs w:val="44"/>
                  <w:highlight w:val="none"/>
                </w:rPr>
                <w:t>录</w:t>
              </w:r>
            </w:p>
            <w:p w14:paraId="08A46CFA">
              <w:pPr>
                <w:pStyle w:val="32"/>
                <w:tabs>
                  <w:tab w:val="right" w:leader="dot" w:pos="9638"/>
                  <w:tab w:val="clear" w:pos="8398"/>
                </w:tabs>
                <w:rPr>
                  <w:highlight w:val="none"/>
                </w:rPr>
              </w:pPr>
              <w:r>
                <w:rPr>
                  <w:rFonts w:hint="eastAsia" w:hAnsi="宋体"/>
                  <w:color w:val="auto"/>
                  <w:sz w:val="28"/>
                  <w:szCs w:val="28"/>
                  <w:highlight w:val="none"/>
                </w:rPr>
                <w:fldChar w:fldCharType="begin"/>
              </w:r>
              <w:r>
                <w:rPr>
                  <w:rFonts w:hint="eastAsia" w:hAnsi="宋体"/>
                  <w:color w:val="auto"/>
                  <w:sz w:val="28"/>
                  <w:szCs w:val="28"/>
                  <w:highlight w:val="none"/>
                </w:rPr>
                <w:instrText xml:space="preserve">TOC \o "1-1" \h \u </w:instrText>
              </w:r>
              <w:r>
                <w:rPr>
                  <w:rFonts w:hint="eastAsia" w:hAnsi="宋体"/>
                  <w:color w:val="auto"/>
                  <w:sz w:val="28"/>
                  <w:szCs w:val="28"/>
                  <w:highlight w:val="none"/>
                </w:rPr>
                <w:fldChar w:fldCharType="separate"/>
              </w:r>
            </w:p>
            <w:p w14:paraId="77554BB8">
              <w:pPr>
                <w:pStyle w:val="32"/>
                <w:tabs>
                  <w:tab w:val="right" w:leader="dot" w:pos="9638"/>
                  <w:tab w:val="clear" w:pos="8398"/>
                </w:tabs>
                <w:rPr>
                  <w:rFonts w:hint="default" w:ascii="宋体" w:hAnsi="宋体" w:eastAsia="宋体" w:cs="宋体"/>
                  <w:b w:val="0"/>
                  <w:bCs w:val="0"/>
                  <w:sz w:val="28"/>
                  <w:szCs w:val="28"/>
                  <w:highlight w:val="none"/>
                  <w:lang w:val="en-US" w:eastAsia="zh-CN"/>
                </w:rPr>
              </w:pPr>
              <w:r>
                <w:rPr>
                  <w:rFonts w:hint="eastAsia" w:ascii="黑体" w:hAnsi="黑体" w:eastAsia="黑体" w:cs="黑体"/>
                  <w:b w:val="0"/>
                  <w:bCs w:val="0"/>
                  <w:color w:val="auto"/>
                  <w:sz w:val="30"/>
                  <w:szCs w:val="30"/>
                  <w:highlight w:val="none"/>
                </w:rPr>
                <w:fldChar w:fldCharType="begin"/>
              </w:r>
              <w:r>
                <w:rPr>
                  <w:rFonts w:hint="eastAsia" w:ascii="黑体" w:hAnsi="黑体" w:eastAsia="黑体" w:cs="黑体"/>
                  <w:b w:val="0"/>
                  <w:bCs w:val="0"/>
                  <w:sz w:val="30"/>
                  <w:szCs w:val="30"/>
                  <w:highlight w:val="none"/>
                </w:rPr>
                <w:instrText xml:space="preserve"> HYPERLINK \l _Toc16882 </w:instrText>
              </w:r>
              <w:r>
                <w:rPr>
                  <w:rFonts w:hint="eastAsia" w:ascii="黑体" w:hAnsi="黑体" w:eastAsia="黑体" w:cs="黑体"/>
                  <w:b w:val="0"/>
                  <w:bCs w:val="0"/>
                  <w:sz w:val="30"/>
                  <w:szCs w:val="30"/>
                  <w:highlight w:val="none"/>
                </w:rPr>
                <w:fldChar w:fldCharType="separate"/>
              </w:r>
              <w:r>
                <w:rPr>
                  <w:rFonts w:hint="eastAsia" w:ascii="黑体" w:hAnsi="黑体" w:eastAsia="黑体" w:cs="黑体"/>
                  <w:b w:val="0"/>
                  <w:bCs w:val="0"/>
                  <w:color w:val="auto"/>
                  <w:sz w:val="30"/>
                  <w:szCs w:val="30"/>
                  <w:highlight w:val="none"/>
                </w:rPr>
                <w:t xml:space="preserve">第一章  </w:t>
              </w:r>
              <w:r>
                <w:rPr>
                  <w:rFonts w:hint="eastAsia" w:ascii="黑体" w:hAnsi="黑体" w:eastAsia="黑体" w:cs="黑体"/>
                  <w:b w:val="0"/>
                  <w:bCs w:val="0"/>
                  <w:color w:val="auto"/>
                  <w:sz w:val="30"/>
                  <w:szCs w:val="30"/>
                  <w:highlight w:val="none"/>
                  <w:lang w:val="en-US" w:eastAsia="zh-CN"/>
                </w:rPr>
                <w:t>磋商</w:t>
              </w:r>
              <w:r>
                <w:rPr>
                  <w:rFonts w:hint="eastAsia" w:ascii="黑体" w:hAnsi="黑体" w:eastAsia="黑体" w:cs="黑体"/>
                  <w:b w:val="0"/>
                  <w:bCs w:val="0"/>
                  <w:color w:val="auto"/>
                  <w:sz w:val="30"/>
                  <w:szCs w:val="30"/>
                  <w:highlight w:val="none"/>
                </w:rPr>
                <w:t>公告</w:t>
              </w:r>
              <w:r>
                <w:rPr>
                  <w:rFonts w:hint="eastAsia" w:ascii="黑体" w:hAnsi="黑体" w:eastAsia="黑体" w:cs="黑体"/>
                  <w:b w:val="0"/>
                  <w:bCs w:val="0"/>
                  <w:color w:val="auto"/>
                  <w:sz w:val="30"/>
                  <w:szCs w:val="30"/>
                  <w:highlight w:val="none"/>
                </w:rPr>
                <w:fldChar w:fldCharType="end"/>
              </w:r>
              <w:r>
                <w:rPr>
                  <w:rFonts w:hint="eastAsia" w:cs="宋体"/>
                  <w:b w:val="0"/>
                  <w:bCs w:val="0"/>
                  <w:color w:val="auto"/>
                  <w:sz w:val="21"/>
                  <w:szCs w:val="21"/>
                  <w:highlight w:val="none"/>
                  <w:lang w:val="en-US" w:eastAsia="zh-CN"/>
                </w:rPr>
                <w:t>................................................3</w:t>
              </w:r>
            </w:p>
            <w:p w14:paraId="69461528">
              <w:pPr>
                <w:pStyle w:val="32"/>
                <w:tabs>
                  <w:tab w:val="right" w:leader="dot" w:pos="9638"/>
                  <w:tab w:val="clear" w:pos="8398"/>
                </w:tabs>
                <w:rPr>
                  <w:rFonts w:hint="default" w:ascii="宋体" w:hAnsi="宋体" w:eastAsia="宋体" w:cs="宋体"/>
                  <w:b w:val="0"/>
                  <w:bCs w:val="0"/>
                  <w:sz w:val="30"/>
                  <w:szCs w:val="30"/>
                  <w:highlight w:val="none"/>
                  <w:lang w:val="en-US" w:eastAsia="zh-CN"/>
                </w:rPr>
              </w:pPr>
              <w:r>
                <w:rPr>
                  <w:rFonts w:hint="eastAsia" w:ascii="黑体" w:hAnsi="黑体" w:eastAsia="黑体" w:cs="黑体"/>
                  <w:b w:val="0"/>
                  <w:bCs w:val="0"/>
                  <w:color w:val="auto"/>
                  <w:sz w:val="30"/>
                  <w:szCs w:val="30"/>
                  <w:highlight w:val="none"/>
                </w:rPr>
                <w:fldChar w:fldCharType="begin"/>
              </w:r>
              <w:r>
                <w:rPr>
                  <w:rFonts w:hint="eastAsia" w:ascii="黑体" w:hAnsi="黑体" w:eastAsia="黑体" w:cs="黑体"/>
                  <w:b w:val="0"/>
                  <w:bCs w:val="0"/>
                  <w:color w:val="auto"/>
                  <w:sz w:val="30"/>
                  <w:szCs w:val="30"/>
                  <w:highlight w:val="none"/>
                </w:rPr>
                <w:instrText xml:space="preserve"> HYPERLINK \l _Toc11927 </w:instrText>
              </w:r>
              <w:r>
                <w:rPr>
                  <w:rFonts w:hint="eastAsia" w:ascii="黑体" w:hAnsi="黑体" w:eastAsia="黑体" w:cs="黑体"/>
                  <w:b w:val="0"/>
                  <w:bCs w:val="0"/>
                  <w:color w:val="auto"/>
                  <w:sz w:val="30"/>
                  <w:szCs w:val="30"/>
                  <w:highlight w:val="none"/>
                </w:rPr>
                <w:fldChar w:fldCharType="separate"/>
              </w:r>
              <w:r>
                <w:rPr>
                  <w:rFonts w:hint="eastAsia" w:ascii="黑体" w:hAnsi="黑体" w:eastAsia="黑体" w:cs="黑体"/>
                  <w:b w:val="0"/>
                  <w:bCs w:val="0"/>
                  <w:color w:val="auto"/>
                  <w:sz w:val="30"/>
                  <w:szCs w:val="30"/>
                  <w:highlight w:val="none"/>
                </w:rPr>
                <w:t xml:space="preserve">第二章  </w:t>
              </w:r>
              <w:r>
                <w:rPr>
                  <w:rFonts w:hint="eastAsia" w:ascii="黑体" w:hAnsi="黑体" w:eastAsia="黑体" w:cs="黑体"/>
                  <w:b w:val="0"/>
                  <w:bCs w:val="0"/>
                  <w:color w:val="auto"/>
                  <w:sz w:val="30"/>
                  <w:szCs w:val="30"/>
                  <w:highlight w:val="none"/>
                  <w:lang w:val="en-US" w:eastAsia="zh-CN"/>
                </w:rPr>
                <w:t>投标人</w:t>
              </w:r>
              <w:r>
                <w:rPr>
                  <w:rFonts w:hint="eastAsia" w:ascii="黑体" w:hAnsi="黑体" w:eastAsia="黑体" w:cs="黑体"/>
                  <w:b w:val="0"/>
                  <w:bCs w:val="0"/>
                  <w:color w:val="auto"/>
                  <w:sz w:val="30"/>
                  <w:szCs w:val="30"/>
                  <w:highlight w:val="none"/>
                </w:rPr>
                <w:t>须知</w:t>
              </w:r>
              <w:r>
                <w:rPr>
                  <w:rFonts w:hint="eastAsia" w:ascii="黑体" w:hAnsi="黑体" w:eastAsia="黑体" w:cs="黑体"/>
                  <w:b w:val="0"/>
                  <w:bCs w:val="0"/>
                  <w:color w:val="auto"/>
                  <w:sz w:val="30"/>
                  <w:szCs w:val="30"/>
                  <w:highlight w:val="none"/>
                </w:rPr>
                <w:fldChar w:fldCharType="end"/>
              </w:r>
              <w:r>
                <w:rPr>
                  <w:rFonts w:hint="eastAsia" w:cs="宋体"/>
                  <w:b w:val="0"/>
                  <w:bCs w:val="0"/>
                  <w:color w:val="auto"/>
                  <w:sz w:val="21"/>
                  <w:szCs w:val="21"/>
                  <w:highlight w:val="none"/>
                  <w:lang w:val="en-US" w:eastAsia="zh-CN"/>
                </w:rPr>
                <w:t>.............................................5</w:t>
              </w:r>
            </w:p>
            <w:p w14:paraId="60745397">
              <w:pPr>
                <w:pStyle w:val="32"/>
                <w:tabs>
                  <w:tab w:val="right" w:leader="dot" w:pos="9638"/>
                  <w:tab w:val="clear" w:pos="8398"/>
                </w:tabs>
                <w:rPr>
                  <w:rFonts w:hint="default" w:ascii="宋体" w:hAnsi="宋体" w:eastAsia="宋体" w:cs="宋体"/>
                  <w:b w:val="0"/>
                  <w:bCs w:val="0"/>
                  <w:sz w:val="30"/>
                  <w:szCs w:val="30"/>
                  <w:highlight w:val="none"/>
                  <w:lang w:val="en-US" w:eastAsia="zh-CN"/>
                </w:rPr>
              </w:pPr>
              <w:r>
                <w:rPr>
                  <w:rFonts w:hint="eastAsia" w:ascii="黑体" w:hAnsi="黑体" w:eastAsia="黑体" w:cs="黑体"/>
                  <w:b w:val="0"/>
                  <w:bCs w:val="0"/>
                  <w:color w:val="auto"/>
                  <w:sz w:val="30"/>
                  <w:szCs w:val="30"/>
                  <w:highlight w:val="none"/>
                </w:rPr>
                <w:fldChar w:fldCharType="begin"/>
              </w:r>
              <w:r>
                <w:rPr>
                  <w:rFonts w:hint="eastAsia" w:ascii="黑体" w:hAnsi="黑体" w:eastAsia="黑体" w:cs="黑体"/>
                  <w:b w:val="0"/>
                  <w:bCs w:val="0"/>
                  <w:color w:val="auto"/>
                  <w:sz w:val="30"/>
                  <w:szCs w:val="30"/>
                  <w:highlight w:val="none"/>
                </w:rPr>
                <w:instrText xml:space="preserve"> HYPERLINK \l _Toc9309 </w:instrText>
              </w:r>
              <w:r>
                <w:rPr>
                  <w:rFonts w:hint="eastAsia" w:ascii="黑体" w:hAnsi="黑体" w:eastAsia="黑体" w:cs="黑体"/>
                  <w:b w:val="0"/>
                  <w:bCs w:val="0"/>
                  <w:color w:val="auto"/>
                  <w:sz w:val="30"/>
                  <w:szCs w:val="30"/>
                  <w:highlight w:val="none"/>
                </w:rPr>
                <w:fldChar w:fldCharType="separate"/>
              </w:r>
              <w:r>
                <w:rPr>
                  <w:rFonts w:hint="eastAsia" w:ascii="黑体" w:hAnsi="黑体" w:eastAsia="黑体" w:cs="黑体"/>
                  <w:b w:val="0"/>
                  <w:bCs w:val="0"/>
                  <w:color w:val="auto"/>
                  <w:sz w:val="30"/>
                  <w:szCs w:val="30"/>
                  <w:highlight w:val="none"/>
                </w:rPr>
                <w:t xml:space="preserve">第三章  </w:t>
              </w:r>
              <w:r>
                <w:rPr>
                  <w:rFonts w:hint="eastAsia" w:ascii="黑体" w:hAnsi="黑体" w:eastAsia="黑体" w:cs="黑体"/>
                  <w:b w:val="0"/>
                  <w:bCs w:val="0"/>
                  <w:color w:val="auto"/>
                  <w:sz w:val="30"/>
                  <w:szCs w:val="30"/>
                  <w:highlight w:val="none"/>
                  <w:lang w:eastAsia="zh-CN"/>
                </w:rPr>
                <w:t>项目需求</w:t>
              </w:r>
              <w:r>
                <w:rPr>
                  <w:rFonts w:hint="eastAsia" w:ascii="黑体" w:hAnsi="黑体" w:eastAsia="黑体" w:cs="黑体"/>
                  <w:b w:val="0"/>
                  <w:bCs w:val="0"/>
                  <w:color w:val="auto"/>
                  <w:sz w:val="30"/>
                  <w:szCs w:val="30"/>
                  <w:highlight w:val="none"/>
                  <w:lang w:val="en-US" w:eastAsia="zh-CN"/>
                </w:rPr>
                <w:t>参数</w:t>
              </w:r>
              <w:r>
                <w:rPr>
                  <w:rFonts w:hint="eastAsia" w:ascii="黑体" w:hAnsi="黑体" w:eastAsia="黑体" w:cs="黑体"/>
                  <w:b w:val="0"/>
                  <w:bCs w:val="0"/>
                  <w:color w:val="auto"/>
                  <w:sz w:val="30"/>
                  <w:szCs w:val="30"/>
                  <w:highlight w:val="none"/>
                </w:rPr>
                <w:fldChar w:fldCharType="end"/>
              </w:r>
              <w:r>
                <w:rPr>
                  <w:rFonts w:hint="eastAsia" w:cs="宋体"/>
                  <w:b w:val="0"/>
                  <w:bCs w:val="0"/>
                  <w:color w:val="auto"/>
                  <w:sz w:val="21"/>
                  <w:szCs w:val="21"/>
                  <w:highlight w:val="none"/>
                  <w:lang w:val="en-US" w:eastAsia="zh-CN"/>
                </w:rPr>
                <w:t>..........................................11</w:t>
              </w:r>
            </w:p>
            <w:p w14:paraId="7627EAB0">
              <w:pPr>
                <w:pStyle w:val="32"/>
                <w:tabs>
                  <w:tab w:val="right" w:leader="dot" w:pos="9638"/>
                  <w:tab w:val="clear" w:pos="8398"/>
                </w:tabs>
                <w:rPr>
                  <w:rFonts w:hint="default" w:ascii="宋体" w:hAnsi="宋体" w:eastAsia="宋体" w:cs="宋体"/>
                  <w:b w:val="0"/>
                  <w:bCs w:val="0"/>
                  <w:color w:val="auto"/>
                  <w:sz w:val="30"/>
                  <w:szCs w:val="30"/>
                  <w:highlight w:val="none"/>
                  <w:lang w:val="en-US" w:eastAsia="zh-CN"/>
                </w:rPr>
              </w:pPr>
              <w:r>
                <w:rPr>
                  <w:rFonts w:hint="eastAsia" w:ascii="黑体" w:hAnsi="黑体" w:eastAsia="黑体" w:cs="黑体"/>
                  <w:b w:val="0"/>
                  <w:bCs w:val="0"/>
                  <w:color w:val="auto"/>
                  <w:sz w:val="30"/>
                  <w:szCs w:val="30"/>
                  <w:highlight w:val="none"/>
                </w:rPr>
                <w:fldChar w:fldCharType="begin"/>
              </w:r>
              <w:r>
                <w:rPr>
                  <w:rFonts w:hint="eastAsia" w:ascii="黑体" w:hAnsi="黑体" w:eastAsia="黑体" w:cs="黑体"/>
                  <w:b w:val="0"/>
                  <w:bCs w:val="0"/>
                  <w:color w:val="auto"/>
                  <w:sz w:val="30"/>
                  <w:szCs w:val="30"/>
                  <w:highlight w:val="none"/>
                </w:rPr>
                <w:instrText xml:space="preserve"> HYPERLINK \l _Toc16541 </w:instrText>
              </w:r>
              <w:r>
                <w:rPr>
                  <w:rFonts w:hint="eastAsia" w:ascii="黑体" w:hAnsi="黑体" w:eastAsia="黑体" w:cs="黑体"/>
                  <w:b w:val="0"/>
                  <w:bCs w:val="0"/>
                  <w:color w:val="auto"/>
                  <w:sz w:val="30"/>
                  <w:szCs w:val="30"/>
                  <w:highlight w:val="none"/>
                </w:rPr>
                <w:fldChar w:fldCharType="separate"/>
              </w:r>
              <w:r>
                <w:rPr>
                  <w:rFonts w:hint="eastAsia" w:ascii="黑体" w:hAnsi="黑体" w:eastAsia="黑体" w:cs="黑体"/>
                  <w:b w:val="0"/>
                  <w:bCs w:val="0"/>
                  <w:color w:val="auto"/>
                  <w:sz w:val="30"/>
                  <w:szCs w:val="30"/>
                  <w:highlight w:val="none"/>
                </w:rPr>
                <w:t>第四章  评</w:t>
              </w:r>
              <w:r>
                <w:rPr>
                  <w:rFonts w:hint="eastAsia" w:ascii="黑体" w:hAnsi="黑体" w:eastAsia="黑体" w:cs="黑体"/>
                  <w:b w:val="0"/>
                  <w:bCs w:val="0"/>
                  <w:color w:val="auto"/>
                  <w:sz w:val="30"/>
                  <w:szCs w:val="30"/>
                  <w:highlight w:val="none"/>
                  <w:lang w:val="en-US" w:eastAsia="zh-CN"/>
                </w:rPr>
                <w:t>审方法</w:t>
              </w:r>
              <w:r>
                <w:rPr>
                  <w:rFonts w:hint="eastAsia" w:ascii="黑体" w:hAnsi="黑体" w:eastAsia="黑体" w:cs="黑体"/>
                  <w:b w:val="0"/>
                  <w:bCs w:val="0"/>
                  <w:color w:val="auto"/>
                  <w:sz w:val="30"/>
                  <w:szCs w:val="30"/>
                  <w:highlight w:val="none"/>
                </w:rPr>
                <w:fldChar w:fldCharType="end"/>
              </w:r>
              <w:r>
                <w:rPr>
                  <w:rFonts w:hint="eastAsia" w:cs="宋体"/>
                  <w:b w:val="0"/>
                  <w:bCs w:val="0"/>
                  <w:color w:val="auto"/>
                  <w:sz w:val="21"/>
                  <w:szCs w:val="21"/>
                  <w:highlight w:val="none"/>
                  <w:lang w:val="en-US" w:eastAsia="zh-CN"/>
                </w:rPr>
                <w:t>...............................................13</w:t>
              </w:r>
            </w:p>
            <w:p w14:paraId="31FDFC59">
              <w:pPr>
                <w:ind w:firstLine="300" w:firstLineChars="100"/>
                <w:rPr>
                  <w:rFonts w:hint="default" w:ascii="宋体" w:hAnsi="宋体" w:eastAsia="宋体" w:cs="宋体"/>
                  <w:b w:val="0"/>
                  <w:bCs w:val="0"/>
                  <w:caps/>
                  <w:color w:val="auto"/>
                  <w:kern w:val="2"/>
                  <w:sz w:val="21"/>
                  <w:szCs w:val="21"/>
                  <w:highlight w:val="none"/>
                  <w:lang w:val="en-US" w:eastAsia="zh-CN" w:bidi="ar-SA"/>
                </w:rPr>
              </w:pPr>
              <w:r>
                <w:rPr>
                  <w:rFonts w:hint="eastAsia" w:ascii="黑体" w:hAnsi="黑体" w:eastAsia="黑体" w:cs="黑体"/>
                  <w:b w:val="0"/>
                  <w:bCs w:val="0"/>
                  <w:caps/>
                  <w:color w:val="auto"/>
                  <w:kern w:val="2"/>
                  <w:sz w:val="30"/>
                  <w:szCs w:val="30"/>
                  <w:highlight w:val="none"/>
                  <w:lang w:val="en-US" w:eastAsia="zh-CN" w:bidi="ar-SA"/>
                </w:rPr>
                <w:t>第五章  拟签订合同文本</w:t>
              </w:r>
              <w:r>
                <w:rPr>
                  <w:rFonts w:hint="eastAsia" w:ascii="宋体" w:hAnsi="宋体" w:eastAsia="宋体" w:cs="宋体"/>
                  <w:b w:val="0"/>
                  <w:bCs w:val="0"/>
                  <w:caps/>
                  <w:color w:val="auto"/>
                  <w:kern w:val="2"/>
                  <w:sz w:val="21"/>
                  <w:szCs w:val="21"/>
                  <w:highlight w:val="none"/>
                  <w:lang w:val="en-US" w:eastAsia="zh-CN" w:bidi="ar-SA"/>
                </w:rPr>
                <w:t>.......................................</w:t>
              </w:r>
              <w:r>
                <w:rPr>
                  <w:rFonts w:hint="eastAsia" w:ascii="宋体" w:hAnsi="宋体" w:cs="宋体"/>
                  <w:b w:val="0"/>
                  <w:bCs w:val="0"/>
                  <w:caps/>
                  <w:color w:val="auto"/>
                  <w:kern w:val="2"/>
                  <w:sz w:val="21"/>
                  <w:szCs w:val="21"/>
                  <w:highlight w:val="none"/>
                  <w:lang w:val="en-US" w:eastAsia="zh-CN" w:bidi="ar-SA"/>
                </w:rPr>
                <w:t>19</w:t>
              </w:r>
            </w:p>
            <w:p w14:paraId="76CE2965">
              <w:pPr>
                <w:pStyle w:val="32"/>
                <w:tabs>
                  <w:tab w:val="right" w:leader="dot" w:pos="9638"/>
                  <w:tab w:val="clear" w:pos="8398"/>
                </w:tabs>
                <w:rPr>
                  <w:rFonts w:hint="default" w:ascii="宋体" w:hAnsi="宋体" w:eastAsia="宋体" w:cs="宋体"/>
                  <w:b w:val="0"/>
                  <w:bCs w:val="0"/>
                  <w:sz w:val="30"/>
                  <w:szCs w:val="30"/>
                  <w:highlight w:val="none"/>
                  <w:lang w:val="en-US" w:eastAsia="zh-CN"/>
                </w:rPr>
              </w:pPr>
              <w:r>
                <w:rPr>
                  <w:rFonts w:hint="eastAsia" w:ascii="黑体" w:hAnsi="黑体" w:eastAsia="黑体" w:cs="黑体"/>
                  <w:b w:val="0"/>
                  <w:bCs w:val="0"/>
                  <w:caps/>
                  <w:color w:val="auto"/>
                  <w:kern w:val="2"/>
                  <w:sz w:val="30"/>
                  <w:szCs w:val="30"/>
                  <w:highlight w:val="none"/>
                  <w:lang w:val="en-US" w:eastAsia="zh-CN" w:bidi="ar-SA"/>
                </w:rPr>
                <w:fldChar w:fldCharType="begin"/>
              </w:r>
              <w:r>
                <w:rPr>
                  <w:rFonts w:hint="eastAsia" w:ascii="黑体" w:hAnsi="黑体" w:eastAsia="黑体" w:cs="黑体"/>
                  <w:b w:val="0"/>
                  <w:bCs w:val="0"/>
                  <w:caps/>
                  <w:color w:val="auto"/>
                  <w:kern w:val="2"/>
                  <w:sz w:val="30"/>
                  <w:szCs w:val="30"/>
                  <w:highlight w:val="none"/>
                  <w:lang w:val="en-US" w:eastAsia="zh-CN" w:bidi="ar-SA"/>
                </w:rPr>
                <w:instrText xml:space="preserve"> HYPERLINK \l _Toc26063 </w:instrText>
              </w:r>
              <w:r>
                <w:rPr>
                  <w:rFonts w:hint="eastAsia" w:ascii="黑体" w:hAnsi="黑体" w:eastAsia="黑体" w:cs="黑体"/>
                  <w:b w:val="0"/>
                  <w:bCs w:val="0"/>
                  <w:caps/>
                  <w:color w:val="auto"/>
                  <w:kern w:val="2"/>
                  <w:sz w:val="30"/>
                  <w:szCs w:val="30"/>
                  <w:highlight w:val="none"/>
                  <w:lang w:val="en-US" w:eastAsia="zh-CN" w:bidi="ar-SA"/>
                </w:rPr>
                <w:fldChar w:fldCharType="separate"/>
              </w:r>
              <w:r>
                <w:rPr>
                  <w:rFonts w:hint="eastAsia" w:ascii="黑体" w:hAnsi="黑体" w:eastAsia="黑体" w:cs="黑体"/>
                  <w:b w:val="0"/>
                  <w:bCs w:val="0"/>
                  <w:caps/>
                  <w:color w:val="auto"/>
                  <w:kern w:val="2"/>
                  <w:sz w:val="30"/>
                  <w:szCs w:val="30"/>
                  <w:highlight w:val="none"/>
                  <w:lang w:val="en-US" w:eastAsia="zh-CN" w:bidi="ar-SA"/>
                </w:rPr>
                <w:t>第六章  响应文件格式</w:t>
              </w:r>
              <w:r>
                <w:rPr>
                  <w:rFonts w:hint="eastAsia" w:ascii="黑体" w:hAnsi="黑体" w:eastAsia="黑体" w:cs="黑体"/>
                  <w:b w:val="0"/>
                  <w:bCs w:val="0"/>
                  <w:caps/>
                  <w:color w:val="auto"/>
                  <w:kern w:val="2"/>
                  <w:sz w:val="30"/>
                  <w:szCs w:val="30"/>
                  <w:highlight w:val="none"/>
                  <w:lang w:val="en-US" w:eastAsia="zh-CN" w:bidi="ar-SA"/>
                </w:rPr>
                <w:fldChar w:fldCharType="end"/>
              </w:r>
              <w:r>
                <w:rPr>
                  <w:rFonts w:hint="eastAsia" w:cs="宋体"/>
                  <w:b w:val="0"/>
                  <w:bCs w:val="0"/>
                  <w:color w:val="auto"/>
                  <w:sz w:val="21"/>
                  <w:szCs w:val="21"/>
                  <w:highlight w:val="none"/>
                  <w:lang w:val="en-US" w:eastAsia="zh-CN"/>
                </w:rPr>
                <w:t>..........................................20</w:t>
              </w:r>
            </w:p>
            <w:p w14:paraId="0E2ADADB">
              <w:pPr>
                <w:rPr>
                  <w:rFonts w:hint="eastAsia" w:ascii="宋体" w:hAnsi="宋体" w:eastAsia="宋体" w:cs="Times New Roman"/>
                  <w:color w:val="auto"/>
                  <w:kern w:val="2"/>
                  <w:sz w:val="28"/>
                  <w:szCs w:val="28"/>
                  <w:highlight w:val="none"/>
                  <w:lang w:val="en-US" w:eastAsia="zh-CN" w:bidi="ar-SA"/>
                </w:rPr>
              </w:pPr>
              <w:r>
                <w:rPr>
                  <w:rFonts w:hint="eastAsia" w:hAnsi="宋体"/>
                  <w:color w:val="auto"/>
                  <w:szCs w:val="28"/>
                  <w:highlight w:val="none"/>
                </w:rPr>
                <w:fldChar w:fldCharType="end"/>
              </w:r>
            </w:p>
          </w:sdtContent>
        </w:sdt>
        <w:p w14:paraId="280FC9D1">
          <w:pPr>
            <w:rPr>
              <w:rFonts w:hint="eastAsia" w:ascii="Cambria" w:hAnsi="Cambria" w:eastAsia="宋体" w:cs="Times New Roman"/>
              <w:b/>
              <w:bCs/>
              <w:color w:val="000000"/>
              <w:sz w:val="32"/>
              <w:szCs w:val="32"/>
              <w:highlight w:val="none"/>
              <w:lang w:val="zh-CN" w:eastAsia="zh-CN"/>
            </w:rPr>
          </w:pPr>
          <w:r>
            <w:rPr>
              <w:rFonts w:hint="eastAsia" w:ascii="Cambria" w:hAnsi="Cambria" w:eastAsia="宋体" w:cs="Times New Roman"/>
              <w:b/>
              <w:bCs/>
              <w:color w:val="000000"/>
              <w:sz w:val="32"/>
              <w:szCs w:val="32"/>
              <w:highlight w:val="none"/>
              <w:lang w:val="zh-CN" w:eastAsia="zh-CN"/>
            </w:rPr>
            <w:br w:type="page"/>
          </w:r>
        </w:p>
        <w:p w14:paraId="6BFA718E">
          <w:pPr>
            <w:keepNext/>
            <w:keepLines/>
            <w:spacing w:before="260" w:after="260" w:line="416" w:lineRule="auto"/>
            <w:jc w:val="center"/>
            <w:outlineLvl w:val="1"/>
            <w:rPr>
              <w:rFonts w:ascii="Cambria" w:hAnsi="Cambria" w:eastAsia="宋体" w:cs="Times New Roman"/>
              <w:b/>
              <w:bCs/>
              <w:color w:val="000000"/>
              <w:sz w:val="32"/>
              <w:szCs w:val="32"/>
              <w:highlight w:val="none"/>
              <w:lang w:val="zh-CN" w:eastAsia="zh-CN"/>
            </w:rPr>
          </w:pPr>
          <w:r>
            <w:rPr>
              <w:rFonts w:hint="eastAsia" w:ascii="Cambria" w:hAnsi="Cambria" w:eastAsia="宋体" w:cs="Times New Roman"/>
              <w:b/>
              <w:bCs/>
              <w:color w:val="000000"/>
              <w:sz w:val="32"/>
              <w:szCs w:val="32"/>
              <w:highlight w:val="none"/>
              <w:lang w:val="zh-CN" w:eastAsia="zh-CN"/>
            </w:rPr>
            <w:t>第一章 竞争性磋商公告</w:t>
          </w:r>
        </w:p>
        <w:p w14:paraId="2EFFD9E5">
          <w:pPr>
            <w:keepNext/>
            <w:keepLines/>
            <w:spacing w:line="320" w:lineRule="exact"/>
            <w:ind w:firstLine="420" w:firstLineChars="200"/>
            <w:outlineLvl w:val="1"/>
            <w:rPr>
              <w:rFonts w:hint="eastAsia" w:ascii="宋体" w:hAnsi="宋体" w:eastAsia="宋体" w:cs="宋体"/>
              <w:b w:val="0"/>
              <w:bCs/>
              <w:color w:val="000000"/>
              <w:szCs w:val="21"/>
              <w:highlight w:val="none"/>
              <w:lang w:val="zh-CN" w:eastAsia="zh-CN"/>
            </w:rPr>
          </w:pPr>
          <w:bookmarkStart w:id="0" w:name="_Toc28359012"/>
          <w:bookmarkStart w:id="1" w:name="_Toc44229878"/>
          <w:bookmarkStart w:id="2" w:name="_Toc35393798"/>
          <w:bookmarkStart w:id="3" w:name="_Toc28359089"/>
          <w:bookmarkStart w:id="4" w:name="_Toc47452205"/>
          <w:bookmarkStart w:id="5" w:name="_Toc35393629"/>
          <w:r>
            <w:rPr>
              <w:rFonts w:hint="eastAsia" w:ascii="宋体" w:hAnsi="宋体" w:eastAsia="宋体" w:cs="宋体"/>
              <w:b w:val="0"/>
              <w:bCs/>
              <w:color w:val="000000"/>
              <w:szCs w:val="21"/>
              <w:highlight w:val="none"/>
              <w:lang w:val="zh-CN" w:eastAsia="zh-CN"/>
            </w:rPr>
            <w:t>根据医院业务需要，拟</w:t>
          </w:r>
          <w:r>
            <w:rPr>
              <w:rFonts w:hint="eastAsia" w:ascii="宋体" w:hAnsi="宋体" w:eastAsia="宋体" w:cs="宋体"/>
              <w:b w:val="0"/>
              <w:bCs/>
              <w:color w:val="000000"/>
              <w:szCs w:val="21"/>
              <w:highlight w:val="none"/>
              <w:lang w:val="en-US" w:eastAsia="zh-CN"/>
            </w:rPr>
            <w:t>进行</w:t>
          </w:r>
          <w:r>
            <w:rPr>
              <w:rFonts w:hint="eastAsia" w:ascii="宋体" w:hAnsi="宋体" w:cs="宋体"/>
              <w:b w:val="0"/>
              <w:bCs/>
              <w:color w:val="000000"/>
              <w:szCs w:val="21"/>
              <w:highlight w:val="none"/>
              <w:lang w:val="en-US" w:eastAsia="zh-CN"/>
            </w:rPr>
            <w:t>文献数据库</w:t>
          </w:r>
          <w:r>
            <w:rPr>
              <w:rFonts w:hint="eastAsia" w:ascii="宋体" w:hAnsi="宋体" w:eastAsia="宋体" w:cs="Times New Roman"/>
              <w:color w:val="000000"/>
              <w:szCs w:val="21"/>
              <w:highlight w:val="none"/>
            </w:rPr>
            <w:t>服务</w:t>
          </w:r>
          <w:r>
            <w:rPr>
              <w:rFonts w:hint="eastAsia" w:ascii="宋体" w:hAnsi="宋体" w:eastAsia="宋体" w:cs="宋体"/>
              <w:b w:val="0"/>
              <w:bCs/>
              <w:color w:val="000000"/>
              <w:szCs w:val="21"/>
              <w:highlight w:val="none"/>
              <w:lang w:val="en-US" w:eastAsia="zh-CN"/>
            </w:rPr>
            <w:t>院内竞争性磋商</w:t>
          </w:r>
          <w:r>
            <w:rPr>
              <w:rFonts w:hint="eastAsia" w:ascii="宋体" w:hAnsi="宋体" w:cs="宋体"/>
              <w:b w:val="0"/>
              <w:bCs/>
              <w:color w:val="000000"/>
              <w:szCs w:val="21"/>
              <w:highlight w:val="none"/>
              <w:lang w:val="en-US" w:eastAsia="zh-CN"/>
            </w:rPr>
            <w:t>采购</w:t>
          </w:r>
          <w:r>
            <w:rPr>
              <w:rFonts w:hint="eastAsia" w:ascii="宋体" w:hAnsi="宋体" w:eastAsia="宋体" w:cs="宋体"/>
              <w:b w:val="0"/>
              <w:bCs/>
              <w:color w:val="000000"/>
              <w:szCs w:val="21"/>
              <w:highlight w:val="none"/>
              <w:lang w:val="zh-CN" w:eastAsia="zh-CN"/>
            </w:rPr>
            <w:t>，</w:t>
          </w:r>
          <w:r>
            <w:rPr>
              <w:rFonts w:hint="eastAsia" w:ascii="宋体" w:hAnsi="宋体" w:eastAsia="宋体" w:cs="宋体"/>
              <w:b w:val="0"/>
              <w:bCs/>
              <w:color w:val="000000"/>
              <w:szCs w:val="21"/>
              <w:highlight w:val="none"/>
              <w:lang w:val="en-US" w:eastAsia="zh-CN"/>
            </w:rPr>
            <w:t>请符合条件的供应商在规定时间内获取磋商文件，并按要求提交响应文件</w:t>
          </w:r>
          <w:r>
            <w:rPr>
              <w:rFonts w:hint="eastAsia" w:ascii="宋体" w:hAnsi="宋体" w:eastAsia="宋体" w:cs="宋体"/>
              <w:b w:val="0"/>
              <w:bCs/>
              <w:color w:val="000000"/>
              <w:szCs w:val="21"/>
              <w:highlight w:val="none"/>
              <w:lang w:val="zh-CN" w:eastAsia="zh-CN"/>
            </w:rPr>
            <w:t>。</w:t>
          </w:r>
        </w:p>
        <w:p w14:paraId="3C634C29">
          <w:pPr>
            <w:keepNext/>
            <w:keepLines/>
            <w:spacing w:line="320" w:lineRule="exact"/>
            <w:ind w:firstLine="422" w:firstLineChars="200"/>
            <w:outlineLvl w:val="1"/>
            <w:rPr>
              <w:rFonts w:ascii="宋体" w:hAnsi="宋体" w:eastAsia="宋体" w:cs="宋体"/>
              <w:b/>
              <w:color w:val="000000"/>
              <w:szCs w:val="21"/>
              <w:highlight w:val="none"/>
              <w:lang w:val="zh-CN" w:eastAsia="zh-CN"/>
            </w:rPr>
          </w:pPr>
          <w:r>
            <w:rPr>
              <w:rFonts w:hint="eastAsia" w:ascii="宋体" w:hAnsi="宋体" w:eastAsia="宋体" w:cs="宋体"/>
              <w:b/>
              <w:color w:val="000000"/>
              <w:szCs w:val="21"/>
              <w:highlight w:val="none"/>
              <w:lang w:val="zh-CN" w:eastAsia="zh-CN"/>
            </w:rPr>
            <w:t>一、项目基本情况</w:t>
          </w:r>
          <w:bookmarkEnd w:id="0"/>
          <w:bookmarkEnd w:id="1"/>
          <w:bookmarkEnd w:id="2"/>
          <w:bookmarkEnd w:id="3"/>
          <w:bookmarkEnd w:id="4"/>
          <w:bookmarkEnd w:id="5"/>
        </w:p>
        <w:p w14:paraId="381E8374">
          <w:pPr>
            <w:spacing w:line="320" w:lineRule="exact"/>
            <w:ind w:firstLine="420" w:firstLineChars="20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项目编号：GXGSYY-CGB-</w:t>
          </w:r>
          <w:r>
            <w:rPr>
              <w:rFonts w:hint="eastAsia" w:ascii="宋体" w:hAnsi="宋体" w:cs="Times New Roman"/>
              <w:color w:val="000000"/>
              <w:szCs w:val="21"/>
              <w:highlight w:val="none"/>
              <w:lang w:val="en-US" w:eastAsia="zh-CN"/>
            </w:rPr>
            <w:t>KJB</w:t>
          </w:r>
          <w:r>
            <w:rPr>
              <w:rFonts w:hint="eastAsia" w:ascii="宋体" w:hAnsi="宋体" w:eastAsia="宋体" w:cs="Times New Roman"/>
              <w:color w:val="000000"/>
              <w:szCs w:val="21"/>
              <w:highlight w:val="none"/>
            </w:rPr>
            <w:t>-202</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w:t>
          </w:r>
          <w:r>
            <w:rPr>
              <w:rFonts w:hint="eastAsia" w:ascii="宋体" w:hAnsi="宋体" w:cs="Times New Roman"/>
              <w:color w:val="000000"/>
              <w:szCs w:val="21"/>
              <w:highlight w:val="none"/>
              <w:lang w:val="en-US" w:eastAsia="zh-CN"/>
            </w:rPr>
            <w:t xml:space="preserve">02  </w:t>
          </w:r>
        </w:p>
        <w:p w14:paraId="1C627181">
          <w:pPr>
            <w:spacing w:line="320" w:lineRule="exact"/>
            <w:ind w:firstLine="420" w:firstLineChars="200"/>
            <w:rPr>
              <w:rFonts w:hint="eastAsia" w:ascii="宋体" w:hAnsi="宋体" w:eastAsia="宋体" w:cs="Times New Roman"/>
              <w:color w:val="000000"/>
              <w:szCs w:val="21"/>
              <w:highlight w:val="none"/>
              <w:u w:val="single"/>
              <w:lang w:eastAsia="zh-CN"/>
            </w:rPr>
          </w:pP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项目名称：</w:t>
          </w:r>
          <w:bookmarkStart w:id="97" w:name="_GoBack"/>
          <w:r>
            <w:rPr>
              <w:rFonts w:hint="eastAsia" w:ascii="宋体" w:hAnsi="宋体" w:eastAsia="宋体" w:cs="Times New Roman"/>
              <w:color w:val="000000"/>
              <w:kern w:val="2"/>
              <w:sz w:val="21"/>
              <w:szCs w:val="21"/>
              <w:highlight w:val="none"/>
              <w:lang w:val="en-US" w:eastAsia="zh-CN" w:bidi="ar-SA"/>
            </w:rPr>
            <w:t>广西骨伤医院文献数据库服务采购项目</w:t>
          </w:r>
          <w:bookmarkEnd w:id="97"/>
        </w:p>
        <w:p w14:paraId="7131245A">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采购方式：竞争性磋商</w:t>
          </w:r>
        </w:p>
        <w:p w14:paraId="7AAB111C">
          <w:pPr>
            <w:spacing w:line="320" w:lineRule="exact"/>
            <w:ind w:firstLine="420" w:firstLineChars="20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采购上控价</w:t>
          </w:r>
          <w:r>
            <w:rPr>
              <w:rFonts w:hint="eastAsia" w:ascii="宋体" w:hAnsi="宋体" w:eastAsia="宋体" w:cs="Times New Roman"/>
              <w:color w:val="000000"/>
              <w:szCs w:val="21"/>
              <w:highlight w:val="none"/>
            </w:rPr>
            <w:t>：</w:t>
          </w:r>
          <w:r>
            <w:rPr>
              <w:rFonts w:hint="eastAsia" w:ascii="宋体" w:hAnsi="宋体" w:cs="Times New Roman"/>
              <w:color w:val="000000"/>
              <w:szCs w:val="21"/>
              <w:highlight w:val="none"/>
              <w:lang w:val="en-US" w:eastAsia="zh-CN"/>
            </w:rPr>
            <w:t>5</w:t>
          </w:r>
          <w:r>
            <w:rPr>
              <w:rFonts w:hint="eastAsia" w:ascii="宋体" w:hAnsi="宋体" w:eastAsia="宋体" w:cs="Times New Roman"/>
              <w:color w:val="000000"/>
              <w:szCs w:val="21"/>
              <w:highlight w:val="none"/>
              <w:lang w:val="en-US" w:eastAsia="zh-CN"/>
            </w:rPr>
            <w:t>万元</w:t>
          </w:r>
          <w:bookmarkStart w:id="6" w:name="_Toc28359013"/>
          <w:bookmarkStart w:id="7" w:name="_Toc44229879"/>
          <w:bookmarkStart w:id="8" w:name="_Toc47452206"/>
          <w:bookmarkStart w:id="9" w:name="_Toc35393799"/>
          <w:bookmarkStart w:id="10" w:name="_Toc35393630"/>
          <w:bookmarkStart w:id="11" w:name="_Toc28359090"/>
          <w:r>
            <w:rPr>
              <w:rFonts w:hint="eastAsia" w:ascii="宋体" w:hAnsi="宋体" w:cs="Times New Roman"/>
              <w:color w:val="000000"/>
              <w:szCs w:val="21"/>
              <w:highlight w:val="none"/>
              <w:lang w:val="en-US" w:eastAsia="zh-CN"/>
            </w:rPr>
            <w:t>整</w:t>
          </w:r>
        </w:p>
        <w:p w14:paraId="6401FC8B">
          <w:pPr>
            <w:spacing w:line="320" w:lineRule="exact"/>
            <w:ind w:firstLine="420" w:firstLineChars="200"/>
            <w:rPr>
              <w:rFonts w:hint="default" w:ascii="宋体" w:hAnsi="宋体" w:eastAsia="宋体" w:cs="Times New Roman"/>
              <w:color w:val="000000"/>
              <w:szCs w:val="21"/>
              <w:highlight w:val="none"/>
              <w:lang w:val="en-US" w:eastAsia="zh-CN"/>
            </w:rPr>
          </w:pPr>
          <w:r>
            <w:rPr>
              <w:rFonts w:hint="eastAsia" w:ascii="宋体" w:hAnsi="宋体" w:cs="Times New Roman"/>
              <w:color w:val="000000"/>
              <w:szCs w:val="21"/>
              <w:highlight w:val="none"/>
              <w:lang w:val="en-US" w:eastAsia="zh-CN"/>
            </w:rPr>
            <w:t>5.合同期限：自合同签订之日起2年</w:t>
          </w:r>
        </w:p>
        <w:p w14:paraId="1AD90E9D">
          <w:pPr>
            <w:spacing w:line="320" w:lineRule="exact"/>
            <w:ind w:firstLine="420" w:firstLineChars="200"/>
            <w:rPr>
              <w:rFonts w:hint="eastAsia"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6</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采购需求</w:t>
          </w:r>
          <w:r>
            <w:rPr>
              <w:rFonts w:hint="eastAsia" w:ascii="宋体" w:hAnsi="宋体" w:cs="Times New Roman"/>
              <w:color w:val="000000"/>
              <w:szCs w:val="21"/>
              <w:highlight w:val="none"/>
              <w:lang w:val="en-US" w:eastAsia="zh-CN"/>
            </w:rPr>
            <w:t>一览：</w:t>
          </w:r>
        </w:p>
        <w:p w14:paraId="7DECBE05">
          <w:pPr>
            <w:spacing w:line="320" w:lineRule="exact"/>
            <w:ind w:firstLine="420" w:firstLineChars="200"/>
            <w:rPr>
              <w:rFonts w:hint="default" w:ascii="宋体" w:hAnsi="宋体" w:cs="Times New Roman"/>
              <w:color w:val="000000"/>
              <w:szCs w:val="21"/>
              <w:highlight w:val="none"/>
              <w:lang w:val="en-US" w:eastAsia="zh-CN"/>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742"/>
          </w:tblGrid>
          <w:tr w14:paraId="06A89E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14:paraId="67ECAA64">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标的名称</w:t>
                </w:r>
              </w:p>
            </w:tc>
            <w:tc>
              <w:tcPr>
                <w:tcW w:w="992" w:type="dxa"/>
                <w:tcBorders>
                  <w:top w:val="single" w:color="auto" w:sz="4" w:space="0"/>
                  <w:left w:val="nil"/>
                  <w:bottom w:val="single" w:color="auto" w:sz="4" w:space="0"/>
                  <w:right w:val="single" w:color="auto" w:sz="4" w:space="0"/>
                </w:tcBorders>
                <w:vAlign w:val="center"/>
              </w:tcPr>
              <w:p w14:paraId="6D6094DD">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数量及单位</w:t>
                </w:r>
              </w:p>
            </w:tc>
            <w:tc>
              <w:tcPr>
                <w:tcW w:w="5742" w:type="dxa"/>
                <w:tcBorders>
                  <w:top w:val="single" w:color="auto" w:sz="4" w:space="0"/>
                  <w:left w:val="nil"/>
                  <w:bottom w:val="single" w:color="auto" w:sz="4" w:space="0"/>
                  <w:right w:val="single" w:color="auto" w:sz="4" w:space="0"/>
                </w:tcBorders>
                <w:vAlign w:val="center"/>
              </w:tcPr>
              <w:p w14:paraId="67B5BE7E">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简要技术需求或服务要求</w:t>
                </w:r>
              </w:p>
            </w:tc>
          </w:tr>
          <w:tr w14:paraId="02B6BB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tcPr>
              <w:p w14:paraId="577B86D1">
                <w:pPr>
                  <w:spacing w:line="440" w:lineRule="exact"/>
                  <w:jc w:val="center"/>
                  <w:rPr>
                    <w:rFonts w:ascii="宋体" w:hAnsi="宋体" w:eastAsia="宋体" w:cs="Calibri"/>
                    <w:color w:val="000000"/>
                    <w:szCs w:val="21"/>
                    <w:highlight w:val="none"/>
                  </w:rPr>
                </w:pPr>
                <w:r>
                  <w:rPr>
                    <w:rFonts w:hint="eastAsia" w:ascii="宋体" w:hAnsi="宋体" w:eastAsia="宋体" w:cs="Times New Roman"/>
                    <w:color w:val="000000"/>
                    <w:kern w:val="2"/>
                    <w:sz w:val="21"/>
                    <w:szCs w:val="21"/>
                    <w:highlight w:val="none"/>
                    <w:lang w:val="en-US" w:eastAsia="zh-CN" w:bidi="ar-SA"/>
                  </w:rPr>
                  <w:t>文献数据库服务</w:t>
                </w:r>
              </w:p>
            </w:tc>
            <w:tc>
              <w:tcPr>
                <w:tcW w:w="992" w:type="dxa"/>
                <w:tcBorders>
                  <w:top w:val="single" w:color="auto" w:sz="4" w:space="0"/>
                  <w:left w:val="nil"/>
                  <w:bottom w:val="single" w:color="auto" w:sz="4" w:space="0"/>
                  <w:right w:val="single" w:color="auto" w:sz="4" w:space="0"/>
                </w:tcBorders>
                <w:vAlign w:val="center"/>
              </w:tcPr>
              <w:p w14:paraId="1650A818">
                <w:pPr>
                  <w:spacing w:line="440" w:lineRule="exact"/>
                  <w:jc w:val="center"/>
                  <w:rPr>
                    <w:rFonts w:hint="eastAsia" w:ascii="宋体" w:hAnsi="宋体" w:eastAsia="宋体" w:cs="Calibri"/>
                    <w:color w:val="000000"/>
                    <w:szCs w:val="21"/>
                    <w:highlight w:val="none"/>
                    <w:lang w:val="en-US" w:eastAsia="zh-CN"/>
                  </w:rPr>
                </w:pPr>
                <w:r>
                  <w:rPr>
                    <w:rFonts w:hint="eastAsia" w:ascii="宋体" w:hAnsi="宋体" w:cs="Calibri"/>
                    <w:color w:val="000000"/>
                    <w:szCs w:val="21"/>
                    <w:highlight w:val="none"/>
                    <w:lang w:val="en-US" w:eastAsia="zh-CN"/>
                  </w:rPr>
                  <w:t>1项</w:t>
                </w:r>
              </w:p>
            </w:tc>
            <w:tc>
              <w:tcPr>
                <w:tcW w:w="5742" w:type="dxa"/>
                <w:tcBorders>
                  <w:top w:val="single" w:color="auto" w:sz="4" w:space="0"/>
                  <w:left w:val="nil"/>
                  <w:bottom w:val="single" w:color="auto" w:sz="4" w:space="0"/>
                  <w:right w:val="single" w:color="auto" w:sz="4" w:space="0"/>
                </w:tcBorders>
              </w:tcPr>
              <w:p w14:paraId="4E693DC7">
                <w:pPr>
                  <w:spacing w:line="440" w:lineRule="exact"/>
                  <w:rPr>
                    <w:rFonts w:hint="default" w:ascii="宋体" w:hAnsi="宋体" w:eastAsia="宋体" w:cs="Calibri"/>
                    <w:color w:val="000000"/>
                    <w:szCs w:val="21"/>
                    <w:highlight w:val="none"/>
                    <w:lang w:val="en-US" w:eastAsia="zh-CN"/>
                  </w:rPr>
                </w:pPr>
                <w:r>
                  <w:rPr>
                    <w:rFonts w:hint="default" w:ascii="宋体" w:hAnsi="宋体" w:eastAsia="宋体" w:cs="Calibri"/>
                    <w:color w:val="000000"/>
                    <w:szCs w:val="21"/>
                    <w:highlight w:val="none"/>
                    <w:lang w:val="en-US" w:eastAsia="zh-CN"/>
                  </w:rPr>
                  <w:t>1.中文期刊（包含但不限于医学期刊、中华医学期刊等），</w:t>
                </w:r>
                <w:r>
                  <w:rPr>
                    <w:rFonts w:hint="default" w:ascii="宋体" w:hAnsi="宋体" w:eastAsia="宋体" w:cs="Calibri"/>
                    <w:color w:val="000000"/>
                    <w:szCs w:val="21"/>
                    <w:highlight w:val="none"/>
                    <w:lang w:val="en-US"/>
                  </w:rPr>
                  <w:t>并且具有正规版权，无法律风险。</w:t>
                </w:r>
              </w:p>
              <w:p w14:paraId="1EC2A06B">
                <w:pPr>
                  <w:spacing w:line="440" w:lineRule="exact"/>
                  <w:rPr>
                    <w:rFonts w:hint="default" w:ascii="宋体" w:hAnsi="宋体" w:eastAsia="宋体" w:cs="Calibri"/>
                    <w:color w:val="000000"/>
                    <w:szCs w:val="21"/>
                    <w:highlight w:val="none"/>
                    <w:lang w:val="en-US" w:eastAsia="zh-CN"/>
                  </w:rPr>
                </w:pPr>
                <w:r>
                  <w:rPr>
                    <w:rFonts w:hint="default" w:ascii="宋体" w:hAnsi="宋体" w:eastAsia="宋体" w:cs="Calibri"/>
                    <w:color w:val="000000"/>
                    <w:szCs w:val="21"/>
                    <w:highlight w:val="none"/>
                    <w:lang w:val="en-US" w:eastAsia="zh-CN"/>
                  </w:rPr>
                  <w:t>2.学位论文（博士论文、硕士论文）数据库（包含但不限于医学类等），</w:t>
                </w:r>
                <w:r>
                  <w:rPr>
                    <w:rFonts w:hint="default" w:ascii="宋体" w:hAnsi="宋体" w:eastAsia="宋体" w:cs="Calibri"/>
                    <w:color w:val="000000"/>
                    <w:szCs w:val="21"/>
                    <w:highlight w:val="none"/>
                    <w:lang w:val="en-US"/>
                  </w:rPr>
                  <w:t>并且具有正规版权，无法律风险。</w:t>
                </w:r>
              </w:p>
              <w:p w14:paraId="40C7BDE6">
                <w:pPr>
                  <w:spacing w:line="440" w:lineRule="exact"/>
                  <w:rPr>
                    <w:rFonts w:hint="default" w:ascii="宋体" w:hAnsi="宋体" w:eastAsia="宋体" w:cs="Calibri"/>
                    <w:color w:val="000000"/>
                    <w:szCs w:val="21"/>
                    <w:highlight w:val="none"/>
                    <w:lang w:val="en-US" w:eastAsia="zh-CN"/>
                  </w:rPr>
                </w:pPr>
                <w:r>
                  <w:rPr>
                    <w:rFonts w:hint="default" w:ascii="宋体" w:hAnsi="宋体" w:eastAsia="宋体" w:cs="Calibri"/>
                    <w:color w:val="000000"/>
                    <w:szCs w:val="21"/>
                    <w:highlight w:val="none"/>
                    <w:lang w:val="en-US" w:eastAsia="zh-CN"/>
                  </w:rPr>
                  <w:t>3.可多个ip登录查询。</w:t>
                </w:r>
              </w:p>
              <w:p w14:paraId="6199F3ED">
                <w:pPr>
                  <w:spacing w:line="440" w:lineRule="exact"/>
                  <w:rPr>
                    <w:rFonts w:hint="default" w:ascii="宋体" w:hAnsi="宋体" w:eastAsia="宋体" w:cs="Calibri"/>
                    <w:color w:val="000000"/>
                    <w:szCs w:val="21"/>
                    <w:highlight w:val="none"/>
                    <w:lang w:val="en-US" w:eastAsia="zh-CN"/>
                  </w:rPr>
                </w:pPr>
                <w:r>
                  <w:rPr>
                    <w:rFonts w:hint="default" w:ascii="宋体" w:hAnsi="宋体" w:eastAsia="宋体" w:cs="Calibri"/>
                    <w:color w:val="000000"/>
                    <w:szCs w:val="21"/>
                    <w:highlight w:val="none"/>
                    <w:lang w:val="en-US" w:eastAsia="zh-CN"/>
                  </w:rPr>
                  <w:t>4.提供智能检索、句子检索等检索功能；且须提供句子检索截图证明；</w:t>
                </w:r>
              </w:p>
              <w:p w14:paraId="71E02C37">
                <w:pPr>
                  <w:spacing w:line="440" w:lineRule="exact"/>
                  <w:rPr>
                    <w:rFonts w:hint="default" w:ascii="宋体" w:hAnsi="宋体" w:eastAsia="宋体" w:cs="Calibri"/>
                    <w:color w:val="000000"/>
                    <w:szCs w:val="21"/>
                    <w:highlight w:val="none"/>
                    <w:lang w:val="en-US" w:eastAsia="zh-CN"/>
                  </w:rPr>
                </w:pPr>
                <w:r>
                  <w:rPr>
                    <w:rFonts w:hint="default" w:ascii="宋体" w:hAnsi="宋体" w:eastAsia="宋体" w:cs="Calibri"/>
                    <w:color w:val="000000"/>
                    <w:szCs w:val="21"/>
                    <w:highlight w:val="none"/>
                    <w:lang w:val="en-US" w:eastAsia="zh-CN"/>
                  </w:rPr>
                  <w:t>5．期刊数据库网络版部分全文支持HTML阅读模式阅读全文，且提供截图证明文件；</w:t>
                </w:r>
              </w:p>
              <w:p w14:paraId="2CAB9668">
                <w:pPr>
                  <w:spacing w:line="440" w:lineRule="exact"/>
                  <w:rPr>
                    <w:rFonts w:hint="default" w:ascii="宋体" w:hAnsi="宋体" w:eastAsia="宋体" w:cs="Calibri"/>
                    <w:color w:val="000000"/>
                    <w:szCs w:val="21"/>
                    <w:highlight w:val="none"/>
                    <w:lang w:val="en-US" w:eastAsia="zh-CN"/>
                  </w:rPr>
                </w:pPr>
                <w:r>
                  <w:rPr>
                    <w:rFonts w:hint="default" w:ascii="宋体" w:hAnsi="宋体" w:eastAsia="宋体" w:cs="Calibri"/>
                    <w:color w:val="000000"/>
                    <w:szCs w:val="21"/>
                    <w:highlight w:val="none"/>
                    <w:lang w:val="en-US" w:eastAsia="zh-CN"/>
                  </w:rPr>
                  <w:t>6．博硕士学位论文数据库提供分章下载、整本下载、分页下载功能。且提供截图证明文件</w:t>
                </w:r>
              </w:p>
              <w:p w14:paraId="47A2E040">
                <w:pPr>
                  <w:spacing w:line="440" w:lineRule="exact"/>
                  <w:rPr>
                    <w:rFonts w:hint="default" w:ascii="宋体" w:hAnsi="宋体" w:eastAsia="宋体" w:cs="Calibri"/>
                    <w:color w:val="000000"/>
                    <w:szCs w:val="21"/>
                    <w:highlight w:val="none"/>
                    <w:lang w:val="en-US" w:eastAsia="zh-CN"/>
                  </w:rPr>
                </w:pPr>
                <w:r>
                  <w:rPr>
                    <w:rFonts w:hint="default" w:ascii="宋体" w:hAnsi="宋体" w:eastAsia="宋体" w:cs="Calibri"/>
                    <w:color w:val="000000"/>
                    <w:szCs w:val="21"/>
                    <w:highlight w:val="none"/>
                    <w:lang w:val="en-US" w:eastAsia="zh-CN"/>
                  </w:rPr>
                  <w:t>7．检索结果提供按照不同作者、作者单位以及研究层次等3种以上分组方式，提供发表时间、下载频次、被引频次等不少于3种排序方式；</w:t>
                </w:r>
              </w:p>
              <w:p w14:paraId="02304DC1">
                <w:pPr>
                  <w:spacing w:line="440" w:lineRule="exact"/>
                  <w:rPr>
                    <w:rFonts w:hint="default" w:ascii="宋体" w:hAnsi="宋体" w:eastAsia="宋体" w:cs="Calibri"/>
                    <w:color w:val="000000"/>
                    <w:szCs w:val="21"/>
                    <w:highlight w:val="none"/>
                    <w:lang w:val="en-US"/>
                  </w:rPr>
                </w:pPr>
                <w:r>
                  <w:rPr>
                    <w:rFonts w:hint="default" w:ascii="宋体" w:hAnsi="宋体" w:eastAsia="宋体" w:cs="Calibri"/>
                    <w:color w:val="000000"/>
                    <w:szCs w:val="21"/>
                    <w:highlight w:val="none"/>
                    <w:lang w:val="en-US" w:eastAsia="zh-CN"/>
                  </w:rPr>
                  <w:t>8．可实现对用户的访问和使用情况进行详细的记录，并进行统计分析。可按时间、用户等方式进行统计分析。</w:t>
                </w:r>
              </w:p>
            </w:tc>
          </w:tr>
        </w:tbl>
        <w:p w14:paraId="4F0BB83B">
          <w:pPr>
            <w:pStyle w:val="30"/>
            <w:rPr>
              <w:rFonts w:hint="default" w:ascii="宋体" w:hAnsi="宋体" w:eastAsia="宋体" w:cs="Times New Roman"/>
              <w:b/>
              <w:bCs/>
              <w:color w:val="000000"/>
              <w:szCs w:val="21"/>
              <w:highlight w:val="none"/>
              <w:lang w:val="en-US" w:eastAsia="zh-CN"/>
            </w:rPr>
          </w:pPr>
        </w:p>
        <w:p w14:paraId="40607073">
          <w:pPr>
            <w:keepNext/>
            <w:keepLines/>
            <w:spacing w:line="320" w:lineRule="exact"/>
            <w:ind w:firstLine="422" w:firstLineChars="200"/>
            <w:outlineLvl w:val="1"/>
            <w:rPr>
              <w:rFonts w:ascii="宋体" w:hAnsi="宋体" w:eastAsia="宋体" w:cs="宋体"/>
              <w:b/>
              <w:color w:val="000000"/>
              <w:szCs w:val="21"/>
              <w:highlight w:val="none"/>
              <w:lang w:val="zh-CN" w:eastAsia="zh-CN"/>
            </w:rPr>
          </w:pPr>
          <w:r>
            <w:rPr>
              <w:rFonts w:hint="eastAsia" w:ascii="宋体" w:hAnsi="宋体" w:eastAsia="宋体" w:cs="宋体"/>
              <w:b/>
              <w:color w:val="000000"/>
              <w:szCs w:val="21"/>
              <w:highlight w:val="none"/>
              <w:lang w:val="zh-CN"/>
            </w:rPr>
            <w:t>二</w:t>
          </w:r>
          <w:r>
            <w:rPr>
              <w:rFonts w:hint="eastAsia" w:ascii="宋体" w:hAnsi="宋体" w:eastAsia="宋体" w:cs="宋体"/>
              <w:b/>
              <w:color w:val="000000"/>
              <w:szCs w:val="21"/>
              <w:highlight w:val="none"/>
              <w:lang w:val="zh-CN" w:eastAsia="zh-CN"/>
            </w:rPr>
            <w:t>、供应商的</w:t>
          </w:r>
          <w:bookmarkEnd w:id="6"/>
          <w:bookmarkEnd w:id="7"/>
          <w:bookmarkEnd w:id="8"/>
          <w:bookmarkEnd w:id="9"/>
          <w:bookmarkEnd w:id="10"/>
          <w:bookmarkEnd w:id="11"/>
          <w:r>
            <w:rPr>
              <w:rFonts w:hint="eastAsia" w:ascii="宋体" w:hAnsi="宋体" w:eastAsia="宋体" w:cs="宋体"/>
              <w:b/>
              <w:color w:val="000000"/>
              <w:szCs w:val="21"/>
              <w:highlight w:val="none"/>
              <w:lang w:val="zh-CN"/>
            </w:rPr>
            <w:t>资格条件</w:t>
          </w:r>
        </w:p>
        <w:p w14:paraId="34FC786C">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b w:val="0"/>
              <w:bCs w:val="0"/>
              <w:sz w:val="21"/>
              <w:szCs w:val="21"/>
              <w:highlight w:val="none"/>
            </w:rPr>
          </w:pPr>
          <w:bookmarkStart w:id="12" w:name="_Toc28359091"/>
          <w:bookmarkStart w:id="13" w:name="_Toc28359014"/>
          <w:r>
            <w:rPr>
              <w:rFonts w:hint="eastAsia" w:ascii="宋体" w:hAnsi="宋体" w:eastAsia="宋体" w:cs="宋体"/>
              <w:b w:val="0"/>
              <w:bCs w:val="0"/>
              <w:kern w:val="2"/>
              <w:sz w:val="21"/>
              <w:szCs w:val="21"/>
              <w:highlight w:val="none"/>
              <w:lang w:val="en-US" w:eastAsia="zh-CN" w:bidi="ar-SA"/>
            </w:rPr>
            <w:t>1.符合《中华人民共和国政府采购法》第二十二条规定的供应商资格条件</w:t>
          </w:r>
          <w:r>
            <w:rPr>
              <w:rFonts w:hint="eastAsia" w:ascii="宋体" w:hAnsi="宋体" w:eastAsia="宋体" w:cs="宋体"/>
              <w:b w:val="0"/>
              <w:bCs w:val="0"/>
              <w:sz w:val="21"/>
              <w:szCs w:val="21"/>
              <w:highlight w:val="none"/>
            </w:rPr>
            <w:t>:</w:t>
          </w:r>
        </w:p>
        <w:p w14:paraId="2768B373">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2.国内注册（指按国家有关规定要求注册的）生产或经营本次采购货物和服务，具备法人资格的供应商；</w:t>
          </w:r>
        </w:p>
        <w:p w14:paraId="17010AF8">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2546CE1E">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对在“信用中国”网站(www.creditchina.gov.cn)、中国政府采购网(www.ccgp.gov.cn)列入失信被执行人、重大税收违法案件当事人名单、政府采购严重违法失信行为记录名单及其他不符合《中华人民共和国政府采购法》第二十二条规定条件的供应商，不得参与本次采购活动；</w:t>
          </w:r>
        </w:p>
        <w:p w14:paraId="5CFBDEB2">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5.本项目的特定资格要求：</w:t>
          </w:r>
          <w:r>
            <w:rPr>
              <w:rFonts w:hint="eastAsia" w:ascii="宋体" w:hAnsi="宋体" w:cs="宋体"/>
              <w:b w:val="0"/>
              <w:bCs w:val="0"/>
              <w:sz w:val="21"/>
              <w:szCs w:val="21"/>
              <w:highlight w:val="none"/>
              <w:lang w:val="en-US" w:eastAsia="zh-CN"/>
            </w:rPr>
            <w:t>无</w:t>
          </w:r>
        </w:p>
        <w:p w14:paraId="4A75DA17">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2" w:firstLineChars="200"/>
            <w:textAlignment w:val="auto"/>
            <w:rPr>
              <w:rFonts w:hint="eastAsia" w:ascii="宋体" w:hAnsi="宋体" w:eastAsia="宋体" w:cs="宋体"/>
              <w:sz w:val="21"/>
              <w:szCs w:val="21"/>
              <w:highlight w:val="none"/>
              <w:lang w:val="en-US" w:eastAsia="zh-CN"/>
            </w:rPr>
          </w:pPr>
          <w:r>
            <w:rPr>
              <w:rFonts w:hint="eastAsia" w:ascii="宋体" w:hAnsi="宋体" w:cs="宋体"/>
              <w:b/>
              <w:bCs/>
              <w:sz w:val="21"/>
              <w:szCs w:val="21"/>
              <w:highlight w:val="none"/>
              <w:lang w:val="en-US" w:eastAsia="zh-CN"/>
            </w:rPr>
            <w:t>6</w:t>
          </w:r>
          <w:r>
            <w:rPr>
              <w:rFonts w:hint="eastAsia" w:ascii="宋体" w:hAnsi="宋体" w:eastAsia="宋体" w:cs="宋体"/>
              <w:b/>
              <w:bCs/>
              <w:sz w:val="21"/>
              <w:szCs w:val="21"/>
              <w:highlight w:val="none"/>
              <w:lang w:val="en-US" w:eastAsia="zh-CN"/>
            </w:rPr>
            <w:t>.是否接收联合体投标：</w:t>
          </w:r>
          <w:r>
            <w:rPr>
              <w:rFonts w:hint="eastAsia" w:ascii="宋体" w:hAnsi="宋体" w:eastAsia="宋体" w:cs="宋体"/>
              <w:sz w:val="21"/>
              <w:szCs w:val="21"/>
              <w:highlight w:val="none"/>
              <w:lang w:val="en-US" w:eastAsia="zh-CN"/>
            </w:rPr>
            <w:t>□是   ☑否</w:t>
          </w:r>
        </w:p>
        <w:p w14:paraId="2527BEB3">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2" w:firstLineChars="200"/>
            <w:textAlignment w:val="auto"/>
            <w:rPr>
              <w:rFonts w:hint="eastAsia" w:ascii="宋体" w:hAnsi="宋体" w:eastAsia="宋体" w:cs="宋体"/>
              <w:sz w:val="21"/>
              <w:szCs w:val="21"/>
              <w:highlight w:val="none"/>
              <w:lang w:val="en-US" w:eastAsia="zh-CN"/>
            </w:rPr>
          </w:pPr>
          <w:r>
            <w:rPr>
              <w:rFonts w:hint="eastAsia" w:ascii="宋体" w:hAnsi="宋体" w:cs="宋体"/>
              <w:b/>
              <w:bCs/>
              <w:sz w:val="21"/>
              <w:szCs w:val="21"/>
              <w:highlight w:val="none"/>
              <w:lang w:val="en-US" w:eastAsia="zh-CN"/>
            </w:rPr>
            <w:t>7</w:t>
          </w:r>
          <w:r>
            <w:rPr>
              <w:rFonts w:hint="eastAsia" w:ascii="宋体" w:hAnsi="宋体" w:eastAsia="宋体" w:cs="宋体"/>
              <w:b/>
              <w:bCs/>
              <w:sz w:val="21"/>
              <w:szCs w:val="21"/>
              <w:highlight w:val="none"/>
              <w:lang w:val="en-US" w:eastAsia="zh-CN"/>
            </w:rPr>
            <w:t>.是否面向中小微企业</w:t>
          </w: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是   □否</w:t>
          </w:r>
        </w:p>
        <w:p w14:paraId="6B1DB0B4">
          <w:pPr>
            <w:keepNext w:val="0"/>
            <w:keepLines w:val="0"/>
            <w:pageBreakBefore w:val="0"/>
            <w:kinsoku/>
            <w:wordWrap/>
            <w:overflowPunct/>
            <w:topLinePunct w:val="0"/>
            <w:autoSpaceDE/>
            <w:autoSpaceDN/>
            <w:bidi w:val="0"/>
            <w:spacing w:line="320" w:lineRule="exact"/>
            <w:ind w:firstLine="420" w:firstLineChars="200"/>
            <w:textAlignment w:val="auto"/>
            <w:rPr>
              <w:rFonts w:hint="eastAsia" w:ascii="宋体" w:hAnsi="宋体" w:eastAsia="宋体" w:cs="宋体"/>
              <w:b/>
              <w:color w:val="000000"/>
              <w:sz w:val="21"/>
              <w:szCs w:val="21"/>
              <w:highlight w:val="none"/>
              <w:lang w:val="en-US" w:eastAsia="zh-CN"/>
            </w:rPr>
          </w:pPr>
          <w:r>
            <w:rPr>
              <w:rFonts w:hint="eastAsia" w:ascii="宋体" w:hAnsi="宋体" w:cs="宋体"/>
              <w:sz w:val="21"/>
              <w:szCs w:val="21"/>
              <w:highlight w:val="none"/>
              <w:lang w:val="en-US" w:eastAsia="zh-CN"/>
            </w:rPr>
            <w:t>8</w:t>
          </w:r>
          <w:r>
            <w:rPr>
              <w:rFonts w:hint="eastAsia" w:ascii="宋体" w:hAnsi="宋体" w:eastAsia="宋体" w:cs="宋体"/>
              <w:sz w:val="21"/>
              <w:szCs w:val="21"/>
              <w:highlight w:val="none"/>
              <w:lang w:val="en-US" w:eastAsia="zh-CN"/>
            </w:rPr>
            <w:t>.</w:t>
          </w:r>
          <w:r>
            <w:rPr>
              <w:rFonts w:hint="eastAsia" w:ascii="宋体" w:hAnsi="宋体" w:eastAsia="宋体" w:cs="宋体"/>
              <w:b/>
              <w:bCs/>
              <w:sz w:val="21"/>
              <w:szCs w:val="21"/>
              <w:highlight w:val="none"/>
              <w:lang w:val="en-US" w:eastAsia="zh-CN"/>
            </w:rPr>
            <w:t>是否允许分包/转包</w:t>
          </w:r>
          <w:r>
            <w:rPr>
              <w:rFonts w:hint="eastAsia" w:ascii="宋体" w:hAnsi="宋体" w:eastAsia="宋体" w:cs="宋体"/>
              <w:sz w:val="21"/>
              <w:szCs w:val="21"/>
              <w:highlight w:val="none"/>
              <w:lang w:val="en-US" w:eastAsia="zh-CN"/>
            </w:rPr>
            <w:t>：□是   ☑否</w:t>
          </w:r>
          <w:r>
            <w:rPr>
              <w:rFonts w:hint="eastAsia" w:ascii="宋体" w:hAnsi="宋体" w:eastAsia="宋体" w:cs="宋体"/>
              <w:b/>
              <w:color w:val="000000"/>
              <w:sz w:val="21"/>
              <w:szCs w:val="21"/>
              <w:highlight w:val="none"/>
              <w:lang w:val="en-US" w:eastAsia="zh-CN"/>
            </w:rPr>
            <w:t xml:space="preserve"> </w:t>
          </w:r>
        </w:p>
        <w:p w14:paraId="32AD68FD">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三、获取竞争性磋商文件</w:t>
          </w:r>
        </w:p>
        <w:p w14:paraId="5C5F3FB7">
          <w:pPr>
            <w:spacing w:line="320" w:lineRule="exact"/>
            <w:ind w:firstLine="420" w:firstLineChars="200"/>
            <w:rPr>
              <w:rFonts w:hint="eastAsia" w:ascii="宋体" w:hAnsi="宋体" w:eastAsia="宋体" w:cs="Times New Roman"/>
              <w:color w:val="000000"/>
              <w:szCs w:val="21"/>
              <w:highlight w:val="none"/>
              <w:lang w:val="en-US" w:eastAsia="zh-CN"/>
            </w:rPr>
          </w:pPr>
          <w:r>
            <w:rPr>
              <w:rFonts w:hint="eastAsia" w:ascii="宋体" w:hAnsi="宋体" w:cs="Times New Roman"/>
              <w:color w:val="000000"/>
              <w:szCs w:val="21"/>
              <w:highlight w:val="none"/>
              <w:lang w:val="en-US" w:eastAsia="zh-CN"/>
            </w:rPr>
            <w:t>本公告附件下载获取</w:t>
          </w:r>
        </w:p>
        <w:bookmarkEnd w:id="12"/>
        <w:bookmarkEnd w:id="13"/>
        <w:p w14:paraId="4234F127">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、响应文件提交</w:t>
          </w:r>
        </w:p>
        <w:p w14:paraId="0FBD8F8D">
          <w:pPr>
            <w:spacing w:line="320" w:lineRule="exact"/>
            <w:ind w:firstLine="420" w:firstLineChars="20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1</w:t>
          </w:r>
          <w:r>
            <w:rPr>
              <w:rFonts w:hint="eastAsia" w:ascii="宋体" w:hAnsi="宋体" w:eastAsia="宋体" w:cs="Times New Roman"/>
              <w:color w:val="000000"/>
              <w:szCs w:val="21"/>
              <w:highlight w:val="none"/>
            </w:rPr>
            <w:t>.响应文件提交截止时间：202</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年</w:t>
          </w:r>
          <w:r>
            <w:rPr>
              <w:rFonts w:hint="eastAsia" w:ascii="宋体" w:hAnsi="宋体" w:cs="Times New Roman"/>
              <w:color w:val="000000"/>
              <w:szCs w:val="21"/>
              <w:highlight w:val="none"/>
              <w:lang w:val="en-US" w:eastAsia="zh-CN"/>
            </w:rPr>
            <w:t>12</w:t>
          </w:r>
          <w:r>
            <w:rPr>
              <w:rFonts w:hint="eastAsia" w:ascii="宋体" w:hAnsi="宋体" w:eastAsia="宋体" w:cs="Times New Roman"/>
              <w:color w:val="000000"/>
              <w:szCs w:val="21"/>
              <w:highlight w:val="none"/>
            </w:rPr>
            <w:t>月</w:t>
          </w:r>
          <w:r>
            <w:rPr>
              <w:rFonts w:hint="eastAsia" w:ascii="宋体" w:hAnsi="宋体" w:cs="Times New Roman"/>
              <w:color w:val="000000"/>
              <w:szCs w:val="21"/>
              <w:highlight w:val="none"/>
              <w:lang w:val="en-US" w:eastAsia="zh-CN"/>
            </w:rPr>
            <w:t>9</w:t>
          </w:r>
          <w:r>
            <w:rPr>
              <w:rFonts w:hint="eastAsia" w:ascii="宋体" w:hAnsi="宋体" w:eastAsia="宋体" w:cs="Times New Roman"/>
              <w:color w:val="000000"/>
              <w:szCs w:val="21"/>
              <w:highlight w:val="none"/>
            </w:rPr>
            <w:t>日</w:t>
          </w:r>
          <w:r>
            <w:rPr>
              <w:rFonts w:hint="eastAsia" w:ascii="宋体" w:hAnsi="宋体" w:cs="Times New Roman"/>
              <w:color w:val="000000"/>
              <w:szCs w:val="21"/>
              <w:highlight w:val="none"/>
              <w:lang w:val="en-US" w:eastAsia="zh-CN"/>
            </w:rPr>
            <w:t>10</w:t>
          </w:r>
          <w:r>
            <w:rPr>
              <w:rFonts w:hint="eastAsia" w:ascii="宋体" w:hAnsi="宋体" w:eastAsia="宋体" w:cs="Times New Roman"/>
              <w:color w:val="000000"/>
              <w:szCs w:val="21"/>
              <w:highlight w:val="none"/>
            </w:rPr>
            <w:t>时</w:t>
          </w:r>
          <w:r>
            <w:rPr>
              <w:rFonts w:hint="eastAsia" w:ascii="宋体" w:hAnsi="宋体" w:cs="Times New Roman"/>
              <w:color w:val="000000"/>
              <w:szCs w:val="21"/>
              <w:highlight w:val="none"/>
              <w:lang w:val="en-US" w:eastAsia="zh-CN"/>
            </w:rPr>
            <w:t>3</w:t>
          </w:r>
          <w:r>
            <w:rPr>
              <w:rFonts w:hint="eastAsia" w:ascii="宋体" w:hAnsi="宋体" w:eastAsia="宋体" w:cs="Times New Roman"/>
              <w:color w:val="000000"/>
              <w:szCs w:val="21"/>
              <w:highlight w:val="none"/>
            </w:rPr>
            <w:t>0分（北京时间）</w:t>
          </w:r>
        </w:p>
        <w:p w14:paraId="5B3B4B17">
          <w:pPr>
            <w:spacing w:line="320" w:lineRule="exact"/>
            <w:ind w:firstLine="420" w:firstLineChars="200"/>
            <w:rPr>
              <w:rFonts w:ascii="宋体" w:hAnsi="宋体" w:eastAsia="宋体" w:cs="Calibri"/>
              <w:bCs/>
              <w:color w:val="000000"/>
              <w:szCs w:val="21"/>
              <w:highlight w:val="none"/>
            </w:rPr>
          </w:pPr>
          <w:r>
            <w:rPr>
              <w:rFonts w:hint="eastAsia" w:ascii="宋体" w:hAnsi="宋体" w:eastAsia="宋体" w:cs="Calibri"/>
              <w:color w:val="000000"/>
              <w:szCs w:val="21"/>
              <w:highlight w:val="none"/>
              <w:lang w:val="en-US" w:eastAsia="zh-CN"/>
            </w:rPr>
            <w:t>2</w:t>
          </w:r>
          <w:r>
            <w:rPr>
              <w:rFonts w:hint="eastAsia" w:ascii="宋体" w:hAnsi="宋体" w:eastAsia="宋体" w:cs="Calibri"/>
              <w:color w:val="000000"/>
              <w:szCs w:val="21"/>
              <w:highlight w:val="none"/>
            </w:rPr>
            <w:t>.首次响应文件提交地点：广西骨伤医院采购办（广西南宁市东葛路1号锦华大酒店副楼4楼4</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号）</w:t>
          </w:r>
          <w:r>
            <w:rPr>
              <w:rFonts w:hint="eastAsia" w:ascii="宋体" w:hAnsi="宋体" w:eastAsia="宋体" w:cs="Calibri"/>
              <w:bCs/>
              <w:color w:val="000000"/>
              <w:szCs w:val="21"/>
              <w:highlight w:val="none"/>
            </w:rPr>
            <w:t>注：供应商应当在首次响应文件提交截止时间前，将响应文件密封送达首次响应文件提交地点。在首次响应文件提交截止时间后送达的响应文件为无效文件，将被拒收。</w:t>
          </w:r>
        </w:p>
        <w:p w14:paraId="7EA40526">
          <w:pPr>
            <w:spacing w:line="320" w:lineRule="exact"/>
            <w:ind w:firstLine="422" w:firstLineChars="200"/>
            <w:rPr>
              <w:rFonts w:hint="default" w:ascii="宋体" w:hAnsi="宋体" w:eastAsia="宋体" w:cs="宋体"/>
              <w:b/>
              <w:bCs/>
              <w:color w:val="000000"/>
              <w:szCs w:val="21"/>
              <w:highlight w:val="none"/>
              <w:lang w:val="en-US" w:eastAsia="zh-CN"/>
            </w:rPr>
          </w:pPr>
          <w:r>
            <w:rPr>
              <w:rFonts w:hint="eastAsia" w:ascii="宋体" w:hAnsi="宋体" w:eastAsia="宋体" w:cs="Times New Roman"/>
              <w:b/>
              <w:bCs/>
              <w:color w:val="000000"/>
              <w:szCs w:val="21"/>
              <w:highlight w:val="none"/>
              <w:lang w:val="en-US" w:eastAsia="zh-CN"/>
            </w:rPr>
            <w:t>五</w:t>
          </w:r>
          <w:r>
            <w:rPr>
              <w:rFonts w:hint="eastAsia" w:ascii="宋体" w:hAnsi="宋体" w:eastAsia="宋体" w:cs="宋体"/>
              <w:b/>
              <w:bCs/>
              <w:color w:val="000000"/>
              <w:szCs w:val="21"/>
              <w:highlight w:val="none"/>
            </w:rPr>
            <w:t>、</w:t>
          </w:r>
          <w:r>
            <w:rPr>
              <w:rFonts w:hint="eastAsia" w:ascii="宋体" w:hAnsi="宋体" w:eastAsia="宋体" w:cs="宋体"/>
              <w:b/>
              <w:bCs/>
              <w:color w:val="000000"/>
              <w:szCs w:val="21"/>
              <w:highlight w:val="none"/>
              <w:lang w:val="en-US" w:eastAsia="zh-CN"/>
            </w:rPr>
            <w:t>评标时间及地点</w:t>
          </w:r>
        </w:p>
        <w:p w14:paraId="2ABB72AC">
          <w:pPr>
            <w:spacing w:line="320" w:lineRule="exact"/>
            <w:ind w:firstLine="420" w:firstLineChars="200"/>
            <w:rPr>
              <w:rFonts w:hint="eastAsia" w:ascii="宋体" w:hAnsi="宋体" w:eastAsia="宋体" w:cs="Calibri"/>
              <w:b/>
              <w:bCs/>
              <w:color w:val="000000"/>
              <w:szCs w:val="21"/>
              <w:highlight w:val="none"/>
              <w:lang w:eastAsia="zh-CN"/>
            </w:rPr>
          </w:pPr>
          <w:r>
            <w:rPr>
              <w:rFonts w:hint="eastAsia" w:ascii="宋体" w:hAnsi="宋体" w:eastAsia="宋体" w:cs="Calibri"/>
              <w:color w:val="000000"/>
              <w:szCs w:val="21"/>
              <w:highlight w:val="none"/>
            </w:rPr>
            <w:t>另行通知</w:t>
          </w:r>
          <w:r>
            <w:rPr>
              <w:rFonts w:hint="eastAsia" w:ascii="宋体" w:hAnsi="宋体" w:eastAsia="宋体" w:cs="Calibri"/>
              <w:color w:val="000000"/>
              <w:szCs w:val="21"/>
              <w:highlight w:val="none"/>
              <w:lang w:eastAsia="zh-CN"/>
            </w:rPr>
            <w:t>，</w:t>
          </w:r>
          <w:r>
            <w:rPr>
              <w:rFonts w:hint="eastAsia" w:ascii="宋体" w:hAnsi="宋体" w:eastAsia="宋体" w:cs="Calibri"/>
              <w:color w:val="000000"/>
              <w:szCs w:val="21"/>
              <w:highlight w:val="none"/>
              <w:lang w:val="en-US" w:eastAsia="zh-CN"/>
            </w:rPr>
            <w:t>请投标人注意接收电话和信息</w:t>
          </w:r>
          <w:r>
            <w:rPr>
              <w:rFonts w:hint="eastAsia" w:ascii="宋体" w:hAnsi="宋体" w:eastAsia="宋体" w:cs="Calibri"/>
              <w:color w:val="000000"/>
              <w:szCs w:val="21"/>
              <w:highlight w:val="none"/>
            </w:rPr>
            <w:t>。</w:t>
          </w:r>
          <w:r>
            <w:rPr>
              <w:rFonts w:hint="eastAsia" w:ascii="宋体" w:hAnsi="宋体" w:cs="Calibri"/>
              <w:b/>
              <w:bCs/>
              <w:color w:val="000000"/>
              <w:szCs w:val="21"/>
              <w:highlight w:val="none"/>
              <w:lang w:eastAsia="zh-CN"/>
            </w:rPr>
            <w:t>（</w:t>
          </w:r>
          <w:r>
            <w:rPr>
              <w:rFonts w:hint="eastAsia" w:ascii="宋体" w:hAnsi="宋体" w:cs="Calibri"/>
              <w:b/>
              <w:bCs/>
              <w:color w:val="000000"/>
              <w:szCs w:val="21"/>
              <w:highlight w:val="none"/>
              <w:lang w:val="en-US" w:eastAsia="zh-CN"/>
            </w:rPr>
            <w:t>注：评标时请携带专著类出版物样刊1-2本</w:t>
          </w:r>
          <w:r>
            <w:rPr>
              <w:rFonts w:hint="eastAsia" w:ascii="宋体" w:hAnsi="宋体" w:cs="Calibri"/>
              <w:b/>
              <w:bCs/>
              <w:color w:val="000000"/>
              <w:szCs w:val="21"/>
              <w:highlight w:val="none"/>
              <w:lang w:eastAsia="zh-CN"/>
            </w:rPr>
            <w:t>）</w:t>
          </w:r>
        </w:p>
        <w:p w14:paraId="07EF1337">
          <w:pPr>
            <w:spacing w:line="320" w:lineRule="exact"/>
            <w:ind w:firstLine="422" w:firstLineChars="200"/>
            <w:rPr>
              <w:rFonts w:hint="default" w:ascii="宋体" w:hAnsi="宋体" w:eastAsia="宋体" w:cs="Calibri"/>
              <w:b/>
              <w:bCs/>
              <w:color w:val="000000"/>
              <w:szCs w:val="21"/>
              <w:highlight w:val="none"/>
              <w:lang w:val="en-US" w:eastAsia="zh-CN"/>
            </w:rPr>
          </w:pPr>
          <w:r>
            <w:rPr>
              <w:rFonts w:hint="eastAsia" w:ascii="宋体" w:hAnsi="宋体" w:eastAsia="宋体" w:cs="Calibri"/>
              <w:b/>
              <w:bCs/>
              <w:color w:val="000000"/>
              <w:szCs w:val="21"/>
              <w:highlight w:val="none"/>
              <w:lang w:val="en-US" w:eastAsia="zh-CN"/>
            </w:rPr>
            <w:t>注：</w:t>
          </w:r>
          <w:r>
            <w:rPr>
              <w:rFonts w:hint="eastAsia" w:ascii="宋体" w:hAnsi="宋体" w:eastAsia="宋体" w:cs="Calibri"/>
              <w:b w:val="0"/>
              <w:bCs w:val="0"/>
              <w:color w:val="000000"/>
              <w:szCs w:val="21"/>
              <w:highlight w:val="none"/>
              <w:lang w:val="en-US" w:eastAsia="zh-CN"/>
            </w:rPr>
            <w:t>参与现场评标的人员须为项目负责人或熟悉项目的授权代理人，以确保评标的准确性。如参与评标人员不能现场阐明或澄清投标文件内容和评委质疑的，按投标文件无效响应处理。</w:t>
          </w:r>
        </w:p>
        <w:p w14:paraId="7C10A0A9">
          <w:pPr>
            <w:keepNext/>
            <w:keepLines/>
            <w:spacing w:line="320" w:lineRule="exact"/>
            <w:ind w:firstLine="422" w:firstLineChars="200"/>
            <w:outlineLvl w:val="1"/>
            <w:rPr>
              <w:rFonts w:ascii="宋体" w:hAnsi="宋体" w:eastAsia="宋体" w:cs="宋体"/>
              <w:b/>
              <w:color w:val="000000"/>
              <w:szCs w:val="21"/>
              <w:highlight w:val="none"/>
            </w:rPr>
          </w:pPr>
          <w:r>
            <w:rPr>
              <w:rFonts w:hint="eastAsia" w:ascii="宋体" w:hAnsi="宋体" w:cs="宋体"/>
              <w:b/>
              <w:color w:val="000000"/>
              <w:szCs w:val="21"/>
              <w:highlight w:val="none"/>
              <w:lang w:val="en-US" w:eastAsia="zh-CN"/>
            </w:rPr>
            <w:t>六</w:t>
          </w:r>
          <w:r>
            <w:rPr>
              <w:rFonts w:hint="eastAsia" w:ascii="宋体" w:hAnsi="宋体" w:eastAsia="宋体" w:cs="宋体"/>
              <w:b/>
              <w:color w:val="000000"/>
              <w:szCs w:val="21"/>
              <w:highlight w:val="none"/>
            </w:rPr>
            <w:t>、公告期限</w:t>
          </w:r>
        </w:p>
        <w:p w14:paraId="196168F3">
          <w:pPr>
            <w:spacing w:line="32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自本公告发布之日起</w:t>
          </w:r>
          <w:r>
            <w:rPr>
              <w:rFonts w:hint="eastAsia" w:ascii="宋体" w:hAnsi="宋体" w:cs="Calibri"/>
              <w:color w:val="000000"/>
              <w:kern w:val="0"/>
              <w:szCs w:val="21"/>
              <w:highlight w:val="none"/>
              <w:lang w:val="en-US" w:eastAsia="zh-CN"/>
            </w:rPr>
            <w:t>5</w:t>
          </w:r>
          <w:r>
            <w:rPr>
              <w:rFonts w:hint="eastAsia" w:ascii="宋体" w:hAnsi="宋体" w:eastAsia="宋体" w:cs="Calibri"/>
              <w:color w:val="000000"/>
              <w:kern w:val="0"/>
              <w:szCs w:val="21"/>
              <w:highlight w:val="none"/>
            </w:rPr>
            <w:t>个工作日。</w:t>
          </w:r>
        </w:p>
        <w:p w14:paraId="2FA5FA24">
          <w:pPr>
            <w:widowControl/>
            <w:ind w:firstLine="422" w:firstLineChars="200"/>
            <w:rPr>
              <w:rFonts w:ascii="Calibri" w:hAnsi="Calibri" w:eastAsia="宋体" w:cs="Times New Roman"/>
              <w:b/>
              <w:szCs w:val="24"/>
              <w:highlight w:val="none"/>
            </w:rPr>
          </w:pPr>
          <w:r>
            <w:rPr>
              <w:rFonts w:hint="eastAsia" w:ascii="Calibri" w:hAnsi="Calibri" w:cs="Times New Roman"/>
              <w:b/>
              <w:bCs/>
              <w:szCs w:val="24"/>
              <w:highlight w:val="none"/>
              <w:lang w:val="en-US" w:eastAsia="zh-CN"/>
            </w:rPr>
            <w:t>七</w:t>
          </w:r>
          <w:r>
            <w:rPr>
              <w:rFonts w:hint="eastAsia" w:ascii="Calibri" w:hAnsi="Calibri" w:eastAsia="宋体" w:cs="Times New Roman"/>
              <w:b/>
              <w:bCs/>
              <w:szCs w:val="24"/>
              <w:highlight w:val="none"/>
            </w:rPr>
            <w:t>、</w:t>
          </w:r>
          <w:r>
            <w:rPr>
              <w:rFonts w:hint="eastAsia" w:ascii="Calibri" w:hAnsi="Calibri" w:eastAsia="宋体" w:cs="Times New Roman"/>
              <w:b/>
              <w:szCs w:val="24"/>
              <w:highlight w:val="none"/>
            </w:rPr>
            <w:t>凡对本次采购提出询问，请按以下方式联系。</w:t>
          </w:r>
        </w:p>
        <w:p w14:paraId="7F2C6230">
          <w:pPr>
            <w:spacing w:line="320" w:lineRule="exact"/>
            <w:ind w:firstLine="420" w:firstLineChars="200"/>
            <w:rPr>
              <w:rFonts w:hint="default" w:ascii="Calibri" w:hAnsi="Calibri" w:eastAsia="宋体" w:cs="Times New Roman"/>
              <w:szCs w:val="24"/>
              <w:highlight w:val="none"/>
              <w:lang w:val="en-US" w:eastAsia="zh-CN"/>
            </w:rPr>
          </w:pPr>
          <w:r>
            <w:rPr>
              <w:rFonts w:hint="eastAsia" w:ascii="Calibri" w:hAnsi="Calibri" w:cs="Times New Roman"/>
              <w:szCs w:val="24"/>
              <w:highlight w:val="none"/>
              <w:lang w:val="en-US" w:eastAsia="zh-CN"/>
            </w:rPr>
            <w:t>1. 联 系 人</w:t>
          </w:r>
          <w:r>
            <w:rPr>
              <w:rFonts w:hint="eastAsia" w:ascii="Calibri" w:hAnsi="Calibri" w:eastAsia="宋体" w:cs="Times New Roman"/>
              <w:szCs w:val="24"/>
              <w:highlight w:val="none"/>
            </w:rPr>
            <w:t>：</w:t>
          </w:r>
          <w:r>
            <w:rPr>
              <w:rFonts w:hint="eastAsia" w:ascii="Calibri" w:hAnsi="Calibri" w:cs="Times New Roman"/>
              <w:szCs w:val="24"/>
              <w:highlight w:val="none"/>
              <w:u w:val="single"/>
              <w:lang w:val="en-US" w:eastAsia="zh-CN"/>
            </w:rPr>
            <w:t xml:space="preserve">李老师                   </w:t>
          </w:r>
        </w:p>
        <w:p w14:paraId="66847A13">
          <w:pPr>
            <w:spacing w:line="320" w:lineRule="exact"/>
            <w:ind w:firstLine="630" w:firstLineChars="300"/>
            <w:rPr>
              <w:rFonts w:hint="default" w:ascii="Calibri" w:hAnsi="Calibri" w:eastAsia="宋体" w:cs="Times New Roman"/>
              <w:szCs w:val="24"/>
              <w:highlight w:val="none"/>
              <w:u w:val="single"/>
              <w:lang w:val="en-US" w:eastAsia="zh-CN"/>
            </w:rPr>
          </w:pPr>
          <w:r>
            <w:rPr>
              <w:rFonts w:hint="eastAsia" w:ascii="Calibri" w:hAnsi="Calibri" w:eastAsia="宋体" w:cs="Times New Roman"/>
              <w:szCs w:val="24"/>
              <w:highlight w:val="none"/>
            </w:rPr>
            <w:t>地    址：</w:t>
          </w:r>
          <w:r>
            <w:rPr>
              <w:rFonts w:hint="eastAsia" w:ascii="Calibri" w:hAnsi="Calibri" w:eastAsia="宋体" w:cs="Times New Roman"/>
              <w:szCs w:val="24"/>
              <w:highlight w:val="none"/>
              <w:u w:val="single"/>
            </w:rPr>
            <w:t>广西南宁市青秀区</w:t>
          </w:r>
          <w:r>
            <w:rPr>
              <w:rFonts w:hint="eastAsia" w:ascii="Calibri" w:hAnsi="Calibri" w:cs="Times New Roman"/>
              <w:szCs w:val="24"/>
              <w:highlight w:val="none"/>
              <w:u w:val="single"/>
              <w:lang w:val="en-US" w:eastAsia="zh-CN"/>
            </w:rPr>
            <w:t>东葛路锦华前楼401采购办</w:t>
          </w:r>
        </w:p>
        <w:p w14:paraId="565ADC2B">
          <w:pPr>
            <w:spacing w:line="320" w:lineRule="exact"/>
            <w:ind w:firstLine="630" w:firstLineChars="300"/>
            <w:rPr>
              <w:rFonts w:hint="eastAsia" w:ascii="Calibri" w:hAnsi="Calibri" w:eastAsia="宋体" w:cs="Times New Roman"/>
              <w:szCs w:val="24"/>
              <w:highlight w:val="none"/>
              <w:u w:val="single"/>
              <w:lang w:val="en-US" w:eastAsia="zh-CN"/>
            </w:rPr>
          </w:pPr>
          <w:r>
            <w:rPr>
              <w:rFonts w:hint="eastAsia" w:ascii="Calibri" w:hAnsi="Calibri" w:eastAsia="宋体" w:cs="Times New Roman"/>
              <w:szCs w:val="24"/>
              <w:highlight w:val="none"/>
            </w:rPr>
            <w:t>联系方式：</w:t>
          </w:r>
          <w:r>
            <w:rPr>
              <w:rFonts w:hint="eastAsia" w:ascii="Calibri" w:hAnsi="Calibri" w:eastAsia="宋体" w:cs="Times New Roman"/>
              <w:szCs w:val="24"/>
              <w:highlight w:val="none"/>
              <w:u w:val="single"/>
              <w:lang w:val="en-US" w:eastAsia="zh-CN"/>
            </w:rPr>
            <w:t>0771-2622251</w:t>
          </w:r>
        </w:p>
        <w:p w14:paraId="23C42A63">
          <w:pPr>
            <w:spacing w:line="320" w:lineRule="exact"/>
            <w:ind w:firstLine="420" w:firstLineChars="200"/>
            <w:rPr>
              <w:rFonts w:hint="default" w:ascii="Calibri" w:hAnsi="Calibri" w:eastAsia="宋体" w:cs="Times New Roman"/>
              <w:szCs w:val="24"/>
              <w:highlight w:val="none"/>
              <w:lang w:val="en-US" w:eastAsia="zh-CN"/>
            </w:rPr>
          </w:pPr>
          <w:r>
            <w:rPr>
              <w:rFonts w:hint="eastAsia" w:ascii="Calibri" w:hAnsi="Calibri" w:cs="Times New Roman"/>
              <w:szCs w:val="24"/>
              <w:highlight w:val="none"/>
              <w:u w:val="none"/>
              <w:lang w:val="en-US" w:eastAsia="zh-CN"/>
            </w:rPr>
            <w:t xml:space="preserve">2. </w:t>
          </w:r>
          <w:r>
            <w:rPr>
              <w:rFonts w:hint="eastAsia" w:ascii="Calibri" w:hAnsi="Calibri" w:cs="Times New Roman"/>
              <w:szCs w:val="24"/>
              <w:highlight w:val="none"/>
              <w:lang w:val="en-US" w:eastAsia="zh-CN"/>
            </w:rPr>
            <w:t>联 系 人</w:t>
          </w:r>
          <w:r>
            <w:rPr>
              <w:rFonts w:hint="eastAsia" w:ascii="Calibri" w:hAnsi="Calibri" w:eastAsia="宋体" w:cs="Times New Roman"/>
              <w:szCs w:val="24"/>
              <w:highlight w:val="none"/>
            </w:rPr>
            <w:t>：</w:t>
          </w:r>
          <w:r>
            <w:rPr>
              <w:rFonts w:hint="eastAsia" w:ascii="Calibri" w:hAnsi="Calibri" w:cs="Times New Roman"/>
              <w:szCs w:val="24"/>
              <w:highlight w:val="none"/>
              <w:u w:val="single"/>
              <w:lang w:val="en-US" w:eastAsia="zh-CN"/>
            </w:rPr>
            <w:t xml:space="preserve">李老师                   </w:t>
          </w:r>
        </w:p>
        <w:p w14:paraId="4A75C2E8">
          <w:pPr>
            <w:spacing w:line="320" w:lineRule="exact"/>
            <w:ind w:firstLine="630" w:firstLineChars="300"/>
            <w:rPr>
              <w:rFonts w:hint="default" w:ascii="Calibri" w:hAnsi="Calibri" w:eastAsia="宋体" w:cs="Times New Roman"/>
              <w:szCs w:val="24"/>
              <w:highlight w:val="none"/>
              <w:u w:val="single"/>
              <w:lang w:val="en-US" w:eastAsia="zh-CN"/>
            </w:rPr>
          </w:pPr>
          <w:r>
            <w:rPr>
              <w:rFonts w:hint="eastAsia" w:ascii="Calibri" w:hAnsi="Calibri" w:eastAsia="宋体" w:cs="Times New Roman"/>
              <w:szCs w:val="24"/>
              <w:highlight w:val="none"/>
            </w:rPr>
            <w:t>地    址：</w:t>
          </w:r>
          <w:r>
            <w:rPr>
              <w:rFonts w:hint="eastAsia" w:ascii="Calibri" w:hAnsi="Calibri" w:eastAsia="宋体" w:cs="Times New Roman"/>
              <w:szCs w:val="24"/>
              <w:highlight w:val="none"/>
              <w:u w:val="single"/>
            </w:rPr>
            <w:t>广西南宁市青秀区</w:t>
          </w:r>
          <w:r>
            <w:rPr>
              <w:rFonts w:hint="eastAsia" w:ascii="Calibri" w:hAnsi="Calibri" w:cs="Times New Roman"/>
              <w:szCs w:val="24"/>
              <w:highlight w:val="none"/>
              <w:u w:val="single"/>
              <w:lang w:val="en-US" w:eastAsia="zh-CN"/>
            </w:rPr>
            <w:t>东葛路锦华前楼202科教部</w:t>
          </w:r>
        </w:p>
        <w:p w14:paraId="72677C92">
          <w:pPr>
            <w:spacing w:line="320" w:lineRule="exact"/>
            <w:ind w:firstLine="420" w:firstLineChars="200"/>
            <w:rPr>
              <w:rFonts w:hint="default" w:ascii="Calibri" w:hAnsi="Calibri" w:eastAsia="宋体" w:cs="Times New Roman"/>
              <w:szCs w:val="24"/>
              <w:highlight w:val="none"/>
              <w:u w:val="single"/>
              <w:lang w:val="en-US" w:eastAsia="zh-CN"/>
            </w:rPr>
          </w:pPr>
        </w:p>
        <w:p w14:paraId="258F8415">
          <w:pPr>
            <w:spacing w:line="320" w:lineRule="exact"/>
            <w:ind w:firstLine="420" w:firstLineChars="200"/>
            <w:rPr>
              <w:rFonts w:hint="default" w:ascii="Calibri" w:hAnsi="Calibri" w:eastAsia="宋体" w:cs="Times New Roman"/>
              <w:szCs w:val="24"/>
              <w:highlight w:val="none"/>
              <w:u w:val="single"/>
              <w:lang w:val="en-US" w:eastAsia="zh-CN"/>
            </w:rPr>
          </w:pPr>
        </w:p>
        <w:p w14:paraId="6A93164A">
          <w:pPr>
            <w:spacing w:line="320" w:lineRule="exact"/>
            <w:ind w:firstLine="560" w:firstLineChars="200"/>
            <w:rPr>
              <w:rFonts w:hint="default" w:ascii="Calibri" w:hAnsi="Calibri" w:eastAsia="宋体" w:cs="Times New Roman"/>
              <w:szCs w:val="24"/>
              <w:highlight w:val="none"/>
              <w:lang w:val="en-US" w:eastAsia="zh-CN"/>
            </w:rPr>
          </w:pPr>
        </w:p>
      </w:sdtContent>
    </w:sdt>
    <w:p w14:paraId="79778109">
      <w:pPr>
        <w:rPr>
          <w:rFonts w:ascii="宋体" w:hAnsi="宋体"/>
          <w:b/>
          <w:color w:val="auto"/>
          <w:sz w:val="21"/>
          <w:szCs w:val="21"/>
          <w:highlight w:val="none"/>
        </w:rPr>
      </w:pPr>
      <w:r>
        <w:rPr>
          <w:rFonts w:ascii="宋体" w:hAnsi="宋体"/>
          <w:b/>
          <w:color w:val="auto"/>
          <w:sz w:val="21"/>
          <w:szCs w:val="21"/>
          <w:highlight w:val="none"/>
        </w:rPr>
        <w:br w:type="page"/>
      </w:r>
    </w:p>
    <w:p w14:paraId="1977B52C">
      <w:pPr>
        <w:pStyle w:val="47"/>
        <w:rPr>
          <w:highlight w:val="none"/>
        </w:rPr>
      </w:pPr>
    </w:p>
    <w:p w14:paraId="5EFCA9D0">
      <w:pPr>
        <w:keepNext w:val="0"/>
        <w:keepLines w:val="0"/>
        <w:pageBreakBefore w:val="0"/>
        <w:kinsoku/>
        <w:overflowPunct/>
        <w:topLinePunct w:val="0"/>
        <w:bidi w:val="0"/>
        <w:spacing w:line="360" w:lineRule="auto"/>
        <w:jc w:val="center"/>
        <w:textAlignment w:val="auto"/>
        <w:outlineLvl w:val="0"/>
        <w:rPr>
          <w:rFonts w:ascii="宋体" w:hAnsi="宋体"/>
          <w:b/>
          <w:color w:val="auto"/>
          <w:sz w:val="32"/>
          <w:szCs w:val="32"/>
          <w:highlight w:val="none"/>
        </w:rPr>
      </w:pPr>
      <w:bookmarkStart w:id="14" w:name="_Toc11927"/>
      <w:r>
        <w:rPr>
          <w:rFonts w:hint="eastAsia" w:ascii="宋体" w:hAnsi="宋体"/>
          <w:b/>
          <w:color w:val="auto"/>
          <w:sz w:val="32"/>
          <w:szCs w:val="32"/>
          <w:highlight w:val="none"/>
        </w:rPr>
        <w:t xml:space="preserve">第二章  </w:t>
      </w:r>
      <w:r>
        <w:rPr>
          <w:rFonts w:hint="eastAsia" w:ascii="宋体" w:hAnsi="宋体"/>
          <w:b/>
          <w:color w:val="auto"/>
          <w:sz w:val="32"/>
          <w:szCs w:val="32"/>
          <w:highlight w:val="none"/>
          <w:lang w:val="en-US" w:eastAsia="zh-CN"/>
        </w:rPr>
        <w:t>投标人</w:t>
      </w:r>
      <w:r>
        <w:rPr>
          <w:rFonts w:hint="eastAsia" w:ascii="宋体" w:hAnsi="宋体"/>
          <w:b/>
          <w:color w:val="auto"/>
          <w:sz w:val="32"/>
          <w:szCs w:val="32"/>
          <w:highlight w:val="none"/>
        </w:rPr>
        <w:t>须知</w:t>
      </w:r>
      <w:bookmarkEnd w:id="14"/>
    </w:p>
    <w:p w14:paraId="495F653E">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30"/>
          <w:szCs w:val="30"/>
          <w:highlight w:val="none"/>
        </w:rPr>
        <w:t>前附表</w:t>
      </w:r>
    </w:p>
    <w:tbl>
      <w:tblPr>
        <w:tblStyle w:val="48"/>
        <w:tblW w:w="9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945"/>
        <w:gridCol w:w="7862"/>
      </w:tblGrid>
      <w:tr w14:paraId="1F0A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945" w:type="dxa"/>
            <w:vAlign w:val="center"/>
          </w:tcPr>
          <w:p w14:paraId="010FF862">
            <w:pPr>
              <w:keepNext w:val="0"/>
              <w:keepLines w:val="0"/>
              <w:pageBreakBefore w:val="0"/>
              <w:kinsoku/>
              <w:overflowPunct/>
              <w:topLinePunct w:val="0"/>
              <w:bidi w:val="0"/>
              <w:spacing w:line="360" w:lineRule="auto"/>
              <w:jc w:val="center"/>
              <w:textAlignment w:val="auto"/>
              <w:rPr>
                <w:rFonts w:hint="eastAsia" w:ascii="宋体" w:hAnsi="宋体" w:eastAsia="宋体"/>
                <w:b/>
                <w:color w:val="auto"/>
                <w:sz w:val="21"/>
                <w:szCs w:val="21"/>
                <w:highlight w:val="none"/>
                <w:lang w:val="en-US" w:eastAsia="zh-CN"/>
              </w:rPr>
            </w:pPr>
            <w:r>
              <w:rPr>
                <w:rFonts w:hint="eastAsia" w:ascii="宋体" w:hAnsi="宋体"/>
                <w:b/>
                <w:color w:val="auto"/>
                <w:sz w:val="21"/>
                <w:szCs w:val="21"/>
                <w:highlight w:val="none"/>
                <w:lang w:val="en-US" w:eastAsia="zh-CN"/>
              </w:rPr>
              <w:t>序号</w:t>
            </w:r>
          </w:p>
        </w:tc>
        <w:tc>
          <w:tcPr>
            <w:tcW w:w="945" w:type="dxa"/>
            <w:vAlign w:val="center"/>
          </w:tcPr>
          <w:p w14:paraId="5D2588D0">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21"/>
                <w:szCs w:val="21"/>
                <w:highlight w:val="none"/>
              </w:rPr>
              <w:t>条款号</w:t>
            </w:r>
          </w:p>
        </w:tc>
        <w:tc>
          <w:tcPr>
            <w:tcW w:w="7862" w:type="dxa"/>
            <w:vAlign w:val="center"/>
          </w:tcPr>
          <w:p w14:paraId="697F3204">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21"/>
                <w:szCs w:val="21"/>
                <w:highlight w:val="none"/>
              </w:rPr>
              <w:t>内    容</w:t>
            </w:r>
          </w:p>
        </w:tc>
      </w:tr>
      <w:tr w14:paraId="4D08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45" w:type="dxa"/>
            <w:vAlign w:val="center"/>
          </w:tcPr>
          <w:p w14:paraId="608805FA">
            <w:pPr>
              <w:keepNext w:val="0"/>
              <w:keepLines w:val="0"/>
              <w:pageBreakBefore w:val="0"/>
              <w:kinsoku/>
              <w:overflowPunct/>
              <w:topLinePunct w:val="0"/>
              <w:bidi w:val="0"/>
              <w:spacing w:line="240" w:lineRule="auto"/>
              <w:jc w:val="center"/>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w:t>
            </w:r>
          </w:p>
        </w:tc>
        <w:tc>
          <w:tcPr>
            <w:tcW w:w="945" w:type="dxa"/>
            <w:vAlign w:val="center"/>
          </w:tcPr>
          <w:p w14:paraId="4010FFC6">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1.1</w:t>
            </w:r>
          </w:p>
        </w:tc>
        <w:tc>
          <w:tcPr>
            <w:tcW w:w="7862" w:type="dxa"/>
            <w:vAlign w:val="center"/>
          </w:tcPr>
          <w:p w14:paraId="02A582D3">
            <w:pPr>
              <w:spacing w:line="240" w:lineRule="auto"/>
              <w:rPr>
                <w:rFonts w:hint="default" w:ascii="宋体" w:hAnsi="宋体" w:eastAsia="宋体"/>
                <w:color w:val="auto"/>
                <w:sz w:val="21"/>
                <w:szCs w:val="21"/>
                <w:highlight w:val="none"/>
                <w:lang w:val="en-US" w:eastAsia="zh-CN"/>
              </w:rPr>
            </w:pPr>
            <w:r>
              <w:rPr>
                <w:rFonts w:hint="default" w:ascii="宋体" w:hAnsi="宋体" w:eastAsia="宋体"/>
                <w:b/>
                <w:bCs/>
                <w:color w:val="auto"/>
                <w:sz w:val="21"/>
                <w:szCs w:val="21"/>
                <w:highlight w:val="none"/>
                <w:lang w:val="en-US" w:eastAsia="zh-CN"/>
              </w:rPr>
              <w:t>项目名称：</w:t>
            </w:r>
            <w:r>
              <w:rPr>
                <w:rFonts w:hint="eastAsia" w:ascii="宋体" w:hAnsi="宋体" w:eastAsia="宋体" w:cs="Times New Roman"/>
                <w:color w:val="000000"/>
                <w:kern w:val="2"/>
                <w:sz w:val="21"/>
                <w:szCs w:val="21"/>
                <w:highlight w:val="none"/>
                <w:lang w:val="en-US" w:eastAsia="zh-CN" w:bidi="ar-SA"/>
              </w:rPr>
              <w:t>广西骨伤医院文献数据库服务采购项目</w:t>
            </w:r>
            <w:r>
              <w:rPr>
                <w:rFonts w:hint="default" w:ascii="宋体" w:hAnsi="宋体" w:eastAsia="宋体"/>
                <w:color w:val="auto"/>
                <w:sz w:val="21"/>
                <w:szCs w:val="21"/>
                <w:highlight w:val="none"/>
                <w:lang w:val="en-US" w:eastAsia="zh-CN"/>
              </w:rPr>
              <w:t xml:space="preserve"> </w:t>
            </w:r>
          </w:p>
          <w:p w14:paraId="35477A2E">
            <w:pPr>
              <w:spacing w:line="240" w:lineRule="auto"/>
              <w:rPr>
                <w:rFonts w:hint="default" w:ascii="宋体" w:hAnsi="宋体" w:eastAsia="宋体"/>
                <w:color w:val="auto"/>
                <w:sz w:val="21"/>
                <w:szCs w:val="21"/>
                <w:highlight w:val="none"/>
                <w:lang w:val="en-US" w:eastAsia="zh-CN"/>
              </w:rPr>
            </w:pPr>
            <w:r>
              <w:rPr>
                <w:rFonts w:hint="default" w:ascii="宋体" w:hAnsi="宋体" w:eastAsia="宋体"/>
                <w:b/>
                <w:bCs/>
                <w:color w:val="auto"/>
                <w:sz w:val="21"/>
                <w:szCs w:val="21"/>
                <w:highlight w:val="none"/>
                <w:lang w:val="en-US" w:eastAsia="zh-CN"/>
              </w:rPr>
              <w:t>项目编号</w:t>
            </w:r>
            <w:r>
              <w:rPr>
                <w:rFonts w:hint="default" w:ascii="宋体" w:hAnsi="宋体" w:eastAsia="宋体"/>
                <w:color w:val="auto"/>
                <w:sz w:val="21"/>
                <w:szCs w:val="21"/>
                <w:highlight w:val="none"/>
                <w:lang w:val="en-US" w:eastAsia="zh-CN"/>
              </w:rPr>
              <w:t>：</w:t>
            </w:r>
            <w:r>
              <w:rPr>
                <w:rFonts w:hint="eastAsia" w:ascii="宋体" w:hAnsi="宋体"/>
                <w:color w:val="auto"/>
                <w:sz w:val="21"/>
                <w:szCs w:val="21"/>
                <w:highlight w:val="none"/>
                <w:lang w:val="en-US" w:eastAsia="zh-CN"/>
              </w:rPr>
              <w:t>GXGSYY-CGB-KJB-2025-02</w:t>
            </w:r>
          </w:p>
        </w:tc>
      </w:tr>
      <w:tr w14:paraId="31DF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945" w:type="dxa"/>
            <w:vAlign w:val="center"/>
          </w:tcPr>
          <w:p w14:paraId="7A54A738">
            <w:pPr>
              <w:keepNext w:val="0"/>
              <w:keepLines w:val="0"/>
              <w:pageBreakBefore w:val="0"/>
              <w:kinsoku/>
              <w:overflowPunct/>
              <w:topLinePunct w:val="0"/>
              <w:bidi w:val="0"/>
              <w:spacing w:line="240" w:lineRule="auto"/>
              <w:jc w:val="center"/>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2</w:t>
            </w:r>
          </w:p>
        </w:tc>
        <w:tc>
          <w:tcPr>
            <w:tcW w:w="945" w:type="dxa"/>
            <w:vAlign w:val="center"/>
          </w:tcPr>
          <w:p w14:paraId="67D7575D">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2.1</w:t>
            </w:r>
          </w:p>
        </w:tc>
        <w:tc>
          <w:tcPr>
            <w:tcW w:w="7862" w:type="dxa"/>
            <w:vAlign w:val="center"/>
          </w:tcPr>
          <w:p w14:paraId="2D600385">
            <w:pPr>
              <w:adjustRightInd w:val="0"/>
              <w:spacing w:line="240" w:lineRule="auto"/>
              <w:rPr>
                <w:rFonts w:hint="default" w:ascii="宋体" w:hAnsi="宋体"/>
                <w:b/>
                <w:color w:val="auto"/>
                <w:sz w:val="21"/>
                <w:szCs w:val="21"/>
                <w:highlight w:val="none"/>
                <w:lang w:val="en-US"/>
              </w:rPr>
            </w:pPr>
            <w:r>
              <w:rPr>
                <w:rFonts w:hint="eastAsia" w:ascii="宋体" w:hAnsi="宋体" w:cs="宋体"/>
                <w:b/>
                <w:szCs w:val="21"/>
                <w:highlight w:val="none"/>
              </w:rPr>
              <w:t>项目</w:t>
            </w:r>
            <w:r>
              <w:rPr>
                <w:rFonts w:hint="eastAsia" w:ascii="宋体" w:hAnsi="宋体" w:cs="宋体"/>
                <w:b/>
                <w:szCs w:val="21"/>
                <w:highlight w:val="none"/>
                <w:lang w:val="en-US" w:eastAsia="zh-CN"/>
              </w:rPr>
              <w:t>预算</w:t>
            </w:r>
            <w:r>
              <w:rPr>
                <w:rFonts w:hint="eastAsia" w:ascii="宋体" w:hAnsi="宋体" w:cs="宋体"/>
                <w:b/>
                <w:szCs w:val="21"/>
                <w:highlight w:val="none"/>
              </w:rPr>
              <w:t>：</w:t>
            </w:r>
            <w:r>
              <w:rPr>
                <w:rFonts w:hint="eastAsia" w:ascii="宋体" w:hAnsi="宋体"/>
                <w:b w:val="0"/>
                <w:bCs/>
                <w:color w:val="auto"/>
                <w:sz w:val="21"/>
                <w:szCs w:val="21"/>
                <w:highlight w:val="none"/>
                <w:lang w:val="en-US" w:eastAsia="zh-CN"/>
              </w:rPr>
              <w:t>5万元/2年</w:t>
            </w:r>
          </w:p>
        </w:tc>
      </w:tr>
      <w:tr w14:paraId="7CD1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945" w:type="dxa"/>
            <w:vAlign w:val="center"/>
          </w:tcPr>
          <w:p w14:paraId="662115EF">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3</w:t>
            </w:r>
          </w:p>
        </w:tc>
        <w:tc>
          <w:tcPr>
            <w:tcW w:w="945" w:type="dxa"/>
            <w:shd w:val="clear" w:color="auto" w:fill="auto"/>
            <w:vAlign w:val="center"/>
          </w:tcPr>
          <w:p w14:paraId="0F32817B">
            <w:pPr>
              <w:keepNext w:val="0"/>
              <w:keepLines w:val="0"/>
              <w:pageBreakBefore w:val="0"/>
              <w:kinsoku/>
              <w:overflowPunct/>
              <w:topLinePunct w:val="0"/>
              <w:bidi w:val="0"/>
              <w:spacing w:line="240" w:lineRule="auto"/>
              <w:jc w:val="center"/>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 w:val="21"/>
                <w:szCs w:val="21"/>
                <w:highlight w:val="none"/>
              </w:rPr>
              <w:t>3.1</w:t>
            </w:r>
          </w:p>
        </w:tc>
        <w:tc>
          <w:tcPr>
            <w:tcW w:w="7862" w:type="dxa"/>
            <w:shd w:val="clear" w:color="auto" w:fill="auto"/>
            <w:vAlign w:val="center"/>
          </w:tcPr>
          <w:p w14:paraId="033CAAE8">
            <w:pPr>
              <w:keepNext w:val="0"/>
              <w:keepLines w:val="0"/>
              <w:pageBreakBefore w:val="0"/>
              <w:kinsoku/>
              <w:overflowPunct/>
              <w:topLinePunct w:val="0"/>
              <w:bidi w:val="0"/>
              <w:adjustRightInd w:val="0"/>
              <w:spacing w:line="240" w:lineRule="auto"/>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b/>
                <w:color w:val="auto"/>
                <w:sz w:val="21"/>
                <w:szCs w:val="21"/>
                <w:highlight w:val="none"/>
              </w:rPr>
              <w:t>供应商资格</w:t>
            </w:r>
            <w:r>
              <w:rPr>
                <w:rFonts w:hint="eastAsia" w:ascii="宋体" w:hAnsi="宋体"/>
                <w:b/>
                <w:color w:val="auto"/>
                <w:sz w:val="21"/>
                <w:szCs w:val="21"/>
                <w:highlight w:val="none"/>
                <w:lang w:val="en-US" w:eastAsia="zh-CN"/>
              </w:rPr>
              <w:t>要求</w:t>
            </w:r>
            <w:r>
              <w:rPr>
                <w:rFonts w:hint="eastAsia" w:ascii="宋体" w:hAnsi="宋体"/>
                <w:b w:val="0"/>
                <w:bCs/>
                <w:color w:val="auto"/>
                <w:sz w:val="21"/>
                <w:szCs w:val="21"/>
                <w:highlight w:val="none"/>
              </w:rPr>
              <w:t>：</w:t>
            </w:r>
            <w:r>
              <w:rPr>
                <w:rFonts w:hint="eastAsia" w:ascii="宋体" w:hAnsi="宋体"/>
                <w:b w:val="0"/>
                <w:bCs/>
                <w:color w:val="auto"/>
                <w:sz w:val="21"/>
                <w:szCs w:val="21"/>
                <w:highlight w:val="none"/>
                <w:lang w:val="en-US" w:eastAsia="zh-CN"/>
              </w:rPr>
              <w:t>详见磋商公告</w:t>
            </w:r>
          </w:p>
        </w:tc>
      </w:tr>
      <w:tr w14:paraId="361B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45" w:type="dxa"/>
            <w:vAlign w:val="center"/>
          </w:tcPr>
          <w:p w14:paraId="0C2817AB">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4</w:t>
            </w:r>
          </w:p>
        </w:tc>
        <w:tc>
          <w:tcPr>
            <w:tcW w:w="945" w:type="dxa"/>
            <w:vAlign w:val="center"/>
          </w:tcPr>
          <w:p w14:paraId="7A48027B">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4.1</w:t>
            </w:r>
          </w:p>
        </w:tc>
        <w:tc>
          <w:tcPr>
            <w:tcW w:w="7862" w:type="dxa"/>
            <w:vAlign w:val="center"/>
          </w:tcPr>
          <w:p w14:paraId="04E23E2B">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宋体"/>
                <w:b/>
                <w:bCs/>
                <w:color w:val="auto"/>
                <w:sz w:val="21"/>
                <w:szCs w:val="21"/>
                <w:highlight w:val="none"/>
                <w:lang w:eastAsia="zh-CN"/>
              </w:rPr>
              <w:t>磋商响应文件</w:t>
            </w:r>
            <w:r>
              <w:rPr>
                <w:rFonts w:hint="eastAsia" w:ascii="宋体" w:hAnsi="宋体"/>
                <w:b/>
                <w:bCs/>
                <w:color w:val="auto"/>
                <w:sz w:val="21"/>
                <w:szCs w:val="21"/>
                <w:highlight w:val="none"/>
              </w:rPr>
              <w:t>的组成</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应分为价格文件和商务技术文件两个部分组成。</w:t>
            </w:r>
          </w:p>
          <w:p w14:paraId="086A9807">
            <w:pPr>
              <w:keepNext w:val="0"/>
              <w:keepLines w:val="0"/>
              <w:pageBreakBefore w:val="0"/>
              <w:kinsoku/>
              <w:overflowPunct/>
              <w:topLinePunct w:val="0"/>
              <w:bidi w:val="0"/>
              <w:spacing w:line="24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w:t>
            </w:r>
            <w:r>
              <w:rPr>
                <w:rFonts w:hint="eastAsia" w:ascii="宋体" w:hAnsi="宋体"/>
                <w:b/>
                <w:bCs/>
                <w:color w:val="auto"/>
                <w:sz w:val="21"/>
                <w:szCs w:val="21"/>
                <w:highlight w:val="none"/>
              </w:rPr>
              <w:t>价格文件</w:t>
            </w:r>
          </w:p>
          <w:p w14:paraId="40B89A13">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报价表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121A3426">
            <w:pPr>
              <w:keepNext w:val="0"/>
              <w:keepLines w:val="0"/>
              <w:pageBreakBefore w:val="0"/>
              <w:kinsoku/>
              <w:overflowPunct/>
              <w:topLinePunct w:val="0"/>
              <w:bidi w:val="0"/>
              <w:spacing w:line="24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2</w:t>
            </w:r>
            <w:r>
              <w:rPr>
                <w:rFonts w:hint="eastAsia" w:ascii="宋体" w:hAnsi="宋体"/>
                <w:b/>
                <w:bCs/>
                <w:color w:val="auto"/>
                <w:sz w:val="21"/>
                <w:szCs w:val="21"/>
                <w:highlight w:val="none"/>
                <w:lang w:val="en-US" w:eastAsia="zh-CN"/>
              </w:rPr>
              <w:t>.</w:t>
            </w:r>
            <w:r>
              <w:rPr>
                <w:rFonts w:hint="eastAsia" w:ascii="宋体" w:hAnsi="宋体"/>
                <w:b/>
                <w:bCs/>
                <w:color w:val="auto"/>
                <w:sz w:val="21"/>
                <w:szCs w:val="21"/>
                <w:highlight w:val="none"/>
              </w:rPr>
              <w:t>商务技术文件</w:t>
            </w:r>
          </w:p>
          <w:p w14:paraId="7E6F316B">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投标函</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35F8C7CE">
            <w:pPr>
              <w:pStyle w:val="57"/>
              <w:keepNext w:val="0"/>
              <w:keepLines w:val="0"/>
              <w:pageBreakBefore w:val="0"/>
              <w:kinsoku/>
              <w:wordWrap/>
              <w:overflowPunct/>
              <w:topLinePunct w:val="0"/>
              <w:autoSpaceDE/>
              <w:autoSpaceDN/>
              <w:bidi w:val="0"/>
              <w:adjustRightInd/>
              <w:snapToGrid/>
              <w:spacing w:beforeLines="0" w:afterLines="0" w:line="240" w:lineRule="auto"/>
              <w:textAlignment w:val="auto"/>
              <w:rPr>
                <w:rFonts w:hint="eastAsia" w:ascii="宋体" w:hAnsi="宋体" w:eastAsia="宋体" w:cs="Times New Roman"/>
                <w:b/>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w:t>
            </w:r>
          </w:p>
          <w:p w14:paraId="325500D0">
            <w:pPr>
              <w:keepNext w:val="0"/>
              <w:keepLines w:val="0"/>
              <w:pageBreakBefore w:val="0"/>
              <w:kinsoku/>
              <w:wordWrap/>
              <w:overflowPunct/>
              <w:topLinePunct w:val="0"/>
              <w:autoSpaceDE/>
              <w:autoSpaceDN/>
              <w:bidi w:val="0"/>
              <w:adjustRightInd/>
              <w:snapToGrid/>
              <w:spacing w:line="240" w:lineRule="auto"/>
              <w:textAlignment w:val="auto"/>
              <w:rPr>
                <w:rFonts w:ascii="宋体" w:hAnsi="宋体"/>
                <w:color w:val="auto"/>
                <w:sz w:val="21"/>
                <w:szCs w:val="21"/>
                <w:highlight w:val="none"/>
              </w:rPr>
            </w:pPr>
            <w:r>
              <w:rPr>
                <w:rFonts w:hint="eastAsia" w:ascii="宋体" w:hAnsi="宋体" w:cs="Times New Roman"/>
                <w:b w:val="0"/>
                <w:bCs/>
                <w:color w:val="auto"/>
                <w:kern w:val="2"/>
                <w:sz w:val="21"/>
                <w:szCs w:val="21"/>
                <w:highlight w:val="none"/>
                <w:lang w:val="en-US" w:eastAsia="zh-CN" w:bidi="ar-SA"/>
              </w:rPr>
              <w:t>3）</w:t>
            </w:r>
            <w:r>
              <w:rPr>
                <w:rFonts w:hint="eastAsia" w:ascii="宋体" w:hAnsi="宋体"/>
                <w:color w:val="auto"/>
                <w:sz w:val="21"/>
                <w:szCs w:val="21"/>
                <w:highlight w:val="none"/>
              </w:rPr>
              <w:t>技术</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2230528C">
            <w:pPr>
              <w:keepNext w:val="0"/>
              <w:keepLines w:val="0"/>
              <w:pageBreakBefore w:val="0"/>
              <w:kinsoku/>
              <w:wordWrap/>
              <w:overflowPunct/>
              <w:topLinePunct w:val="0"/>
              <w:autoSpaceDE/>
              <w:autoSpaceDN/>
              <w:bidi w:val="0"/>
              <w:adjustRightInd/>
              <w:snapToGrid/>
              <w:spacing w:line="240" w:lineRule="auto"/>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）商务</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36B6AC59">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）供应商有效的</w:t>
            </w:r>
            <w:r>
              <w:rPr>
                <w:rFonts w:hint="eastAsia" w:ascii="宋体" w:hAnsi="宋体"/>
                <w:color w:val="auto"/>
                <w:sz w:val="21"/>
                <w:szCs w:val="21"/>
                <w:highlight w:val="none"/>
                <w:lang w:val="en-US" w:eastAsia="zh-CN"/>
              </w:rPr>
              <w:t>资质证明文件：</w:t>
            </w:r>
          </w:p>
          <w:p w14:paraId="76480304">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①供应商为法人或者其他组织的，证明文件为其营业执照复印件（如营业执照或者事业单位法人证书、团体组织法人证书或者执业许可证等）；供应商为自然人的，证明文件为其身份证复印件；</w:t>
            </w:r>
          </w:p>
          <w:p w14:paraId="2FD57012">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p>
          <w:p w14:paraId="70305140">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②供应商依法缴纳税收的相关材料（2025年1月至7月内任意连续3个月的依法缴纳税收的凭据复印件；依法免税的，必须提供相应文件证明其依法免税。从成立之日起到响应文件提交截止时间止不足要求月数的，只需提供从成立之日起的依法缴纳税收相应证明文件）；</w:t>
            </w:r>
          </w:p>
          <w:p w14:paraId="7ABEA22E">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p>
          <w:p w14:paraId="627344ED">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③供应商依法缴纳社会保障资金的相关材料[2025年1月至7月内任意连续3个月的依法缴纳社会保障资金的缴费凭证（专用收据或者社会保险缴纳清单）复印件；依法不需要缴纳社会保障资金的，必须提供相应文件证明不需要缴纳社会保障资金。从成立之日起到响应文件提交截止时间止不足要求月数的只需提供从成立之日起的依法缴纳社会保障资金的相应证明文件]；</w:t>
            </w:r>
          </w:p>
          <w:p w14:paraId="0F20EA1C">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p>
          <w:p w14:paraId="4BC83286">
            <w:pPr>
              <w:keepNext w:val="0"/>
              <w:keepLines w:val="0"/>
              <w:pageBreakBefore w:val="0"/>
              <w:kinsoku/>
              <w:overflowPunct/>
              <w:topLinePunct w:val="0"/>
              <w:bidi w:val="0"/>
              <w:spacing w:line="24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数据库的详细服务介绍（提供详细的实施本项目的实施方案，如日期规划、应急处置、风险预案等方案）</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格式目录自拟</w:t>
            </w:r>
            <w:r>
              <w:rPr>
                <w:rFonts w:hint="eastAsia" w:ascii="宋体" w:hAnsi="宋体"/>
                <w:color w:val="auto"/>
                <w:sz w:val="21"/>
                <w:szCs w:val="21"/>
                <w:highlight w:val="none"/>
              </w:rPr>
              <w:t>）</w:t>
            </w:r>
            <w:r>
              <w:rPr>
                <w:rFonts w:hint="eastAsia" w:ascii="宋体" w:hAnsi="宋体"/>
                <w:color w:val="auto"/>
                <w:sz w:val="21"/>
                <w:szCs w:val="21"/>
                <w:highlight w:val="none"/>
                <w:lang w:eastAsia="zh-CN"/>
              </w:rPr>
              <w:t>；</w:t>
            </w:r>
          </w:p>
          <w:p w14:paraId="4F287F9A">
            <w:pPr>
              <w:keepNext w:val="0"/>
              <w:keepLines w:val="0"/>
              <w:pageBreakBefore w:val="0"/>
              <w:kinsoku/>
              <w:overflowPunct/>
              <w:topLinePunct w:val="0"/>
              <w:bidi w:val="0"/>
              <w:spacing w:line="24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bCs/>
                <w:color w:val="auto"/>
                <w:sz w:val="21"/>
                <w:szCs w:val="21"/>
                <w:highlight w:val="none"/>
              </w:rPr>
              <w:t>售后服务方案，</w:t>
            </w:r>
            <w:r>
              <w:rPr>
                <w:rFonts w:hint="eastAsia" w:ascii="宋体" w:hAnsi="宋体"/>
                <w:color w:val="auto"/>
                <w:sz w:val="21"/>
                <w:szCs w:val="21"/>
                <w:highlight w:val="none"/>
              </w:rPr>
              <w:t>提供的切实可行的售后服务承诺</w:t>
            </w:r>
            <w:r>
              <w:rPr>
                <w:rFonts w:hint="eastAsia" w:ascii="宋体" w:hAnsi="宋体"/>
                <w:b/>
                <w:bCs/>
                <w:color w:val="auto"/>
                <w:sz w:val="21"/>
                <w:szCs w:val="21"/>
                <w:highlight w:val="none"/>
              </w:rPr>
              <w:t>（格式</w:t>
            </w:r>
            <w:r>
              <w:rPr>
                <w:rFonts w:hint="eastAsia" w:ascii="宋体" w:hAnsi="宋体"/>
                <w:b/>
                <w:bCs/>
                <w:color w:val="auto"/>
                <w:sz w:val="21"/>
                <w:szCs w:val="21"/>
                <w:highlight w:val="none"/>
                <w:lang w:val="en-US" w:eastAsia="zh-CN"/>
              </w:rPr>
              <w:t>目录</w:t>
            </w:r>
            <w:r>
              <w:rPr>
                <w:rFonts w:hint="eastAsia" w:ascii="宋体" w:hAnsi="宋体"/>
                <w:b/>
                <w:bCs/>
                <w:color w:val="auto"/>
                <w:sz w:val="21"/>
                <w:szCs w:val="21"/>
                <w:highlight w:val="none"/>
              </w:rPr>
              <w:t>自拟）</w:t>
            </w:r>
            <w:r>
              <w:rPr>
                <w:rFonts w:hint="eastAsia" w:ascii="宋体" w:hAnsi="宋体"/>
                <w:b/>
                <w:bCs/>
                <w:color w:val="auto"/>
                <w:sz w:val="21"/>
                <w:szCs w:val="21"/>
                <w:highlight w:val="none"/>
                <w:lang w:eastAsia="zh-CN"/>
              </w:rPr>
              <w:t>；</w:t>
            </w:r>
          </w:p>
          <w:p w14:paraId="1FDC129F">
            <w:pPr>
              <w:keepNext w:val="0"/>
              <w:keepLines w:val="0"/>
              <w:pageBreakBefore w:val="0"/>
              <w:kinsoku/>
              <w:overflowPunct/>
              <w:topLinePunct w:val="0"/>
              <w:bidi w:val="0"/>
              <w:spacing w:line="24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增值服务</w:t>
            </w: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如有，</w:t>
            </w:r>
            <w:r>
              <w:rPr>
                <w:rFonts w:hint="eastAsia" w:ascii="宋体" w:hAnsi="宋体"/>
                <w:b/>
                <w:bCs/>
                <w:color w:val="auto"/>
                <w:sz w:val="21"/>
                <w:szCs w:val="21"/>
                <w:highlight w:val="none"/>
              </w:rPr>
              <w:t>格式</w:t>
            </w:r>
            <w:r>
              <w:rPr>
                <w:rFonts w:hint="eastAsia" w:ascii="宋体" w:hAnsi="宋体"/>
                <w:b/>
                <w:bCs/>
                <w:color w:val="auto"/>
                <w:sz w:val="21"/>
                <w:szCs w:val="21"/>
                <w:highlight w:val="none"/>
                <w:lang w:val="en-US" w:eastAsia="zh-CN"/>
              </w:rPr>
              <w:t>目录</w:t>
            </w:r>
            <w:r>
              <w:rPr>
                <w:rFonts w:hint="eastAsia" w:ascii="宋体" w:hAnsi="宋体"/>
                <w:b/>
                <w:bCs/>
                <w:color w:val="auto"/>
                <w:sz w:val="21"/>
                <w:szCs w:val="21"/>
                <w:highlight w:val="none"/>
              </w:rPr>
              <w:t>自拟）</w:t>
            </w:r>
            <w:r>
              <w:rPr>
                <w:rFonts w:hint="eastAsia" w:ascii="宋体" w:hAnsi="宋体"/>
                <w:color w:val="auto"/>
                <w:sz w:val="21"/>
                <w:szCs w:val="21"/>
                <w:highlight w:val="none"/>
                <w:lang w:eastAsia="zh-CN"/>
              </w:rPr>
              <w:t>；</w:t>
            </w:r>
          </w:p>
          <w:p w14:paraId="7D7B59F4">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）项目实施人员一览表</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格式后附</w:t>
            </w:r>
            <w:r>
              <w:rPr>
                <w:rFonts w:hint="eastAsia" w:ascii="宋体" w:hAnsi="宋体"/>
                <w:b/>
                <w:bCs/>
                <w:color w:val="auto"/>
                <w:sz w:val="21"/>
                <w:szCs w:val="21"/>
                <w:highlight w:val="none"/>
                <w:lang w:eastAsia="zh-CN"/>
              </w:rPr>
              <w:t>）</w:t>
            </w:r>
            <w:r>
              <w:rPr>
                <w:rFonts w:hint="eastAsia" w:ascii="宋体" w:hAnsi="宋体"/>
                <w:color w:val="auto"/>
                <w:sz w:val="21"/>
                <w:szCs w:val="21"/>
                <w:highlight w:val="none"/>
              </w:rPr>
              <w:t>。</w:t>
            </w:r>
          </w:p>
          <w:p w14:paraId="5EEEE507">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10）业绩材料</w:t>
            </w:r>
            <w:r>
              <w:rPr>
                <w:rFonts w:hint="eastAsia" w:ascii="宋体" w:hAnsi="宋体"/>
                <w:color w:val="auto"/>
                <w:sz w:val="21"/>
                <w:szCs w:val="21"/>
                <w:highlight w:val="none"/>
              </w:rPr>
              <w:t>。</w:t>
            </w:r>
          </w:p>
          <w:p w14:paraId="4AB9086D">
            <w:pPr>
              <w:keepNext w:val="0"/>
              <w:keepLines w:val="0"/>
              <w:pageBreakBefore w:val="0"/>
              <w:kinsoku/>
              <w:overflowPunct/>
              <w:topLinePunct w:val="0"/>
              <w:bidi w:val="0"/>
              <w:spacing w:line="240" w:lineRule="auto"/>
              <w:textAlignment w:val="auto"/>
              <w:rPr>
                <w:rFonts w:hint="eastAsia" w:ascii="宋体" w:hAnsi="宋体" w:eastAsia="宋体"/>
                <w:b/>
                <w:bCs/>
                <w:color w:val="auto"/>
                <w:sz w:val="21"/>
                <w:szCs w:val="21"/>
                <w:highlight w:val="none"/>
                <w:lang w:val="en-US" w:eastAsia="zh-CN"/>
              </w:rPr>
            </w:pPr>
            <w:r>
              <w:rPr>
                <w:rFonts w:hint="eastAsia" w:ascii="宋体" w:hAnsi="宋体"/>
                <w:color w:val="auto"/>
                <w:sz w:val="21"/>
                <w:szCs w:val="21"/>
                <w:highlight w:val="none"/>
                <w:lang w:val="en-US" w:eastAsia="zh-CN"/>
              </w:rPr>
              <w:t>11</w:t>
            </w:r>
            <w:r>
              <w:rPr>
                <w:rFonts w:hint="eastAsia" w:ascii="宋体" w:hAnsi="宋体" w:eastAsia="宋体"/>
                <w:color w:val="auto"/>
                <w:sz w:val="21"/>
                <w:szCs w:val="21"/>
                <w:highlight w:val="none"/>
                <w:lang w:val="en-US" w:eastAsia="zh-CN"/>
              </w:rPr>
              <w:t>）</w:t>
            </w:r>
            <w:r>
              <w:rPr>
                <w:rFonts w:hint="eastAsia" w:ascii="宋体" w:hAnsi="宋体"/>
                <w:color w:val="auto"/>
                <w:sz w:val="21"/>
                <w:szCs w:val="21"/>
                <w:highlight w:val="none"/>
                <w:lang w:val="en-US" w:eastAsia="zh-CN"/>
              </w:rPr>
              <w:t>所获荣誉</w:t>
            </w:r>
            <w:r>
              <w:rPr>
                <w:rFonts w:hint="eastAsia" w:ascii="宋体" w:hAnsi="宋体" w:eastAsia="宋体"/>
                <w:color w:val="auto"/>
                <w:sz w:val="21"/>
                <w:szCs w:val="21"/>
                <w:highlight w:val="none"/>
                <w:lang w:val="en-US" w:eastAsia="zh-CN"/>
              </w:rPr>
              <w:t>相应证明材料</w:t>
            </w:r>
            <w:r>
              <w:rPr>
                <w:rFonts w:hint="eastAsia" w:ascii="宋体" w:hAnsi="宋体" w:eastAsia="宋体"/>
                <w:b/>
                <w:bCs/>
                <w:color w:val="auto"/>
                <w:sz w:val="21"/>
                <w:szCs w:val="21"/>
                <w:highlight w:val="none"/>
                <w:lang w:val="en-US" w:eastAsia="zh-CN"/>
              </w:rPr>
              <w:t>（格式目录自拟）</w:t>
            </w:r>
          </w:p>
          <w:p w14:paraId="3108BFAB">
            <w:pPr>
              <w:keepNext w:val="0"/>
              <w:keepLines w:val="0"/>
              <w:pageBreakBefore w:val="0"/>
              <w:kinsoku/>
              <w:overflowPunct/>
              <w:topLinePunct w:val="0"/>
              <w:bidi w:val="0"/>
              <w:spacing w:line="240" w:lineRule="auto"/>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12）供应商认为其他需要提供的证明其履约能力和满足“采购需求”的相关材料。</w:t>
            </w:r>
          </w:p>
          <w:p w14:paraId="00986855">
            <w:pPr>
              <w:keepNext w:val="0"/>
              <w:keepLines w:val="0"/>
              <w:pageBreakBefore w:val="0"/>
              <w:kinsoku/>
              <w:overflowPunct/>
              <w:topLinePunct w:val="0"/>
              <w:bidi w:val="0"/>
              <w:spacing w:line="240" w:lineRule="auto"/>
              <w:textAlignment w:val="auto"/>
              <w:rPr>
                <w:rFonts w:hint="eastAsia" w:ascii="宋体" w:hAnsi="宋体" w:eastAsia="宋体"/>
                <w:b/>
                <w:color w:val="auto"/>
                <w:sz w:val="21"/>
                <w:szCs w:val="21"/>
                <w:highlight w:val="none"/>
                <w:lang w:eastAsia="zh-CN"/>
              </w:rPr>
            </w:pPr>
            <w:r>
              <w:rPr>
                <w:rFonts w:hint="eastAsia" w:ascii="宋体" w:hAnsi="宋体"/>
                <w:b/>
                <w:bCs/>
                <w:color w:val="auto"/>
                <w:sz w:val="21"/>
                <w:szCs w:val="21"/>
                <w:highlight w:val="none"/>
                <w:lang w:val="en-US" w:eastAsia="zh-CN"/>
              </w:rPr>
              <w:t>3.</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报价表、</w:t>
            </w:r>
            <w:r>
              <w:rPr>
                <w:rFonts w:hint="eastAsia" w:ascii="宋体" w:hAnsi="宋体"/>
                <w:b/>
                <w:bCs/>
                <w:color w:val="auto"/>
                <w:sz w:val="21"/>
                <w:szCs w:val="21"/>
                <w:highlight w:val="none"/>
                <w:lang w:val="en-US" w:eastAsia="zh-CN"/>
              </w:rPr>
              <w:t>投标函</w:t>
            </w:r>
            <w:r>
              <w:rPr>
                <w:rFonts w:hint="eastAsia" w:ascii="宋体" w:hAnsi="宋体"/>
                <w:b/>
                <w:bCs/>
                <w:color w:val="auto"/>
                <w:sz w:val="21"/>
                <w:szCs w:val="21"/>
                <w:highlight w:val="none"/>
              </w:rPr>
              <w:t>、法定代表人授权委托书、技术</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响应及偏离情况说明表、商务</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响应及偏离情况说明表必须按格式要求由法定代表人或委托代理人签名并加盖单位公章</w:t>
            </w:r>
            <w:r>
              <w:rPr>
                <w:rFonts w:hint="eastAsia" w:ascii="宋体" w:hAnsi="宋体"/>
                <w:b/>
                <w:color w:val="auto"/>
                <w:sz w:val="21"/>
                <w:szCs w:val="21"/>
                <w:highlight w:val="none"/>
              </w:rPr>
              <w:t>，否则</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响应无效。</w:t>
            </w:r>
          </w:p>
        </w:tc>
      </w:tr>
      <w:tr w14:paraId="6AE2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vAlign w:val="center"/>
          </w:tcPr>
          <w:p w14:paraId="3CB280C8">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5</w:t>
            </w:r>
          </w:p>
        </w:tc>
        <w:tc>
          <w:tcPr>
            <w:tcW w:w="945" w:type="dxa"/>
            <w:vAlign w:val="center"/>
          </w:tcPr>
          <w:p w14:paraId="1A8F987D">
            <w:pPr>
              <w:keepNext w:val="0"/>
              <w:keepLines w:val="0"/>
              <w:pageBreakBefore w:val="0"/>
              <w:kinsoku/>
              <w:overflowPunct/>
              <w:topLinePunct w:val="0"/>
              <w:bidi w:val="0"/>
              <w:spacing w:line="24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.1</w:t>
            </w:r>
          </w:p>
        </w:tc>
        <w:tc>
          <w:tcPr>
            <w:tcW w:w="7862" w:type="dxa"/>
            <w:vAlign w:val="center"/>
          </w:tcPr>
          <w:p w14:paraId="761EFD87">
            <w:pPr>
              <w:wordWrap w:val="0"/>
              <w:topLinePunct/>
              <w:snapToGrid w:val="0"/>
              <w:spacing w:line="400" w:lineRule="exact"/>
              <w:rPr>
                <w:rFonts w:hint="eastAsia" w:ascii="宋体" w:hAnsi="宋体"/>
                <w:b/>
                <w:bCs/>
                <w:color w:val="auto"/>
                <w:sz w:val="21"/>
                <w:szCs w:val="21"/>
                <w:highlight w:val="none"/>
              </w:rPr>
            </w:pPr>
            <w:r>
              <w:rPr>
                <w:rFonts w:hint="eastAsia" w:ascii="宋体" w:hAnsi="宋体"/>
                <w:b/>
                <w:bCs/>
                <w:color w:val="auto"/>
                <w:sz w:val="21"/>
                <w:szCs w:val="21"/>
                <w:highlight w:val="none"/>
                <w:lang w:val="en-US" w:eastAsia="zh-CN"/>
              </w:rPr>
              <w:t>投标</w:t>
            </w:r>
            <w:r>
              <w:rPr>
                <w:rFonts w:hint="eastAsia" w:ascii="宋体" w:hAnsi="宋体"/>
                <w:b/>
                <w:bCs/>
                <w:color w:val="auto"/>
                <w:sz w:val="21"/>
                <w:szCs w:val="21"/>
                <w:highlight w:val="none"/>
              </w:rPr>
              <w:t>报价：</w:t>
            </w:r>
          </w:p>
          <w:p w14:paraId="7B8F8652">
            <w:pPr>
              <w:pStyle w:val="18"/>
              <w:numPr>
                <w:ilvl w:val="-1"/>
                <w:numId w:val="0"/>
              </w:numPr>
              <w:tabs>
                <w:tab w:val="left" w:pos="312"/>
              </w:tabs>
              <w:rPr>
                <w:rFonts w:hAnsi="宋体"/>
                <w:color w:val="auto"/>
                <w:sz w:val="21"/>
                <w:szCs w:val="21"/>
                <w:highlight w:val="none"/>
              </w:rPr>
            </w:pPr>
            <w:r>
              <w:rPr>
                <w:rFonts w:hint="eastAsia"/>
                <w:color w:val="000000"/>
                <w:sz w:val="21"/>
                <w:szCs w:val="21"/>
                <w:highlight w:val="none"/>
                <w:lang w:val="en-US" w:eastAsia="zh-CN"/>
              </w:rPr>
              <w:t>1.本项目实行全包价报价，投标报价中已包含满足采购货物、服务以及保证项目顺利实施的各项费用，包括采购、运输、劳务、管理、利润、税金、保险、协调、培训、售后服务、配送产品以及所有的不定因素的风险等，其他未明确列明的费用采购人将不再予以支付。</w:t>
            </w:r>
          </w:p>
        </w:tc>
      </w:tr>
      <w:tr w14:paraId="27A6E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45" w:type="dxa"/>
            <w:vAlign w:val="center"/>
          </w:tcPr>
          <w:p w14:paraId="2A5F5BDF">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6</w:t>
            </w:r>
          </w:p>
        </w:tc>
        <w:tc>
          <w:tcPr>
            <w:tcW w:w="945" w:type="dxa"/>
            <w:vAlign w:val="center"/>
          </w:tcPr>
          <w:p w14:paraId="3D145786">
            <w:pPr>
              <w:keepNext w:val="0"/>
              <w:keepLines w:val="0"/>
              <w:pageBreakBefore w:val="0"/>
              <w:kinsoku/>
              <w:overflowPunct/>
              <w:topLinePunct w:val="0"/>
              <w:bidi w:val="0"/>
              <w:spacing w:line="24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w:t>
            </w:r>
          </w:p>
        </w:tc>
        <w:tc>
          <w:tcPr>
            <w:tcW w:w="7862" w:type="dxa"/>
            <w:vAlign w:val="center"/>
          </w:tcPr>
          <w:p w14:paraId="4BE12B44">
            <w:pPr>
              <w:keepNext w:val="0"/>
              <w:keepLines w:val="0"/>
              <w:pageBreakBefore w:val="0"/>
              <w:kinsoku/>
              <w:overflowPunct/>
              <w:topLinePunct w:val="0"/>
              <w:bidi w:val="0"/>
              <w:spacing w:line="240" w:lineRule="auto"/>
              <w:textAlignment w:val="auto"/>
              <w:rPr>
                <w:rFonts w:hint="default" w:ascii="宋体" w:hAnsi="宋体" w:eastAsia="宋体"/>
                <w:b/>
                <w:bCs/>
                <w:color w:val="auto"/>
                <w:sz w:val="21"/>
                <w:szCs w:val="21"/>
                <w:highlight w:val="none"/>
                <w:lang w:val="en-US" w:eastAsia="zh-CN"/>
              </w:rPr>
            </w:pPr>
            <w:r>
              <w:rPr>
                <w:rFonts w:hint="eastAsia" w:ascii="宋体" w:hAnsi="宋体"/>
                <w:b/>
                <w:bCs/>
                <w:color w:val="auto"/>
                <w:sz w:val="21"/>
                <w:szCs w:val="21"/>
                <w:highlight w:val="none"/>
                <w:lang w:val="en-US" w:eastAsia="zh-CN"/>
              </w:rPr>
              <w:t>磋商响应文件份数及封装：</w:t>
            </w:r>
          </w:p>
          <w:p w14:paraId="3834B2C1">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供应商应将所有</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按第</w:t>
            </w:r>
            <w:r>
              <w:rPr>
                <w:rFonts w:hint="eastAsia" w:ascii="宋体" w:hAnsi="宋体"/>
                <w:color w:val="auto"/>
                <w:sz w:val="21"/>
                <w:szCs w:val="21"/>
                <w:highlight w:val="none"/>
                <w:lang w:val="en-US" w:eastAsia="zh-CN"/>
              </w:rPr>
              <w:t>六</w:t>
            </w:r>
            <w:r>
              <w:rPr>
                <w:rFonts w:hint="eastAsia" w:ascii="宋体" w:hAnsi="宋体"/>
                <w:color w:val="auto"/>
                <w:sz w:val="21"/>
                <w:szCs w:val="21"/>
                <w:highlight w:val="none"/>
              </w:rPr>
              <w:t>章“响应文件格式”的要求和顺序合并装订成一册</w:t>
            </w:r>
            <w:r>
              <w:rPr>
                <w:rFonts w:hint="eastAsia" w:ascii="宋体" w:hAnsi="宋体"/>
                <w:color w:val="auto"/>
                <w:sz w:val="21"/>
                <w:szCs w:val="21"/>
                <w:highlight w:val="none"/>
                <w:lang w:eastAsia="zh-CN"/>
              </w:rPr>
              <w:t>；</w:t>
            </w:r>
          </w:p>
          <w:p w14:paraId="47E093CF">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2.</w:t>
            </w:r>
            <w:r>
              <w:rPr>
                <w:rFonts w:hint="eastAsia" w:ascii="宋体" w:hAnsi="宋体"/>
                <w:b/>
                <w:bCs/>
                <w:color w:val="auto"/>
                <w:sz w:val="21"/>
                <w:szCs w:val="21"/>
                <w:highlight w:val="none"/>
              </w:rPr>
              <w:t>正本一份，副本</w:t>
            </w:r>
            <w:r>
              <w:rPr>
                <w:rFonts w:hint="eastAsia" w:ascii="宋体" w:hAnsi="宋体"/>
                <w:b/>
                <w:bCs/>
                <w:color w:val="auto"/>
                <w:sz w:val="21"/>
                <w:szCs w:val="21"/>
                <w:highlight w:val="none"/>
                <w:lang w:val="en-US" w:eastAsia="zh-CN"/>
              </w:rPr>
              <w:t>4</w:t>
            </w:r>
            <w:r>
              <w:rPr>
                <w:rFonts w:hint="eastAsia" w:ascii="宋体" w:hAnsi="宋体"/>
                <w:b/>
                <w:bCs/>
                <w:color w:val="auto"/>
                <w:sz w:val="21"/>
                <w:szCs w:val="21"/>
                <w:highlight w:val="none"/>
              </w:rPr>
              <w:t>份</w:t>
            </w:r>
            <w:r>
              <w:rPr>
                <w:rFonts w:hint="eastAsia" w:ascii="宋体" w:hAnsi="宋体"/>
                <w:color w:val="auto"/>
                <w:sz w:val="21"/>
                <w:szCs w:val="21"/>
                <w:highlight w:val="none"/>
              </w:rPr>
              <w:t>，并</w:t>
            </w:r>
            <w:r>
              <w:rPr>
                <w:rFonts w:ascii="宋体" w:hAnsi="宋体"/>
                <w:color w:val="auto"/>
                <w:sz w:val="21"/>
                <w:szCs w:val="21"/>
                <w:highlight w:val="none"/>
              </w:rPr>
              <w:t>在每个文本封面上标明“正本”或“副本”</w:t>
            </w:r>
            <w:r>
              <w:rPr>
                <w:rFonts w:hint="eastAsia" w:ascii="宋体" w:hAnsi="宋体"/>
                <w:color w:val="auto"/>
                <w:sz w:val="21"/>
                <w:szCs w:val="21"/>
                <w:highlight w:val="none"/>
                <w:lang w:eastAsia="zh-CN"/>
              </w:rPr>
              <w:t>；</w:t>
            </w:r>
          </w:p>
          <w:p w14:paraId="15CCED42">
            <w:pPr>
              <w:keepNext w:val="0"/>
              <w:keepLines w:val="0"/>
              <w:pageBreakBefore w:val="0"/>
              <w:kinsoku/>
              <w:overflowPunct/>
              <w:topLinePunct w:val="0"/>
              <w:bidi w:val="0"/>
              <w:spacing w:line="240" w:lineRule="auto"/>
              <w:textAlignment w:val="auto"/>
              <w:rPr>
                <w:rFonts w:hint="default" w:ascii="宋体" w:hAnsi="宋体" w:cs="Times New Roman"/>
                <w:color w:val="auto"/>
                <w:sz w:val="21"/>
                <w:szCs w:val="21"/>
                <w:highlight w:val="none"/>
                <w:lang w:val="en-US" w:eastAsia="zh-CN"/>
              </w:rPr>
            </w:pPr>
            <w:r>
              <w:rPr>
                <w:rFonts w:hint="eastAsia" w:ascii="宋体" w:hAnsi="宋体" w:cs="Times New Roman"/>
                <w:color w:val="auto"/>
                <w:sz w:val="21"/>
                <w:szCs w:val="21"/>
                <w:highlight w:val="none"/>
                <w:lang w:val="en-US" w:eastAsia="zh-CN"/>
              </w:rPr>
              <w:t>3.副本可以为正本签字盖章后的复印件，如正副本不一致以正本为准；</w:t>
            </w:r>
          </w:p>
          <w:p w14:paraId="12E76226">
            <w:pPr>
              <w:keepNext w:val="0"/>
              <w:keepLines w:val="0"/>
              <w:pageBreakBefore w:val="0"/>
              <w:kinsoku/>
              <w:overflowPunct/>
              <w:topLinePunct w:val="0"/>
              <w:bidi w:val="0"/>
              <w:spacing w:line="24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供应商</w:t>
            </w:r>
            <w:r>
              <w:rPr>
                <w:rFonts w:ascii="宋体" w:hAnsi="宋体"/>
                <w:color w:val="auto"/>
                <w:sz w:val="21"/>
                <w:szCs w:val="21"/>
                <w:highlight w:val="none"/>
              </w:rPr>
              <w:t>应</w:t>
            </w:r>
            <w:r>
              <w:rPr>
                <w:rFonts w:hint="eastAsia" w:ascii="宋体" w:hAnsi="宋体"/>
                <w:color w:val="auto"/>
                <w:sz w:val="21"/>
                <w:szCs w:val="21"/>
                <w:highlight w:val="none"/>
              </w:rPr>
              <w:t>尽量</w:t>
            </w:r>
            <w:r>
              <w:rPr>
                <w:rFonts w:ascii="宋体" w:hAnsi="宋体"/>
                <w:color w:val="auto"/>
                <w:sz w:val="21"/>
                <w:szCs w:val="21"/>
                <w:highlight w:val="none"/>
              </w:rPr>
              <w:t>将正、副本一并装入一个文件袋中进行包装，</w:t>
            </w:r>
            <w:r>
              <w:rPr>
                <w:rFonts w:hint="eastAsia" w:ascii="宋体" w:hAnsi="宋体"/>
                <w:color w:val="auto"/>
                <w:sz w:val="21"/>
                <w:szCs w:val="21"/>
                <w:highlight w:val="none"/>
              </w:rPr>
              <w:t>同时</w:t>
            </w:r>
            <w:r>
              <w:rPr>
                <w:rFonts w:ascii="宋体" w:hAnsi="宋体"/>
                <w:color w:val="auto"/>
                <w:sz w:val="21"/>
                <w:szCs w:val="21"/>
                <w:highlight w:val="none"/>
              </w:rPr>
              <w:t>加以密封，并在封贴处密封签章（公章、密封章、法定代表人或</w:t>
            </w:r>
            <w:r>
              <w:rPr>
                <w:rFonts w:hint="eastAsia" w:ascii="宋体" w:hAnsi="宋体"/>
                <w:color w:val="auto"/>
                <w:sz w:val="21"/>
                <w:szCs w:val="21"/>
                <w:highlight w:val="none"/>
              </w:rPr>
              <w:t>委托代理人</w:t>
            </w:r>
            <w:r>
              <w:rPr>
                <w:rFonts w:ascii="宋体" w:hAnsi="宋体"/>
                <w:color w:val="auto"/>
                <w:sz w:val="21"/>
                <w:szCs w:val="21"/>
                <w:highlight w:val="none"/>
              </w:rPr>
              <w:t>签字均可</w:t>
            </w:r>
            <w:r>
              <w:rPr>
                <w:rFonts w:hint="eastAsia" w:ascii="宋体" w:hAnsi="宋体"/>
                <w:color w:val="auto"/>
                <w:sz w:val="21"/>
                <w:szCs w:val="21"/>
                <w:highlight w:val="none"/>
              </w:rPr>
              <w:t>，要求</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文件袋无明显缝隙露出袋内文件</w:t>
            </w:r>
            <w:r>
              <w:rPr>
                <w:rFonts w:hint="eastAsia" w:ascii="宋体" w:hAnsi="宋体"/>
                <w:color w:val="auto"/>
                <w:sz w:val="21"/>
                <w:szCs w:val="21"/>
                <w:highlight w:val="none"/>
                <w:lang w:val="en-US" w:eastAsia="zh-CN"/>
              </w:rPr>
              <w:t>内容</w:t>
            </w:r>
            <w:r>
              <w:rPr>
                <w:rFonts w:ascii="宋体" w:hAnsi="宋体"/>
                <w:color w:val="auto"/>
                <w:sz w:val="21"/>
                <w:szCs w:val="21"/>
                <w:highlight w:val="none"/>
              </w:rPr>
              <w:t>）</w:t>
            </w:r>
            <w:r>
              <w:rPr>
                <w:rFonts w:hint="eastAsia" w:ascii="宋体" w:hAnsi="宋体"/>
                <w:color w:val="auto"/>
                <w:sz w:val="21"/>
                <w:szCs w:val="21"/>
                <w:highlight w:val="none"/>
                <w:lang w:eastAsia="zh-CN"/>
              </w:rPr>
              <w:t>；</w:t>
            </w:r>
          </w:p>
          <w:p w14:paraId="0F5D3455">
            <w:pPr>
              <w:keepNext w:val="0"/>
              <w:keepLines w:val="0"/>
              <w:pageBreakBefore w:val="0"/>
              <w:kinsoku/>
              <w:overflowPunct/>
              <w:topLinePunct w:val="0"/>
              <w:bidi w:val="0"/>
              <w:snapToGrid w:val="0"/>
              <w:spacing w:line="240" w:lineRule="auto"/>
              <w:jc w:val="left"/>
              <w:textAlignment w:val="auto"/>
              <w:rPr>
                <w:rFonts w:hint="eastAsia" w:ascii="宋体" w:hAnsi="宋体" w:eastAsia="宋体" w:cs="Courier New"/>
                <w:color w:val="auto"/>
                <w:sz w:val="21"/>
                <w:szCs w:val="21"/>
                <w:highlight w:val="none"/>
                <w:lang w:eastAsia="zh-CN"/>
              </w:rPr>
            </w:pPr>
            <w:r>
              <w:rPr>
                <w:rFonts w:hint="eastAsia" w:ascii="宋体" w:hAnsi="宋体" w:cs="Courier New"/>
                <w:color w:val="auto"/>
                <w:sz w:val="21"/>
                <w:szCs w:val="21"/>
                <w:highlight w:val="none"/>
                <w:lang w:val="en-US" w:eastAsia="zh-CN"/>
              </w:rPr>
              <w:t>5.响应供应商</w:t>
            </w:r>
            <w:r>
              <w:rPr>
                <w:rFonts w:hint="eastAsia" w:ascii="宋体" w:hAnsi="宋体" w:cs="Courier New"/>
                <w:color w:val="auto"/>
                <w:sz w:val="21"/>
                <w:szCs w:val="21"/>
                <w:highlight w:val="none"/>
              </w:rPr>
              <w:t>在递交</w:t>
            </w:r>
            <w:r>
              <w:rPr>
                <w:rFonts w:hint="eastAsia" w:ascii="宋体" w:hAnsi="宋体" w:cs="Courier New"/>
                <w:color w:val="auto"/>
                <w:sz w:val="21"/>
                <w:szCs w:val="21"/>
                <w:highlight w:val="none"/>
                <w:lang w:val="en-US" w:eastAsia="zh-CN"/>
              </w:rPr>
              <w:t>响应</w:t>
            </w:r>
            <w:r>
              <w:rPr>
                <w:rFonts w:hint="eastAsia" w:ascii="宋体" w:hAnsi="宋体" w:cs="Courier New"/>
                <w:color w:val="auto"/>
                <w:sz w:val="21"/>
                <w:szCs w:val="21"/>
                <w:highlight w:val="none"/>
              </w:rPr>
              <w:t>文件时，</w:t>
            </w:r>
            <w:r>
              <w:rPr>
                <w:rFonts w:hint="eastAsia" w:ascii="宋体" w:hAnsi="宋体" w:cs="Courier New"/>
                <w:b/>
                <w:bCs/>
                <w:color w:val="auto"/>
                <w:sz w:val="21"/>
                <w:szCs w:val="21"/>
                <w:highlight w:val="none"/>
              </w:rPr>
              <w:t>同时递交</w:t>
            </w:r>
            <w:r>
              <w:rPr>
                <w:rFonts w:hint="eastAsia" w:ascii="宋体" w:hAnsi="宋体" w:cs="Courier New"/>
                <w:b/>
                <w:bCs/>
                <w:color w:val="auto"/>
                <w:sz w:val="21"/>
                <w:szCs w:val="21"/>
                <w:highlight w:val="none"/>
                <w:lang w:val="en-US" w:eastAsia="zh-CN"/>
              </w:rPr>
              <w:t>响应</w:t>
            </w:r>
            <w:r>
              <w:rPr>
                <w:rFonts w:hint="eastAsia" w:ascii="宋体" w:hAnsi="宋体" w:cs="Courier New"/>
                <w:b/>
                <w:bCs/>
                <w:color w:val="auto"/>
                <w:sz w:val="21"/>
                <w:szCs w:val="21"/>
                <w:highlight w:val="none"/>
              </w:rPr>
              <w:t>文件</w:t>
            </w:r>
            <w:r>
              <w:rPr>
                <w:rFonts w:hint="eastAsia" w:ascii="宋体" w:hAnsi="宋体" w:cs="Courier New"/>
                <w:b/>
                <w:bCs/>
                <w:color w:val="auto"/>
                <w:sz w:val="21"/>
                <w:szCs w:val="21"/>
                <w:highlight w:val="none"/>
                <w:lang w:val="en-US" w:eastAsia="zh-CN"/>
              </w:rPr>
              <w:t>盖章扫描件</w:t>
            </w:r>
            <w:r>
              <w:rPr>
                <w:rFonts w:hint="eastAsia" w:ascii="宋体" w:hAnsi="宋体" w:cs="Courier New"/>
                <w:b/>
                <w:bCs/>
                <w:color w:val="auto"/>
                <w:sz w:val="21"/>
                <w:szCs w:val="21"/>
                <w:highlight w:val="none"/>
              </w:rPr>
              <w:t>电子版1份</w:t>
            </w:r>
            <w:r>
              <w:rPr>
                <w:rFonts w:hint="eastAsia" w:ascii="宋体" w:hAnsi="宋体" w:cs="Courier New"/>
                <w:b/>
                <w:bCs/>
                <w:color w:val="auto"/>
                <w:sz w:val="21"/>
                <w:szCs w:val="21"/>
                <w:highlight w:val="none"/>
                <w:lang w:eastAsia="zh-CN"/>
              </w:rPr>
              <w:t>，</w:t>
            </w:r>
            <w:r>
              <w:rPr>
                <w:rFonts w:hint="eastAsia" w:ascii="宋体" w:hAnsi="宋体" w:cs="Courier New"/>
                <w:b/>
                <w:bCs/>
                <w:color w:val="auto"/>
                <w:sz w:val="21"/>
                <w:szCs w:val="21"/>
                <w:highlight w:val="none"/>
                <w:lang w:val="en-US" w:eastAsia="zh-CN"/>
              </w:rPr>
              <w:t>并以</w:t>
            </w:r>
            <w:r>
              <w:rPr>
                <w:rFonts w:hint="eastAsia" w:ascii="宋体" w:hAnsi="宋体" w:cs="Courier New"/>
                <w:b/>
                <w:bCs/>
                <w:color w:val="auto"/>
                <w:sz w:val="21"/>
                <w:szCs w:val="21"/>
                <w:highlight w:val="none"/>
              </w:rPr>
              <w:t>光盘或U盘</w:t>
            </w:r>
            <w:r>
              <w:rPr>
                <w:rFonts w:hint="eastAsia" w:ascii="宋体" w:hAnsi="宋体" w:cs="Courier New"/>
                <w:b/>
                <w:bCs/>
                <w:color w:val="auto"/>
                <w:sz w:val="21"/>
                <w:szCs w:val="21"/>
                <w:highlight w:val="none"/>
                <w:lang w:val="en-US" w:eastAsia="zh-CN"/>
              </w:rPr>
              <w:t>形式</w:t>
            </w:r>
            <w:r>
              <w:rPr>
                <w:rFonts w:hint="eastAsia" w:ascii="宋体" w:hAnsi="宋体" w:cs="Courier New"/>
                <w:b/>
                <w:bCs/>
                <w:color w:val="auto"/>
                <w:sz w:val="21"/>
                <w:szCs w:val="21"/>
                <w:highlight w:val="none"/>
              </w:rPr>
              <w:t>与纸质版</w:t>
            </w:r>
            <w:r>
              <w:rPr>
                <w:rFonts w:hint="eastAsia" w:ascii="宋体" w:hAnsi="宋体" w:cs="Courier New"/>
                <w:b/>
                <w:bCs/>
                <w:color w:val="auto"/>
                <w:sz w:val="21"/>
                <w:szCs w:val="21"/>
                <w:highlight w:val="none"/>
                <w:lang w:val="en-US" w:eastAsia="zh-CN"/>
              </w:rPr>
              <w:t>响应</w:t>
            </w:r>
            <w:r>
              <w:rPr>
                <w:rFonts w:hint="eastAsia" w:ascii="宋体" w:hAnsi="宋体" w:cs="Courier New"/>
                <w:b/>
                <w:bCs/>
                <w:color w:val="auto"/>
                <w:sz w:val="21"/>
                <w:szCs w:val="21"/>
                <w:highlight w:val="none"/>
              </w:rPr>
              <w:t>文件一并装入文件袋中</w:t>
            </w:r>
            <w:r>
              <w:rPr>
                <w:rFonts w:hint="eastAsia" w:ascii="宋体" w:hAnsi="宋体" w:cs="Courier New"/>
                <w:b/>
                <w:bCs/>
                <w:color w:val="auto"/>
                <w:sz w:val="21"/>
                <w:szCs w:val="21"/>
                <w:highlight w:val="none"/>
                <w:lang w:eastAsia="zh-CN"/>
              </w:rPr>
              <w:t>；</w:t>
            </w:r>
          </w:p>
          <w:p w14:paraId="7ED1AD39">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Courier New" w:cs="Courier New"/>
                <w:b/>
                <w:bCs/>
                <w:color w:val="auto"/>
                <w:sz w:val="21"/>
                <w:szCs w:val="21"/>
                <w:highlight w:val="none"/>
                <w:lang w:val="en-US" w:eastAsia="zh-CN"/>
              </w:rPr>
              <w:t>6.</w:t>
            </w:r>
            <w:r>
              <w:rPr>
                <w:rFonts w:hint="eastAsia" w:ascii="宋体" w:hAnsi="Courier New" w:cs="Courier New"/>
                <w:b/>
                <w:bCs/>
                <w:color w:val="auto"/>
                <w:sz w:val="21"/>
                <w:szCs w:val="21"/>
                <w:highlight w:val="none"/>
              </w:rPr>
              <w:t>不按</w:t>
            </w:r>
            <w:r>
              <w:rPr>
                <w:rFonts w:hint="eastAsia" w:ascii="宋体" w:hAnsi="Courier New" w:cs="Courier New"/>
                <w:b/>
                <w:bCs/>
                <w:color w:val="auto"/>
                <w:sz w:val="21"/>
                <w:szCs w:val="21"/>
                <w:highlight w:val="none"/>
                <w:lang w:val="en-US" w:eastAsia="zh-CN"/>
              </w:rPr>
              <w:t>磋商</w:t>
            </w:r>
            <w:r>
              <w:rPr>
                <w:rFonts w:hint="eastAsia" w:ascii="宋体" w:hAnsi="Courier New" w:cs="Courier New"/>
                <w:b/>
                <w:bCs/>
                <w:color w:val="auto"/>
                <w:sz w:val="21"/>
                <w:szCs w:val="21"/>
                <w:highlight w:val="none"/>
              </w:rPr>
              <w:t>文件份数要求提交</w:t>
            </w:r>
            <w:r>
              <w:rPr>
                <w:rFonts w:hint="eastAsia" w:ascii="宋体" w:hAnsi="Courier New" w:cs="Courier New"/>
                <w:b/>
                <w:bCs/>
                <w:color w:val="auto"/>
                <w:sz w:val="21"/>
                <w:szCs w:val="21"/>
                <w:highlight w:val="none"/>
                <w:lang w:val="en-US" w:eastAsia="zh-CN"/>
              </w:rPr>
              <w:t>磋商</w:t>
            </w:r>
            <w:r>
              <w:rPr>
                <w:rFonts w:hint="eastAsia" w:ascii="宋体" w:hAnsi="Courier New" w:cs="Courier New"/>
                <w:b/>
                <w:bCs/>
                <w:color w:val="auto"/>
                <w:sz w:val="21"/>
                <w:szCs w:val="21"/>
                <w:highlight w:val="none"/>
              </w:rPr>
              <w:t>文件的，视为无效</w:t>
            </w:r>
            <w:r>
              <w:rPr>
                <w:rFonts w:hint="eastAsia" w:ascii="宋体" w:hAnsi="Courier New" w:cs="Courier New"/>
                <w:b/>
                <w:bCs/>
                <w:color w:val="auto"/>
                <w:sz w:val="21"/>
                <w:szCs w:val="21"/>
                <w:highlight w:val="none"/>
                <w:lang w:val="en-US" w:eastAsia="zh-CN"/>
              </w:rPr>
              <w:t>响应</w:t>
            </w:r>
            <w:r>
              <w:rPr>
                <w:rFonts w:hint="eastAsia" w:ascii="宋体" w:hAnsi="Courier New" w:cs="Courier New"/>
                <w:b/>
                <w:bCs/>
                <w:color w:val="auto"/>
                <w:sz w:val="21"/>
                <w:szCs w:val="21"/>
                <w:highlight w:val="none"/>
              </w:rPr>
              <w:t>。</w:t>
            </w:r>
          </w:p>
        </w:tc>
      </w:tr>
      <w:tr w14:paraId="1A81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45" w:type="dxa"/>
            <w:vAlign w:val="center"/>
          </w:tcPr>
          <w:p w14:paraId="1AD43654">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7</w:t>
            </w:r>
          </w:p>
        </w:tc>
        <w:tc>
          <w:tcPr>
            <w:tcW w:w="945" w:type="dxa"/>
            <w:vAlign w:val="center"/>
          </w:tcPr>
          <w:p w14:paraId="0613D4BB">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7.1</w:t>
            </w:r>
          </w:p>
        </w:tc>
        <w:tc>
          <w:tcPr>
            <w:tcW w:w="7862" w:type="dxa"/>
            <w:vAlign w:val="center"/>
          </w:tcPr>
          <w:p w14:paraId="1D036CD2">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有效期：</w:t>
            </w:r>
            <w:r>
              <w:rPr>
                <w:rFonts w:hint="eastAsia" w:ascii="宋体" w:hAnsi="宋体" w:cs="宋体"/>
                <w:color w:val="auto"/>
                <w:kern w:val="2"/>
                <w:sz w:val="21"/>
                <w:szCs w:val="21"/>
                <w:highlight w:val="none"/>
              </w:rPr>
              <w:t>自响应文件</w:t>
            </w:r>
            <w:r>
              <w:rPr>
                <w:rFonts w:hint="eastAsia" w:ascii="宋体" w:hAnsi="宋体" w:cs="宋体"/>
                <w:color w:val="auto"/>
                <w:kern w:val="2"/>
                <w:sz w:val="21"/>
                <w:szCs w:val="21"/>
                <w:highlight w:val="none"/>
                <w:lang w:val="en-US" w:eastAsia="zh-CN"/>
              </w:rPr>
              <w:t>递</w:t>
            </w:r>
            <w:r>
              <w:rPr>
                <w:rFonts w:hint="eastAsia" w:ascii="宋体" w:hAnsi="宋体" w:cs="宋体"/>
                <w:color w:val="auto"/>
                <w:kern w:val="2"/>
                <w:sz w:val="21"/>
                <w:szCs w:val="21"/>
                <w:highlight w:val="none"/>
              </w:rPr>
              <w:t>交截止之日起</w:t>
            </w:r>
            <w:r>
              <w:rPr>
                <w:rFonts w:hint="eastAsia" w:ascii="宋体" w:hAnsi="宋体" w:cs="宋体"/>
                <w:color w:val="auto"/>
                <w:kern w:val="2"/>
                <w:sz w:val="21"/>
                <w:szCs w:val="21"/>
                <w:highlight w:val="none"/>
                <w:u w:val="single"/>
              </w:rPr>
              <w:t>60</w:t>
            </w:r>
            <w:r>
              <w:rPr>
                <w:rFonts w:hint="eastAsia" w:ascii="宋体" w:hAnsi="宋体" w:cs="宋体"/>
                <w:color w:val="auto"/>
                <w:kern w:val="2"/>
                <w:sz w:val="21"/>
                <w:szCs w:val="21"/>
                <w:highlight w:val="none"/>
              </w:rPr>
              <w:t>日</w:t>
            </w:r>
            <w:r>
              <w:rPr>
                <w:rFonts w:hint="eastAsia" w:ascii="宋体" w:hAnsi="宋体"/>
                <w:color w:val="auto"/>
                <w:sz w:val="21"/>
                <w:szCs w:val="21"/>
                <w:highlight w:val="none"/>
              </w:rPr>
              <w:t>。</w:t>
            </w:r>
          </w:p>
        </w:tc>
      </w:tr>
      <w:tr w14:paraId="4B52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945" w:type="dxa"/>
            <w:vAlign w:val="center"/>
          </w:tcPr>
          <w:p w14:paraId="19AF3AB2">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8</w:t>
            </w:r>
          </w:p>
        </w:tc>
        <w:tc>
          <w:tcPr>
            <w:tcW w:w="945" w:type="dxa"/>
            <w:vAlign w:val="center"/>
          </w:tcPr>
          <w:p w14:paraId="6D48875A">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8.1</w:t>
            </w:r>
          </w:p>
        </w:tc>
        <w:tc>
          <w:tcPr>
            <w:tcW w:w="7862" w:type="dxa"/>
            <w:vAlign w:val="center"/>
          </w:tcPr>
          <w:p w14:paraId="41858018">
            <w:pPr>
              <w:pStyle w:val="25"/>
              <w:keepNext w:val="0"/>
              <w:keepLines w:val="0"/>
              <w:pageBreakBefore w:val="0"/>
              <w:kinsoku/>
              <w:overflowPunct/>
              <w:topLinePunct w:val="0"/>
              <w:bidi w:val="0"/>
              <w:spacing w:line="240" w:lineRule="auto"/>
              <w:textAlignment w:val="auto"/>
              <w:rPr>
                <w:rFonts w:hAnsi="宋体"/>
                <w:color w:val="auto"/>
                <w:sz w:val="21"/>
                <w:szCs w:val="21"/>
                <w:highlight w:val="none"/>
              </w:rPr>
            </w:pPr>
            <w:r>
              <w:rPr>
                <w:rFonts w:hint="eastAsia" w:hAnsi="宋体"/>
                <w:b/>
                <w:color w:val="auto"/>
                <w:sz w:val="21"/>
                <w:szCs w:val="21"/>
                <w:highlight w:val="none"/>
                <w:lang w:eastAsia="zh-CN"/>
              </w:rPr>
              <w:t>磋商响应文件</w:t>
            </w:r>
            <w:r>
              <w:rPr>
                <w:rFonts w:hint="eastAsia" w:hAnsi="宋体"/>
                <w:b/>
                <w:color w:val="auto"/>
                <w:sz w:val="21"/>
                <w:szCs w:val="21"/>
                <w:highlight w:val="none"/>
              </w:rPr>
              <w:t>递交截止时间：</w:t>
            </w:r>
            <w:r>
              <w:rPr>
                <w:rFonts w:hint="eastAsia" w:ascii="宋体" w:hAnsi="宋体"/>
                <w:b w:val="0"/>
                <w:bCs/>
                <w:color w:val="auto"/>
                <w:sz w:val="21"/>
                <w:szCs w:val="21"/>
                <w:highlight w:val="none"/>
                <w:lang w:val="en-US" w:eastAsia="zh-CN"/>
              </w:rPr>
              <w:t>详见</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r>
              <w:rPr>
                <w:rFonts w:hint="eastAsia" w:hAnsi="宋体"/>
                <w:color w:val="auto"/>
                <w:sz w:val="21"/>
                <w:szCs w:val="21"/>
                <w:highlight w:val="none"/>
              </w:rPr>
              <w:t>。</w:t>
            </w:r>
          </w:p>
          <w:p w14:paraId="29078CE9">
            <w:pPr>
              <w:pStyle w:val="25"/>
              <w:keepNext w:val="0"/>
              <w:keepLines w:val="0"/>
              <w:pageBreakBefore w:val="0"/>
              <w:kinsoku/>
              <w:overflowPunct/>
              <w:topLinePunct w:val="0"/>
              <w:bidi w:val="0"/>
              <w:spacing w:line="240" w:lineRule="auto"/>
              <w:textAlignment w:val="auto"/>
              <w:rPr>
                <w:rFonts w:hAnsi="宋体"/>
                <w:color w:val="auto"/>
                <w:sz w:val="21"/>
                <w:szCs w:val="21"/>
                <w:highlight w:val="none"/>
              </w:rPr>
            </w:pPr>
            <w:r>
              <w:rPr>
                <w:rFonts w:hint="eastAsia" w:hAnsi="宋体"/>
                <w:b/>
                <w:color w:val="auto"/>
                <w:sz w:val="21"/>
                <w:szCs w:val="21"/>
                <w:highlight w:val="none"/>
                <w:lang w:eastAsia="zh-CN"/>
              </w:rPr>
              <w:t>磋商响应文件</w:t>
            </w:r>
            <w:r>
              <w:rPr>
                <w:rFonts w:hint="eastAsia" w:hAnsi="宋体"/>
                <w:b/>
                <w:color w:val="auto"/>
                <w:sz w:val="21"/>
                <w:szCs w:val="21"/>
                <w:highlight w:val="none"/>
              </w:rPr>
              <w:t>递交地址：</w:t>
            </w:r>
            <w:r>
              <w:rPr>
                <w:rFonts w:hint="eastAsia" w:ascii="宋体" w:hAnsi="宋体"/>
                <w:b w:val="0"/>
                <w:bCs/>
                <w:color w:val="auto"/>
                <w:sz w:val="21"/>
                <w:szCs w:val="21"/>
                <w:highlight w:val="none"/>
                <w:lang w:val="en-US" w:eastAsia="zh-CN"/>
              </w:rPr>
              <w:t>详见</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r>
              <w:rPr>
                <w:rFonts w:hint="eastAsia" w:hAnsi="宋体"/>
                <w:color w:val="auto"/>
                <w:sz w:val="21"/>
                <w:szCs w:val="21"/>
                <w:highlight w:val="none"/>
              </w:rPr>
              <w:t>。</w:t>
            </w:r>
          </w:p>
        </w:tc>
      </w:tr>
      <w:tr w14:paraId="443F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45" w:type="dxa"/>
            <w:vAlign w:val="center"/>
          </w:tcPr>
          <w:p w14:paraId="0A7EAD50">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9</w:t>
            </w:r>
          </w:p>
        </w:tc>
        <w:tc>
          <w:tcPr>
            <w:tcW w:w="945" w:type="dxa"/>
            <w:vAlign w:val="center"/>
          </w:tcPr>
          <w:p w14:paraId="1DAD441B">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9.1</w:t>
            </w:r>
          </w:p>
        </w:tc>
        <w:tc>
          <w:tcPr>
            <w:tcW w:w="7862" w:type="dxa"/>
            <w:vAlign w:val="center"/>
          </w:tcPr>
          <w:p w14:paraId="3C46C029">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时间</w:t>
            </w:r>
            <w:r>
              <w:rPr>
                <w:rFonts w:hint="eastAsia" w:ascii="宋体" w:hAnsi="宋体"/>
                <w:color w:val="auto"/>
                <w:sz w:val="21"/>
                <w:szCs w:val="21"/>
                <w:highlight w:val="none"/>
              </w:rPr>
              <w:t>：</w:t>
            </w:r>
            <w:r>
              <w:rPr>
                <w:rFonts w:hint="eastAsia" w:ascii="宋体" w:hAnsi="宋体"/>
                <w:b w:val="0"/>
                <w:bCs/>
                <w:color w:val="auto"/>
                <w:sz w:val="21"/>
                <w:szCs w:val="21"/>
                <w:highlight w:val="none"/>
                <w:lang w:val="en-US" w:eastAsia="zh-CN"/>
              </w:rPr>
              <w:t>详见磋商公告</w:t>
            </w:r>
            <w:r>
              <w:rPr>
                <w:rFonts w:hint="eastAsia" w:ascii="宋体" w:hAnsi="宋体"/>
                <w:color w:val="auto"/>
                <w:sz w:val="21"/>
                <w:szCs w:val="21"/>
                <w:highlight w:val="none"/>
              </w:rPr>
              <w:t>。</w:t>
            </w:r>
          </w:p>
          <w:p w14:paraId="1663DF5C">
            <w:pPr>
              <w:pStyle w:val="25"/>
              <w:keepNext w:val="0"/>
              <w:keepLines w:val="0"/>
              <w:pageBreakBefore w:val="0"/>
              <w:kinsoku/>
              <w:overflowPunct/>
              <w:topLinePunct w:val="0"/>
              <w:bidi w:val="0"/>
              <w:spacing w:line="240" w:lineRule="auto"/>
              <w:textAlignment w:val="auto"/>
              <w:rPr>
                <w:rFonts w:hAnsi="宋体"/>
                <w:color w:val="auto"/>
                <w:sz w:val="21"/>
                <w:szCs w:val="21"/>
                <w:highlight w:val="none"/>
              </w:rPr>
            </w:pPr>
            <w:r>
              <w:rPr>
                <w:rFonts w:hint="eastAsia" w:hAnsi="宋体"/>
                <w:b/>
                <w:color w:val="auto"/>
                <w:sz w:val="21"/>
                <w:szCs w:val="21"/>
                <w:highlight w:val="none"/>
                <w:lang w:eastAsia="zh-CN"/>
              </w:rPr>
              <w:t>磋商</w:t>
            </w:r>
            <w:r>
              <w:rPr>
                <w:rFonts w:hint="eastAsia" w:hAnsi="宋体"/>
                <w:b/>
                <w:color w:val="auto"/>
                <w:sz w:val="21"/>
                <w:szCs w:val="21"/>
                <w:highlight w:val="none"/>
              </w:rPr>
              <w:t>地点：</w:t>
            </w:r>
            <w:r>
              <w:rPr>
                <w:rFonts w:hint="eastAsia" w:ascii="宋体" w:hAnsi="宋体"/>
                <w:b w:val="0"/>
                <w:bCs/>
                <w:color w:val="auto"/>
                <w:sz w:val="21"/>
                <w:szCs w:val="21"/>
                <w:highlight w:val="none"/>
                <w:lang w:val="en-US" w:eastAsia="zh-CN"/>
              </w:rPr>
              <w:t>详见</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p>
        </w:tc>
      </w:tr>
      <w:tr w14:paraId="2E85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vAlign w:val="center"/>
          </w:tcPr>
          <w:p w14:paraId="6F193F87">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10</w:t>
            </w:r>
          </w:p>
        </w:tc>
        <w:tc>
          <w:tcPr>
            <w:tcW w:w="945" w:type="dxa"/>
            <w:vAlign w:val="center"/>
          </w:tcPr>
          <w:p w14:paraId="6FCC60B1">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10.1</w:t>
            </w:r>
          </w:p>
        </w:tc>
        <w:tc>
          <w:tcPr>
            <w:tcW w:w="7862" w:type="dxa"/>
            <w:vAlign w:val="center"/>
          </w:tcPr>
          <w:p w14:paraId="7168CB84">
            <w:pPr>
              <w:shd w:val="clear" w:fill="FFFF00"/>
              <w:snapToGrid w:val="0"/>
              <w:rPr>
                <w:rFonts w:hint="eastAsia" w:hAnsi="宋体" w:eastAsia="宋体"/>
                <w:b/>
                <w:bCs/>
                <w:szCs w:val="21"/>
                <w:highlight w:val="none"/>
                <w:lang w:val="en-US" w:eastAsia="zh-CN"/>
              </w:rPr>
            </w:pPr>
            <w:r>
              <w:rPr>
                <w:rFonts w:hint="eastAsia" w:hAnsi="宋体"/>
                <w:b/>
                <w:bCs/>
                <w:szCs w:val="21"/>
                <w:highlight w:val="none"/>
              </w:rPr>
              <w:t>履约保证金：</w:t>
            </w:r>
          </w:p>
          <w:p w14:paraId="6F2FFEF0">
            <w:pPr>
              <w:pStyle w:val="25"/>
              <w:keepNext w:val="0"/>
              <w:keepLines w:val="0"/>
              <w:pageBreakBefore w:val="0"/>
              <w:numPr>
                <w:ilvl w:val="0"/>
                <w:numId w:val="0"/>
              </w:numPr>
              <w:shd w:val="clear" w:fill="FFFF00"/>
              <w:kinsoku/>
              <w:overflowPunct/>
              <w:topLinePunct w:val="0"/>
              <w:bidi w:val="0"/>
              <w:spacing w:line="240" w:lineRule="auto"/>
              <w:textAlignment w:val="auto"/>
              <w:rPr>
                <w:rFonts w:hint="default" w:hAnsi="宋体"/>
                <w:b/>
                <w:bCs w:val="0"/>
                <w:kern w:val="2"/>
                <w:sz w:val="21"/>
                <w:szCs w:val="21"/>
                <w:highlight w:val="none"/>
                <w:lang w:val="en-US" w:eastAsia="zh-CN"/>
              </w:rPr>
            </w:pPr>
            <w:r>
              <w:rPr>
                <w:rFonts w:hint="eastAsia" w:hAnsi="宋体"/>
                <w:b/>
                <w:bCs w:val="0"/>
                <w:kern w:val="2"/>
                <w:sz w:val="21"/>
                <w:szCs w:val="21"/>
                <w:highlight w:val="none"/>
                <w:lang w:val="en-US" w:eastAsia="zh-CN"/>
              </w:rPr>
              <w:t>□有  ☑无</w:t>
            </w:r>
          </w:p>
          <w:p w14:paraId="7AFDA0DF">
            <w:pPr>
              <w:pStyle w:val="25"/>
              <w:keepNext w:val="0"/>
              <w:keepLines w:val="0"/>
              <w:pageBreakBefore w:val="0"/>
              <w:numPr>
                <w:ilvl w:val="0"/>
                <w:numId w:val="0"/>
              </w:numPr>
              <w:shd w:val="clear" w:fill="FFFF00"/>
              <w:kinsoku/>
              <w:overflowPunct/>
              <w:topLinePunct w:val="0"/>
              <w:bidi w:val="0"/>
              <w:spacing w:line="240" w:lineRule="auto"/>
              <w:textAlignment w:val="auto"/>
              <w:rPr>
                <w:rFonts w:hint="eastAsia" w:hAnsi="宋体"/>
                <w:b/>
                <w:bCs w:val="0"/>
                <w:kern w:val="2"/>
                <w:sz w:val="21"/>
                <w:szCs w:val="21"/>
                <w:highlight w:val="none"/>
                <w:lang w:val="en-US" w:eastAsia="zh-CN"/>
              </w:rPr>
            </w:pPr>
            <w:r>
              <w:rPr>
                <w:rFonts w:hint="eastAsia" w:hAnsi="宋体"/>
                <w:b/>
                <w:bCs w:val="0"/>
                <w:kern w:val="2"/>
                <w:sz w:val="21"/>
                <w:szCs w:val="21"/>
                <w:highlight w:val="none"/>
                <w:lang w:val="en-US" w:eastAsia="zh-CN"/>
              </w:rPr>
              <w:t>1.金额：</w:t>
            </w:r>
          </w:p>
          <w:p w14:paraId="2C36E421">
            <w:pPr>
              <w:pStyle w:val="25"/>
              <w:keepNext w:val="0"/>
              <w:keepLines w:val="0"/>
              <w:pageBreakBefore w:val="0"/>
              <w:numPr>
                <w:ilvl w:val="0"/>
                <w:numId w:val="0"/>
              </w:numPr>
              <w:shd w:val="clear" w:fill="FFFF00"/>
              <w:kinsoku/>
              <w:overflowPunct/>
              <w:topLinePunct w:val="0"/>
              <w:bidi w:val="0"/>
              <w:spacing w:line="240" w:lineRule="auto"/>
              <w:ind w:firstLine="420" w:firstLineChars="200"/>
              <w:textAlignment w:val="auto"/>
              <w:rPr>
                <w:rFonts w:hint="eastAsia" w:hAnsi="宋体"/>
                <w:bCs/>
                <w:kern w:val="2"/>
                <w:sz w:val="21"/>
                <w:szCs w:val="21"/>
                <w:highlight w:val="none"/>
              </w:rPr>
            </w:pPr>
            <w:r>
              <w:rPr>
                <w:rFonts w:hint="eastAsia" w:hAnsi="宋体"/>
                <w:bCs/>
                <w:kern w:val="2"/>
                <w:sz w:val="21"/>
                <w:szCs w:val="21"/>
                <w:highlight w:val="none"/>
              </w:rPr>
              <w:t>按照合同上限金额的</w:t>
            </w:r>
            <w:r>
              <w:rPr>
                <w:rFonts w:hint="eastAsia" w:hAnsi="宋体"/>
                <w:bCs/>
                <w:kern w:val="2"/>
                <w:sz w:val="21"/>
                <w:szCs w:val="21"/>
                <w:highlight w:val="none"/>
                <w:u w:val="single"/>
                <w:lang w:val="en-US" w:eastAsia="zh-CN"/>
              </w:rPr>
              <w:t>5</w:t>
            </w:r>
            <w:r>
              <w:rPr>
                <w:rFonts w:hint="eastAsia" w:hAnsi="宋体"/>
                <w:bCs/>
                <w:kern w:val="2"/>
                <w:sz w:val="21"/>
                <w:szCs w:val="21"/>
                <w:highlight w:val="none"/>
              </w:rPr>
              <w:t>缴纳</w:t>
            </w:r>
            <w:r>
              <w:rPr>
                <w:rFonts w:hint="eastAsia" w:hAnsi="宋体"/>
                <w:bCs/>
                <w:kern w:val="2"/>
                <w:sz w:val="21"/>
                <w:szCs w:val="21"/>
                <w:highlight w:val="none"/>
                <w:lang w:eastAsia="zh-CN"/>
              </w:rPr>
              <w:t>（</w:t>
            </w:r>
            <w:r>
              <w:rPr>
                <w:rFonts w:hint="eastAsia" w:hAnsi="宋体"/>
                <w:bCs/>
                <w:kern w:val="2"/>
                <w:sz w:val="21"/>
                <w:szCs w:val="21"/>
                <w:highlight w:val="none"/>
                <w:lang w:val="en-US" w:eastAsia="zh-CN"/>
              </w:rPr>
              <w:t>如为中小微企业为</w:t>
            </w:r>
            <w:r>
              <w:rPr>
                <w:rFonts w:hint="eastAsia" w:hAnsi="宋体"/>
                <w:bCs/>
                <w:kern w:val="2"/>
                <w:sz w:val="21"/>
                <w:szCs w:val="21"/>
                <w:highlight w:val="none"/>
                <w:u w:val="single"/>
                <w:lang w:val="en-US" w:eastAsia="zh-CN"/>
              </w:rPr>
              <w:t>2%</w:t>
            </w:r>
            <w:r>
              <w:rPr>
                <w:rFonts w:hint="eastAsia" w:hAnsi="宋体"/>
                <w:bCs/>
                <w:kern w:val="2"/>
                <w:sz w:val="21"/>
                <w:szCs w:val="21"/>
                <w:highlight w:val="none"/>
                <w:lang w:eastAsia="zh-CN"/>
              </w:rPr>
              <w:t>）</w:t>
            </w:r>
            <w:r>
              <w:rPr>
                <w:rFonts w:hint="eastAsia" w:hAnsi="宋体"/>
                <w:bCs/>
                <w:kern w:val="2"/>
                <w:sz w:val="21"/>
                <w:szCs w:val="21"/>
                <w:highlight w:val="none"/>
              </w:rPr>
              <w:t>，在签订合同之前，中标人需把履约保证金足额交到采购人指定账户。未提交履约保证金的，不予签订本合同。履约保证金自项目验收合格后，待中标人履行完质保义务后由采购人无息退还。</w:t>
            </w:r>
          </w:p>
          <w:p w14:paraId="1B2262AE">
            <w:pPr>
              <w:pStyle w:val="25"/>
              <w:keepNext w:val="0"/>
              <w:keepLines w:val="0"/>
              <w:pageBreakBefore w:val="0"/>
              <w:numPr>
                <w:ilvl w:val="0"/>
                <w:numId w:val="4"/>
              </w:numPr>
              <w:shd w:val="clear" w:fill="FFFF00"/>
              <w:kinsoku/>
              <w:overflowPunct/>
              <w:topLinePunct w:val="0"/>
              <w:bidi w:val="0"/>
              <w:spacing w:line="240" w:lineRule="auto"/>
              <w:textAlignment w:val="auto"/>
              <w:rPr>
                <w:rFonts w:hint="eastAsia" w:hAnsi="宋体"/>
                <w:b/>
                <w:bCs w:val="0"/>
                <w:kern w:val="2"/>
                <w:sz w:val="21"/>
                <w:szCs w:val="21"/>
                <w:highlight w:val="none"/>
              </w:rPr>
            </w:pPr>
            <w:r>
              <w:rPr>
                <w:rFonts w:hint="eastAsia" w:hAnsi="宋体"/>
                <w:b/>
                <w:bCs w:val="0"/>
                <w:kern w:val="2"/>
                <w:sz w:val="21"/>
                <w:szCs w:val="21"/>
                <w:highlight w:val="none"/>
              </w:rPr>
              <w:t>履约保证金递交方式：</w:t>
            </w:r>
          </w:p>
          <w:p w14:paraId="3EAE2335">
            <w:pPr>
              <w:pStyle w:val="25"/>
              <w:keepNext w:val="0"/>
              <w:keepLines w:val="0"/>
              <w:pageBreakBefore w:val="0"/>
              <w:numPr>
                <w:ilvl w:val="0"/>
                <w:numId w:val="0"/>
              </w:numPr>
              <w:shd w:val="clear" w:fill="FFFF00"/>
              <w:kinsoku/>
              <w:overflowPunct/>
              <w:topLinePunct w:val="0"/>
              <w:bidi w:val="0"/>
              <w:spacing w:line="240" w:lineRule="auto"/>
              <w:ind w:firstLine="420" w:firstLineChars="200"/>
              <w:textAlignment w:val="auto"/>
              <w:rPr>
                <w:rFonts w:hint="eastAsia" w:hAnsi="宋体"/>
                <w:bCs/>
                <w:kern w:val="2"/>
                <w:sz w:val="21"/>
                <w:szCs w:val="21"/>
                <w:highlight w:val="none"/>
              </w:rPr>
            </w:pPr>
            <w:r>
              <w:rPr>
                <w:rFonts w:hint="eastAsia" w:hAnsi="宋体"/>
                <w:bCs/>
                <w:kern w:val="2"/>
                <w:sz w:val="21"/>
                <w:szCs w:val="21"/>
                <w:highlight w:val="none"/>
              </w:rPr>
              <w:t>银行转账或电汇或</w:t>
            </w:r>
            <w:r>
              <w:rPr>
                <w:rFonts w:hint="eastAsia" w:hAnsi="宋体"/>
                <w:bCs/>
                <w:kern w:val="2"/>
                <w:sz w:val="21"/>
                <w:szCs w:val="21"/>
                <w:highlight w:val="none"/>
                <w:lang w:eastAsia="zh-CN"/>
              </w:rPr>
              <w:t>其他</w:t>
            </w:r>
            <w:r>
              <w:rPr>
                <w:rFonts w:hint="eastAsia" w:hAnsi="宋体"/>
                <w:bCs/>
                <w:kern w:val="2"/>
                <w:sz w:val="21"/>
                <w:szCs w:val="21"/>
                <w:highlight w:val="none"/>
              </w:rPr>
              <w:t>政府采购法律法规允许的</w:t>
            </w:r>
            <w:r>
              <w:rPr>
                <w:rFonts w:hint="eastAsia" w:hAnsi="宋体"/>
                <w:bCs/>
                <w:kern w:val="2"/>
                <w:sz w:val="21"/>
                <w:szCs w:val="21"/>
                <w:highlight w:val="none"/>
                <w:lang w:val="en-US" w:eastAsia="zh-CN"/>
              </w:rPr>
              <w:t>非现金</w:t>
            </w:r>
            <w:r>
              <w:rPr>
                <w:rFonts w:hint="eastAsia" w:hAnsi="宋体"/>
                <w:bCs/>
                <w:kern w:val="2"/>
                <w:sz w:val="21"/>
                <w:szCs w:val="21"/>
                <w:highlight w:val="none"/>
              </w:rPr>
              <w:t>方式。</w:t>
            </w:r>
          </w:p>
          <w:p w14:paraId="26BE9180">
            <w:pPr>
              <w:shd w:val="clear" w:fill="FFFF00"/>
              <w:snapToGrid w:val="0"/>
              <w:rPr>
                <w:rFonts w:hint="eastAsia" w:hAnsi="宋体" w:cs="宋体"/>
                <w:szCs w:val="21"/>
                <w:highlight w:val="none"/>
              </w:rPr>
            </w:pPr>
            <w:r>
              <w:rPr>
                <w:rFonts w:hint="eastAsia" w:hAnsi="宋体" w:cs="宋体"/>
                <w:b/>
                <w:bCs/>
                <w:szCs w:val="21"/>
                <w:highlight w:val="none"/>
                <w:lang w:val="en-US" w:eastAsia="zh-CN"/>
              </w:rPr>
              <w:t>3.</w:t>
            </w:r>
            <w:r>
              <w:rPr>
                <w:rFonts w:hint="eastAsia" w:hAnsi="宋体" w:cs="宋体"/>
                <w:b/>
                <w:bCs/>
                <w:szCs w:val="21"/>
                <w:highlight w:val="none"/>
              </w:rPr>
              <w:t>履约保证金账户</w:t>
            </w:r>
            <w:r>
              <w:rPr>
                <w:rFonts w:hint="eastAsia" w:hAnsi="宋体" w:cs="宋体"/>
                <w:szCs w:val="21"/>
                <w:highlight w:val="none"/>
              </w:rPr>
              <w:t>：</w:t>
            </w:r>
          </w:p>
          <w:p w14:paraId="5A347B9D">
            <w:pPr>
              <w:shd w:val="clear" w:fill="FFFF00"/>
              <w:snapToGrid w:val="0"/>
              <w:ind w:firstLine="411" w:firstLineChars="196"/>
              <w:rPr>
                <w:rFonts w:hint="eastAsia" w:hAnsi="宋体" w:cs="宋体"/>
                <w:szCs w:val="21"/>
                <w:highlight w:val="none"/>
              </w:rPr>
            </w:pPr>
            <w:r>
              <w:rPr>
                <w:rFonts w:hint="eastAsia" w:hAnsi="宋体" w:cs="宋体"/>
                <w:szCs w:val="21"/>
                <w:highlight w:val="none"/>
              </w:rPr>
              <w:t xml:space="preserve">名  称： </w:t>
            </w:r>
          </w:p>
          <w:p w14:paraId="63110181">
            <w:pPr>
              <w:shd w:val="clear" w:fill="FFFF00"/>
              <w:snapToGrid w:val="0"/>
              <w:ind w:firstLine="411" w:firstLineChars="196"/>
              <w:rPr>
                <w:rFonts w:hint="eastAsia" w:hAnsi="宋体" w:cs="宋体"/>
                <w:szCs w:val="21"/>
                <w:highlight w:val="none"/>
              </w:rPr>
            </w:pPr>
            <w:r>
              <w:rPr>
                <w:rFonts w:hint="eastAsia" w:hAnsi="宋体" w:cs="宋体"/>
                <w:szCs w:val="21"/>
                <w:highlight w:val="none"/>
              </w:rPr>
              <w:t xml:space="preserve">开户行： </w:t>
            </w:r>
          </w:p>
          <w:p w14:paraId="4E9B8D20">
            <w:pPr>
              <w:shd w:val="clear" w:fill="FFFF00"/>
              <w:snapToGrid w:val="0"/>
              <w:ind w:firstLine="411" w:firstLineChars="196"/>
              <w:rPr>
                <w:rFonts w:hint="eastAsia" w:hAnsi="宋体" w:cs="宋体"/>
                <w:szCs w:val="21"/>
                <w:highlight w:val="none"/>
              </w:rPr>
            </w:pPr>
            <w:r>
              <w:rPr>
                <w:rFonts w:hint="eastAsia" w:hAnsi="宋体" w:cs="宋体"/>
                <w:szCs w:val="21"/>
                <w:highlight w:val="none"/>
              </w:rPr>
              <w:t>账  号：</w:t>
            </w:r>
            <w:r>
              <w:rPr>
                <w:rFonts w:hAnsi="宋体" w:cs="宋体"/>
                <w:szCs w:val="21"/>
                <w:highlight w:val="none"/>
              </w:rPr>
              <w:t xml:space="preserve"> </w:t>
            </w:r>
          </w:p>
          <w:p w14:paraId="49526F8F">
            <w:pPr>
              <w:shd w:val="clear" w:fill="FFFF00"/>
              <w:snapToGrid w:val="0"/>
              <w:ind w:firstLine="411" w:firstLineChars="196"/>
              <w:rPr>
                <w:rFonts w:hint="eastAsia" w:hAnsi="宋体"/>
                <w:bCs/>
                <w:kern w:val="2"/>
                <w:sz w:val="21"/>
                <w:szCs w:val="21"/>
                <w:highlight w:val="none"/>
                <w:lang w:eastAsia="zh-CN"/>
              </w:rPr>
            </w:pPr>
            <w:r>
              <w:rPr>
                <w:rFonts w:hint="eastAsia" w:hAnsi="宋体" w:cs="宋体"/>
                <w:szCs w:val="21"/>
                <w:highlight w:val="none"/>
              </w:rPr>
              <w:t>转帐时注明：××××项目履约保证金</w:t>
            </w:r>
          </w:p>
        </w:tc>
      </w:tr>
      <w:tr w14:paraId="585B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45" w:type="dxa"/>
            <w:vAlign w:val="center"/>
          </w:tcPr>
          <w:p w14:paraId="7495564A">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11</w:t>
            </w:r>
          </w:p>
        </w:tc>
        <w:tc>
          <w:tcPr>
            <w:tcW w:w="945" w:type="dxa"/>
            <w:vAlign w:val="center"/>
          </w:tcPr>
          <w:p w14:paraId="615FED15">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11.1</w:t>
            </w:r>
          </w:p>
        </w:tc>
        <w:tc>
          <w:tcPr>
            <w:tcW w:w="7862" w:type="dxa"/>
            <w:vAlign w:val="center"/>
          </w:tcPr>
          <w:p w14:paraId="48BA2FC2">
            <w:pPr>
              <w:keepNext w:val="0"/>
              <w:keepLines w:val="0"/>
              <w:pageBreakBefore w:val="0"/>
              <w:kinsoku/>
              <w:overflowPunct/>
              <w:topLinePunct w:val="0"/>
              <w:bidi w:val="0"/>
              <w:spacing w:line="240" w:lineRule="auto"/>
              <w:textAlignment w:val="auto"/>
              <w:rPr>
                <w:rFonts w:hint="eastAsia"/>
                <w:sz w:val="21"/>
                <w:szCs w:val="21"/>
                <w:highlight w:val="none"/>
                <w:lang w:val="en-US" w:eastAsia="zh-CN"/>
              </w:rPr>
            </w:pPr>
            <w:r>
              <w:rPr>
                <w:rFonts w:hint="eastAsia"/>
                <w:sz w:val="21"/>
                <w:szCs w:val="21"/>
                <w:highlight w:val="none"/>
                <w:lang w:val="en-US" w:eastAsia="zh-CN"/>
              </w:rPr>
              <w:t>1、接收质疑的方式：以纸质书面形式</w:t>
            </w:r>
          </w:p>
          <w:p w14:paraId="1DED68E0">
            <w:pPr>
              <w:keepNext w:val="0"/>
              <w:keepLines w:val="0"/>
              <w:pageBreakBefore w:val="0"/>
              <w:kinsoku/>
              <w:overflowPunct/>
              <w:topLinePunct w:val="0"/>
              <w:bidi w:val="0"/>
              <w:spacing w:line="240" w:lineRule="auto"/>
              <w:textAlignment w:val="auto"/>
              <w:rPr>
                <w:rFonts w:hint="default"/>
                <w:sz w:val="21"/>
                <w:szCs w:val="21"/>
                <w:highlight w:val="none"/>
                <w:lang w:val="en-US" w:eastAsia="zh-CN"/>
              </w:rPr>
            </w:pPr>
            <w:r>
              <w:rPr>
                <w:rFonts w:hint="eastAsia"/>
                <w:sz w:val="21"/>
                <w:szCs w:val="21"/>
                <w:highlight w:val="none"/>
                <w:lang w:val="en-US" w:eastAsia="zh-CN"/>
              </w:rPr>
              <w:t>2、质疑联系部门及联系方式：广西骨伤医院采购办公室，联系电话：0771-2622251，通讯地址：</w:t>
            </w:r>
            <w:r>
              <w:rPr>
                <w:rFonts w:hint="eastAsia" w:ascii="宋体" w:hAnsi="宋体"/>
                <w:color w:val="auto"/>
                <w:sz w:val="21"/>
                <w:szCs w:val="21"/>
                <w:highlight w:val="none"/>
              </w:rPr>
              <w:t>广西骨伤医院行政办公区（南宁市青秀区东葛路一号锦华副楼401号房）</w:t>
            </w:r>
            <w:r>
              <w:rPr>
                <w:rFonts w:hint="eastAsia"/>
                <w:sz w:val="21"/>
                <w:szCs w:val="21"/>
                <w:highlight w:val="none"/>
                <w:lang w:val="en-US" w:eastAsia="zh-CN"/>
              </w:rPr>
              <w:t>。</w:t>
            </w:r>
          </w:p>
          <w:p w14:paraId="3B8AA9A7">
            <w:pPr>
              <w:keepNext w:val="0"/>
              <w:keepLines w:val="0"/>
              <w:pageBreakBefore w:val="0"/>
              <w:kinsoku/>
              <w:overflowPunct/>
              <w:topLinePunct w:val="0"/>
              <w:bidi w:val="0"/>
              <w:spacing w:line="240" w:lineRule="auto"/>
              <w:textAlignment w:val="auto"/>
              <w:rPr>
                <w:rFonts w:hint="eastAsia"/>
                <w:sz w:val="21"/>
                <w:szCs w:val="21"/>
                <w:highlight w:val="none"/>
                <w:lang w:val="en-US" w:eastAsia="zh-CN"/>
              </w:rPr>
            </w:pPr>
            <w:r>
              <w:rPr>
                <w:rFonts w:hint="eastAsia"/>
                <w:sz w:val="21"/>
                <w:szCs w:val="21"/>
                <w:highlight w:val="none"/>
                <w:lang w:val="en-US" w:eastAsia="zh-CN"/>
              </w:rPr>
              <w:t>3、现场提交质疑时间：于规定期限内，每天8时00分到12时00分，15时00分到18时00分（北京时间），双休日及法定节假日除外。</w:t>
            </w:r>
          </w:p>
          <w:p w14:paraId="5AE8B71E">
            <w:pPr>
              <w:keepNext w:val="0"/>
              <w:keepLines w:val="0"/>
              <w:pageBreakBefore w:val="0"/>
              <w:kinsoku/>
              <w:overflowPunct/>
              <w:topLinePunct w:val="0"/>
              <w:bidi w:val="0"/>
              <w:spacing w:line="240" w:lineRule="auto"/>
              <w:textAlignment w:val="auto"/>
              <w:rPr>
                <w:rFonts w:hint="default"/>
                <w:sz w:val="21"/>
                <w:szCs w:val="21"/>
                <w:highlight w:val="none"/>
                <w:lang w:val="en-US" w:eastAsia="zh-CN"/>
              </w:rPr>
            </w:pPr>
            <w:r>
              <w:rPr>
                <w:rFonts w:hint="eastAsia" w:ascii="Times New Roman" w:hAnsi="Times New Roman" w:cs="Times New Roman"/>
                <w:sz w:val="21"/>
                <w:szCs w:val="21"/>
                <w:highlight w:val="none"/>
                <w:lang w:val="en-US" w:eastAsia="zh-CN"/>
              </w:rPr>
              <w:t>4</w:t>
            </w:r>
            <w:r>
              <w:rPr>
                <w:rFonts w:hint="eastAsia" w:ascii="宋体" w:hAnsi="Courier New" w:eastAsia="宋体" w:cs="宋体"/>
                <w:sz w:val="21"/>
                <w:szCs w:val="21"/>
                <w:highlight w:val="none"/>
                <w:lang w:val="en-US" w:eastAsia="zh-CN"/>
              </w:rPr>
              <w:t>、供应商不按程序进行投诉质疑的，将按规定列入招投标不良行为记录。</w:t>
            </w:r>
          </w:p>
        </w:tc>
      </w:tr>
    </w:tbl>
    <w:p w14:paraId="6D511C5C">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ascii="宋体" w:hAnsi="宋体"/>
          <w:b/>
          <w:color w:val="auto"/>
          <w:sz w:val="21"/>
          <w:szCs w:val="21"/>
          <w:highlight w:val="none"/>
        </w:rPr>
        <w:br w:type="page"/>
      </w:r>
      <w:r>
        <w:rPr>
          <w:rFonts w:hint="eastAsia" w:ascii="宋体" w:hAnsi="宋体"/>
          <w:b/>
          <w:color w:val="auto"/>
          <w:sz w:val="30"/>
          <w:szCs w:val="30"/>
          <w:highlight w:val="none"/>
          <w:lang w:val="en-US" w:eastAsia="zh-CN"/>
        </w:rPr>
        <w:t>正 文</w:t>
      </w:r>
    </w:p>
    <w:p w14:paraId="3AF55124">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一、总　则</w:t>
      </w:r>
    </w:p>
    <w:p w14:paraId="0D9AFA0B">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1.适用范围</w:t>
      </w:r>
    </w:p>
    <w:p w14:paraId="6B35D1EB">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1.1本文件仅适用于本文件中所叙述的</w:t>
      </w:r>
      <w:r>
        <w:rPr>
          <w:rFonts w:hint="eastAsia" w:ascii="宋体" w:hAnsi="宋体"/>
          <w:b w:val="0"/>
          <w:bCs w:val="0"/>
          <w:color w:val="auto"/>
          <w:sz w:val="21"/>
          <w:szCs w:val="21"/>
          <w:highlight w:val="none"/>
          <w:u w:val="single"/>
          <w:lang w:eastAsia="zh-CN"/>
        </w:rPr>
        <w:t>广西骨伤医院</w:t>
      </w:r>
      <w:r>
        <w:rPr>
          <w:rFonts w:hint="eastAsia" w:ascii="宋体" w:hAnsi="宋体"/>
          <w:b w:val="0"/>
          <w:bCs w:val="0"/>
          <w:color w:val="auto"/>
          <w:sz w:val="21"/>
          <w:szCs w:val="21"/>
          <w:highlight w:val="none"/>
          <w:u w:val="single"/>
          <w:lang w:val="en-US" w:eastAsia="zh-CN"/>
        </w:rPr>
        <w:t>文献数据库</w:t>
      </w:r>
      <w:r>
        <w:rPr>
          <w:rFonts w:hint="eastAsia" w:ascii="宋体" w:hAnsi="宋体"/>
          <w:b w:val="0"/>
          <w:bCs w:val="0"/>
          <w:color w:val="auto"/>
          <w:sz w:val="21"/>
          <w:szCs w:val="21"/>
          <w:highlight w:val="none"/>
          <w:u w:val="single"/>
          <w:lang w:eastAsia="zh-CN"/>
        </w:rPr>
        <w:t>服务项目</w:t>
      </w:r>
      <w:r>
        <w:rPr>
          <w:rFonts w:hint="eastAsia" w:ascii="宋体" w:hAnsi="宋体"/>
          <w:b w:val="0"/>
          <w:bCs w:val="0"/>
          <w:color w:val="auto"/>
          <w:sz w:val="21"/>
          <w:szCs w:val="21"/>
          <w:highlight w:val="none"/>
        </w:rPr>
        <w:t>。</w:t>
      </w:r>
    </w:p>
    <w:p w14:paraId="4FEFFD2B">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w:t>
      </w:r>
      <w:r>
        <w:rPr>
          <w:rFonts w:hint="eastAsia" w:ascii="宋体" w:hAnsi="宋体"/>
          <w:b w:val="0"/>
          <w:bCs w:val="0"/>
          <w:color w:val="auto"/>
          <w:sz w:val="21"/>
          <w:szCs w:val="21"/>
          <w:highlight w:val="none"/>
          <w:lang w:val="en-US" w:eastAsia="zh-CN"/>
        </w:rPr>
        <w:t>2</w:t>
      </w:r>
      <w:r>
        <w:rPr>
          <w:rFonts w:hint="eastAsia" w:ascii="宋体" w:hAnsi="宋体"/>
          <w:b w:val="0"/>
          <w:bCs w:val="0"/>
          <w:color w:val="auto"/>
          <w:sz w:val="21"/>
          <w:szCs w:val="21"/>
          <w:highlight w:val="none"/>
        </w:rPr>
        <w:t>本</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rPr>
        <w:t>文件（以下简称</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文件）适用于本</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rPr>
        <w:t>项目的</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评审</w:t>
      </w:r>
      <w:r>
        <w:rPr>
          <w:rFonts w:hint="eastAsia" w:ascii="宋体" w:hAnsi="宋体"/>
          <w:b w:val="0"/>
          <w:bCs w:val="0"/>
          <w:color w:val="auto"/>
          <w:sz w:val="21"/>
          <w:szCs w:val="21"/>
          <w:highlight w:val="none"/>
        </w:rPr>
        <w:t>、合同履约、验收、付款等行为（法律、法规另有规定的，从其规定）。</w:t>
      </w:r>
    </w:p>
    <w:p w14:paraId="5DCEF122">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2.定义</w:t>
      </w:r>
    </w:p>
    <w:p w14:paraId="14E35B7E">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2.1“采购人”是指：</w:t>
      </w:r>
      <w:r>
        <w:rPr>
          <w:rFonts w:hint="eastAsia" w:ascii="宋体" w:hAnsi="宋体"/>
          <w:b w:val="0"/>
          <w:bCs w:val="0"/>
          <w:color w:val="auto"/>
          <w:sz w:val="21"/>
          <w:szCs w:val="21"/>
          <w:highlight w:val="none"/>
          <w:lang w:eastAsia="zh-CN"/>
        </w:rPr>
        <w:t>广西骨伤医院</w:t>
      </w:r>
      <w:r>
        <w:rPr>
          <w:rFonts w:hint="eastAsia" w:ascii="宋体" w:hAnsi="宋体"/>
          <w:b w:val="0"/>
          <w:bCs w:val="0"/>
          <w:color w:val="auto"/>
          <w:sz w:val="21"/>
          <w:szCs w:val="21"/>
          <w:highlight w:val="none"/>
        </w:rPr>
        <w:t>。</w:t>
      </w:r>
    </w:p>
    <w:p w14:paraId="73340066">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2</w:t>
      </w:r>
      <w:r>
        <w:rPr>
          <w:rFonts w:hint="eastAsia" w:ascii="宋体" w:hAnsi="宋体"/>
          <w:b w:val="0"/>
          <w:bCs w:val="0"/>
          <w:color w:val="auto"/>
          <w:sz w:val="21"/>
          <w:szCs w:val="21"/>
          <w:highlight w:val="none"/>
        </w:rPr>
        <w:t>“供应商”是指响应本文件要求，</w:t>
      </w:r>
      <w:r>
        <w:rPr>
          <w:rFonts w:hint="eastAsia" w:ascii="宋体" w:hAnsi="宋体"/>
          <w:b w:val="0"/>
          <w:bCs w:val="0"/>
          <w:color w:val="auto"/>
          <w:sz w:val="21"/>
          <w:szCs w:val="21"/>
          <w:highlight w:val="none"/>
          <w:lang w:val="en-US" w:eastAsia="zh-CN"/>
        </w:rPr>
        <w:t>提交响应文件、</w:t>
      </w:r>
      <w:r>
        <w:rPr>
          <w:rFonts w:hint="eastAsia" w:ascii="宋体" w:hAnsi="宋体"/>
          <w:b w:val="0"/>
          <w:bCs w:val="0"/>
          <w:color w:val="auto"/>
          <w:sz w:val="21"/>
          <w:szCs w:val="21"/>
          <w:highlight w:val="none"/>
        </w:rPr>
        <w:t>参加</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的法人或者其他组织。如果该供应商在本次</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中成交，即成为“成交供应商”</w:t>
      </w:r>
      <w:r>
        <w:rPr>
          <w:rFonts w:hint="eastAsia" w:ascii="宋体" w:hAnsi="宋体"/>
          <w:b w:val="0"/>
          <w:bCs w:val="0"/>
          <w:color w:val="auto"/>
          <w:sz w:val="21"/>
          <w:szCs w:val="21"/>
          <w:highlight w:val="none"/>
          <w:lang w:val="en-US" w:eastAsia="zh-CN"/>
        </w:rPr>
        <w:t>、“中标人”、“成交人”</w:t>
      </w:r>
      <w:r>
        <w:rPr>
          <w:rFonts w:hint="eastAsia" w:ascii="宋体" w:hAnsi="宋体"/>
          <w:b w:val="0"/>
          <w:bCs w:val="0"/>
          <w:color w:val="auto"/>
          <w:sz w:val="21"/>
          <w:szCs w:val="21"/>
          <w:highlight w:val="none"/>
        </w:rPr>
        <w:t>。</w:t>
      </w:r>
    </w:p>
    <w:p w14:paraId="63252706">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3</w:t>
      </w:r>
      <w:r>
        <w:rPr>
          <w:rFonts w:hint="eastAsia" w:ascii="宋体" w:hAnsi="宋体"/>
          <w:b w:val="0"/>
          <w:bCs w:val="0"/>
          <w:color w:val="auto"/>
          <w:sz w:val="21"/>
          <w:szCs w:val="21"/>
          <w:highlight w:val="none"/>
        </w:rPr>
        <w:t>“货物”是指各种形态和种类的物品，包括原材料、燃料、设备、产品等。</w:t>
      </w:r>
    </w:p>
    <w:p w14:paraId="43232246">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4</w:t>
      </w:r>
      <w:r>
        <w:rPr>
          <w:rFonts w:hint="eastAsia" w:ascii="宋体" w:hAnsi="宋体"/>
          <w:b w:val="0"/>
          <w:bCs w:val="0"/>
          <w:color w:val="auto"/>
          <w:sz w:val="21"/>
          <w:szCs w:val="21"/>
          <w:highlight w:val="none"/>
        </w:rPr>
        <w:t>“工程”按照招标投标法及其实施条例必须进行招标的工程建设项目以外的工程建设项目。</w:t>
      </w:r>
    </w:p>
    <w:p w14:paraId="5D8BF77C">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5</w:t>
      </w:r>
      <w:r>
        <w:rPr>
          <w:rFonts w:hint="eastAsia" w:ascii="宋体" w:hAnsi="宋体"/>
          <w:b w:val="0"/>
          <w:bCs w:val="0"/>
          <w:color w:val="auto"/>
          <w:sz w:val="21"/>
          <w:szCs w:val="21"/>
          <w:highlight w:val="none"/>
        </w:rPr>
        <w:t>“服务”是指除货物和工程以外的其他采购对象。</w:t>
      </w:r>
    </w:p>
    <w:p w14:paraId="2C584723">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6</w:t>
      </w: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lang w:eastAsia="zh-CN"/>
        </w:rPr>
        <w:t>响应文件</w:t>
      </w:r>
      <w:r>
        <w:rPr>
          <w:rFonts w:hint="eastAsia" w:ascii="宋体" w:hAnsi="宋体"/>
          <w:b w:val="0"/>
          <w:bCs w:val="0"/>
          <w:color w:val="auto"/>
          <w:sz w:val="21"/>
          <w:szCs w:val="21"/>
          <w:highlight w:val="none"/>
        </w:rPr>
        <w:t>” 简称“响应文件”，是指供应商根据本</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rPr>
        <w:t>文件要求，编制包含</w:t>
      </w:r>
      <w:r>
        <w:rPr>
          <w:rFonts w:hint="eastAsia" w:ascii="宋体" w:hAnsi="宋体"/>
          <w:b w:val="0"/>
          <w:bCs w:val="0"/>
          <w:color w:val="auto"/>
          <w:sz w:val="21"/>
          <w:szCs w:val="21"/>
          <w:highlight w:val="none"/>
          <w:lang w:val="en-US" w:eastAsia="zh-CN"/>
        </w:rPr>
        <w:t>资格证明、</w:t>
      </w:r>
      <w:r>
        <w:rPr>
          <w:rFonts w:hint="eastAsia" w:ascii="宋体" w:hAnsi="宋体"/>
          <w:b w:val="0"/>
          <w:bCs w:val="0"/>
          <w:color w:val="auto"/>
          <w:sz w:val="21"/>
          <w:szCs w:val="21"/>
          <w:highlight w:val="none"/>
        </w:rPr>
        <w:t>报价、技术和服务等所有内容的文件。</w:t>
      </w:r>
    </w:p>
    <w:p w14:paraId="3EEDED36">
      <w:pPr>
        <w:keepNext w:val="0"/>
        <w:keepLines w:val="0"/>
        <w:pageBreakBefore w:val="0"/>
        <w:kinsoku/>
        <w:overflowPunct/>
        <w:topLinePunct w:val="0"/>
        <w:bidi w:val="0"/>
        <w:spacing w:line="240" w:lineRule="auto"/>
        <w:ind w:firstLine="420" w:firstLineChars="200"/>
        <w:textAlignment w:val="auto"/>
        <w:rPr>
          <w:rFonts w:hint="eastAsia"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7</w:t>
      </w:r>
      <w:r>
        <w:rPr>
          <w:rFonts w:hint="eastAsia" w:ascii="宋体" w:hAnsi="宋体" w:cs="宋体"/>
          <w:b w:val="0"/>
          <w:bCs w:val="0"/>
          <w:color w:val="auto"/>
          <w:sz w:val="21"/>
          <w:szCs w:val="21"/>
          <w:highlight w:val="none"/>
        </w:rPr>
        <w:t>“实质性要求”是指</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文件中已经指明不满足则响应文件按无效响应处理的条款，或者不能负偏离的条款，或者采购需求中带“▲”的条款</w:t>
      </w:r>
      <w:r>
        <w:rPr>
          <w:rFonts w:hint="eastAsia" w:ascii="宋体" w:hAnsi="宋体"/>
          <w:b w:val="0"/>
          <w:bCs w:val="0"/>
          <w:color w:val="auto"/>
          <w:sz w:val="21"/>
          <w:szCs w:val="21"/>
          <w:highlight w:val="none"/>
        </w:rPr>
        <w:t>。</w:t>
      </w:r>
    </w:p>
    <w:p w14:paraId="12B59C04">
      <w:pPr>
        <w:keepNext w:val="0"/>
        <w:keepLines w:val="0"/>
        <w:pageBreakBefore w:val="0"/>
        <w:kinsoku/>
        <w:overflowPunct/>
        <w:topLinePunct w:val="0"/>
        <w:bidi w:val="0"/>
        <w:spacing w:line="240" w:lineRule="auto"/>
        <w:ind w:firstLine="420" w:firstLineChars="20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rPr>
        <w:t>2.</w:t>
      </w:r>
      <w:r>
        <w:rPr>
          <w:rFonts w:ascii="宋体" w:hAnsi="宋体" w:cs="宋体"/>
          <w:b w:val="0"/>
          <w:bCs w:val="0"/>
          <w:color w:val="auto"/>
          <w:sz w:val="21"/>
          <w:szCs w:val="21"/>
          <w:highlight w:val="none"/>
        </w:rPr>
        <w:t>8</w:t>
      </w:r>
      <w:r>
        <w:rPr>
          <w:rFonts w:hint="eastAsia" w:ascii="宋体" w:hAnsi="宋体" w:cs="宋体"/>
          <w:b w:val="0"/>
          <w:bCs w:val="0"/>
          <w:color w:val="auto"/>
          <w:sz w:val="21"/>
          <w:szCs w:val="21"/>
          <w:highlight w:val="none"/>
        </w:rPr>
        <w:t>“正偏离”，是指响应文件对</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文件“采购需求”中有关条款作出的响应优于条款要求并有利于采购人的情形。</w:t>
      </w:r>
    </w:p>
    <w:p w14:paraId="49D421A1">
      <w:pPr>
        <w:keepNext w:val="0"/>
        <w:keepLines w:val="0"/>
        <w:pageBreakBefore w:val="0"/>
        <w:kinsoku/>
        <w:overflowPunct/>
        <w:topLinePunct w:val="0"/>
        <w:bidi w:val="0"/>
        <w:spacing w:line="240" w:lineRule="auto"/>
        <w:ind w:firstLine="420" w:firstLineChars="200"/>
        <w:textAlignment w:val="auto"/>
        <w:rPr>
          <w:rFonts w:hint="default" w:eastAsia="宋体"/>
          <w:b w:val="0"/>
          <w:bCs w:val="0"/>
          <w:sz w:val="21"/>
          <w:szCs w:val="21"/>
          <w:highlight w:val="none"/>
          <w:lang w:val="en-US" w:eastAsia="zh-CN"/>
        </w:rPr>
      </w:pPr>
      <w:r>
        <w:rPr>
          <w:rFonts w:ascii="宋体" w:hAnsi="宋体" w:cs="宋体"/>
          <w:b w:val="0"/>
          <w:bCs w:val="0"/>
          <w:color w:val="auto"/>
          <w:sz w:val="21"/>
          <w:szCs w:val="21"/>
          <w:highlight w:val="none"/>
        </w:rPr>
        <w:t>2.9</w:t>
      </w:r>
      <w:r>
        <w:rPr>
          <w:rFonts w:hint="eastAsia" w:ascii="宋体" w:hAnsi="宋体" w:cs="宋体"/>
          <w:b w:val="0"/>
          <w:bCs w:val="0"/>
          <w:color w:val="auto"/>
          <w:sz w:val="21"/>
          <w:szCs w:val="21"/>
          <w:highlight w:val="none"/>
        </w:rPr>
        <w:t>“负偏离”，是指响应文件对</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文件“采购需求”中有关条款作出的响应不满足条款要求，导致采购人要求不能得到满足的情形。</w:t>
      </w:r>
      <w:r>
        <w:rPr>
          <w:rFonts w:hint="eastAsia" w:ascii="宋体" w:hAnsi="宋体" w:cs="宋体"/>
          <w:b w:val="0"/>
          <w:bCs w:val="0"/>
          <w:color w:val="auto"/>
          <w:sz w:val="21"/>
          <w:szCs w:val="21"/>
          <w:highlight w:val="none"/>
          <w:lang w:val="en-US" w:eastAsia="zh-CN"/>
        </w:rPr>
        <w:t>本项目允许负偏离条款为技术参数</w:t>
      </w:r>
      <w:r>
        <w:rPr>
          <w:rFonts w:hint="eastAsia" w:ascii="宋体" w:hAnsi="宋体" w:cs="宋体"/>
          <w:b w:val="0"/>
          <w:bCs w:val="0"/>
          <w:color w:val="auto"/>
          <w:sz w:val="21"/>
          <w:szCs w:val="21"/>
          <w:highlight w:val="none"/>
          <w:u w:val="single"/>
          <w:lang w:val="en-US" w:eastAsia="zh-CN"/>
        </w:rPr>
        <w:t xml:space="preserve"> 0 </w:t>
      </w:r>
      <w:r>
        <w:rPr>
          <w:rFonts w:hint="eastAsia" w:ascii="宋体" w:hAnsi="宋体" w:cs="宋体"/>
          <w:b w:val="0"/>
          <w:bCs w:val="0"/>
          <w:color w:val="auto"/>
          <w:sz w:val="21"/>
          <w:szCs w:val="21"/>
          <w:highlight w:val="none"/>
          <w:lang w:val="en-US" w:eastAsia="zh-CN"/>
        </w:rPr>
        <w:t>项、商务需求参数</w:t>
      </w:r>
      <w:r>
        <w:rPr>
          <w:rFonts w:hint="eastAsia" w:ascii="宋体" w:hAnsi="宋体" w:cs="宋体"/>
          <w:b w:val="0"/>
          <w:bCs w:val="0"/>
          <w:color w:val="auto"/>
          <w:sz w:val="21"/>
          <w:szCs w:val="21"/>
          <w:highlight w:val="none"/>
          <w:u w:val="single"/>
          <w:lang w:val="en-US" w:eastAsia="zh-CN"/>
        </w:rPr>
        <w:t xml:space="preserve"> 0</w:t>
      </w:r>
      <w:r>
        <w:rPr>
          <w:rFonts w:hint="eastAsia" w:ascii="宋体" w:hAnsi="宋体" w:cs="宋体"/>
          <w:b w:val="0"/>
          <w:bCs w:val="0"/>
          <w:color w:val="auto"/>
          <w:sz w:val="21"/>
          <w:szCs w:val="21"/>
          <w:highlight w:val="none"/>
          <w:lang w:val="en-US" w:eastAsia="zh-CN"/>
        </w:rPr>
        <w:t>项。</w:t>
      </w:r>
    </w:p>
    <w:p w14:paraId="62831F46">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rPr>
        <w:t>3.供应商资格</w:t>
      </w:r>
      <w:r>
        <w:rPr>
          <w:rFonts w:hint="eastAsia" w:ascii="宋体" w:hAnsi="宋体"/>
          <w:b w:val="0"/>
          <w:bCs w:val="0"/>
          <w:color w:val="auto"/>
          <w:sz w:val="21"/>
          <w:szCs w:val="21"/>
          <w:highlight w:val="none"/>
          <w:lang w:val="en-US" w:eastAsia="zh-CN"/>
        </w:rPr>
        <w:t>要求</w:t>
      </w:r>
    </w:p>
    <w:p w14:paraId="4C3A31CC">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3.1</w:t>
      </w:r>
      <w:r>
        <w:rPr>
          <w:rFonts w:hint="eastAsia" w:ascii="宋体" w:hAnsi="宋体" w:cs="宋体"/>
          <w:b w:val="0"/>
          <w:bCs w:val="0"/>
          <w:color w:val="auto"/>
          <w:sz w:val="21"/>
          <w:szCs w:val="21"/>
          <w:highlight w:val="none"/>
        </w:rPr>
        <w:t>供应商资格</w:t>
      </w:r>
      <w:r>
        <w:rPr>
          <w:rFonts w:hint="eastAsia" w:ascii="宋体" w:hAnsi="宋体" w:cs="宋体"/>
          <w:b w:val="0"/>
          <w:bCs w:val="0"/>
          <w:color w:val="auto"/>
          <w:sz w:val="21"/>
          <w:szCs w:val="21"/>
          <w:highlight w:val="none"/>
          <w:lang w:val="en-US" w:eastAsia="zh-CN"/>
        </w:rPr>
        <w:t>要求</w:t>
      </w:r>
      <w:r>
        <w:rPr>
          <w:rFonts w:hint="eastAsia" w:ascii="宋体" w:hAnsi="宋体" w:cs="宋体"/>
          <w:b w:val="0"/>
          <w:bCs w:val="0"/>
          <w:color w:val="auto"/>
          <w:sz w:val="21"/>
          <w:szCs w:val="21"/>
          <w:highlight w:val="none"/>
        </w:rPr>
        <w:t>详见“</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须知前附表”</w:t>
      </w:r>
      <w:r>
        <w:rPr>
          <w:rFonts w:hint="eastAsia" w:ascii="宋体" w:hAnsi="宋体" w:cs="宋体"/>
          <w:b w:val="0"/>
          <w:bCs w:val="0"/>
          <w:color w:val="auto"/>
          <w:sz w:val="21"/>
          <w:szCs w:val="21"/>
          <w:highlight w:val="none"/>
          <w:lang w:val="en-US" w:eastAsia="zh-CN"/>
        </w:rPr>
        <w:t>或“磋商公告”</w:t>
      </w:r>
      <w:r>
        <w:rPr>
          <w:rFonts w:hint="eastAsia" w:ascii="宋体" w:hAnsi="宋体" w:cs="宋体"/>
          <w:b w:val="0"/>
          <w:bCs w:val="0"/>
          <w:color w:val="auto"/>
          <w:sz w:val="21"/>
          <w:szCs w:val="21"/>
          <w:highlight w:val="none"/>
          <w:lang w:eastAsia="zh-CN"/>
        </w:rPr>
        <w:t>。</w:t>
      </w:r>
    </w:p>
    <w:p w14:paraId="26F3C0F0">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4.</w:t>
      </w:r>
      <w:r>
        <w:rPr>
          <w:rFonts w:hint="eastAsia" w:ascii="宋体" w:hAnsi="宋体"/>
          <w:b w:val="0"/>
          <w:bCs w:val="0"/>
          <w:color w:val="auto"/>
          <w:sz w:val="21"/>
          <w:szCs w:val="21"/>
          <w:highlight w:val="none"/>
          <w:lang w:val="en-US" w:eastAsia="zh-CN"/>
        </w:rPr>
        <w:t>参与磋商的</w:t>
      </w:r>
      <w:r>
        <w:rPr>
          <w:rFonts w:hint="eastAsia" w:ascii="宋体" w:hAnsi="宋体"/>
          <w:b w:val="0"/>
          <w:bCs w:val="0"/>
          <w:color w:val="auto"/>
          <w:sz w:val="21"/>
          <w:szCs w:val="21"/>
          <w:highlight w:val="none"/>
        </w:rPr>
        <w:t>费用</w:t>
      </w:r>
    </w:p>
    <w:p w14:paraId="4F11398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 xml:space="preserve">4.1 </w:t>
      </w:r>
      <w:r>
        <w:rPr>
          <w:rFonts w:hint="eastAsia" w:ascii="宋体" w:hAnsi="宋体" w:cs="宋体"/>
          <w:color w:val="auto"/>
          <w:sz w:val="21"/>
          <w:szCs w:val="21"/>
          <w:highlight w:val="none"/>
        </w:rPr>
        <w:t>供应商应</w:t>
      </w:r>
      <w:r>
        <w:rPr>
          <w:rFonts w:hint="eastAsia" w:ascii="宋体" w:hAnsi="宋体" w:cs="宋体"/>
          <w:color w:val="auto"/>
          <w:sz w:val="21"/>
          <w:szCs w:val="21"/>
          <w:highlight w:val="none"/>
          <w:lang w:val="en-US" w:eastAsia="zh-CN"/>
        </w:rPr>
        <w:t>自行</w:t>
      </w:r>
      <w:r>
        <w:rPr>
          <w:rFonts w:hint="eastAsia" w:ascii="宋体" w:hAnsi="宋体" w:cs="宋体"/>
          <w:color w:val="auto"/>
          <w:sz w:val="21"/>
          <w:szCs w:val="21"/>
          <w:highlight w:val="none"/>
        </w:rPr>
        <w:t>承担参与本次采购活动有关的所有费用，包括但不限于编制和提交响应文件、参加</w:t>
      </w:r>
      <w:r>
        <w:rPr>
          <w:rFonts w:hint="eastAsia" w:ascii="宋体" w:hAnsi="宋体" w:cs="宋体"/>
          <w:color w:val="auto"/>
          <w:sz w:val="21"/>
          <w:szCs w:val="21"/>
          <w:highlight w:val="none"/>
          <w:lang w:val="en-US" w:eastAsia="zh-CN"/>
        </w:rPr>
        <w:t>评审会</w:t>
      </w:r>
      <w:r>
        <w:rPr>
          <w:rFonts w:hint="eastAsia" w:ascii="宋体" w:hAnsi="宋体" w:cs="宋体"/>
          <w:color w:val="auto"/>
          <w:sz w:val="21"/>
          <w:szCs w:val="21"/>
          <w:highlight w:val="none"/>
        </w:rPr>
        <w:t>、签订合同等，</w:t>
      </w:r>
      <w:r>
        <w:rPr>
          <w:rFonts w:hint="eastAsia" w:ascii="宋体" w:hAnsi="宋体"/>
          <w:color w:val="auto"/>
          <w:sz w:val="21"/>
          <w:szCs w:val="21"/>
          <w:highlight w:val="none"/>
        </w:rPr>
        <w:t>不论</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结果如何，采购人在任何情况下无义务和责任承担此类费用。</w:t>
      </w:r>
    </w:p>
    <w:p w14:paraId="289235B6">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二、</w:t>
      </w:r>
      <w:r>
        <w:rPr>
          <w:rFonts w:hint="eastAsia" w:ascii="宋体" w:hAnsi="宋体"/>
          <w:b/>
          <w:color w:val="auto"/>
          <w:sz w:val="21"/>
          <w:szCs w:val="21"/>
          <w:highlight w:val="none"/>
          <w:lang w:eastAsia="zh-CN"/>
        </w:rPr>
        <w:t>磋商响应文件</w:t>
      </w:r>
      <w:r>
        <w:rPr>
          <w:rFonts w:hint="eastAsia" w:ascii="宋体" w:hAnsi="宋体"/>
          <w:b/>
          <w:color w:val="auto"/>
          <w:sz w:val="21"/>
          <w:szCs w:val="21"/>
          <w:highlight w:val="none"/>
        </w:rPr>
        <w:t>的编制</w:t>
      </w:r>
    </w:p>
    <w:p w14:paraId="7CBA72DF">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编制</w:t>
      </w:r>
      <w:r>
        <w:rPr>
          <w:rFonts w:hint="eastAsia" w:ascii="宋体" w:hAnsi="宋体"/>
          <w:color w:val="auto"/>
          <w:sz w:val="21"/>
          <w:szCs w:val="21"/>
          <w:highlight w:val="none"/>
          <w:lang w:val="en-US" w:eastAsia="zh-CN"/>
        </w:rPr>
        <w:t>原则</w:t>
      </w:r>
    </w:p>
    <w:p w14:paraId="729D9D7B">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5.1</w:t>
      </w:r>
      <w:r>
        <w:rPr>
          <w:rFonts w:hint="eastAsia" w:ascii="宋体" w:hAnsi="宋体" w:eastAsia="宋体" w:cs="Times New Roman"/>
          <w:color w:val="auto"/>
          <w:sz w:val="21"/>
          <w:szCs w:val="21"/>
          <w:highlight w:val="none"/>
        </w:rPr>
        <w:t>供应商必须按照</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文件的要求编制响应文件，并对其提交的响应文件的真实性、合法性承担法律责任。响应文件必须对</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文件作出实质性响应。</w:t>
      </w:r>
    </w:p>
    <w:p w14:paraId="4DDE5363">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编制基本要求</w:t>
      </w:r>
    </w:p>
    <w:p w14:paraId="650FF70F">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.1供应商应按</w:t>
      </w:r>
      <w:r>
        <w:rPr>
          <w:rFonts w:hint="eastAsia" w:ascii="宋体" w:hAnsi="宋体"/>
          <w:color w:val="auto"/>
          <w:sz w:val="21"/>
          <w:szCs w:val="21"/>
          <w:highlight w:val="none"/>
          <w:lang w:val="en-US" w:eastAsia="zh-CN"/>
        </w:rPr>
        <w:t>磋商文件</w:t>
      </w:r>
      <w:r>
        <w:rPr>
          <w:rFonts w:hint="eastAsia" w:ascii="宋体" w:hAnsi="宋体"/>
          <w:color w:val="auto"/>
          <w:sz w:val="21"/>
          <w:szCs w:val="21"/>
          <w:highlight w:val="none"/>
        </w:rPr>
        <w:t>要求</w:t>
      </w:r>
      <w:r>
        <w:rPr>
          <w:rFonts w:hint="eastAsia" w:ascii="宋体" w:hAnsi="宋体"/>
          <w:color w:val="auto"/>
          <w:sz w:val="21"/>
          <w:szCs w:val="21"/>
          <w:highlight w:val="none"/>
          <w:lang w:val="en-US" w:eastAsia="zh-CN"/>
        </w:rPr>
        <w:t>对响应文件进行</w:t>
      </w:r>
      <w:r>
        <w:rPr>
          <w:rFonts w:hint="eastAsia" w:ascii="宋体" w:hAnsi="宋体"/>
          <w:color w:val="auto"/>
          <w:sz w:val="21"/>
          <w:szCs w:val="21"/>
          <w:highlight w:val="none"/>
        </w:rPr>
        <w:t>装订和封装。</w:t>
      </w:r>
    </w:p>
    <w:p w14:paraId="7DE0517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.2供应商提交的</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以及供应商与采购人就有关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的所有来往函电均应使用中文。供应商提交的支持文件和印刷的文献可以使用别的语言，但其相应内容必须附有中文翻译文本，在解释</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时以翻译文本为准。</w:t>
      </w:r>
    </w:p>
    <w:p w14:paraId="06A3CB1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.3供应商应认真阅读、并充分理解本文件的全部内容（包括所有的补充、修改内容），承诺并履行本文件中各项条款规定及要求。</w:t>
      </w:r>
    </w:p>
    <w:p w14:paraId="584D46B0">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6.4</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必须按本文件的全部内容，包括所有的补充通知及附件进行编制。</w:t>
      </w:r>
    </w:p>
    <w:p w14:paraId="678CC194">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6.5如因供应商只填写和提供了本文件要求的部分内容和附件，而给评审造成困难，其可能导致的结果和责任由供应商自行承担。</w:t>
      </w:r>
    </w:p>
    <w:p w14:paraId="5DBB9B48">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6.6</w:t>
      </w:r>
      <w:r>
        <w:rPr>
          <w:rFonts w:hint="eastAsia" w:ascii="宋体" w:hAnsi="宋体"/>
          <w:b/>
          <w:bCs/>
          <w:color w:val="auto"/>
          <w:sz w:val="21"/>
          <w:szCs w:val="21"/>
          <w:highlight w:val="none"/>
          <w:lang w:eastAsia="zh-CN"/>
        </w:rPr>
        <w:t>磋商响应文件</w:t>
      </w:r>
      <w:r>
        <w:rPr>
          <w:rFonts w:hint="eastAsia" w:ascii="宋体" w:hAnsi="宋体"/>
          <w:b/>
          <w:bCs/>
          <w:color w:val="auto"/>
          <w:sz w:val="21"/>
          <w:szCs w:val="21"/>
          <w:highlight w:val="none"/>
        </w:rPr>
        <w:t>的组成</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应分为价格文件和商务技术文件两个部分组成</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详见“</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须知前附表”</w:t>
      </w:r>
      <w:r>
        <w:rPr>
          <w:rFonts w:hint="eastAsia" w:ascii="宋体" w:hAnsi="宋体"/>
          <w:color w:val="auto"/>
          <w:sz w:val="21"/>
          <w:szCs w:val="21"/>
          <w:highlight w:val="none"/>
        </w:rPr>
        <w:t>。</w:t>
      </w:r>
    </w:p>
    <w:p w14:paraId="7D2863F0">
      <w:pPr>
        <w:keepNext w:val="0"/>
        <w:keepLines w:val="0"/>
        <w:pageBreakBefore w:val="0"/>
        <w:kinsoku/>
        <w:overflowPunct/>
        <w:topLinePunct w:val="0"/>
        <w:bidi w:val="0"/>
        <w:spacing w:line="24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6.7 响应文件的文字、图片必须清晰准确，有利于评标委会进行精准判断评标，对于响应文件字迹模糊不清导致评标委员会无法进行评标的，可要求投标人做出说明及在规定期限内补充有效材料，否则按无效响应文件处理。</w:t>
      </w:r>
    </w:p>
    <w:p w14:paraId="1307753C">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7.计量单位</w:t>
      </w:r>
    </w:p>
    <w:p w14:paraId="788EE36E">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7.1</w:t>
      </w:r>
      <w:r>
        <w:rPr>
          <w:rFonts w:hint="eastAsia" w:ascii="宋体" w:hAnsi="宋体"/>
          <w:color w:val="auto"/>
          <w:sz w:val="21"/>
          <w:szCs w:val="21"/>
          <w:highlight w:val="none"/>
          <w:lang w:val="en-US" w:eastAsia="zh-CN"/>
        </w:rPr>
        <w:t>磋商</w:t>
      </w:r>
      <w:r>
        <w:rPr>
          <w:rFonts w:hint="eastAsia" w:ascii="宋体" w:hAnsi="宋体" w:cs="宋体"/>
          <w:color w:val="auto"/>
          <w:sz w:val="21"/>
          <w:szCs w:val="21"/>
          <w:highlight w:val="none"/>
        </w:rPr>
        <w:t>文件已有明确规定的，使用</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文件规定的计量单位；</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文件没有规定的</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应采用中华人民共和国法定计量单位</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货币种类为人民币</w:t>
      </w:r>
      <w:r>
        <w:rPr>
          <w:rFonts w:hint="eastAsia" w:ascii="宋体" w:hAnsi="宋体"/>
          <w:color w:val="auto"/>
          <w:sz w:val="21"/>
          <w:szCs w:val="21"/>
          <w:highlight w:val="none"/>
        </w:rPr>
        <w:t>。</w:t>
      </w:r>
    </w:p>
    <w:p w14:paraId="5902F8F7">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8.</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lang w:val="en-US" w:eastAsia="zh-CN"/>
        </w:rPr>
        <w:t>有效期</w:t>
      </w:r>
    </w:p>
    <w:p w14:paraId="23EB8DAF">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.1</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有效期是指为保证采购人有足够的时间在提交响应文件后完成评审、确定成交供应商、合同签订等工作而要求供应商提交的响应文件在一定时间内保持有效的期限。</w:t>
      </w:r>
    </w:p>
    <w:p w14:paraId="795E9B59">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.2</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有效期应由供应商按“</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须知前附表”规定的期限作出响应。</w:t>
      </w:r>
    </w:p>
    <w:p w14:paraId="639E3C56">
      <w:pPr>
        <w:keepNext w:val="0"/>
        <w:keepLines w:val="0"/>
        <w:pageBreakBefore w:val="0"/>
        <w:kinsoku/>
        <w:overflowPunct/>
        <w:topLinePunct w:val="0"/>
        <w:bidi w:val="0"/>
        <w:spacing w:line="240" w:lineRule="auto"/>
        <w:ind w:firstLine="420" w:firstLineChars="200"/>
        <w:textAlignment w:val="auto"/>
        <w:rPr>
          <w:rFonts w:hint="default" w:hAnsi="宋体"/>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.3供应商的响应文件在</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有效期内均保持有效。</w:t>
      </w:r>
    </w:p>
    <w:p w14:paraId="53AB7FC1">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三、</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报价要求</w:t>
      </w:r>
    </w:p>
    <w:p w14:paraId="65A0CF18">
      <w:pPr>
        <w:keepNext w:val="0"/>
        <w:keepLines w:val="0"/>
        <w:pageBreakBefore w:val="0"/>
        <w:kinsoku/>
        <w:overflowPunct/>
        <w:topLinePunct w:val="0"/>
        <w:bidi w:val="0"/>
        <w:spacing w:line="240" w:lineRule="auto"/>
        <w:ind w:firstLine="420" w:firstLineChars="200"/>
        <w:textAlignment w:val="auto"/>
        <w:rPr>
          <w:rFonts w:hint="eastAsia" w:ascii="宋体" w:hAnsi="宋体"/>
          <w:b/>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w:t>
      </w:r>
      <w:r>
        <w:rPr>
          <w:rFonts w:hint="eastAsia" w:ascii="宋体" w:hAnsi="宋体"/>
          <w:b/>
          <w:bCs/>
          <w:color w:val="auto"/>
          <w:sz w:val="21"/>
          <w:szCs w:val="21"/>
          <w:highlight w:val="none"/>
          <w:lang w:val="en-US" w:eastAsia="zh-CN"/>
        </w:rPr>
        <w:t>供应商所递交的</w:t>
      </w:r>
      <w:r>
        <w:rPr>
          <w:rFonts w:hint="eastAsia" w:ascii="宋体" w:hAnsi="宋体"/>
          <w:b/>
          <w:color w:val="auto"/>
          <w:sz w:val="21"/>
          <w:szCs w:val="21"/>
          <w:highlight w:val="none"/>
          <w:lang w:val="en-US" w:eastAsia="zh-CN"/>
        </w:rPr>
        <w:t>响应文件必须</w:t>
      </w:r>
      <w:r>
        <w:rPr>
          <w:rFonts w:hint="eastAsia" w:ascii="宋体" w:hAnsi="宋体"/>
          <w:b/>
          <w:color w:val="auto"/>
          <w:sz w:val="21"/>
          <w:szCs w:val="21"/>
          <w:highlight w:val="none"/>
        </w:rPr>
        <w:t>就《</w:t>
      </w:r>
      <w:r>
        <w:rPr>
          <w:rFonts w:hint="eastAsia" w:ascii="宋体" w:hAnsi="宋体"/>
          <w:b/>
          <w:color w:val="auto"/>
          <w:sz w:val="21"/>
          <w:szCs w:val="21"/>
          <w:highlight w:val="none"/>
          <w:lang w:eastAsia="zh-CN"/>
        </w:rPr>
        <w:t>项目需求</w:t>
      </w:r>
      <w:r>
        <w:rPr>
          <w:rFonts w:hint="eastAsia" w:ascii="宋体" w:hAnsi="宋体"/>
          <w:b/>
          <w:color w:val="auto"/>
          <w:sz w:val="21"/>
          <w:szCs w:val="21"/>
          <w:highlight w:val="none"/>
          <w:lang w:val="en-US" w:eastAsia="zh-CN"/>
        </w:rPr>
        <w:t>参数</w:t>
      </w:r>
      <w:r>
        <w:rPr>
          <w:rFonts w:hint="eastAsia" w:ascii="宋体" w:hAnsi="宋体"/>
          <w:b/>
          <w:color w:val="auto"/>
          <w:sz w:val="21"/>
          <w:szCs w:val="21"/>
          <w:highlight w:val="none"/>
        </w:rPr>
        <w:t>》中</w:t>
      </w:r>
      <w:r>
        <w:rPr>
          <w:rFonts w:hint="eastAsia" w:ascii="宋体" w:hAnsi="宋体" w:eastAsia="宋体" w:cs="Times New Roman"/>
          <w:b/>
          <w:color w:val="auto"/>
          <w:sz w:val="21"/>
          <w:szCs w:val="21"/>
          <w:highlight w:val="none"/>
        </w:rPr>
        <w:t>的</w:t>
      </w:r>
      <w:r>
        <w:rPr>
          <w:rFonts w:hint="eastAsia" w:ascii="宋体" w:hAnsi="宋体" w:cs="Times New Roman"/>
          <w:b/>
          <w:color w:val="auto"/>
          <w:sz w:val="21"/>
          <w:szCs w:val="21"/>
          <w:highlight w:val="none"/>
          <w:lang w:val="en-US" w:eastAsia="zh-CN"/>
        </w:rPr>
        <w:t>报价</w:t>
      </w:r>
      <w:r>
        <w:rPr>
          <w:rFonts w:hint="eastAsia" w:ascii="宋体" w:hAnsi="宋体" w:eastAsia="宋体" w:cs="Times New Roman"/>
          <w:b/>
          <w:color w:val="auto"/>
          <w:sz w:val="21"/>
          <w:szCs w:val="21"/>
          <w:highlight w:val="none"/>
          <w:lang w:val="en-US" w:eastAsia="zh-CN"/>
        </w:rPr>
        <w:t>内容作唯一</w:t>
      </w:r>
      <w:r>
        <w:rPr>
          <w:rFonts w:hint="eastAsia" w:ascii="宋体" w:hAnsi="宋体" w:cs="Times New Roman"/>
          <w:b/>
          <w:color w:val="auto"/>
          <w:sz w:val="21"/>
          <w:szCs w:val="21"/>
          <w:highlight w:val="none"/>
          <w:lang w:val="en-US" w:eastAsia="zh-CN"/>
        </w:rPr>
        <w:t>总</w:t>
      </w:r>
      <w:r>
        <w:rPr>
          <w:rFonts w:hint="eastAsia" w:ascii="宋体" w:hAnsi="宋体" w:eastAsia="宋体" w:cs="Times New Roman"/>
          <w:b/>
          <w:color w:val="auto"/>
          <w:sz w:val="21"/>
          <w:szCs w:val="21"/>
          <w:highlight w:val="none"/>
          <w:lang w:val="en-US" w:eastAsia="zh-CN"/>
        </w:rPr>
        <w:t>报价，并对</w:t>
      </w:r>
      <w:r>
        <w:rPr>
          <w:rFonts w:hint="eastAsia" w:ascii="宋体" w:hAnsi="宋体" w:eastAsia="宋体" w:cs="Times New Roman"/>
          <w:b/>
          <w:color w:val="auto"/>
          <w:sz w:val="21"/>
          <w:szCs w:val="21"/>
          <w:highlight w:val="none"/>
        </w:rPr>
        <w:t>全部内容作</w:t>
      </w:r>
      <w:r>
        <w:rPr>
          <w:rFonts w:hint="eastAsia" w:ascii="宋体" w:hAnsi="宋体" w:cs="Times New Roman"/>
          <w:b/>
          <w:color w:val="auto"/>
          <w:sz w:val="21"/>
          <w:szCs w:val="21"/>
          <w:highlight w:val="none"/>
          <w:lang w:val="en-US" w:eastAsia="zh-CN"/>
        </w:rPr>
        <w:t>详细</w:t>
      </w:r>
      <w:r>
        <w:rPr>
          <w:rFonts w:hint="eastAsia" w:ascii="宋体" w:hAnsi="宋体" w:eastAsia="宋体" w:cs="Times New Roman"/>
          <w:b/>
          <w:color w:val="auto"/>
          <w:sz w:val="21"/>
          <w:szCs w:val="21"/>
          <w:highlight w:val="none"/>
        </w:rPr>
        <w:t>报价</w:t>
      </w:r>
      <w:r>
        <w:rPr>
          <w:rFonts w:hint="eastAsia" w:ascii="宋体" w:hAnsi="宋体" w:cs="Times New Roman"/>
          <w:b/>
          <w:color w:val="auto"/>
          <w:sz w:val="21"/>
          <w:szCs w:val="21"/>
          <w:highlight w:val="none"/>
          <w:lang w:val="en-US" w:eastAsia="zh-CN"/>
        </w:rPr>
        <w:t>清单</w:t>
      </w:r>
      <w:r>
        <w:rPr>
          <w:rFonts w:hint="eastAsia" w:ascii="宋体" w:hAnsi="宋体"/>
          <w:b/>
          <w:color w:val="auto"/>
          <w:sz w:val="21"/>
          <w:szCs w:val="21"/>
          <w:highlight w:val="none"/>
        </w:rPr>
        <w:t>。</w:t>
      </w:r>
    </w:p>
    <w:p w14:paraId="57E8A716">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9.2</w:t>
      </w:r>
      <w:r>
        <w:rPr>
          <w:rFonts w:hint="eastAsia" w:ascii="宋体" w:hAnsi="宋体" w:eastAsia="宋体" w:cs="Times New Roman"/>
          <w:color w:val="auto"/>
          <w:sz w:val="21"/>
          <w:szCs w:val="21"/>
          <w:highlight w:val="none"/>
        </w:rPr>
        <w:t>响应报价应按“第</w:t>
      </w:r>
      <w:r>
        <w:rPr>
          <w:rFonts w:hint="eastAsia" w:ascii="宋体" w:hAnsi="宋体" w:eastAsia="宋体" w:cs="Times New Roman"/>
          <w:color w:val="auto"/>
          <w:sz w:val="21"/>
          <w:szCs w:val="21"/>
          <w:highlight w:val="none"/>
          <w:lang w:val="en-US" w:eastAsia="zh-CN"/>
        </w:rPr>
        <w:t>四</w:t>
      </w:r>
      <w:r>
        <w:rPr>
          <w:rFonts w:hint="eastAsia" w:ascii="宋体" w:hAnsi="宋体" w:eastAsia="宋体" w:cs="Times New Roman"/>
          <w:color w:val="auto"/>
          <w:sz w:val="21"/>
          <w:szCs w:val="21"/>
          <w:highlight w:val="none"/>
        </w:rPr>
        <w:t xml:space="preserve">章 </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响应文件格式”中“</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报价表”格式填写</w:t>
      </w:r>
      <w:r>
        <w:rPr>
          <w:rFonts w:hint="eastAsia" w:ascii="宋体" w:hAnsi="宋体" w:eastAsia="宋体" w:cs="Times New Roman"/>
          <w:color w:val="auto"/>
          <w:sz w:val="21"/>
          <w:szCs w:val="21"/>
          <w:highlight w:val="none"/>
          <w:lang w:eastAsia="zh-CN"/>
        </w:rPr>
        <w:t>。</w:t>
      </w:r>
    </w:p>
    <w:p w14:paraId="43B52101">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对于本文件中未列明，而供应商认为必需的费用也需列入总报价。在合同实施时，采购人将不予支付成交供应商没有列入的项目费用，并认为此项目的费用已包括在总报价中。</w:t>
      </w:r>
    </w:p>
    <w:p w14:paraId="6B623BE3">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成交供应商负责本项目所采购的货物、工程、服务的全部工作。</w:t>
      </w:r>
    </w:p>
    <w:p w14:paraId="7FBEE8A9">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供应商应在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除上述原因以外，如果因供应商原因引起的报价失误，并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时被接受，其后果由供应商自负。</w:t>
      </w:r>
    </w:p>
    <w:p w14:paraId="5303726F">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四、</w:t>
      </w:r>
      <w:r>
        <w:rPr>
          <w:rFonts w:hint="eastAsia" w:ascii="宋体" w:hAnsi="宋体"/>
          <w:b/>
          <w:color w:val="auto"/>
          <w:sz w:val="21"/>
          <w:szCs w:val="21"/>
          <w:highlight w:val="none"/>
          <w:lang w:eastAsia="zh-CN"/>
        </w:rPr>
        <w:t>磋商响应文件</w:t>
      </w:r>
      <w:r>
        <w:rPr>
          <w:rFonts w:hint="eastAsia" w:ascii="宋体" w:hAnsi="宋体"/>
          <w:b/>
          <w:color w:val="auto"/>
          <w:sz w:val="21"/>
          <w:szCs w:val="21"/>
          <w:highlight w:val="none"/>
        </w:rPr>
        <w:t>的份数、封装和递交</w:t>
      </w:r>
    </w:p>
    <w:p w14:paraId="05E6C2AA">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的份数和封装</w:t>
      </w:r>
    </w:p>
    <w:p w14:paraId="5D4B9982">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的份数和封装</w:t>
      </w:r>
      <w:r>
        <w:rPr>
          <w:rFonts w:hint="eastAsia" w:ascii="宋体" w:hAnsi="宋体"/>
          <w:color w:val="auto"/>
          <w:sz w:val="21"/>
          <w:szCs w:val="21"/>
          <w:highlight w:val="none"/>
          <w:lang w:val="en-US" w:eastAsia="zh-CN"/>
        </w:rPr>
        <w:t>方式</w:t>
      </w:r>
      <w:r>
        <w:rPr>
          <w:rFonts w:hint="eastAsia" w:ascii="宋体" w:hAnsi="宋体" w:cs="宋体"/>
          <w:color w:val="auto"/>
          <w:sz w:val="21"/>
          <w:szCs w:val="21"/>
          <w:highlight w:val="none"/>
        </w:rPr>
        <w:t>详见“</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须知前附表”</w:t>
      </w:r>
      <w:r>
        <w:rPr>
          <w:rFonts w:hint="eastAsia" w:ascii="宋体" w:hAnsi="宋体" w:cs="宋体"/>
          <w:color w:val="auto"/>
          <w:sz w:val="21"/>
          <w:szCs w:val="21"/>
          <w:highlight w:val="none"/>
          <w:lang w:eastAsia="zh-CN"/>
        </w:rPr>
        <w:t>。</w:t>
      </w:r>
    </w:p>
    <w:p w14:paraId="145E22F0">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.2</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w:t>
      </w:r>
      <w:r>
        <w:rPr>
          <w:rFonts w:ascii="宋体" w:hAnsi="宋体"/>
          <w:color w:val="auto"/>
          <w:sz w:val="21"/>
          <w:szCs w:val="21"/>
          <w:highlight w:val="none"/>
        </w:rPr>
        <w:t>文件袋</w:t>
      </w:r>
      <w:r>
        <w:rPr>
          <w:rFonts w:hint="eastAsia" w:ascii="宋体" w:hAnsi="宋体"/>
          <w:color w:val="auto"/>
          <w:sz w:val="21"/>
          <w:szCs w:val="21"/>
          <w:highlight w:val="none"/>
        </w:rPr>
        <w:t>上应写明：</w:t>
      </w:r>
    </w:p>
    <w:p w14:paraId="46F87899">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项目编号；</w:t>
      </w:r>
    </w:p>
    <w:p w14:paraId="05E98A2E">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项目名称；</w:t>
      </w:r>
    </w:p>
    <w:p w14:paraId="0C619445">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）供应商名称</w:t>
      </w:r>
      <w:r>
        <w:rPr>
          <w:rFonts w:hint="eastAsia" w:ascii="宋体" w:hAnsi="宋体"/>
          <w:color w:val="auto"/>
          <w:sz w:val="21"/>
          <w:szCs w:val="21"/>
          <w:highlight w:val="none"/>
          <w:lang w:eastAsia="zh-CN"/>
        </w:rPr>
        <w:t>。</w:t>
      </w:r>
    </w:p>
    <w:p w14:paraId="04347017">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的递交</w:t>
      </w:r>
    </w:p>
    <w:p w14:paraId="6C6A79B8">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.1所有竞争性响应文件应于“</w:t>
      </w:r>
      <w:r>
        <w:rPr>
          <w:rFonts w:hint="eastAsia" w:ascii="宋体" w:hAnsi="宋体"/>
          <w:color w:val="auto"/>
          <w:sz w:val="21"/>
          <w:szCs w:val="21"/>
          <w:highlight w:val="none"/>
          <w:lang w:val="en-US" w:eastAsia="zh-CN"/>
        </w:rPr>
        <w:t>磋商须知前附表</w:t>
      </w:r>
      <w:r>
        <w:rPr>
          <w:rFonts w:hint="eastAsia" w:ascii="宋体" w:hAnsi="宋体"/>
          <w:color w:val="auto"/>
          <w:sz w:val="21"/>
          <w:szCs w:val="21"/>
          <w:highlight w:val="none"/>
        </w:rPr>
        <w:t>”中规定的截止时间前递交到规定地点。</w:t>
      </w:r>
    </w:p>
    <w:p w14:paraId="3944FE04">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.迟交的</w:t>
      </w:r>
      <w:r>
        <w:rPr>
          <w:rFonts w:hint="eastAsia" w:ascii="宋体" w:hAnsi="宋体"/>
          <w:color w:val="auto"/>
          <w:sz w:val="21"/>
          <w:szCs w:val="21"/>
          <w:highlight w:val="none"/>
          <w:lang w:eastAsia="zh-CN"/>
        </w:rPr>
        <w:t>磋商响应文件</w:t>
      </w:r>
    </w:p>
    <w:p w14:paraId="212439BB">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.1按《中华人民共和国政府采购法》的规定，</w:t>
      </w:r>
      <w:r>
        <w:rPr>
          <w:rFonts w:hint="eastAsia" w:ascii="宋体" w:hAnsi="宋体"/>
          <w:color w:val="auto"/>
          <w:sz w:val="21"/>
          <w:szCs w:val="21"/>
          <w:highlight w:val="none"/>
          <w:lang w:eastAsia="zh-CN"/>
        </w:rPr>
        <w:t>广西骨伤医院</w:t>
      </w:r>
      <w:r>
        <w:rPr>
          <w:rFonts w:hint="eastAsia" w:ascii="宋体" w:hAnsi="宋体"/>
          <w:color w:val="auto"/>
          <w:sz w:val="21"/>
          <w:szCs w:val="21"/>
          <w:highlight w:val="none"/>
        </w:rPr>
        <w:t>将拒绝或原封退回在规定的递交</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截止时间之后收到的任何</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w:t>
      </w:r>
    </w:p>
    <w:p w14:paraId="0A0494C3">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五、</w:t>
      </w:r>
      <w:r>
        <w:rPr>
          <w:rFonts w:hint="eastAsia" w:ascii="宋体" w:hAnsi="宋体"/>
          <w:b/>
          <w:color w:val="auto"/>
          <w:sz w:val="21"/>
          <w:szCs w:val="21"/>
          <w:highlight w:val="none"/>
          <w:lang w:eastAsia="zh-CN"/>
        </w:rPr>
        <w:t>磋商</w:t>
      </w:r>
    </w:p>
    <w:p w14:paraId="27B05791">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资格和符合性审查</w:t>
      </w:r>
    </w:p>
    <w:p w14:paraId="4E2352E4">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13.1磋商小组成员按照磋商文件要求，对响应供应商的响应文件进行资格和符合性审查。</w:t>
      </w:r>
    </w:p>
    <w:p w14:paraId="36A78A43">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13.2</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E14969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13.3</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小组要求供应商澄清、说明或者更正响应文件应当以书面形式作出。供应商的澄清、说明或者更正应当由法定代表人或其委托代理人签字或者加盖公章。</w:t>
      </w:r>
    </w:p>
    <w:p w14:paraId="5ADA4EF0">
      <w:pPr>
        <w:keepNext w:val="0"/>
        <w:keepLines w:val="0"/>
        <w:pageBreakBefore w:val="0"/>
        <w:kinsoku/>
        <w:overflowPunct/>
        <w:topLinePunct w:val="0"/>
        <w:bidi w:val="0"/>
        <w:spacing w:line="240" w:lineRule="auto"/>
        <w:ind w:firstLine="420" w:firstLineChars="200"/>
        <w:textAlignment w:val="auto"/>
        <w:rPr>
          <w:rFonts w:hint="eastAsia"/>
          <w:highlight w:val="none"/>
          <w:lang w:eastAsia="zh-CN"/>
        </w:rPr>
      </w:pPr>
      <w:r>
        <w:rPr>
          <w:rFonts w:hint="eastAsia" w:ascii="宋体" w:hAnsi="宋体"/>
          <w:color w:val="auto"/>
          <w:sz w:val="21"/>
          <w:szCs w:val="21"/>
          <w:highlight w:val="none"/>
          <w:lang w:val="en-US" w:eastAsia="zh-CN"/>
        </w:rPr>
        <w:t>13.4</w:t>
      </w:r>
      <w:r>
        <w:rPr>
          <w:rFonts w:hint="eastAsia" w:ascii="宋体" w:hAnsi="宋体"/>
          <w:color w:val="auto"/>
          <w:sz w:val="21"/>
          <w:szCs w:val="21"/>
          <w:highlight w:val="none"/>
        </w:rPr>
        <w:t>未实质性响应</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文件的响应文件按无效响应处理，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小组应当告知提交响应文件的供应商</w:t>
      </w:r>
      <w:r>
        <w:rPr>
          <w:rFonts w:hint="eastAsia" w:ascii="宋体" w:hAnsi="宋体"/>
          <w:color w:val="auto"/>
          <w:sz w:val="21"/>
          <w:szCs w:val="21"/>
          <w:highlight w:val="none"/>
          <w:lang w:eastAsia="zh-CN"/>
        </w:rPr>
        <w:t>。</w:t>
      </w:r>
    </w:p>
    <w:p w14:paraId="47948961">
      <w:pPr>
        <w:keepNext w:val="0"/>
        <w:keepLines w:val="0"/>
        <w:pageBreakBefore w:val="0"/>
        <w:kinsoku/>
        <w:overflowPunct/>
        <w:topLinePunct w:val="0"/>
        <w:bidi w:val="0"/>
        <w:spacing w:line="24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13.5当响应供应商数量仅为1家时，将直接进入磋商环节。</w:t>
      </w:r>
    </w:p>
    <w:p w14:paraId="783802DA">
      <w:pPr>
        <w:keepNext w:val="0"/>
        <w:keepLines w:val="0"/>
        <w:pageBreakBefore w:val="0"/>
        <w:kinsoku/>
        <w:overflowPunct/>
        <w:topLinePunct w:val="0"/>
        <w:bidi w:val="0"/>
        <w:spacing w:line="240" w:lineRule="auto"/>
        <w:ind w:firstLine="420" w:firstLineChars="200"/>
        <w:textAlignment w:val="auto"/>
        <w:rPr>
          <w:rFonts w:hint="default" w:ascii="宋体" w:hAnsi="宋体"/>
          <w:color w:val="auto"/>
          <w:sz w:val="21"/>
          <w:szCs w:val="21"/>
          <w:highlight w:val="none"/>
          <w:lang w:val="en-US"/>
        </w:rPr>
      </w:pPr>
      <w:r>
        <w:rPr>
          <w:rFonts w:hint="eastAsia" w:ascii="宋体" w:hAnsi="宋体"/>
          <w:color w:val="auto"/>
          <w:sz w:val="21"/>
          <w:szCs w:val="21"/>
          <w:highlight w:val="none"/>
          <w:lang w:val="en-US" w:eastAsia="zh-CN"/>
        </w:rPr>
        <w:t>14.</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小组成员</w:t>
      </w:r>
      <w:r>
        <w:rPr>
          <w:rFonts w:hint="eastAsia" w:ascii="宋体" w:hAnsi="宋体"/>
          <w:color w:val="auto"/>
          <w:sz w:val="21"/>
          <w:szCs w:val="21"/>
          <w:highlight w:val="none"/>
          <w:lang w:val="en-US" w:eastAsia="zh-CN"/>
        </w:rPr>
        <w:t>与</w:t>
      </w:r>
      <w:r>
        <w:rPr>
          <w:rFonts w:hint="eastAsia" w:ascii="宋体" w:hAnsi="宋体"/>
          <w:color w:val="auto"/>
          <w:sz w:val="21"/>
          <w:szCs w:val="21"/>
          <w:highlight w:val="none"/>
        </w:rPr>
        <w:t>单一供应商分别进行</w:t>
      </w:r>
      <w:r>
        <w:rPr>
          <w:rFonts w:hint="eastAsia" w:ascii="宋体" w:hAnsi="宋体"/>
          <w:color w:val="auto"/>
          <w:sz w:val="21"/>
          <w:szCs w:val="21"/>
          <w:highlight w:val="none"/>
          <w:lang w:eastAsia="zh-CN"/>
        </w:rPr>
        <w:t>磋商</w:t>
      </w:r>
      <w:r>
        <w:rPr>
          <w:rFonts w:hint="eastAsia" w:ascii="宋体" w:hAnsi="宋体"/>
          <w:color w:val="auto"/>
          <w:sz w:val="21"/>
          <w:szCs w:val="21"/>
          <w:highlight w:val="none"/>
          <w:lang w:val="en-US" w:eastAsia="zh-CN"/>
        </w:rPr>
        <w:t xml:space="preserve"> </w:t>
      </w:r>
    </w:p>
    <w:p w14:paraId="16A70119">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14.1</w:t>
      </w:r>
      <w:r>
        <w:rPr>
          <w:rFonts w:hint="eastAsia" w:ascii="宋体" w:hAnsi="宋体"/>
          <w:color w:val="auto"/>
          <w:sz w:val="21"/>
          <w:szCs w:val="21"/>
          <w:highlight w:val="none"/>
        </w:rPr>
        <w:t>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过程中，</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小组可以根据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文件和</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情况实质性变动采购需求中的技术、服务要求以及合同草案条款，但不得变动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文件中的其他内容。实质性变动的内容，须经采购人代表确认。</w:t>
      </w:r>
    </w:p>
    <w:p w14:paraId="4F5F161B">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14.2对</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文件作出的实质性变动是</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文件的有效组成部分，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小组应当及时以书面形式同时通知所有参加</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的供应商。供应商应当按照</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文件的变动情况和</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小组的要求重新提交响应文件，并由其法定代表人或委托代理人签字或者加盖公章。</w:t>
      </w:r>
    </w:p>
    <w:p w14:paraId="39002F78">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14.3</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结束后，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小组应当要求所有实质性响应的供应商在规定时间内提交最后报价</w:t>
      </w:r>
      <w:r>
        <w:rPr>
          <w:rFonts w:hint="eastAsia" w:ascii="宋体" w:hAnsi="宋体"/>
          <w:color w:val="auto"/>
          <w:sz w:val="21"/>
          <w:szCs w:val="21"/>
          <w:highlight w:val="none"/>
          <w:lang w:eastAsia="zh-CN"/>
        </w:rPr>
        <w:t>，</w:t>
      </w:r>
      <w:r>
        <w:rPr>
          <w:rFonts w:hint="eastAsia" w:ascii="宋体" w:hAnsi="宋体"/>
          <w:color w:val="auto"/>
          <w:sz w:val="21"/>
          <w:szCs w:val="21"/>
          <w:highlight w:val="none"/>
        </w:rPr>
        <w:t>最后报价是供应商响应文件的有效组成部分。</w:t>
      </w:r>
    </w:p>
    <w:p w14:paraId="4146E04C">
      <w:pPr>
        <w:keepNext w:val="0"/>
        <w:keepLines w:val="0"/>
        <w:pageBreakBefore w:val="0"/>
        <w:kinsoku/>
        <w:overflowPunct/>
        <w:topLinePunct w:val="0"/>
        <w:bidi w:val="0"/>
        <w:snapToGrid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14.4</w:t>
      </w:r>
      <w:r>
        <w:rPr>
          <w:rFonts w:hint="eastAsia" w:ascii="宋体" w:hAnsi="宋体"/>
          <w:color w:val="auto"/>
          <w:sz w:val="21"/>
          <w:szCs w:val="21"/>
          <w:highlight w:val="none"/>
        </w:rPr>
        <w:t>供应商的澄清、说明或者更正、重新提交响应文件、最后报价等均为供应商响应文件的有效组成部分，与响应文件同具法律效力。供应商应在规定时间内将上述文件递交至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小组，逾时不交的，视同放弃</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p>
    <w:p w14:paraId="59D67EA4">
      <w:pPr>
        <w:keepNext w:val="0"/>
        <w:keepLines w:val="0"/>
        <w:pageBreakBefore w:val="0"/>
        <w:tabs>
          <w:tab w:val="left" w:pos="540"/>
        </w:tabs>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14.5</w:t>
      </w:r>
      <w:r>
        <w:rPr>
          <w:rFonts w:hint="eastAsia" w:ascii="宋体" w:hAnsi="宋体"/>
          <w:color w:val="auto"/>
          <w:sz w:val="21"/>
          <w:szCs w:val="21"/>
          <w:highlight w:val="none"/>
        </w:rPr>
        <w:t>响应供应商的最后报价均超过了采购预算，采购人不能支付的，</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活动终止；</w:t>
      </w:r>
    </w:p>
    <w:p w14:paraId="2A067681">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p>
    <w:p w14:paraId="3874AC1B">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ascii="宋体" w:hAnsi="宋体"/>
          <w:color w:val="auto"/>
          <w:sz w:val="21"/>
          <w:szCs w:val="21"/>
          <w:highlight w:val="none"/>
        </w:rPr>
        <w:t>.1</w:t>
      </w:r>
      <w:r>
        <w:rPr>
          <w:rFonts w:hint="eastAsia" w:ascii="宋体" w:hAnsi="宋体"/>
          <w:color w:val="auto"/>
          <w:sz w:val="21"/>
          <w:szCs w:val="21"/>
          <w:highlight w:val="none"/>
          <w:lang w:eastAsia="zh-CN"/>
        </w:rPr>
        <w:t>磋商响应文件</w:t>
      </w:r>
      <w:r>
        <w:rPr>
          <w:rFonts w:ascii="宋体" w:hAnsi="宋体"/>
          <w:color w:val="auto"/>
          <w:sz w:val="21"/>
          <w:szCs w:val="21"/>
          <w:highlight w:val="none"/>
        </w:rPr>
        <w:t>如有下列情况之一，</w:t>
      </w:r>
      <w:r>
        <w:rPr>
          <w:rFonts w:hint="eastAsia" w:ascii="宋体" w:hAnsi="宋体"/>
          <w:color w:val="auto"/>
          <w:sz w:val="21"/>
          <w:szCs w:val="21"/>
          <w:highlight w:val="none"/>
        </w:rPr>
        <w:t>将视为</w:t>
      </w:r>
      <w:r>
        <w:rPr>
          <w:rFonts w:ascii="宋体" w:hAnsi="宋体"/>
          <w:color w:val="auto"/>
          <w:sz w:val="21"/>
          <w:szCs w:val="21"/>
          <w:highlight w:val="none"/>
        </w:rPr>
        <w:t>未实质性响应</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w:t>
      </w:r>
      <w:r>
        <w:rPr>
          <w:rFonts w:ascii="宋体" w:hAnsi="宋体"/>
          <w:color w:val="auto"/>
          <w:sz w:val="21"/>
          <w:szCs w:val="21"/>
          <w:highlight w:val="none"/>
        </w:rPr>
        <w:t>按</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r>
        <w:rPr>
          <w:rFonts w:ascii="宋体" w:hAnsi="宋体"/>
          <w:color w:val="auto"/>
          <w:sz w:val="21"/>
          <w:szCs w:val="21"/>
          <w:highlight w:val="none"/>
        </w:rPr>
        <w:t>处理</w:t>
      </w:r>
      <w:r>
        <w:rPr>
          <w:rFonts w:hint="eastAsia" w:ascii="宋体" w:hAnsi="宋体"/>
          <w:color w:val="auto"/>
          <w:sz w:val="21"/>
          <w:szCs w:val="21"/>
          <w:highlight w:val="none"/>
        </w:rPr>
        <w:t>：</w:t>
      </w:r>
    </w:p>
    <w:p w14:paraId="7E8A5A2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（1）未按</w:t>
      </w:r>
      <w:r>
        <w:rPr>
          <w:rFonts w:hint="eastAsia" w:ascii="宋体" w:hAnsi="宋体"/>
          <w:color w:val="auto"/>
          <w:sz w:val="21"/>
          <w:szCs w:val="21"/>
          <w:highlight w:val="none"/>
          <w:lang w:eastAsia="zh-CN"/>
        </w:rPr>
        <w:t>磋商</w:t>
      </w:r>
      <w:r>
        <w:rPr>
          <w:rFonts w:ascii="宋体" w:hAnsi="宋体"/>
          <w:color w:val="auto"/>
          <w:sz w:val="21"/>
          <w:szCs w:val="21"/>
          <w:highlight w:val="none"/>
        </w:rPr>
        <w:t>文件规定要求密封、签署、盖章的；</w:t>
      </w:r>
    </w:p>
    <w:p w14:paraId="7A4C5972">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2</w:t>
      </w:r>
      <w:r>
        <w:rPr>
          <w:rFonts w:ascii="宋体" w:hAnsi="宋体"/>
          <w:color w:val="auto"/>
          <w:sz w:val="21"/>
          <w:szCs w:val="21"/>
          <w:highlight w:val="none"/>
        </w:rPr>
        <w:t>）不具备</w:t>
      </w:r>
      <w:r>
        <w:rPr>
          <w:rFonts w:hint="eastAsia" w:ascii="宋体" w:hAnsi="宋体"/>
          <w:color w:val="auto"/>
          <w:sz w:val="21"/>
          <w:szCs w:val="21"/>
          <w:highlight w:val="none"/>
          <w:lang w:eastAsia="zh-CN"/>
        </w:rPr>
        <w:t>磋商</w:t>
      </w:r>
      <w:r>
        <w:rPr>
          <w:rFonts w:ascii="宋体" w:hAnsi="宋体"/>
          <w:color w:val="auto"/>
          <w:sz w:val="21"/>
          <w:szCs w:val="21"/>
          <w:highlight w:val="none"/>
        </w:rPr>
        <w:t>文件中规定资格要求的；</w:t>
      </w:r>
    </w:p>
    <w:p w14:paraId="293C9998">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3</w:t>
      </w:r>
      <w:r>
        <w:rPr>
          <w:rFonts w:ascii="宋体" w:hAnsi="宋体"/>
          <w:color w:val="auto"/>
          <w:sz w:val="21"/>
          <w:szCs w:val="21"/>
          <w:highlight w:val="none"/>
        </w:rPr>
        <w:t>）采购项目完成期限</w:t>
      </w:r>
      <w:r>
        <w:rPr>
          <w:rFonts w:hint="eastAsia" w:ascii="宋体" w:hAnsi="宋体"/>
          <w:color w:val="auto"/>
          <w:sz w:val="21"/>
          <w:szCs w:val="21"/>
          <w:highlight w:val="none"/>
        </w:rPr>
        <w:t>、质保期、付款方式等不符合</w:t>
      </w:r>
      <w:r>
        <w:rPr>
          <w:rFonts w:hint="eastAsia" w:ascii="宋体" w:hAnsi="宋体"/>
          <w:color w:val="auto"/>
          <w:sz w:val="21"/>
          <w:szCs w:val="21"/>
          <w:highlight w:val="none"/>
          <w:lang w:eastAsia="zh-CN"/>
        </w:rPr>
        <w:t>磋商</w:t>
      </w:r>
      <w:r>
        <w:rPr>
          <w:rFonts w:ascii="宋体" w:hAnsi="宋体"/>
          <w:color w:val="auto"/>
          <w:sz w:val="21"/>
          <w:szCs w:val="21"/>
          <w:highlight w:val="none"/>
        </w:rPr>
        <w:t>文件</w:t>
      </w:r>
      <w:r>
        <w:rPr>
          <w:rFonts w:hint="eastAsia" w:ascii="宋体" w:hAnsi="宋体"/>
          <w:color w:val="auto"/>
          <w:sz w:val="21"/>
          <w:szCs w:val="21"/>
          <w:highlight w:val="none"/>
        </w:rPr>
        <w:t>要求的</w:t>
      </w:r>
      <w:r>
        <w:rPr>
          <w:rFonts w:ascii="宋体" w:hAnsi="宋体"/>
          <w:color w:val="auto"/>
          <w:sz w:val="21"/>
          <w:szCs w:val="21"/>
          <w:highlight w:val="none"/>
        </w:rPr>
        <w:t>；</w:t>
      </w:r>
    </w:p>
    <w:p w14:paraId="5BBA2A4F">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4</w:t>
      </w:r>
      <w:r>
        <w:rPr>
          <w:rFonts w:ascii="宋体" w:hAnsi="宋体"/>
          <w:color w:val="auto"/>
          <w:sz w:val="21"/>
          <w:szCs w:val="21"/>
          <w:highlight w:val="none"/>
        </w:rPr>
        <w:t>）</w:t>
      </w:r>
      <w:r>
        <w:rPr>
          <w:rFonts w:hint="eastAsia" w:ascii="宋体" w:hAnsi="宋体"/>
          <w:color w:val="auto"/>
          <w:sz w:val="21"/>
          <w:szCs w:val="21"/>
          <w:highlight w:val="none"/>
        </w:rPr>
        <w:t>报价产品</w:t>
      </w:r>
      <w:r>
        <w:rPr>
          <w:rFonts w:ascii="宋体" w:hAnsi="宋体"/>
          <w:color w:val="auto"/>
          <w:sz w:val="21"/>
          <w:szCs w:val="21"/>
          <w:highlight w:val="none"/>
        </w:rPr>
        <w:t>明显不符合</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文件规定的</w:t>
      </w:r>
      <w:r>
        <w:rPr>
          <w:rFonts w:ascii="宋体" w:hAnsi="宋体"/>
          <w:color w:val="auto"/>
          <w:sz w:val="21"/>
          <w:szCs w:val="21"/>
          <w:highlight w:val="none"/>
        </w:rPr>
        <w:t>技术规格、技术标准</w:t>
      </w:r>
      <w:r>
        <w:rPr>
          <w:rFonts w:hint="eastAsia" w:ascii="宋体" w:hAnsi="宋体"/>
          <w:color w:val="auto"/>
          <w:sz w:val="21"/>
          <w:szCs w:val="21"/>
          <w:highlight w:val="none"/>
        </w:rPr>
        <w:t>、</w:t>
      </w:r>
      <w:r>
        <w:rPr>
          <w:rFonts w:ascii="宋体" w:hAnsi="宋体"/>
          <w:color w:val="auto"/>
          <w:sz w:val="21"/>
          <w:szCs w:val="21"/>
          <w:highlight w:val="none"/>
        </w:rPr>
        <w:t>检验标准</w:t>
      </w:r>
      <w:r>
        <w:rPr>
          <w:rFonts w:hint="eastAsia" w:ascii="宋体" w:hAnsi="宋体"/>
          <w:color w:val="auto"/>
          <w:sz w:val="21"/>
          <w:szCs w:val="21"/>
          <w:highlight w:val="none"/>
        </w:rPr>
        <w:t>等</w:t>
      </w:r>
      <w:r>
        <w:rPr>
          <w:rFonts w:ascii="宋体" w:hAnsi="宋体"/>
          <w:color w:val="auto"/>
          <w:sz w:val="21"/>
          <w:szCs w:val="21"/>
          <w:highlight w:val="none"/>
        </w:rPr>
        <w:t>要求的；</w:t>
      </w:r>
    </w:p>
    <w:p w14:paraId="353D09B2">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）最终</w:t>
      </w:r>
      <w:r>
        <w:rPr>
          <w:rFonts w:ascii="宋体" w:hAnsi="宋体"/>
          <w:color w:val="auto"/>
          <w:sz w:val="21"/>
          <w:szCs w:val="21"/>
          <w:highlight w:val="none"/>
        </w:rPr>
        <w:t>报价</w:t>
      </w:r>
      <w:r>
        <w:rPr>
          <w:rFonts w:hint="eastAsia" w:ascii="宋体" w:hAnsi="宋体"/>
          <w:color w:val="auto"/>
          <w:sz w:val="21"/>
          <w:szCs w:val="21"/>
          <w:highlight w:val="none"/>
        </w:rPr>
        <w:t>超过采购预算的；</w:t>
      </w:r>
    </w:p>
    <w:p w14:paraId="3511B790">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6</w:t>
      </w:r>
      <w:r>
        <w:rPr>
          <w:rFonts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ascii="宋体" w:hAnsi="宋体"/>
          <w:color w:val="auto"/>
          <w:sz w:val="21"/>
          <w:szCs w:val="21"/>
          <w:highlight w:val="none"/>
        </w:rPr>
        <w:t>附有采购人不能接受的条件</w:t>
      </w:r>
      <w:r>
        <w:rPr>
          <w:rFonts w:hint="eastAsia" w:ascii="宋体" w:hAnsi="宋体"/>
          <w:color w:val="auto"/>
          <w:sz w:val="21"/>
          <w:szCs w:val="21"/>
          <w:highlight w:val="none"/>
        </w:rPr>
        <w:t>的</w:t>
      </w:r>
      <w:r>
        <w:rPr>
          <w:rFonts w:ascii="宋体" w:hAnsi="宋体"/>
          <w:color w:val="auto"/>
          <w:sz w:val="21"/>
          <w:szCs w:val="21"/>
          <w:highlight w:val="none"/>
        </w:rPr>
        <w:t>；</w:t>
      </w:r>
    </w:p>
    <w:p w14:paraId="37456C49">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7</w:t>
      </w:r>
      <w:r>
        <w:rPr>
          <w:rFonts w:ascii="宋体" w:hAnsi="宋体"/>
          <w:color w:val="auto"/>
          <w:sz w:val="21"/>
          <w:szCs w:val="21"/>
          <w:highlight w:val="none"/>
        </w:rPr>
        <w:t>）不符合法律、法规和</w:t>
      </w:r>
      <w:r>
        <w:rPr>
          <w:rFonts w:hint="eastAsia" w:ascii="宋体" w:hAnsi="宋体"/>
          <w:color w:val="auto"/>
          <w:sz w:val="21"/>
          <w:szCs w:val="21"/>
          <w:highlight w:val="none"/>
          <w:lang w:eastAsia="zh-CN"/>
        </w:rPr>
        <w:t>磋商</w:t>
      </w:r>
      <w:r>
        <w:rPr>
          <w:rFonts w:ascii="宋体" w:hAnsi="宋体"/>
          <w:color w:val="auto"/>
          <w:sz w:val="21"/>
          <w:szCs w:val="21"/>
          <w:highlight w:val="none"/>
        </w:rPr>
        <w:t>文件中规定的其他实质性要求的</w:t>
      </w:r>
      <w:r>
        <w:rPr>
          <w:rFonts w:hint="eastAsia" w:ascii="宋体" w:hAnsi="宋体"/>
          <w:color w:val="auto"/>
          <w:sz w:val="21"/>
          <w:szCs w:val="21"/>
          <w:highlight w:val="none"/>
        </w:rPr>
        <w:t>；</w:t>
      </w:r>
    </w:p>
    <w:p w14:paraId="3B76CD64">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）未按第四章“</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格式”中</w:t>
      </w:r>
      <w:r>
        <w:rPr>
          <w:rFonts w:ascii="宋体" w:hAnsi="宋体"/>
          <w:color w:val="auto"/>
          <w:sz w:val="21"/>
          <w:szCs w:val="21"/>
          <w:highlight w:val="none"/>
        </w:rPr>
        <w:t>的格式要求填写</w:t>
      </w:r>
      <w:r>
        <w:rPr>
          <w:rFonts w:hint="eastAsia" w:ascii="宋体" w:hAnsi="宋体"/>
          <w:color w:val="auto"/>
          <w:sz w:val="21"/>
          <w:szCs w:val="21"/>
          <w:highlight w:val="none"/>
        </w:rPr>
        <w:t>的；</w:t>
      </w:r>
    </w:p>
    <w:p w14:paraId="51D33AB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）未按规定购买本项目</w:t>
      </w:r>
      <w:r>
        <w:rPr>
          <w:rFonts w:hint="eastAsia" w:ascii="宋体" w:hAnsi="宋体"/>
          <w:color w:val="auto"/>
          <w:sz w:val="21"/>
          <w:szCs w:val="21"/>
          <w:highlight w:val="none"/>
          <w:lang w:eastAsia="zh-CN"/>
        </w:rPr>
        <w:t>磋商</w:t>
      </w:r>
      <w:r>
        <w:rPr>
          <w:rFonts w:ascii="宋体" w:hAnsi="宋体"/>
          <w:color w:val="auto"/>
          <w:sz w:val="21"/>
          <w:szCs w:val="21"/>
          <w:highlight w:val="none"/>
        </w:rPr>
        <w:t>文件</w:t>
      </w:r>
      <w:r>
        <w:rPr>
          <w:rFonts w:hint="eastAsia" w:ascii="宋体" w:hAnsi="宋体"/>
          <w:color w:val="auto"/>
          <w:sz w:val="21"/>
          <w:szCs w:val="21"/>
          <w:highlight w:val="none"/>
        </w:rPr>
        <w:t>的。</w:t>
      </w:r>
    </w:p>
    <w:p w14:paraId="42324EDE">
      <w:pPr>
        <w:keepNext w:val="0"/>
        <w:keepLines w:val="0"/>
        <w:pageBreakBefore w:val="0"/>
        <w:kinsoku/>
        <w:overflowPunct/>
        <w:topLinePunct w:val="0"/>
        <w:bidi w:val="0"/>
        <w:snapToGrid w:val="0"/>
        <w:spacing w:line="240" w:lineRule="auto"/>
        <w:ind w:firstLine="420"/>
        <w:jc w:val="left"/>
        <w:textAlignment w:val="auto"/>
        <w:rPr>
          <w:rFonts w:ascii="宋体" w:hAnsi="宋体"/>
          <w:b w:val="0"/>
          <w:bCs/>
          <w:color w:val="auto"/>
          <w:sz w:val="21"/>
          <w:szCs w:val="21"/>
          <w:highlight w:val="none"/>
        </w:rPr>
      </w:pPr>
      <w:r>
        <w:rPr>
          <w:rFonts w:hint="eastAsia" w:ascii="宋体" w:hAnsi="宋体"/>
          <w:b w:val="0"/>
          <w:bCs/>
          <w:color w:val="auto"/>
          <w:sz w:val="21"/>
          <w:szCs w:val="21"/>
          <w:highlight w:val="none"/>
        </w:rPr>
        <w:t>1</w:t>
      </w:r>
      <w:r>
        <w:rPr>
          <w:rFonts w:hint="eastAsia" w:ascii="宋体" w:hAnsi="宋体"/>
          <w:b w:val="0"/>
          <w:bCs/>
          <w:color w:val="auto"/>
          <w:sz w:val="21"/>
          <w:szCs w:val="21"/>
          <w:highlight w:val="none"/>
          <w:lang w:val="en-US" w:eastAsia="zh-CN"/>
        </w:rPr>
        <w:t>5</w:t>
      </w:r>
      <w:r>
        <w:rPr>
          <w:rFonts w:hint="eastAsia" w:ascii="宋体" w:hAnsi="宋体"/>
          <w:b w:val="0"/>
          <w:bCs/>
          <w:color w:val="auto"/>
          <w:sz w:val="21"/>
          <w:szCs w:val="21"/>
          <w:highlight w:val="none"/>
        </w:rPr>
        <w:t>.2</w:t>
      </w:r>
      <w:r>
        <w:rPr>
          <w:rFonts w:hint="eastAsia" w:ascii="宋体" w:hAnsi="宋体"/>
          <w:b w:val="0"/>
          <w:bCs/>
          <w:color w:val="auto"/>
          <w:sz w:val="21"/>
          <w:szCs w:val="21"/>
          <w:highlight w:val="none"/>
          <w:lang w:val="en-US" w:eastAsia="zh-CN"/>
        </w:rPr>
        <w:t>响应供应商</w:t>
      </w:r>
      <w:r>
        <w:rPr>
          <w:rFonts w:hint="eastAsia" w:ascii="宋体" w:hAnsi="宋体"/>
          <w:b w:val="0"/>
          <w:bCs/>
          <w:color w:val="auto"/>
          <w:sz w:val="21"/>
          <w:szCs w:val="21"/>
          <w:highlight w:val="none"/>
        </w:rPr>
        <w:t>有下列情形之一的视为</w:t>
      </w:r>
      <w:r>
        <w:rPr>
          <w:rFonts w:hint="eastAsia" w:ascii="宋体" w:hAnsi="宋体"/>
          <w:b w:val="0"/>
          <w:bCs/>
          <w:color w:val="auto"/>
          <w:sz w:val="21"/>
          <w:szCs w:val="21"/>
          <w:highlight w:val="none"/>
          <w:lang w:eastAsia="zh-CN"/>
        </w:rPr>
        <w:t>响应供应商</w:t>
      </w:r>
      <w:r>
        <w:rPr>
          <w:rFonts w:hint="eastAsia" w:ascii="宋体" w:hAnsi="宋体"/>
          <w:b w:val="0"/>
          <w:bCs/>
          <w:color w:val="auto"/>
          <w:sz w:val="21"/>
          <w:szCs w:val="21"/>
          <w:highlight w:val="none"/>
        </w:rPr>
        <w:t>相互串通投标，</w:t>
      </w:r>
      <w:r>
        <w:rPr>
          <w:rFonts w:hint="eastAsia" w:ascii="宋体" w:hAnsi="宋体"/>
          <w:b w:val="0"/>
          <w:bCs/>
          <w:color w:val="auto"/>
          <w:sz w:val="21"/>
          <w:szCs w:val="21"/>
          <w:highlight w:val="none"/>
          <w:lang w:val="en-US" w:eastAsia="zh-CN"/>
        </w:rPr>
        <w:t>响应</w:t>
      </w:r>
      <w:r>
        <w:rPr>
          <w:rFonts w:hint="eastAsia" w:ascii="宋体" w:hAnsi="宋体"/>
          <w:b w:val="0"/>
          <w:bCs/>
          <w:color w:val="auto"/>
          <w:sz w:val="21"/>
          <w:szCs w:val="21"/>
          <w:highlight w:val="none"/>
        </w:rPr>
        <w:t>文件将被视为无效：</w:t>
      </w:r>
    </w:p>
    <w:p w14:paraId="6F5DB6E6">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（1）不同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文件由同一单位或者个人编制；或不同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报名的IP地址一致的；</w:t>
      </w:r>
    </w:p>
    <w:p w14:paraId="23E72C3D">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（2）不同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委托同一单位或者个人办理</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事宜；</w:t>
      </w:r>
    </w:p>
    <w:p w14:paraId="33F0F4A0">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（3）不同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文件载明的项目管理员或项目实施人员为同一个人；</w:t>
      </w:r>
    </w:p>
    <w:p w14:paraId="13675863">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（4）不同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文件异常一致或</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报价呈规律性差异；</w:t>
      </w:r>
    </w:p>
    <w:p w14:paraId="564148C4">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（5）不同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文件相互混装；</w:t>
      </w:r>
    </w:p>
    <w:p w14:paraId="4EEC1F93">
      <w:pPr>
        <w:keepNext w:val="0"/>
        <w:keepLines w:val="0"/>
        <w:pageBreakBefore w:val="0"/>
        <w:kinsoku/>
        <w:overflowPunct/>
        <w:topLinePunct w:val="0"/>
        <w:bidi w:val="0"/>
        <w:snapToGrid w:val="0"/>
        <w:spacing w:line="240" w:lineRule="auto"/>
        <w:ind w:firstLine="420"/>
        <w:jc w:val="left"/>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（6）不同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的保证金从同一单位或者个人账户转出</w:t>
      </w:r>
      <w:r>
        <w:rPr>
          <w:rFonts w:hint="eastAsia" w:ascii="宋体" w:hAnsi="宋体"/>
          <w:color w:val="auto"/>
          <w:sz w:val="21"/>
          <w:szCs w:val="21"/>
          <w:highlight w:val="none"/>
          <w:lang w:eastAsia="zh-CN"/>
        </w:rPr>
        <w:t>。</w:t>
      </w:r>
    </w:p>
    <w:p w14:paraId="78D0D731">
      <w:pPr>
        <w:keepNext w:val="0"/>
        <w:keepLines w:val="0"/>
        <w:pageBreakBefore w:val="0"/>
        <w:kinsoku/>
        <w:overflowPunct/>
        <w:topLinePunct w:val="0"/>
        <w:bidi w:val="0"/>
        <w:snapToGrid w:val="0"/>
        <w:spacing w:line="240" w:lineRule="auto"/>
        <w:ind w:firstLine="420"/>
        <w:jc w:val="left"/>
        <w:textAlignment w:val="auto"/>
        <w:rPr>
          <w:rFonts w:ascii="宋体" w:hAnsi="宋体"/>
          <w:b w:val="0"/>
          <w:bCs/>
          <w:color w:val="auto"/>
          <w:sz w:val="21"/>
          <w:szCs w:val="21"/>
          <w:highlight w:val="none"/>
        </w:rPr>
      </w:pPr>
      <w:r>
        <w:rPr>
          <w:rFonts w:hint="eastAsia" w:ascii="宋体" w:hAnsi="宋体"/>
          <w:b w:val="0"/>
          <w:bCs/>
          <w:color w:val="auto"/>
          <w:sz w:val="21"/>
          <w:szCs w:val="21"/>
          <w:highlight w:val="none"/>
        </w:rPr>
        <w:t>1</w:t>
      </w:r>
      <w:r>
        <w:rPr>
          <w:rFonts w:hint="eastAsia" w:ascii="宋体" w:hAnsi="宋体"/>
          <w:b w:val="0"/>
          <w:bCs/>
          <w:color w:val="auto"/>
          <w:sz w:val="21"/>
          <w:szCs w:val="21"/>
          <w:highlight w:val="none"/>
          <w:lang w:val="en-US" w:eastAsia="zh-CN"/>
        </w:rPr>
        <w:t>5</w:t>
      </w:r>
      <w:r>
        <w:rPr>
          <w:rFonts w:hint="eastAsia" w:ascii="宋体" w:hAnsi="宋体"/>
          <w:b w:val="0"/>
          <w:bCs/>
          <w:color w:val="auto"/>
          <w:sz w:val="21"/>
          <w:szCs w:val="21"/>
          <w:highlight w:val="none"/>
        </w:rPr>
        <w:t>.3关联供应商不得参加同一合同项下</w:t>
      </w:r>
      <w:r>
        <w:rPr>
          <w:rFonts w:hint="eastAsia" w:ascii="宋体" w:hAnsi="宋体"/>
          <w:b w:val="0"/>
          <w:bCs/>
          <w:color w:val="auto"/>
          <w:sz w:val="21"/>
          <w:szCs w:val="21"/>
          <w:highlight w:val="none"/>
          <w:lang w:eastAsia="zh-CN"/>
        </w:rPr>
        <w:t>院内</w:t>
      </w:r>
      <w:r>
        <w:rPr>
          <w:rFonts w:hint="eastAsia" w:ascii="宋体" w:hAnsi="宋体"/>
          <w:b w:val="0"/>
          <w:bCs/>
          <w:color w:val="auto"/>
          <w:sz w:val="21"/>
          <w:szCs w:val="21"/>
          <w:highlight w:val="none"/>
        </w:rPr>
        <w:t>采购活动，否则</w:t>
      </w:r>
      <w:r>
        <w:rPr>
          <w:rFonts w:hint="eastAsia" w:ascii="宋体" w:hAnsi="宋体"/>
          <w:b w:val="0"/>
          <w:bCs/>
          <w:color w:val="auto"/>
          <w:sz w:val="21"/>
          <w:szCs w:val="21"/>
          <w:highlight w:val="none"/>
          <w:lang w:val="en-US" w:eastAsia="zh-CN"/>
        </w:rPr>
        <w:t>响应</w:t>
      </w:r>
      <w:r>
        <w:rPr>
          <w:rFonts w:hint="eastAsia" w:ascii="宋体" w:hAnsi="宋体"/>
          <w:b w:val="0"/>
          <w:bCs/>
          <w:color w:val="auto"/>
          <w:sz w:val="21"/>
          <w:szCs w:val="21"/>
          <w:highlight w:val="none"/>
        </w:rPr>
        <w:t>文件将被视为无效：</w:t>
      </w:r>
    </w:p>
    <w:p w14:paraId="358F33F3">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（1）单位负责人为同一人或者存在直接控股、管理关系的不同的供应商，不得参加同一合同项下的院内采购活动；</w:t>
      </w:r>
    </w:p>
    <w:p w14:paraId="63CF8C9A">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（2）生产厂商授权给供应商后自己不得参加同一合同项下的院内采购活动。</w:t>
      </w:r>
    </w:p>
    <w:p w14:paraId="063B1BC0">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六、确定成交供应商</w:t>
      </w:r>
    </w:p>
    <w:p w14:paraId="5D6F1EA5">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w:t>
      </w:r>
      <w:r>
        <w:rPr>
          <w:rFonts w:hint="eastAsia" w:ascii="宋体" w:hAnsi="宋体"/>
          <w:b/>
          <w:color w:val="auto"/>
          <w:sz w:val="21"/>
          <w:szCs w:val="21"/>
          <w:highlight w:val="none"/>
        </w:rPr>
        <w:t xml:space="preserve"> </w:t>
      </w:r>
      <w:r>
        <w:rPr>
          <w:rFonts w:hint="eastAsia" w:ascii="宋体" w:hAnsi="宋体"/>
          <w:color w:val="auto"/>
          <w:sz w:val="21"/>
          <w:szCs w:val="21"/>
          <w:highlight w:val="none"/>
        </w:rPr>
        <w:t>确定成交供应商办法</w:t>
      </w:r>
    </w:p>
    <w:p w14:paraId="6C7C61E2">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1经</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确定最终采购需求和提交最后报价的供应商后，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小组成员将按照客观、公正、审慎的原则，根据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文件规定的评审程序、评审方法和评审标准</w:t>
      </w:r>
      <w:r>
        <w:rPr>
          <w:rFonts w:hint="eastAsia" w:ascii="宋体" w:hAnsi="宋体"/>
          <w:color w:val="auto"/>
          <w:sz w:val="21"/>
          <w:szCs w:val="21"/>
          <w:highlight w:val="none"/>
          <w:lang w:eastAsia="zh-CN"/>
        </w:rPr>
        <w:t>，</w:t>
      </w:r>
      <w:r>
        <w:rPr>
          <w:rFonts w:hint="eastAsia" w:ascii="宋体" w:hAnsi="宋体"/>
          <w:color w:val="auto"/>
          <w:sz w:val="21"/>
          <w:szCs w:val="21"/>
          <w:highlight w:val="none"/>
        </w:rPr>
        <w:t>对提交最后报价的供应商的响应文件和最后报价进行独立评审</w:t>
      </w:r>
      <w:r>
        <w:rPr>
          <w:rFonts w:hint="eastAsia" w:ascii="宋体" w:hAnsi="宋体"/>
          <w:color w:val="auto"/>
          <w:sz w:val="21"/>
          <w:szCs w:val="21"/>
          <w:highlight w:val="none"/>
          <w:lang w:eastAsia="zh-CN"/>
        </w:rPr>
        <w:t>。</w:t>
      </w:r>
    </w:p>
    <w:p w14:paraId="20A3453C">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.2本项目采用综合评分法</w:t>
      </w:r>
      <w:r>
        <w:rPr>
          <w:rFonts w:hint="eastAsia" w:ascii="宋体" w:hAnsi="宋体"/>
          <w:color w:val="auto"/>
          <w:sz w:val="21"/>
          <w:szCs w:val="21"/>
          <w:highlight w:val="none"/>
          <w:lang w:eastAsia="zh-CN"/>
        </w:rPr>
        <w:t>，</w:t>
      </w:r>
      <w:r>
        <w:rPr>
          <w:rFonts w:hint="eastAsia" w:ascii="宋体" w:hAnsi="宋体"/>
          <w:color w:val="auto"/>
          <w:sz w:val="21"/>
          <w:szCs w:val="21"/>
          <w:highlight w:val="none"/>
        </w:rPr>
        <w:t>评审原则、评审内容、评分标准、成交候选供应商推荐及成交供应商确定原则详见“</w:t>
      </w:r>
      <w:r>
        <w:rPr>
          <w:rFonts w:hint="eastAsia" w:ascii="宋体" w:hAnsi="宋体"/>
          <w:color w:val="auto"/>
          <w:sz w:val="21"/>
          <w:szCs w:val="21"/>
          <w:highlight w:val="none"/>
          <w:lang w:eastAsia="zh-CN"/>
        </w:rPr>
        <w:t>第四章 评审方法</w:t>
      </w:r>
      <w:r>
        <w:rPr>
          <w:rFonts w:hint="eastAsia" w:ascii="宋体" w:hAnsi="宋体"/>
          <w:color w:val="auto"/>
          <w:sz w:val="21"/>
          <w:szCs w:val="21"/>
          <w:highlight w:val="none"/>
        </w:rPr>
        <w:t>”。</w:t>
      </w:r>
    </w:p>
    <w:p w14:paraId="231A2011">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.3</w:t>
      </w:r>
      <w:r>
        <w:rPr>
          <w:rFonts w:ascii="宋体" w:hAnsi="宋体"/>
          <w:color w:val="auto"/>
          <w:sz w:val="21"/>
          <w:szCs w:val="21"/>
          <w:highlight w:val="none"/>
        </w:rPr>
        <w:t>采购人</w:t>
      </w:r>
      <w:r>
        <w:rPr>
          <w:rFonts w:hint="eastAsia" w:ascii="宋体" w:hAnsi="宋体"/>
          <w:color w:val="auto"/>
          <w:sz w:val="21"/>
          <w:szCs w:val="21"/>
          <w:highlight w:val="none"/>
        </w:rPr>
        <w:t>将</w:t>
      </w:r>
      <w:r>
        <w:rPr>
          <w:rFonts w:hint="eastAsia" w:ascii="宋体" w:hAnsi="宋体"/>
          <w:color w:val="auto"/>
          <w:sz w:val="21"/>
          <w:szCs w:val="21"/>
          <w:highlight w:val="none"/>
          <w:lang w:val="en-US" w:eastAsia="zh-CN"/>
        </w:rPr>
        <w:t>根据供应商总分排名</w:t>
      </w:r>
      <w:r>
        <w:rPr>
          <w:rFonts w:ascii="宋体" w:hAnsi="宋体"/>
          <w:color w:val="auto"/>
          <w:sz w:val="21"/>
          <w:szCs w:val="21"/>
          <w:highlight w:val="none"/>
        </w:rPr>
        <w:t>，按照</w:t>
      </w:r>
      <w:r>
        <w:rPr>
          <w:rFonts w:hint="eastAsia" w:ascii="宋体" w:hAnsi="宋体"/>
          <w:color w:val="auto"/>
          <w:sz w:val="21"/>
          <w:szCs w:val="21"/>
          <w:highlight w:val="none"/>
        </w:rPr>
        <w:t>成交</w:t>
      </w:r>
      <w:r>
        <w:rPr>
          <w:rFonts w:hint="eastAsia" w:ascii="宋体" w:hAnsi="宋体"/>
          <w:color w:val="auto"/>
          <w:sz w:val="21"/>
          <w:szCs w:val="21"/>
          <w:highlight w:val="none"/>
          <w:lang w:val="en-US" w:eastAsia="zh-CN"/>
        </w:rPr>
        <w:t>标准</w:t>
      </w:r>
      <w:r>
        <w:rPr>
          <w:rFonts w:hint="eastAsia" w:ascii="宋体" w:hAnsi="宋体"/>
          <w:color w:val="auto"/>
          <w:sz w:val="21"/>
          <w:szCs w:val="21"/>
          <w:highlight w:val="none"/>
        </w:rPr>
        <w:t>确定</w:t>
      </w:r>
      <w:r>
        <w:rPr>
          <w:rFonts w:hint="eastAsia" w:ascii="宋体" w:hAnsi="宋体"/>
          <w:color w:val="auto"/>
          <w:sz w:val="21"/>
          <w:szCs w:val="21"/>
          <w:highlight w:val="none"/>
          <w:lang w:val="en-US" w:eastAsia="zh-CN"/>
        </w:rPr>
        <w:t>最终</w:t>
      </w:r>
      <w:r>
        <w:rPr>
          <w:rFonts w:ascii="宋体" w:hAnsi="宋体"/>
          <w:color w:val="auto"/>
          <w:sz w:val="21"/>
          <w:szCs w:val="21"/>
          <w:highlight w:val="none"/>
        </w:rPr>
        <w:t>成交供应商</w:t>
      </w:r>
      <w:r>
        <w:rPr>
          <w:rFonts w:hint="eastAsia" w:ascii="宋体" w:hAnsi="宋体"/>
          <w:color w:val="auto"/>
          <w:sz w:val="21"/>
          <w:szCs w:val="21"/>
          <w:highlight w:val="none"/>
        </w:rPr>
        <w:t>。</w:t>
      </w:r>
    </w:p>
    <w:p w14:paraId="6805D3B8">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七、签订合同</w:t>
      </w:r>
    </w:p>
    <w:p w14:paraId="410801DE">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发布采购结果公告后</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成交</w:t>
      </w:r>
      <w:r>
        <w:rPr>
          <w:rFonts w:hint="eastAsia" w:ascii="宋体" w:hAnsi="宋体"/>
          <w:color w:val="auto"/>
          <w:sz w:val="21"/>
          <w:szCs w:val="21"/>
          <w:highlight w:val="none"/>
        </w:rPr>
        <w:t>供应商按规定与采购人签订采购合同。</w:t>
      </w:r>
    </w:p>
    <w:p w14:paraId="7D5D1C15">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八、适用法律</w:t>
      </w:r>
    </w:p>
    <w:p w14:paraId="77E391F7">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.采购当事人的一切活动</w:t>
      </w:r>
      <w:r>
        <w:rPr>
          <w:rFonts w:hint="eastAsia" w:ascii="宋体" w:hAnsi="宋体"/>
          <w:color w:val="auto"/>
          <w:sz w:val="21"/>
          <w:szCs w:val="21"/>
          <w:highlight w:val="none"/>
          <w:lang w:val="en-US" w:eastAsia="zh-CN"/>
        </w:rPr>
        <w:t>符合</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中华人民共和国民法典</w:t>
      </w:r>
      <w:r>
        <w:rPr>
          <w:rFonts w:hint="eastAsia" w:ascii="宋体" w:hAnsi="宋体"/>
          <w:color w:val="auto"/>
          <w:sz w:val="21"/>
          <w:szCs w:val="21"/>
          <w:highlight w:val="none"/>
          <w:lang w:eastAsia="zh-CN"/>
        </w:rPr>
        <w:t>》</w:t>
      </w:r>
      <w:r>
        <w:rPr>
          <w:rFonts w:hint="eastAsia" w:ascii="宋体" w:hAnsi="宋体"/>
          <w:color w:val="auto"/>
          <w:sz w:val="21"/>
          <w:szCs w:val="21"/>
          <w:highlight w:val="none"/>
        </w:rPr>
        <w:t>及相关规定。</w:t>
      </w:r>
    </w:p>
    <w:p w14:paraId="78D4AAC6">
      <w:pPr>
        <w:keepNext w:val="0"/>
        <w:keepLines w:val="0"/>
        <w:pageBreakBefore w:val="0"/>
        <w:kinsoku/>
        <w:overflowPunct/>
        <w:topLinePunct w:val="0"/>
        <w:bidi w:val="0"/>
        <w:snapToGrid w:val="0"/>
        <w:spacing w:line="240" w:lineRule="auto"/>
        <w:ind w:firstLine="413" w:firstLineChars="196"/>
        <w:textAlignment w:val="auto"/>
        <w:outlineLvl w:val="1"/>
        <w:rPr>
          <w:rFonts w:ascii="宋体" w:hAnsi="宋体"/>
          <w:b/>
          <w:color w:val="auto"/>
          <w:sz w:val="21"/>
          <w:szCs w:val="21"/>
          <w:highlight w:val="none"/>
        </w:rPr>
      </w:pPr>
      <w:r>
        <w:rPr>
          <w:rFonts w:hint="eastAsia" w:ascii="宋体" w:hAnsi="宋体"/>
          <w:b/>
          <w:color w:val="auto"/>
          <w:sz w:val="21"/>
          <w:szCs w:val="21"/>
          <w:highlight w:val="none"/>
        </w:rPr>
        <w:t>九、</w:t>
      </w:r>
      <w:bookmarkStart w:id="15" w:name="_Toc254970532"/>
      <w:bookmarkStart w:id="16" w:name="_Toc254970673"/>
      <w:r>
        <w:rPr>
          <w:rFonts w:hint="eastAsia" w:ascii="宋体" w:hAnsi="宋体"/>
          <w:b/>
          <w:color w:val="auto"/>
          <w:sz w:val="21"/>
          <w:szCs w:val="21"/>
          <w:highlight w:val="none"/>
        </w:rPr>
        <w:t>特别说明：</w:t>
      </w:r>
      <w:bookmarkEnd w:id="15"/>
      <w:bookmarkEnd w:id="16"/>
    </w:p>
    <w:p w14:paraId="13B9D1B4">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.供应商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所使用的资格、信誉、荣誉、业绩与企业认证必须为本法人所拥有。供应商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所使用的采购项目实施人员必须为本法人或控股公司员工。</w:t>
      </w:r>
    </w:p>
    <w:p w14:paraId="3DE284A1">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20</w:t>
      </w:r>
      <w:r>
        <w:rPr>
          <w:rFonts w:hint="eastAsia" w:ascii="宋体" w:hAnsi="宋体"/>
          <w:color w:val="auto"/>
          <w:sz w:val="21"/>
          <w:szCs w:val="21"/>
          <w:highlight w:val="none"/>
        </w:rPr>
        <w:t>.供应商应仔细阅读</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文件的所有内容，按照</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文件的要求提交响应文件，并对所提供的全部资料的真实性承担法律责任。</w:t>
      </w:r>
    </w:p>
    <w:p w14:paraId="5BC11E5F">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21</w:t>
      </w:r>
      <w:r>
        <w:rPr>
          <w:rFonts w:hint="eastAsia" w:ascii="宋体" w:hAnsi="宋体"/>
          <w:color w:val="auto"/>
          <w:sz w:val="21"/>
          <w:szCs w:val="21"/>
          <w:highlight w:val="none"/>
        </w:rPr>
        <w:t>.供应商在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活动中提供任何虚假材料，其</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响应无效，并报监管部门查处；成交后发现的，成交供应商须依照《中华人民共和国消费者权益保护法》第49条之规定双倍赔偿采购人，且民事赔偿并不免除违法供应商的行政与刑事责任。</w:t>
      </w:r>
    </w:p>
    <w:p w14:paraId="30259444">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.根据财政部《关于在政府采购活动中查询及使用信用记录有关问题的通知》（财库〔2016〕125号）的规定，在本项目</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截止时间前</w:t>
      </w:r>
      <w:r>
        <w:rPr>
          <w:rFonts w:hint="eastAsia" w:ascii="宋体" w:hAnsi="宋体"/>
          <w:color w:val="auto"/>
          <w:sz w:val="21"/>
          <w:szCs w:val="21"/>
          <w:highlight w:val="none"/>
        </w:rPr>
        <w:t>，供应商在</w:t>
      </w:r>
      <w:r>
        <w:rPr>
          <w:rFonts w:ascii="宋体" w:hAnsi="宋体"/>
          <w:color w:val="auto"/>
          <w:sz w:val="21"/>
          <w:szCs w:val="21"/>
          <w:highlight w:val="none"/>
        </w:rPr>
        <w:t>“信用中国”网站（www.creditchina.gov.cn）、中国政府采购网（www.ccgp.gov.cn）</w:t>
      </w:r>
      <w:r>
        <w:rPr>
          <w:rFonts w:hint="eastAsia" w:ascii="宋体" w:hAnsi="宋体"/>
          <w:color w:val="auto"/>
          <w:sz w:val="21"/>
          <w:szCs w:val="21"/>
          <w:highlight w:val="none"/>
        </w:rPr>
        <w:t>中被列入失信被执行人、重大税收违法案件当事人名单、政府采购严重违法失信行为记录名单及其他不符合《中华人民共和国政府采购法》第二十二条规定条件的，其响应文件将被拒绝。</w:t>
      </w:r>
    </w:p>
    <w:p w14:paraId="4E171F8C">
      <w:pPr>
        <w:keepNext w:val="0"/>
        <w:keepLines w:val="0"/>
        <w:pageBreakBefore w:val="0"/>
        <w:kinsoku/>
        <w:overflowPunct/>
        <w:topLinePunct w:val="0"/>
        <w:bidi w:val="0"/>
        <w:spacing w:line="240" w:lineRule="auto"/>
        <w:jc w:val="center"/>
        <w:textAlignment w:val="auto"/>
        <w:outlineLvl w:val="0"/>
        <w:rPr>
          <w:rFonts w:hint="eastAsia" w:ascii="宋体" w:hAnsi="宋体" w:eastAsia="宋体"/>
          <w:b/>
          <w:color w:val="auto"/>
          <w:sz w:val="21"/>
          <w:szCs w:val="21"/>
          <w:highlight w:val="none"/>
          <w:lang w:eastAsia="zh-CN"/>
        </w:rPr>
      </w:pPr>
      <w:r>
        <w:rPr>
          <w:rFonts w:ascii="宋体" w:hAnsi="宋体"/>
          <w:color w:val="auto"/>
          <w:sz w:val="21"/>
          <w:szCs w:val="21"/>
          <w:highlight w:val="none"/>
        </w:rPr>
        <w:br w:type="page"/>
      </w:r>
      <w:bookmarkStart w:id="17" w:name="_Toc9309"/>
      <w:r>
        <w:rPr>
          <w:rFonts w:hint="eastAsia" w:ascii="宋体" w:hAnsi="宋体"/>
          <w:b/>
          <w:color w:val="auto"/>
          <w:sz w:val="32"/>
          <w:szCs w:val="32"/>
          <w:highlight w:val="none"/>
        </w:rPr>
        <w:t xml:space="preserve">第三章  </w:t>
      </w:r>
      <w:bookmarkEnd w:id="17"/>
      <w:r>
        <w:rPr>
          <w:rFonts w:hint="eastAsia" w:ascii="宋体" w:hAnsi="宋体"/>
          <w:b/>
          <w:color w:val="auto"/>
          <w:sz w:val="32"/>
          <w:szCs w:val="32"/>
          <w:highlight w:val="none"/>
          <w:lang w:eastAsia="zh-CN"/>
        </w:rPr>
        <w:t>项目需求</w:t>
      </w:r>
      <w:r>
        <w:rPr>
          <w:rFonts w:hint="eastAsia" w:ascii="宋体" w:hAnsi="宋体"/>
          <w:b/>
          <w:color w:val="auto"/>
          <w:sz w:val="32"/>
          <w:szCs w:val="32"/>
          <w:highlight w:val="none"/>
          <w:lang w:val="en-US" w:eastAsia="zh-CN"/>
        </w:rPr>
        <w:t>参数</w:t>
      </w:r>
    </w:p>
    <w:p w14:paraId="7E721824">
      <w:pPr>
        <w:keepNext w:val="0"/>
        <w:keepLines w:val="0"/>
        <w:pageBreakBefore w:val="0"/>
        <w:kinsoku/>
        <w:overflowPunct/>
        <w:topLinePunct w:val="0"/>
        <w:bidi w:val="0"/>
        <w:spacing w:line="240" w:lineRule="auto"/>
        <w:jc w:val="center"/>
        <w:textAlignment w:val="auto"/>
        <w:rPr>
          <w:rFonts w:ascii="宋体" w:hAnsi="宋体"/>
          <w:b/>
          <w:color w:val="auto"/>
          <w:sz w:val="21"/>
          <w:szCs w:val="21"/>
          <w:highlight w:val="none"/>
        </w:rPr>
      </w:pPr>
    </w:p>
    <w:p w14:paraId="6BA0D6F5">
      <w:pPr>
        <w:keepNext w:val="0"/>
        <w:keepLines w:val="0"/>
        <w:pageBreakBefore w:val="0"/>
        <w:kinsoku/>
        <w:overflowPunct/>
        <w:topLinePunct w:val="0"/>
        <w:bidi w:val="0"/>
        <w:spacing w:line="24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说明：</w:t>
      </w:r>
    </w:p>
    <w:p w14:paraId="01A81FF7">
      <w:pPr>
        <w:keepNext w:val="0"/>
        <w:keepLines w:val="0"/>
        <w:pageBreakBefore w:val="0"/>
        <w:kinsoku/>
        <w:overflowPunct/>
        <w:topLinePunct w:val="0"/>
        <w:bidi w:val="0"/>
        <w:spacing w:line="240" w:lineRule="auto"/>
        <w:ind w:right="2" w:rightChars="1"/>
        <w:textAlignment w:val="auto"/>
        <w:rPr>
          <w:rFonts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eastAsia="zh-CN"/>
        </w:rPr>
        <w:t>响应供应商</w:t>
      </w:r>
      <w:r>
        <w:rPr>
          <w:rFonts w:hint="eastAsia" w:ascii="宋体" w:hAnsi="宋体"/>
          <w:b/>
          <w:bCs/>
          <w:color w:val="auto"/>
          <w:sz w:val="21"/>
          <w:szCs w:val="21"/>
          <w:highlight w:val="none"/>
        </w:rPr>
        <w:t>所提供的产品</w:t>
      </w:r>
      <w:r>
        <w:rPr>
          <w:rFonts w:hint="eastAsia" w:ascii="宋体" w:hAnsi="宋体"/>
          <w:b/>
          <w:bCs/>
          <w:color w:val="auto"/>
          <w:sz w:val="21"/>
          <w:szCs w:val="21"/>
          <w:highlight w:val="none"/>
          <w:lang w:val="en-US" w:eastAsia="zh-CN"/>
        </w:rPr>
        <w:t>相关功能或参数</w:t>
      </w:r>
      <w:r>
        <w:rPr>
          <w:rFonts w:hint="eastAsia" w:ascii="宋体" w:hAnsi="宋体"/>
          <w:b/>
          <w:bCs/>
          <w:color w:val="auto"/>
          <w:sz w:val="21"/>
          <w:szCs w:val="21"/>
          <w:highlight w:val="none"/>
        </w:rPr>
        <w:t>应实质上相当于或优于本需求表中的</w:t>
      </w:r>
      <w:r>
        <w:rPr>
          <w:rFonts w:ascii="宋体" w:hAnsi="宋体"/>
          <w:b/>
          <w:bCs/>
          <w:color w:val="auto"/>
          <w:sz w:val="21"/>
          <w:szCs w:val="21"/>
          <w:highlight w:val="none"/>
        </w:rPr>
        <w:t>服务内容及技术需求</w:t>
      </w:r>
      <w:r>
        <w:rPr>
          <w:rFonts w:hint="eastAsia" w:ascii="宋体" w:hAnsi="宋体"/>
          <w:b/>
          <w:bCs/>
          <w:color w:val="auto"/>
          <w:sz w:val="21"/>
          <w:szCs w:val="21"/>
          <w:highlight w:val="none"/>
        </w:rPr>
        <w:t>。</w:t>
      </w:r>
    </w:p>
    <w:p w14:paraId="479A7B04">
      <w:pPr>
        <w:keepNext w:val="0"/>
        <w:keepLines w:val="0"/>
        <w:pageBreakBefore w:val="0"/>
        <w:kinsoku/>
        <w:overflowPunct/>
        <w:topLinePunct w:val="0"/>
        <w:bidi w:val="0"/>
        <w:spacing w:line="240" w:lineRule="auto"/>
        <w:ind w:right="2" w:rightChars="1"/>
        <w:textAlignment w:val="auto"/>
        <w:rPr>
          <w:rFonts w:ascii="宋体" w:hAnsi="宋体"/>
          <w:b/>
          <w:bCs/>
          <w:color w:val="auto"/>
          <w:sz w:val="21"/>
          <w:szCs w:val="21"/>
          <w:highlight w:val="none"/>
        </w:rPr>
      </w:pPr>
      <w:r>
        <w:rPr>
          <w:rFonts w:hint="eastAsia" w:ascii="宋体" w:hAnsi="宋体"/>
          <w:b/>
          <w:bCs/>
          <w:color w:val="auto"/>
          <w:sz w:val="21"/>
          <w:szCs w:val="21"/>
          <w:highlight w:val="none"/>
        </w:rPr>
        <w:t>2、本一览表的</w:t>
      </w:r>
      <w:r>
        <w:rPr>
          <w:rFonts w:ascii="宋体" w:hAnsi="宋体"/>
          <w:b/>
          <w:bCs/>
          <w:color w:val="auto"/>
          <w:sz w:val="21"/>
          <w:szCs w:val="21"/>
          <w:highlight w:val="none"/>
        </w:rPr>
        <w:t>服务内容及技术需求不明确或有误的，</w:t>
      </w:r>
      <w:r>
        <w:rPr>
          <w:rFonts w:hint="eastAsia" w:ascii="宋体" w:hAnsi="宋体"/>
          <w:b/>
          <w:bCs/>
          <w:color w:val="auto"/>
          <w:sz w:val="21"/>
          <w:szCs w:val="21"/>
          <w:highlight w:val="none"/>
          <w:lang w:eastAsia="zh-CN"/>
        </w:rPr>
        <w:t>响应供应商</w:t>
      </w:r>
      <w:r>
        <w:rPr>
          <w:rFonts w:ascii="宋体" w:hAnsi="宋体"/>
          <w:b/>
          <w:bCs/>
          <w:color w:val="auto"/>
          <w:sz w:val="21"/>
          <w:szCs w:val="21"/>
          <w:highlight w:val="none"/>
        </w:rPr>
        <w:t>请以详细、正确的服务内容及技术质量</w:t>
      </w:r>
      <w:r>
        <w:rPr>
          <w:rFonts w:hint="eastAsia" w:ascii="宋体" w:hAnsi="宋体"/>
          <w:b/>
          <w:bCs/>
          <w:color w:val="auto"/>
          <w:sz w:val="21"/>
          <w:szCs w:val="21"/>
          <w:highlight w:val="none"/>
        </w:rPr>
        <w:t>指标</w:t>
      </w:r>
      <w:r>
        <w:rPr>
          <w:rFonts w:ascii="宋体" w:hAnsi="宋体"/>
          <w:b/>
          <w:bCs/>
          <w:color w:val="auto"/>
          <w:sz w:val="21"/>
          <w:szCs w:val="21"/>
          <w:highlight w:val="none"/>
        </w:rPr>
        <w:t>同时填写</w:t>
      </w:r>
      <w:r>
        <w:rPr>
          <w:rFonts w:hint="eastAsia" w:ascii="宋体" w:hAnsi="宋体"/>
          <w:b/>
          <w:bCs/>
          <w:color w:val="auto"/>
          <w:sz w:val="21"/>
          <w:szCs w:val="21"/>
          <w:highlight w:val="none"/>
          <w:lang w:eastAsia="zh-CN"/>
        </w:rPr>
        <w:t>磋商</w:t>
      </w:r>
      <w:r>
        <w:rPr>
          <w:rFonts w:ascii="宋体" w:hAnsi="宋体"/>
          <w:b/>
          <w:bCs/>
          <w:color w:val="auto"/>
          <w:sz w:val="21"/>
          <w:szCs w:val="21"/>
          <w:highlight w:val="none"/>
        </w:rPr>
        <w:t>报价表和</w:t>
      </w:r>
      <w:r>
        <w:rPr>
          <w:rFonts w:hint="eastAsia" w:ascii="宋体" w:hAnsi="宋体"/>
          <w:b/>
          <w:bCs/>
          <w:color w:val="auto"/>
          <w:sz w:val="21"/>
          <w:szCs w:val="21"/>
          <w:highlight w:val="none"/>
        </w:rPr>
        <w:t>技术质量响应及偏离情况说明表</w:t>
      </w:r>
      <w:r>
        <w:rPr>
          <w:rFonts w:ascii="宋体" w:hAnsi="宋体"/>
          <w:b/>
          <w:bCs/>
          <w:color w:val="auto"/>
          <w:sz w:val="21"/>
          <w:szCs w:val="21"/>
          <w:highlight w:val="none"/>
        </w:rPr>
        <w:t>。</w:t>
      </w:r>
    </w:p>
    <w:p w14:paraId="5ED43836">
      <w:pPr>
        <w:keepNext w:val="0"/>
        <w:keepLines w:val="0"/>
        <w:pageBreakBefore w:val="0"/>
        <w:kinsoku/>
        <w:overflowPunct/>
        <w:topLinePunct w:val="0"/>
        <w:bidi w:val="0"/>
        <w:spacing w:line="240" w:lineRule="auto"/>
        <w:ind w:right="2" w:rightChars="1"/>
        <w:textAlignment w:val="auto"/>
        <w:rPr>
          <w:rFonts w:ascii="宋体" w:hAnsi="宋体"/>
          <w:b/>
          <w:bCs/>
          <w:color w:val="auto"/>
          <w:sz w:val="21"/>
          <w:szCs w:val="21"/>
          <w:highlight w:val="none"/>
        </w:rPr>
      </w:pPr>
      <w:r>
        <w:rPr>
          <w:rFonts w:hint="eastAsia" w:ascii="宋体" w:hAnsi="宋体"/>
          <w:b/>
          <w:bCs/>
          <w:color w:val="auto"/>
          <w:sz w:val="21"/>
          <w:szCs w:val="21"/>
          <w:highlight w:val="none"/>
        </w:rPr>
        <w:t>3、本项目中标注“</w:t>
      </w:r>
      <w:r>
        <w:rPr>
          <w:rFonts w:hint="eastAsia"/>
          <w:color w:val="auto"/>
          <w:sz w:val="21"/>
          <w:szCs w:val="21"/>
          <w:highlight w:val="none"/>
        </w:rPr>
        <w:t>▲</w:t>
      </w:r>
      <w:r>
        <w:rPr>
          <w:rFonts w:hint="eastAsia" w:ascii="宋体" w:hAnsi="宋体"/>
          <w:b/>
          <w:bCs/>
          <w:color w:val="auto"/>
          <w:sz w:val="21"/>
          <w:szCs w:val="21"/>
          <w:highlight w:val="none"/>
        </w:rPr>
        <w:t>”号的要求为实质性要求和条件，对这些关键性要求的任何不满足将导致</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响应无效。</w:t>
      </w:r>
    </w:p>
    <w:tbl>
      <w:tblPr>
        <w:tblStyle w:val="48"/>
        <w:tblW w:w="89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7195"/>
      </w:tblGrid>
      <w:tr w14:paraId="72D10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45A48FB8">
            <w:pPr>
              <w:tabs>
                <w:tab w:val="left" w:pos="180"/>
                <w:tab w:val="left" w:pos="1620"/>
              </w:tabs>
              <w:spacing w:line="320" w:lineRule="exact"/>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cs="Times New Roman"/>
                <w:color w:val="000000"/>
                <w:szCs w:val="21"/>
                <w:highlight w:val="none"/>
                <w:lang w:val="en-US" w:eastAsia="zh-CN"/>
              </w:rPr>
              <w:t>项目名称</w:t>
            </w:r>
          </w:p>
        </w:tc>
        <w:tc>
          <w:tcPr>
            <w:tcW w:w="7195" w:type="dxa"/>
            <w:tcBorders>
              <w:top w:val="single" w:color="auto" w:sz="4" w:space="0"/>
              <w:bottom w:val="single" w:color="auto" w:sz="4" w:space="0"/>
              <w:right w:val="single" w:color="auto" w:sz="4" w:space="0"/>
            </w:tcBorders>
            <w:noWrap w:val="0"/>
            <w:vAlign w:val="center"/>
          </w:tcPr>
          <w:p w14:paraId="30263D4D">
            <w:pPr>
              <w:tabs>
                <w:tab w:val="left" w:pos="180"/>
                <w:tab w:val="left" w:pos="1620"/>
              </w:tabs>
              <w:spacing w:line="320" w:lineRule="exact"/>
              <w:jc w:val="center"/>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rPr>
              <w:t>文献数据库</w:t>
            </w:r>
            <w:r>
              <w:rPr>
                <w:rFonts w:hint="default" w:ascii="Times New Roman" w:hAnsi="Times New Roman" w:cs="Times New Roman"/>
                <w:szCs w:val="21"/>
                <w:highlight w:val="none"/>
                <w:lang w:val="en-US" w:eastAsia="zh-CN"/>
              </w:rPr>
              <w:t>项目</w:t>
            </w:r>
          </w:p>
        </w:tc>
      </w:tr>
      <w:tr w14:paraId="62928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399CBB3B">
            <w:pPr>
              <w:tabs>
                <w:tab w:val="left" w:pos="180"/>
                <w:tab w:val="left" w:pos="1620"/>
              </w:tabs>
              <w:spacing w:line="320" w:lineRule="exact"/>
              <w:jc w:val="center"/>
              <w:rPr>
                <w:rFonts w:hint="default" w:ascii="Times New Roman" w:hAnsi="Times New Roman"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所属行业</w:t>
            </w:r>
          </w:p>
        </w:tc>
        <w:tc>
          <w:tcPr>
            <w:tcW w:w="7195" w:type="dxa"/>
            <w:tcBorders>
              <w:top w:val="single" w:color="auto" w:sz="4" w:space="0"/>
              <w:bottom w:val="single" w:color="auto" w:sz="4" w:space="0"/>
              <w:right w:val="single" w:color="auto" w:sz="4" w:space="0"/>
            </w:tcBorders>
            <w:noWrap w:val="0"/>
            <w:vAlign w:val="center"/>
          </w:tcPr>
          <w:p w14:paraId="319667FE">
            <w:pPr>
              <w:tabs>
                <w:tab w:val="left" w:pos="180"/>
                <w:tab w:val="left" w:pos="1620"/>
              </w:tabs>
              <w:spacing w:line="320" w:lineRule="exact"/>
              <w:jc w:val="center"/>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软件和信息技术服务业</w:t>
            </w:r>
          </w:p>
        </w:tc>
      </w:tr>
      <w:tr w14:paraId="02BCC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8999" w:type="dxa"/>
            <w:gridSpan w:val="2"/>
            <w:tcBorders>
              <w:top w:val="single" w:color="auto" w:sz="4" w:space="0"/>
            </w:tcBorders>
            <w:noWrap w:val="0"/>
            <w:vAlign w:val="center"/>
          </w:tcPr>
          <w:p w14:paraId="14CAA954">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default" w:ascii="Times New Roman" w:hAnsi="Times New Roman" w:eastAsia="黑体" w:cs="Times New Roman"/>
                <w:sz w:val="28"/>
                <w:szCs w:val="28"/>
                <w:highlight w:val="none"/>
                <w:lang w:val="en-US" w:eastAsia="zh-CN"/>
              </w:rPr>
            </w:pPr>
            <w:r>
              <w:rPr>
                <w:rFonts w:hint="default" w:ascii="Times New Roman" w:hAnsi="Times New Roman" w:eastAsia="黑体" w:cs="Times New Roman"/>
                <w:sz w:val="28"/>
                <w:szCs w:val="28"/>
                <w:highlight w:val="none"/>
              </w:rPr>
              <w:t>技术</w:t>
            </w:r>
            <w:r>
              <w:rPr>
                <w:rFonts w:hint="default" w:ascii="Times New Roman" w:hAnsi="Times New Roman" w:eastAsia="黑体" w:cs="Times New Roman"/>
                <w:sz w:val="28"/>
                <w:szCs w:val="28"/>
                <w:highlight w:val="none"/>
                <w:lang w:val="en-US" w:eastAsia="zh-CN"/>
              </w:rPr>
              <w:t>需求参数</w:t>
            </w:r>
          </w:p>
          <w:p w14:paraId="080CD53B">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center"/>
              <w:textAlignment w:val="auto"/>
              <w:rPr>
                <w:rFonts w:hint="default" w:ascii="Times New Roman" w:hAnsi="Times New Roman" w:cs="Times New Roman"/>
              </w:rPr>
            </w:pPr>
            <w:r>
              <w:rPr>
                <w:rFonts w:hint="default" w:ascii="Times New Roman" w:hAnsi="Times New Roman" w:eastAsia="宋体" w:cs="Times New Roman"/>
                <w:highlight w:val="none"/>
                <w:lang w:val="en-US" w:eastAsia="zh-CN"/>
              </w:rPr>
              <w:t>（对服务的内容、时间、质量等详细要求）</w:t>
            </w:r>
          </w:p>
        </w:tc>
      </w:tr>
      <w:tr w14:paraId="0DEB7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8999" w:type="dxa"/>
            <w:gridSpan w:val="2"/>
            <w:noWrap w:val="0"/>
            <w:vAlign w:val="center"/>
          </w:tcPr>
          <w:p w14:paraId="5A0C454B">
            <w:pPr>
              <w:widowControl/>
              <w:adjustRightInd w:val="0"/>
              <w:snapToGrid w:val="0"/>
              <w:spacing w:line="400" w:lineRule="exact"/>
              <w:ind w:firstLine="422" w:firstLineChars="200"/>
              <w:jc w:val="left"/>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b/>
                <w:bCs/>
                <w:sz w:val="21"/>
                <w:szCs w:val="21"/>
                <w:highlight w:val="none"/>
                <w:lang w:val="en-US" w:eastAsia="zh-CN"/>
              </w:rPr>
              <w:t>一</w:t>
            </w:r>
            <w:r>
              <w:rPr>
                <w:rFonts w:hint="default" w:ascii="Times New Roman" w:hAnsi="Times New Roman" w:eastAsia="宋体" w:cs="Times New Roman"/>
                <w:b/>
                <w:bCs/>
                <w:sz w:val="21"/>
                <w:szCs w:val="21"/>
                <w:highlight w:val="none"/>
              </w:rPr>
              <w:t>、</w:t>
            </w:r>
            <w:r>
              <w:rPr>
                <w:rFonts w:hint="default" w:ascii="Times New Roman" w:hAnsi="Times New Roman" w:eastAsia="宋体" w:cs="Times New Roman"/>
                <w:b/>
                <w:bCs/>
                <w:sz w:val="21"/>
                <w:szCs w:val="21"/>
                <w:highlight w:val="none"/>
                <w:lang w:val="en-US" w:eastAsia="zh-CN"/>
              </w:rPr>
              <w:t>服务期限：2年</w:t>
            </w:r>
          </w:p>
          <w:p w14:paraId="17326A45">
            <w:pPr>
              <w:widowControl/>
              <w:adjustRightInd w:val="0"/>
              <w:snapToGrid w:val="0"/>
              <w:spacing w:line="400" w:lineRule="exact"/>
              <w:ind w:firstLine="422" w:firstLineChars="200"/>
              <w:jc w:val="left"/>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lang w:val="en-US" w:eastAsia="zh-CN"/>
              </w:rPr>
              <w:t>二</w:t>
            </w:r>
            <w:r>
              <w:rPr>
                <w:rFonts w:hint="default" w:ascii="Times New Roman" w:hAnsi="Times New Roman" w:eastAsia="宋体" w:cs="Times New Roman"/>
                <w:b/>
                <w:bCs/>
                <w:sz w:val="21"/>
                <w:szCs w:val="21"/>
                <w:highlight w:val="none"/>
              </w:rPr>
              <w:t>、服务要求</w:t>
            </w:r>
          </w:p>
          <w:p w14:paraId="6CA97A02">
            <w:pPr>
              <w:widowControl/>
              <w:adjustRightInd w:val="0"/>
              <w:snapToGrid w:val="0"/>
              <w:spacing w:line="4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1.中文期刊（包含但不限于医学期刊、中华医学期刊等），</w:t>
            </w:r>
            <w:r>
              <w:rPr>
                <w:rFonts w:hint="default" w:ascii="Times New Roman" w:hAnsi="Times New Roman" w:eastAsia="宋体" w:cs="Times New Roman"/>
                <w:i w:val="0"/>
                <w:iCs w:val="0"/>
                <w:caps w:val="0"/>
                <w:color w:val="333333"/>
                <w:spacing w:val="0"/>
                <w:sz w:val="21"/>
                <w:szCs w:val="21"/>
                <w:shd w:val="clear" w:color="auto" w:fill="FFFFFF"/>
              </w:rPr>
              <w:t>并且具有正规版权，无法律风险。</w:t>
            </w:r>
          </w:p>
          <w:p w14:paraId="7A6D6C71">
            <w:pPr>
              <w:widowControl/>
              <w:adjustRightInd w:val="0"/>
              <w:snapToGrid w:val="0"/>
              <w:spacing w:line="4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2.学位论文（博士论文、硕士论文）数据库（包含但不限于医学类等），</w:t>
            </w:r>
            <w:r>
              <w:rPr>
                <w:rFonts w:hint="default" w:ascii="Times New Roman" w:hAnsi="Times New Roman" w:eastAsia="宋体" w:cs="Times New Roman"/>
                <w:i w:val="0"/>
                <w:iCs w:val="0"/>
                <w:caps w:val="0"/>
                <w:color w:val="333333"/>
                <w:spacing w:val="0"/>
                <w:sz w:val="21"/>
                <w:szCs w:val="21"/>
                <w:shd w:val="clear" w:color="auto" w:fill="FFFFFF"/>
              </w:rPr>
              <w:t>并且具有正规版权，无法律风险。</w:t>
            </w:r>
          </w:p>
          <w:p w14:paraId="06B3ADFD">
            <w:pPr>
              <w:widowControl/>
              <w:adjustRightInd w:val="0"/>
              <w:snapToGrid w:val="0"/>
              <w:spacing w:line="4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3.可多个ip登录查询。</w:t>
            </w:r>
          </w:p>
          <w:p w14:paraId="2556D162">
            <w:pPr>
              <w:widowControl/>
              <w:adjustRightInd w:val="0"/>
              <w:snapToGrid w:val="0"/>
              <w:spacing w:line="4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4.提供智能检索、句子检索等检索功能；且须提供句子检索截图证明；</w:t>
            </w:r>
          </w:p>
          <w:p w14:paraId="5C9B9DEB">
            <w:pPr>
              <w:widowControl/>
              <w:adjustRightInd w:val="0"/>
              <w:snapToGrid w:val="0"/>
              <w:spacing w:line="4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5．期刊数据库网络版部分全文支持HTML阅读模式阅读全文，且提供截图证明文件；</w:t>
            </w:r>
          </w:p>
          <w:p w14:paraId="3FB4F704">
            <w:pPr>
              <w:widowControl/>
              <w:adjustRightInd w:val="0"/>
              <w:snapToGrid w:val="0"/>
              <w:spacing w:line="4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6．博硕士学位论文数据库提供分章下载、整本下载、分页下载功能。且提供截图证明文件</w:t>
            </w:r>
          </w:p>
          <w:p w14:paraId="52296E5F">
            <w:pPr>
              <w:widowControl/>
              <w:adjustRightInd w:val="0"/>
              <w:snapToGrid w:val="0"/>
              <w:spacing w:line="4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7．检索结果提供按照不同作者、作者单位以及研究层次等3种以上分组方式，提供发表时间、下载频次、被引频次等不少于3种排序方式；</w:t>
            </w:r>
          </w:p>
          <w:p w14:paraId="1A2BCACB">
            <w:pPr>
              <w:widowControl/>
              <w:adjustRightInd w:val="0"/>
              <w:snapToGrid w:val="0"/>
              <w:spacing w:line="40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8．可实现对用户的访问和使用情况进行详细的记录，并进行统计分析。可按时间、用户等方式进行统计分析。</w:t>
            </w:r>
          </w:p>
        </w:tc>
      </w:tr>
      <w:tr w14:paraId="2B03FB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8999" w:type="dxa"/>
            <w:gridSpan w:val="2"/>
            <w:tcBorders>
              <w:top w:val="single" w:color="auto" w:sz="4" w:space="0"/>
              <w:left w:val="single" w:color="auto" w:sz="4" w:space="0"/>
              <w:bottom w:val="single" w:color="auto" w:sz="4" w:space="0"/>
              <w:right w:val="single" w:color="auto" w:sz="4" w:space="0"/>
            </w:tcBorders>
            <w:noWrap w:val="0"/>
            <w:vAlign w:val="top"/>
          </w:tcPr>
          <w:p w14:paraId="6B0D7667">
            <w:pPr>
              <w:tabs>
                <w:tab w:val="left" w:pos="180"/>
                <w:tab w:val="left" w:pos="1620"/>
              </w:tabs>
              <w:spacing w:line="240" w:lineRule="auto"/>
              <w:jc w:val="center"/>
              <w:rPr>
                <w:rFonts w:hint="default" w:ascii="Times New Roman" w:hAnsi="Times New Roman" w:eastAsia="黑体" w:cs="Times New Roman"/>
                <w:sz w:val="28"/>
                <w:szCs w:val="28"/>
                <w:highlight w:val="none"/>
                <w:lang w:val="en-US" w:eastAsia="zh-CN"/>
              </w:rPr>
            </w:pPr>
            <w:r>
              <w:rPr>
                <w:rFonts w:hint="default" w:ascii="Times New Roman" w:hAnsi="Times New Roman" w:eastAsia="黑体" w:cs="Times New Roman"/>
                <w:sz w:val="28"/>
                <w:szCs w:val="28"/>
                <w:highlight w:val="none"/>
                <w:lang w:val="en-US" w:eastAsia="zh-CN"/>
              </w:rPr>
              <w:t>商务要求参数</w:t>
            </w:r>
          </w:p>
          <w:p w14:paraId="232F888F">
            <w:pPr>
              <w:widowControl/>
              <w:numPr>
                <w:ilvl w:val="0"/>
                <w:numId w:val="0"/>
              </w:numPr>
              <w:adjustRightInd w:val="0"/>
              <w:snapToGrid w:val="0"/>
              <w:spacing w:line="240" w:lineRule="auto"/>
              <w:jc w:val="center"/>
              <w:rPr>
                <w:rFonts w:hint="default" w:ascii="Times New Roman" w:hAnsi="Times New Roman" w:cs="Times New Roman"/>
              </w:rPr>
            </w:pPr>
            <w:r>
              <w:rPr>
                <w:rFonts w:hint="default" w:ascii="Times New Roman" w:hAnsi="Times New Roman" w:eastAsia="宋体" w:cs="Times New Roman"/>
                <w:szCs w:val="21"/>
                <w:highlight w:val="none"/>
                <w:lang w:val="en-US" w:eastAsia="zh-CN"/>
              </w:rPr>
              <w:t>（对供应商资质、报价、履约、售后等详细要求）</w:t>
            </w:r>
          </w:p>
        </w:tc>
      </w:tr>
      <w:tr w14:paraId="3556CF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6AD440D">
            <w:pPr>
              <w:spacing w:line="400" w:lineRule="exact"/>
              <w:jc w:val="center"/>
              <w:rPr>
                <w:rFonts w:hint="default" w:ascii="Times New Roman" w:hAnsi="Times New Roman" w:eastAsia="宋体" w:cs="Times New Roman"/>
                <w:b/>
                <w:bCs/>
                <w:color w:val="000000"/>
                <w:szCs w:val="21"/>
                <w:highlight w:val="none"/>
                <w:lang w:val="en-US" w:eastAsia="zh-CN"/>
              </w:rPr>
            </w:pPr>
            <w:r>
              <w:rPr>
                <w:rFonts w:hint="default" w:ascii="Times New Roman" w:hAnsi="Times New Roman" w:cs="Times New Roman"/>
                <w:b/>
                <w:bCs/>
                <w:color w:val="000000"/>
                <w:szCs w:val="21"/>
                <w:highlight w:val="none"/>
                <w:lang w:val="en-US" w:eastAsia="zh-CN"/>
              </w:rPr>
              <w:t>一.供应商资质</w:t>
            </w:r>
          </w:p>
        </w:tc>
        <w:tc>
          <w:tcPr>
            <w:tcW w:w="7195" w:type="dxa"/>
            <w:tcBorders>
              <w:top w:val="single" w:color="auto" w:sz="4" w:space="0"/>
              <w:left w:val="single" w:color="auto" w:sz="4" w:space="0"/>
              <w:bottom w:val="single" w:color="auto" w:sz="4" w:space="0"/>
              <w:right w:val="single" w:color="auto" w:sz="4" w:space="0"/>
            </w:tcBorders>
            <w:noWrap w:val="0"/>
            <w:vAlign w:val="center"/>
          </w:tcPr>
          <w:p w14:paraId="7BF83E26">
            <w:pPr>
              <w:widowControl/>
              <w:numPr>
                <w:ilvl w:val="0"/>
                <w:numId w:val="0"/>
              </w:numPr>
              <w:adjustRightInd w:val="0"/>
              <w:snapToGrid w:val="0"/>
              <w:spacing w:line="400" w:lineRule="exact"/>
              <w:rPr>
                <w:rFonts w:hint="default" w:ascii="Times New Roman" w:hAnsi="Times New Roman" w:eastAsia="宋体" w:cs="Times New Roman"/>
                <w:szCs w:val="21"/>
                <w:highlight w:val="none"/>
              </w:rPr>
            </w:pPr>
            <w:r>
              <w:rPr>
                <w:rFonts w:hint="default" w:ascii="Times New Roman" w:hAnsi="Times New Roman" w:eastAsia="宋体" w:cs="Times New Roman"/>
                <w:kern w:val="2"/>
                <w:sz w:val="21"/>
                <w:szCs w:val="21"/>
                <w:lang w:val="en-US" w:eastAsia="zh-CN" w:bidi="ar-SA"/>
              </w:rPr>
              <w:t>1.</w:t>
            </w:r>
            <w:r>
              <w:rPr>
                <w:rFonts w:hint="default" w:ascii="Times New Roman" w:hAnsi="Times New Roman" w:eastAsia="宋体" w:cs="Times New Roman"/>
                <w:szCs w:val="21"/>
                <w:highlight w:val="none"/>
                <w:lang w:val="en-US" w:eastAsia="zh-CN"/>
              </w:rPr>
              <w:t>符合</w:t>
            </w:r>
            <w:r>
              <w:rPr>
                <w:rFonts w:hint="default" w:ascii="Times New Roman" w:hAnsi="Times New Roman" w:eastAsia="宋体" w:cs="Times New Roman"/>
                <w:szCs w:val="21"/>
                <w:highlight w:val="none"/>
              </w:rPr>
              <w:t>政府采购法第二十二条规定的条件</w:t>
            </w:r>
          </w:p>
          <w:p w14:paraId="596D8DE5">
            <w:pPr>
              <w:widowControl/>
              <w:numPr>
                <w:ilvl w:val="0"/>
                <w:numId w:val="0"/>
              </w:numPr>
              <w:adjustRightInd w:val="0"/>
              <w:snapToGrid w:val="0"/>
              <w:spacing w:line="400" w:lineRule="exact"/>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2.本项目特定要求：公司营业范围包含所投服务</w:t>
            </w:r>
          </w:p>
          <w:p w14:paraId="75380455">
            <w:pPr>
              <w:widowControl/>
              <w:numPr>
                <w:ilvl w:val="0"/>
                <w:numId w:val="0"/>
              </w:numPr>
              <w:adjustRightInd w:val="0"/>
              <w:snapToGrid w:val="0"/>
              <w:spacing w:line="400" w:lineRule="exact"/>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3.是否接收联合体投标：□是   ☑否</w:t>
            </w:r>
          </w:p>
          <w:p w14:paraId="1FB42B4A">
            <w:pPr>
              <w:widowControl/>
              <w:numPr>
                <w:ilvl w:val="0"/>
                <w:numId w:val="0"/>
              </w:numPr>
              <w:adjustRightInd w:val="0"/>
              <w:snapToGrid w:val="0"/>
              <w:spacing w:line="400" w:lineRule="exact"/>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4.落实政府采购政策需满足的资格要求：是否面向中小微企业（☑是      □否）</w:t>
            </w:r>
          </w:p>
          <w:p w14:paraId="19825D9A">
            <w:pPr>
              <w:widowControl/>
              <w:numPr>
                <w:ilvl w:val="0"/>
                <w:numId w:val="0"/>
              </w:numPr>
              <w:adjustRightInd w:val="0"/>
              <w:snapToGrid w:val="0"/>
              <w:spacing w:line="400" w:lineRule="exact"/>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5.是否允许分包/转包：□是   ☑否</w:t>
            </w:r>
          </w:p>
          <w:p w14:paraId="140E056E">
            <w:pPr>
              <w:widowControl/>
              <w:numPr>
                <w:ilvl w:val="0"/>
                <w:numId w:val="0"/>
              </w:numPr>
              <w:adjustRightInd w:val="0"/>
              <w:snapToGrid w:val="0"/>
              <w:spacing w:line="400" w:lineRule="exact"/>
              <w:rPr>
                <w:rFonts w:hint="default" w:ascii="Times New Roman" w:hAnsi="Times New Roman" w:cs="Times New Roman"/>
                <w:b/>
                <w:color w:val="000000"/>
                <w:szCs w:val="21"/>
                <w:highlight w:val="none"/>
              </w:rPr>
            </w:pPr>
            <w:r>
              <w:rPr>
                <w:rFonts w:hint="default" w:ascii="Times New Roman" w:hAnsi="Times New Roman" w:eastAsia="宋体" w:cs="Times New Roman"/>
                <w:szCs w:val="21"/>
                <w:highlight w:val="none"/>
                <w:lang w:val="en-US" w:eastAsia="zh-CN"/>
              </w:rPr>
              <w:t>6.其他要求：</w:t>
            </w:r>
            <w:r>
              <w:rPr>
                <w:rFonts w:hint="eastAsia" w:ascii="Times New Roman" w:hAnsi="Times New Roman" w:cs="Times New Roman"/>
                <w:szCs w:val="21"/>
                <w:highlight w:val="none"/>
                <w:lang w:val="en-US" w:eastAsia="zh-CN"/>
              </w:rPr>
              <w:t>无</w:t>
            </w:r>
          </w:p>
        </w:tc>
      </w:tr>
      <w:tr w14:paraId="7FD390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6964462">
            <w:pPr>
              <w:spacing w:line="400" w:lineRule="exact"/>
              <w:jc w:val="center"/>
              <w:rPr>
                <w:rFonts w:hint="default" w:ascii="Times New Roman" w:hAnsi="Times New Roman" w:cs="Times New Roman"/>
                <w:b/>
                <w:bCs/>
                <w:color w:val="000000"/>
                <w:szCs w:val="21"/>
                <w:highlight w:val="none"/>
              </w:rPr>
            </w:pPr>
            <w:r>
              <w:rPr>
                <w:rFonts w:hint="default" w:ascii="Times New Roman" w:hAnsi="Times New Roman" w:cs="Times New Roman"/>
                <w:b/>
                <w:bCs/>
                <w:color w:val="000000"/>
                <w:szCs w:val="21"/>
                <w:highlight w:val="none"/>
                <w:lang w:val="en-US" w:eastAsia="zh-CN"/>
              </w:rPr>
              <w:t>二.</w:t>
            </w:r>
            <w:r>
              <w:rPr>
                <w:rFonts w:hint="default" w:ascii="Times New Roman" w:hAnsi="Times New Roman" w:cs="Times New Roman"/>
                <w:b/>
                <w:bCs/>
                <w:color w:val="000000"/>
                <w:szCs w:val="21"/>
                <w:highlight w:val="none"/>
              </w:rPr>
              <w:t>实施期限和地点</w:t>
            </w:r>
          </w:p>
        </w:tc>
        <w:tc>
          <w:tcPr>
            <w:tcW w:w="7195" w:type="dxa"/>
            <w:tcBorders>
              <w:top w:val="single" w:color="auto" w:sz="4" w:space="0"/>
              <w:left w:val="single" w:color="auto" w:sz="4" w:space="0"/>
              <w:bottom w:val="single" w:color="auto" w:sz="4" w:space="0"/>
              <w:right w:val="single" w:color="auto" w:sz="4" w:space="0"/>
            </w:tcBorders>
            <w:noWrap w:val="0"/>
            <w:vAlign w:val="center"/>
          </w:tcPr>
          <w:p w14:paraId="6B0557D0">
            <w:pPr>
              <w:spacing w:line="400" w:lineRule="exact"/>
              <w:ind w:left="315" w:hanging="315" w:hangingChars="150"/>
              <w:rPr>
                <w:rFonts w:hint="default" w:ascii="Times New Roman" w:hAnsi="Times New Roman" w:cs="Times New Roman"/>
                <w:color w:val="FF0000"/>
                <w:szCs w:val="21"/>
                <w:highlight w:val="none"/>
              </w:rPr>
            </w:pPr>
            <w:r>
              <w:rPr>
                <w:rFonts w:hint="default" w:ascii="Times New Roman" w:hAnsi="Times New Roman" w:cs="Times New Roman"/>
                <w:szCs w:val="21"/>
                <w:highlight w:val="none"/>
              </w:rPr>
              <w:t>1</w:t>
            </w:r>
            <w:r>
              <w:rPr>
                <w:rFonts w:hint="default" w:ascii="Times New Roman" w:hAnsi="Times New Roman" w:cs="Times New Roman"/>
                <w:szCs w:val="21"/>
                <w:highlight w:val="none"/>
                <w:lang w:val="en-US" w:eastAsia="zh-CN"/>
              </w:rPr>
              <w:t>.</w:t>
            </w:r>
            <w:r>
              <w:rPr>
                <w:rFonts w:hint="default" w:ascii="Times New Roman" w:hAnsi="Times New Roman" w:cs="Times New Roman"/>
                <w:szCs w:val="21"/>
                <w:highlight w:val="none"/>
              </w:rPr>
              <w:t>服务期限：自签订合同之日起</w:t>
            </w:r>
            <w:r>
              <w:rPr>
                <w:rFonts w:hint="default" w:ascii="Times New Roman" w:hAnsi="Times New Roman" w:cs="Times New Roman"/>
                <w:szCs w:val="21"/>
                <w:highlight w:val="none"/>
                <w:u w:val="single"/>
                <w:lang w:val="en-US" w:eastAsia="zh-CN"/>
              </w:rPr>
              <w:t xml:space="preserve">  2   </w:t>
            </w:r>
            <w:r>
              <w:rPr>
                <w:rFonts w:hint="default" w:ascii="Times New Roman" w:hAnsi="Times New Roman" w:cs="Times New Roman"/>
                <w:szCs w:val="21"/>
                <w:highlight w:val="none"/>
              </w:rPr>
              <w:t>年。</w:t>
            </w:r>
          </w:p>
          <w:p w14:paraId="1865F38C">
            <w:pPr>
              <w:spacing w:line="400" w:lineRule="exact"/>
              <w:rPr>
                <w:rFonts w:hint="default" w:ascii="Times New Roman" w:hAnsi="Times New Roman" w:cs="Times New Roman"/>
                <w:szCs w:val="21"/>
                <w:highlight w:val="none"/>
              </w:rPr>
            </w:pPr>
            <w:r>
              <w:rPr>
                <w:rFonts w:hint="default" w:ascii="Times New Roman" w:hAnsi="Times New Roman" w:cs="Times New Roman"/>
                <w:szCs w:val="21"/>
                <w:highlight w:val="none"/>
              </w:rPr>
              <w:t>2</w:t>
            </w:r>
            <w:r>
              <w:rPr>
                <w:rFonts w:hint="default" w:ascii="Times New Roman" w:hAnsi="Times New Roman" w:cs="Times New Roman"/>
                <w:szCs w:val="21"/>
                <w:highlight w:val="none"/>
                <w:lang w:val="en-US" w:eastAsia="zh-CN"/>
              </w:rPr>
              <w:t>.</w:t>
            </w:r>
            <w:r>
              <w:rPr>
                <w:rFonts w:hint="default" w:ascii="Times New Roman" w:hAnsi="Times New Roman" w:cs="Times New Roman"/>
                <w:szCs w:val="21"/>
                <w:highlight w:val="none"/>
              </w:rPr>
              <w:t>服务地点：</w:t>
            </w:r>
            <w:r>
              <w:rPr>
                <w:rFonts w:hint="default" w:ascii="Times New Roman" w:hAnsi="Times New Roman" w:cs="Times New Roman"/>
                <w:szCs w:val="21"/>
                <w:highlight w:val="none"/>
                <w:lang w:val="en-US" w:eastAsia="zh-CN"/>
              </w:rPr>
              <w:t xml:space="preserve"> </w:t>
            </w:r>
            <w:r>
              <w:rPr>
                <w:rFonts w:hint="default" w:ascii="Times New Roman" w:hAnsi="Times New Roman" w:cs="Times New Roman"/>
                <w:szCs w:val="21"/>
                <w:highlight w:val="none"/>
                <w:u w:val="single"/>
                <w:lang w:val="en-US" w:eastAsia="zh-CN"/>
              </w:rPr>
              <w:t>采购人指定地点</w:t>
            </w:r>
            <w:r>
              <w:rPr>
                <w:rFonts w:hint="default" w:ascii="Times New Roman" w:hAnsi="Times New Roman" w:cs="Times New Roman"/>
                <w:szCs w:val="21"/>
                <w:highlight w:val="none"/>
              </w:rPr>
              <w:t>。</w:t>
            </w:r>
          </w:p>
        </w:tc>
      </w:tr>
      <w:tr w14:paraId="06CE45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D43C953">
            <w:pPr>
              <w:spacing w:line="400" w:lineRule="exact"/>
              <w:jc w:val="center"/>
              <w:rPr>
                <w:rFonts w:hint="default" w:ascii="Times New Roman" w:hAnsi="Times New Roman" w:eastAsia="宋体" w:cs="Times New Roman"/>
                <w:b/>
                <w:bCs/>
                <w:color w:val="000000"/>
                <w:szCs w:val="21"/>
                <w:highlight w:val="none"/>
                <w:lang w:val="en-US" w:eastAsia="zh-CN"/>
              </w:rPr>
            </w:pPr>
            <w:r>
              <w:rPr>
                <w:rFonts w:hint="default" w:ascii="Times New Roman" w:hAnsi="Times New Roman" w:cs="Times New Roman"/>
                <w:b/>
                <w:bCs/>
                <w:color w:val="000000"/>
                <w:szCs w:val="21"/>
                <w:highlight w:val="none"/>
                <w:lang w:val="en-US" w:eastAsia="zh-CN"/>
              </w:rPr>
              <w:t>三.合同签订期限</w:t>
            </w:r>
          </w:p>
        </w:tc>
        <w:tc>
          <w:tcPr>
            <w:tcW w:w="7195" w:type="dxa"/>
            <w:tcBorders>
              <w:top w:val="single" w:color="auto" w:sz="4" w:space="0"/>
              <w:left w:val="single" w:color="auto" w:sz="4" w:space="0"/>
              <w:bottom w:val="single" w:color="auto" w:sz="4" w:space="0"/>
              <w:right w:val="single" w:color="auto" w:sz="4" w:space="0"/>
            </w:tcBorders>
            <w:noWrap w:val="0"/>
            <w:vAlign w:val="center"/>
          </w:tcPr>
          <w:p w14:paraId="66DFF7BC">
            <w:pPr>
              <w:spacing w:line="400" w:lineRule="exact"/>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lang w:val="en-US" w:eastAsia="zh-CN"/>
              </w:rPr>
              <w:t>自成交通知书发出之日起</w:t>
            </w:r>
            <w:r>
              <w:rPr>
                <w:rFonts w:hint="default" w:ascii="Times New Roman" w:hAnsi="Times New Roman" w:cs="Times New Roman"/>
                <w:szCs w:val="21"/>
                <w:highlight w:val="none"/>
                <w:u w:val="single"/>
                <w:lang w:val="en-US" w:eastAsia="zh-CN"/>
              </w:rPr>
              <w:t>10</w:t>
            </w:r>
            <w:r>
              <w:rPr>
                <w:rFonts w:hint="default" w:ascii="Times New Roman" w:hAnsi="Times New Roman" w:cs="Times New Roman"/>
                <w:szCs w:val="21"/>
                <w:highlight w:val="none"/>
                <w:lang w:val="en-US" w:eastAsia="zh-CN"/>
              </w:rPr>
              <w:t>个工作日</w:t>
            </w:r>
          </w:p>
        </w:tc>
      </w:tr>
      <w:tr w14:paraId="2B2775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167D8CE">
            <w:pPr>
              <w:spacing w:line="400" w:lineRule="exact"/>
              <w:jc w:val="center"/>
              <w:rPr>
                <w:rFonts w:hint="default" w:ascii="Times New Roman" w:hAnsi="Times New Roman" w:cs="Times New Roman"/>
                <w:b/>
                <w:bCs/>
                <w:color w:val="000000"/>
                <w:szCs w:val="21"/>
                <w:highlight w:val="none"/>
              </w:rPr>
            </w:pPr>
            <w:r>
              <w:rPr>
                <w:rFonts w:hint="default" w:ascii="Times New Roman" w:hAnsi="Times New Roman" w:eastAsia="宋体" w:cs="Times New Roman"/>
                <w:b/>
                <w:bCs/>
                <w:color w:val="000000"/>
                <w:szCs w:val="21"/>
                <w:highlight w:val="none"/>
                <w:lang w:val="en-US" w:eastAsia="zh-CN"/>
              </w:rPr>
              <w:t>四.报价要求</w:t>
            </w:r>
          </w:p>
        </w:tc>
        <w:tc>
          <w:tcPr>
            <w:tcW w:w="7195" w:type="dxa"/>
            <w:tcBorders>
              <w:top w:val="single" w:color="auto" w:sz="4" w:space="0"/>
              <w:left w:val="single" w:color="auto" w:sz="4" w:space="0"/>
              <w:bottom w:val="single" w:color="auto" w:sz="4" w:space="0"/>
              <w:right w:val="single" w:color="auto" w:sz="4" w:space="0"/>
            </w:tcBorders>
            <w:noWrap w:val="0"/>
            <w:vAlign w:val="center"/>
          </w:tcPr>
          <w:p w14:paraId="30E08747">
            <w:pPr>
              <w:wordWrap w:val="0"/>
              <w:topLinePunct/>
              <w:snapToGrid w:val="0"/>
              <w:spacing w:line="400" w:lineRule="exact"/>
              <w:rPr>
                <w:rFonts w:hint="default" w:ascii="Times New Roman" w:hAnsi="Times New Roman" w:cs="Times New Roman"/>
                <w:szCs w:val="21"/>
                <w:highlight w:val="none"/>
              </w:rPr>
            </w:pPr>
            <w:r>
              <w:rPr>
                <w:rFonts w:hint="default" w:ascii="Times New Roman" w:hAnsi="Times New Roman" w:cs="Times New Roman"/>
                <w:szCs w:val="21"/>
                <w:highlight w:val="none"/>
              </w:rPr>
              <w:t>1</w:t>
            </w:r>
            <w:r>
              <w:rPr>
                <w:rFonts w:hint="default" w:ascii="Times New Roman" w:hAnsi="Times New Roman" w:cs="Times New Roman"/>
                <w:szCs w:val="21"/>
                <w:highlight w:val="none"/>
                <w:lang w:val="en-US" w:eastAsia="zh-CN"/>
              </w:rPr>
              <w:t>.</w:t>
            </w:r>
            <w:r>
              <w:rPr>
                <w:rFonts w:hint="default" w:ascii="Times New Roman" w:hAnsi="Times New Roman" w:cs="Times New Roman"/>
                <w:szCs w:val="21"/>
                <w:highlight w:val="none"/>
              </w:rPr>
              <w:t>报价方式：</w:t>
            </w:r>
          </w:p>
          <w:p w14:paraId="6AA5855D">
            <w:pPr>
              <w:wordWrap w:val="0"/>
              <w:topLinePunct/>
              <w:snapToGrid w:val="0"/>
              <w:spacing w:line="400" w:lineRule="exact"/>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1</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□本项目采用</w:t>
            </w:r>
            <w:r>
              <w:rPr>
                <w:rFonts w:hint="default" w:ascii="Times New Roman" w:hAnsi="Times New Roman" w:cs="Times New Roman"/>
                <w:b/>
                <w:bCs/>
                <w:szCs w:val="21"/>
                <w:highlight w:val="none"/>
                <w:lang w:val="en-US" w:eastAsia="zh-CN"/>
              </w:rPr>
              <w:t>清单单价</w:t>
            </w:r>
            <w:r>
              <w:rPr>
                <w:rFonts w:hint="default" w:ascii="Times New Roman" w:hAnsi="Times New Roman" w:cs="Times New Roman"/>
                <w:szCs w:val="21"/>
                <w:highlight w:val="none"/>
                <w:lang w:val="en-US" w:eastAsia="zh-CN"/>
              </w:rPr>
              <w:t>报价方式：即投标人对完成本项目的所有单项项目进行报价，采购按成交单价实施采购，具体结算金额以实际采购量*单价进行结算。</w:t>
            </w:r>
          </w:p>
          <w:p w14:paraId="596DD878">
            <w:pPr>
              <w:wordWrap w:val="0"/>
              <w:topLinePunct/>
              <w:snapToGrid w:val="0"/>
              <w:spacing w:line="400" w:lineRule="exact"/>
              <w:rPr>
                <w:rFonts w:hint="default" w:ascii="Times New Roman" w:hAnsi="Times New Roman" w:cs="Times New Roman"/>
                <w:szCs w:val="21"/>
                <w:highlight w:val="none"/>
              </w:rPr>
            </w:pPr>
            <w:r>
              <w:rPr>
                <w:rFonts w:hint="default" w:ascii="Times New Roman" w:hAnsi="Times New Roman" w:cs="Times New Roman"/>
                <w:szCs w:val="21"/>
                <w:highlight w:val="none"/>
                <w:lang w:val="en-US" w:eastAsia="zh-CN"/>
              </w:rPr>
              <w:t>（2）□本项目采用</w:t>
            </w:r>
            <w:r>
              <w:rPr>
                <w:rFonts w:hint="default" w:ascii="Times New Roman" w:hAnsi="Times New Roman" w:cs="Times New Roman"/>
                <w:b/>
                <w:bCs/>
                <w:szCs w:val="21"/>
                <w:highlight w:val="none"/>
                <w:lang w:val="en-US" w:eastAsia="zh-CN"/>
              </w:rPr>
              <w:t>优惠</w:t>
            </w:r>
            <w:r>
              <w:rPr>
                <w:rFonts w:hint="default" w:ascii="Times New Roman" w:hAnsi="Times New Roman" w:cs="Times New Roman"/>
                <w:b/>
                <w:bCs/>
                <w:szCs w:val="21"/>
                <w:highlight w:val="none"/>
              </w:rPr>
              <w:t>率报价</w:t>
            </w:r>
            <w:r>
              <w:rPr>
                <w:rFonts w:hint="default" w:ascii="Times New Roman" w:hAnsi="Times New Roman" w:cs="Times New Roman"/>
                <w:szCs w:val="21"/>
                <w:highlight w:val="none"/>
                <w:lang w:val="en-US" w:eastAsia="zh-CN"/>
              </w:rPr>
              <w:t>报价方式：即投标人对采购清单内所有单项进行</w:t>
            </w:r>
            <w:r>
              <w:rPr>
                <w:rFonts w:hint="default" w:ascii="Times New Roman" w:hAnsi="Times New Roman" w:cs="Times New Roman"/>
                <w:szCs w:val="21"/>
                <w:highlight w:val="none"/>
              </w:rPr>
              <w:t>0%</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rPr>
              <w:t>100%</w:t>
            </w:r>
            <w:r>
              <w:rPr>
                <w:rFonts w:hint="default" w:ascii="Times New Roman" w:hAnsi="Times New Roman" w:cs="Times New Roman"/>
                <w:szCs w:val="21"/>
                <w:highlight w:val="none"/>
                <w:lang w:val="en-US" w:eastAsia="zh-CN"/>
              </w:rPr>
              <w:t>整体优惠，采购按成交结算单价实施采购，成交</w:t>
            </w:r>
            <w:r>
              <w:rPr>
                <w:rFonts w:hint="default" w:ascii="Times New Roman" w:hAnsi="Times New Roman" w:cs="Times New Roman"/>
                <w:szCs w:val="21"/>
                <w:highlight w:val="none"/>
              </w:rPr>
              <w:t>结算</w:t>
            </w:r>
            <w:r>
              <w:rPr>
                <w:rFonts w:hint="default" w:ascii="Times New Roman" w:hAnsi="Times New Roman" w:cs="Times New Roman"/>
                <w:szCs w:val="21"/>
                <w:highlight w:val="none"/>
                <w:lang w:val="en-US" w:eastAsia="zh-CN"/>
              </w:rPr>
              <w:t>单价</w:t>
            </w:r>
            <w:r>
              <w:rPr>
                <w:rFonts w:hint="default" w:ascii="Times New Roman" w:hAnsi="Times New Roman" w:cs="Times New Roman"/>
                <w:szCs w:val="21"/>
                <w:highlight w:val="none"/>
              </w:rPr>
              <w:t>=招标控制单价*中标折扣率。</w:t>
            </w:r>
          </w:p>
          <w:p w14:paraId="65B13527">
            <w:pPr>
              <w:wordWrap w:val="0"/>
              <w:topLinePunct/>
              <w:snapToGrid w:val="0"/>
              <w:spacing w:line="400" w:lineRule="exact"/>
              <w:rPr>
                <w:rFonts w:hint="default" w:ascii="Times New Roman" w:hAnsi="Times New Roman" w:cs="Times New Roman"/>
                <w:szCs w:val="21"/>
                <w:highlight w:val="none"/>
                <w:lang w:val="en-US"/>
              </w:rPr>
            </w:pPr>
            <w:r>
              <w:rPr>
                <w:rFonts w:hint="default" w:ascii="Times New Roman" w:hAnsi="Times New Roman" w:cs="Times New Roman"/>
                <w:szCs w:val="21"/>
                <w:highlight w:val="none"/>
              </w:rPr>
              <w:t>（</w:t>
            </w:r>
            <w:r>
              <w:rPr>
                <w:rFonts w:hint="default" w:ascii="Times New Roman" w:hAnsi="Times New Roman" w:cs="Times New Roman"/>
                <w:szCs w:val="21"/>
                <w:highlight w:val="none"/>
                <w:lang w:val="en-US" w:eastAsia="zh-CN"/>
              </w:rPr>
              <w:t>3</w:t>
            </w:r>
            <w:r>
              <w:rPr>
                <w:rFonts w:hint="default" w:ascii="Times New Roman" w:hAnsi="Times New Roman" w:cs="Times New Roman"/>
                <w:szCs w:val="21"/>
                <w:highlight w:val="none"/>
              </w:rPr>
              <w:t>）</w:t>
            </w:r>
            <w:r>
              <w:rPr>
                <w:rFonts w:hint="default" w:ascii="Times New Roman" w:hAnsi="Times New Roman" w:cs="Times New Roman"/>
                <w:szCs w:val="21"/>
                <w:highlight w:val="none"/>
                <w:lang w:val="en-US" w:eastAsia="zh-CN"/>
              </w:rPr>
              <w:t>☑本项目采用</w:t>
            </w:r>
            <w:r>
              <w:rPr>
                <w:rFonts w:hint="default" w:ascii="Times New Roman" w:hAnsi="Times New Roman" w:cs="Times New Roman"/>
                <w:b/>
                <w:bCs/>
                <w:szCs w:val="21"/>
                <w:highlight w:val="none"/>
                <w:lang w:val="en-US" w:eastAsia="zh-CN"/>
              </w:rPr>
              <w:t>全包总价</w:t>
            </w:r>
            <w:r>
              <w:rPr>
                <w:rFonts w:hint="default" w:ascii="Times New Roman" w:hAnsi="Times New Roman" w:cs="Times New Roman"/>
                <w:szCs w:val="21"/>
                <w:highlight w:val="none"/>
                <w:lang w:val="en-US" w:eastAsia="zh-CN"/>
              </w:rPr>
              <w:t>报价方式：即投标人按完成项目全包价进行报价。</w:t>
            </w:r>
          </w:p>
          <w:p w14:paraId="54FC4555">
            <w:pPr>
              <w:wordWrap w:val="0"/>
              <w:topLinePunct/>
              <w:snapToGrid w:val="0"/>
              <w:spacing w:line="400" w:lineRule="exact"/>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2.报价必须含以下部分，包括：</w:t>
            </w:r>
          </w:p>
          <w:p w14:paraId="2D08DF15">
            <w:pPr>
              <w:wordWrap w:val="0"/>
              <w:topLinePunct/>
              <w:snapToGrid w:val="0"/>
              <w:spacing w:line="400" w:lineRule="exact"/>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（1）满足本项目全部采购需求，包含投标服务、货物、工程的成本、运输（含保险）、安装（如有）、调试、检验、技术服务、培训等所有费用。</w:t>
            </w:r>
          </w:p>
          <w:p w14:paraId="1F7B7C6F">
            <w:pPr>
              <w:wordWrap w:val="0"/>
              <w:topLinePunct/>
              <w:snapToGrid w:val="0"/>
              <w:spacing w:line="400" w:lineRule="exact"/>
              <w:rPr>
                <w:rFonts w:hint="default" w:ascii="Times New Roman" w:hAnsi="Times New Roman" w:cs="Times New Roman"/>
                <w:color w:val="000000"/>
                <w:szCs w:val="21"/>
                <w:highlight w:val="none"/>
              </w:rPr>
            </w:pPr>
            <w:r>
              <w:rPr>
                <w:rFonts w:hint="default" w:ascii="Times New Roman" w:hAnsi="Times New Roman" w:eastAsia="宋体" w:cs="Times New Roman"/>
                <w:szCs w:val="21"/>
                <w:highlight w:val="none"/>
                <w:lang w:val="en-US" w:eastAsia="zh-CN"/>
              </w:rPr>
              <w:t>（2）必要的保险费用和各项税金；</w:t>
            </w:r>
          </w:p>
        </w:tc>
      </w:tr>
      <w:tr w14:paraId="2F3A4A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0221702">
            <w:pPr>
              <w:spacing w:line="400" w:lineRule="exact"/>
              <w:jc w:val="center"/>
              <w:rPr>
                <w:rFonts w:hint="default" w:ascii="Times New Roman" w:hAnsi="Times New Roman" w:cs="Times New Roman"/>
                <w:b/>
                <w:szCs w:val="21"/>
                <w:highlight w:val="none"/>
              </w:rPr>
            </w:pPr>
            <w:r>
              <w:rPr>
                <w:rFonts w:hint="default" w:ascii="Times New Roman" w:hAnsi="Times New Roman" w:cs="Times New Roman"/>
                <w:b/>
                <w:szCs w:val="21"/>
                <w:highlight w:val="none"/>
                <w:lang w:val="en-US" w:eastAsia="zh-CN"/>
              </w:rPr>
              <w:t>五.服务</w:t>
            </w:r>
            <w:r>
              <w:rPr>
                <w:rFonts w:hint="default" w:ascii="Times New Roman" w:hAnsi="Times New Roman" w:cs="Times New Roman"/>
                <w:b/>
                <w:szCs w:val="21"/>
                <w:highlight w:val="none"/>
              </w:rPr>
              <w:t>期</w:t>
            </w:r>
          </w:p>
        </w:tc>
        <w:tc>
          <w:tcPr>
            <w:tcW w:w="7195" w:type="dxa"/>
            <w:tcBorders>
              <w:top w:val="single" w:color="auto" w:sz="4" w:space="0"/>
              <w:left w:val="single" w:color="auto" w:sz="4" w:space="0"/>
              <w:bottom w:val="single" w:color="auto" w:sz="4" w:space="0"/>
              <w:right w:val="single" w:color="auto" w:sz="4" w:space="0"/>
            </w:tcBorders>
            <w:noWrap w:val="0"/>
            <w:vAlign w:val="center"/>
          </w:tcPr>
          <w:p w14:paraId="4A6EFBC6">
            <w:pPr>
              <w:spacing w:line="400" w:lineRule="exact"/>
              <w:jc w:val="left"/>
              <w:rPr>
                <w:rFonts w:hint="default" w:ascii="Times New Roman" w:hAnsi="Times New Roman" w:cs="Times New Roman"/>
                <w:szCs w:val="21"/>
                <w:highlight w:val="none"/>
              </w:rPr>
            </w:pPr>
            <w:r>
              <w:rPr>
                <w:rFonts w:hint="default" w:ascii="Times New Roman" w:hAnsi="Times New Roman" w:eastAsia="宋体" w:cs="Times New Roman"/>
                <w:szCs w:val="21"/>
                <w:highlight w:val="none"/>
                <w:lang w:val="en-US" w:eastAsia="zh-CN"/>
              </w:rPr>
              <w:t>服务期内能及时解决故障问题。</w:t>
            </w:r>
          </w:p>
        </w:tc>
      </w:tr>
      <w:tr w14:paraId="2AEB5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735CCD2">
            <w:pPr>
              <w:spacing w:line="400" w:lineRule="exact"/>
              <w:jc w:val="center"/>
              <w:rPr>
                <w:rFonts w:hint="default" w:ascii="Times New Roman" w:hAnsi="Times New Roman" w:eastAsia="宋体" w:cs="Times New Roman"/>
                <w:b/>
                <w:szCs w:val="21"/>
                <w:highlight w:val="none"/>
                <w:lang w:val="en-US" w:eastAsia="zh-CN"/>
              </w:rPr>
            </w:pPr>
            <w:r>
              <w:rPr>
                <w:rFonts w:hint="default" w:ascii="Times New Roman" w:hAnsi="Times New Roman" w:cs="Times New Roman"/>
                <w:b/>
                <w:szCs w:val="21"/>
                <w:highlight w:val="none"/>
                <w:lang w:val="en-US" w:eastAsia="zh-CN"/>
              </w:rPr>
              <w:t>六.业绩</w:t>
            </w:r>
          </w:p>
        </w:tc>
        <w:tc>
          <w:tcPr>
            <w:tcW w:w="7195" w:type="dxa"/>
            <w:tcBorders>
              <w:top w:val="single" w:color="auto" w:sz="4" w:space="0"/>
              <w:left w:val="single" w:color="auto" w:sz="4" w:space="0"/>
              <w:bottom w:val="single" w:color="auto" w:sz="4" w:space="0"/>
              <w:right w:val="single" w:color="auto" w:sz="4" w:space="0"/>
            </w:tcBorders>
            <w:noWrap w:val="0"/>
            <w:vAlign w:val="center"/>
          </w:tcPr>
          <w:p w14:paraId="5EA2482D">
            <w:pPr>
              <w:spacing w:line="400" w:lineRule="exact"/>
              <w:jc w:val="left"/>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lang w:val="en-US" w:eastAsia="zh-CN"/>
              </w:rPr>
              <w:t>如有近三年完成同类项目业绩者为优（提供项目合同或协议或成交/验收证明材料）</w:t>
            </w:r>
          </w:p>
        </w:tc>
      </w:tr>
      <w:tr w14:paraId="5C18F7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EDC1675">
            <w:pPr>
              <w:wordWrap w:val="0"/>
              <w:topLinePunct/>
              <w:snapToGrid w:val="0"/>
              <w:spacing w:line="400" w:lineRule="exact"/>
              <w:jc w:val="center"/>
              <w:rPr>
                <w:rFonts w:hint="default" w:ascii="Times New Roman" w:hAnsi="Times New Roman" w:eastAsia="宋体" w:cs="Times New Roman"/>
                <w:kern w:val="0"/>
                <w:szCs w:val="21"/>
                <w:highlight w:val="none"/>
                <w:lang w:val="en-US" w:eastAsia="zh-CN"/>
              </w:rPr>
            </w:pPr>
            <w:r>
              <w:rPr>
                <w:rFonts w:hint="default" w:ascii="Times New Roman" w:hAnsi="Times New Roman" w:eastAsia="宋体" w:cs="Times New Roman"/>
                <w:b/>
                <w:szCs w:val="21"/>
                <w:highlight w:val="none"/>
                <w:lang w:val="en-US" w:eastAsia="zh-CN"/>
              </w:rPr>
              <w:t>付款条件</w:t>
            </w:r>
          </w:p>
        </w:tc>
        <w:tc>
          <w:tcPr>
            <w:tcW w:w="7195" w:type="dxa"/>
            <w:tcBorders>
              <w:top w:val="single" w:color="auto" w:sz="4" w:space="0"/>
              <w:left w:val="single" w:color="auto" w:sz="4" w:space="0"/>
              <w:bottom w:val="single" w:color="auto" w:sz="4" w:space="0"/>
              <w:right w:val="single" w:color="auto" w:sz="4" w:space="0"/>
            </w:tcBorders>
            <w:noWrap w:val="0"/>
            <w:vAlign w:val="center"/>
          </w:tcPr>
          <w:p w14:paraId="505BCFFF">
            <w:pPr>
              <w:wordWrap w:val="0"/>
              <w:topLinePunct/>
              <w:snapToGrid w:val="0"/>
              <w:spacing w:line="400" w:lineRule="exact"/>
              <w:rPr>
                <w:rFonts w:hint="default" w:ascii="Times New Roman" w:hAnsi="Times New Roman" w:eastAsia="宋体" w:cs="Times New Roman"/>
                <w:kern w:val="0"/>
                <w:szCs w:val="21"/>
                <w:highlight w:val="none"/>
                <w:lang w:val="en-US" w:eastAsia="zh-CN"/>
              </w:rPr>
            </w:pPr>
            <w:r>
              <w:rPr>
                <w:rFonts w:hint="default" w:ascii="Times New Roman" w:hAnsi="Times New Roman" w:eastAsia="宋体" w:cs="Times New Roman"/>
                <w:kern w:val="0"/>
                <w:szCs w:val="21"/>
                <w:highlight w:val="none"/>
                <w:lang w:val="en-US" w:eastAsia="zh-CN"/>
              </w:rPr>
              <w:t>1.□无预付款：</w:t>
            </w:r>
          </w:p>
          <w:p w14:paraId="46C3FAA5">
            <w:pPr>
              <w:wordWrap w:val="0"/>
              <w:topLinePunct/>
              <w:snapToGrid w:val="0"/>
              <w:spacing w:line="400" w:lineRule="exact"/>
              <w:rPr>
                <w:rFonts w:hint="default" w:ascii="Times New Roman" w:hAnsi="Times New Roman" w:eastAsia="宋体" w:cs="Times New Roman"/>
                <w:kern w:val="0"/>
                <w:szCs w:val="21"/>
                <w:highlight w:val="none"/>
                <w:lang w:val="en-US" w:eastAsia="zh-CN"/>
              </w:rPr>
            </w:pPr>
            <w:r>
              <w:rPr>
                <w:rFonts w:hint="default" w:ascii="Times New Roman" w:hAnsi="Times New Roman" w:eastAsia="宋体" w:cs="Times New Roman"/>
                <w:kern w:val="0"/>
                <w:szCs w:val="21"/>
                <w:highlight w:val="none"/>
                <w:lang w:val="en-US" w:eastAsia="zh-CN"/>
              </w:rPr>
              <w:t>中标人完成服务成果交付并由采购人验收通过后，采购人一次性付清合同款，支付前中标人须开具等额增值税发票给采购人，采购人自收到发票之日起  采购费</w:t>
            </w:r>
          </w:p>
          <w:p w14:paraId="69CD3378">
            <w:pPr>
              <w:wordWrap w:val="0"/>
              <w:topLinePunct/>
              <w:snapToGrid w:val="0"/>
              <w:spacing w:line="400" w:lineRule="exact"/>
              <w:rPr>
                <w:rFonts w:hint="default" w:ascii="Times New Roman" w:hAnsi="Times New Roman" w:eastAsia="宋体" w:cs="Times New Roman"/>
                <w:kern w:val="0"/>
                <w:szCs w:val="21"/>
                <w:highlight w:val="none"/>
                <w:lang w:val="en-US" w:eastAsia="zh-CN"/>
              </w:rPr>
            </w:pPr>
            <w:r>
              <w:rPr>
                <w:rFonts w:hint="default" w:ascii="Times New Roman" w:hAnsi="Times New Roman" w:eastAsia="宋体" w:cs="Times New Roman"/>
                <w:kern w:val="0"/>
                <w:szCs w:val="21"/>
                <w:highlight w:val="none"/>
                <w:lang w:val="en-US" w:eastAsia="zh-CN"/>
              </w:rPr>
              <w:t>2.☑有预付款：</w:t>
            </w:r>
          </w:p>
          <w:p w14:paraId="0058B273">
            <w:pPr>
              <w:wordWrap w:val="0"/>
              <w:topLinePunct/>
              <w:snapToGrid w:val="0"/>
              <w:spacing w:line="400" w:lineRule="exact"/>
              <w:rPr>
                <w:rFonts w:hint="default" w:ascii="Times New Roman" w:hAnsi="Times New Roman" w:eastAsia="宋体" w:cs="Times New Roman"/>
                <w:kern w:val="0"/>
                <w:szCs w:val="21"/>
                <w:highlight w:val="none"/>
                <w:lang w:val="en-US" w:eastAsia="zh-CN"/>
              </w:rPr>
            </w:pPr>
            <w:r>
              <w:rPr>
                <w:rFonts w:hint="default" w:ascii="Times New Roman" w:hAnsi="Times New Roman" w:eastAsia="宋体" w:cs="Times New Roman"/>
                <w:kern w:val="0"/>
                <w:szCs w:val="21"/>
                <w:highlight w:val="none"/>
                <w:lang w:val="en-US" w:eastAsia="zh-CN"/>
              </w:rPr>
              <w:t>合同签订后15个工作日内支付合同金额的100%费用。</w:t>
            </w:r>
          </w:p>
        </w:tc>
      </w:tr>
      <w:tr w14:paraId="021CBA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4EA569A2">
            <w:pPr>
              <w:snapToGrid w:val="0"/>
              <w:spacing w:line="360" w:lineRule="auto"/>
              <w:jc w:val="center"/>
              <w:rPr>
                <w:rFonts w:hint="default" w:ascii="Times New Roman" w:hAnsi="Times New Roman" w:cs="Times New Roman"/>
                <w:color w:val="000000"/>
                <w:szCs w:val="21"/>
                <w:highlight w:val="none"/>
              </w:rPr>
            </w:pPr>
            <w:r>
              <w:rPr>
                <w:rFonts w:hint="default" w:ascii="Times New Roman" w:hAnsi="Times New Roman" w:cs="Times New Roman"/>
                <w:b/>
                <w:szCs w:val="21"/>
                <w:highlight w:val="none"/>
              </w:rPr>
              <w:t>知识产权要求</w:t>
            </w:r>
          </w:p>
        </w:tc>
        <w:tc>
          <w:tcPr>
            <w:tcW w:w="7195" w:type="dxa"/>
            <w:tcBorders>
              <w:top w:val="single" w:color="auto" w:sz="4" w:space="0"/>
              <w:left w:val="single" w:color="auto" w:sz="4" w:space="0"/>
              <w:bottom w:val="single" w:color="auto" w:sz="4" w:space="0"/>
              <w:right w:val="single" w:color="auto" w:sz="4" w:space="0"/>
            </w:tcBorders>
            <w:noWrap w:val="0"/>
            <w:vAlign w:val="center"/>
          </w:tcPr>
          <w:p w14:paraId="1BAE0BAB">
            <w:pPr>
              <w:spacing w:line="400" w:lineRule="exact"/>
              <w:rPr>
                <w:rFonts w:hint="default" w:ascii="Times New Roman" w:hAnsi="Times New Roman" w:cs="Times New Roman"/>
                <w:color w:val="000000"/>
                <w:szCs w:val="21"/>
                <w:highlight w:val="none"/>
              </w:rPr>
            </w:pPr>
            <w:r>
              <w:rPr>
                <w:rFonts w:hint="default" w:ascii="Times New Roman" w:hAnsi="Times New Roman" w:cs="Times New Roman"/>
                <w:szCs w:val="21"/>
                <w:highlight w:val="none"/>
              </w:rPr>
              <w:t>须保证招标人在使用过程中不受到第三方关于侵犯专利权等知识产权的指控。任何第三方如果提出指控，投标人须与第三方交涉并承担可能发生的一切法律责任和费用。</w:t>
            </w:r>
          </w:p>
        </w:tc>
      </w:tr>
    </w:tbl>
    <w:p w14:paraId="408F56FB">
      <w:pPr>
        <w:spacing w:before="156" w:beforeLines="50" w:after="156" w:afterLines="50"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55EA6887">
      <w:pPr>
        <w:keepNext/>
        <w:keepLines/>
        <w:spacing w:before="260" w:after="260" w:line="415" w:lineRule="auto"/>
        <w:jc w:val="center"/>
        <w:outlineLvl w:val="1"/>
        <w:rPr>
          <w:rFonts w:ascii="Cambria" w:hAnsi="Cambria" w:eastAsia="宋体" w:cs="宋体"/>
          <w:b/>
          <w:bCs/>
          <w:color w:val="000000"/>
          <w:sz w:val="32"/>
          <w:szCs w:val="32"/>
          <w:highlight w:val="none"/>
        </w:rPr>
      </w:pPr>
      <w:bookmarkStart w:id="18" w:name="_Toc26063"/>
      <w:bookmarkStart w:id="19" w:name="_Toc16541"/>
      <w:r>
        <w:rPr>
          <w:rFonts w:hint="eastAsia" w:ascii="宋体" w:hAnsi="宋体"/>
          <w:b/>
          <w:color w:val="auto"/>
          <w:sz w:val="32"/>
          <w:szCs w:val="32"/>
          <w:highlight w:val="none"/>
        </w:rPr>
        <w:t xml:space="preserve">第六章  </w:t>
      </w:r>
      <w:bookmarkEnd w:id="18"/>
      <w:r>
        <w:rPr>
          <w:rFonts w:hint="eastAsia" w:ascii="Cambria" w:hAnsi="Cambria" w:eastAsia="宋体" w:cs="宋体"/>
          <w:b/>
          <w:bCs/>
          <w:color w:val="000000"/>
          <w:sz w:val="32"/>
          <w:szCs w:val="32"/>
          <w:highlight w:val="none"/>
        </w:rPr>
        <w:t>评审程序、评审方法和评审标准</w:t>
      </w:r>
    </w:p>
    <w:p w14:paraId="29E8CF87">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一、评审程序和评审方法</w:t>
      </w:r>
    </w:p>
    <w:p w14:paraId="6143DE09">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（一）磋商小组成立</w:t>
      </w:r>
    </w:p>
    <w:p w14:paraId="1132C290">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1.磋商小组由采购人组织评审专家共</w:t>
      </w:r>
      <w:r>
        <w:rPr>
          <w:rFonts w:hint="eastAsia" w:ascii="宋体" w:hAnsi="宋体" w:eastAsia="宋体" w:cs="Calibri"/>
          <w:color w:val="000000"/>
          <w:szCs w:val="21"/>
          <w:highlight w:val="none"/>
          <w:lang w:val="en-US" w:eastAsia="zh-CN"/>
        </w:rPr>
        <w:t>3</w:t>
      </w:r>
      <w:r>
        <w:rPr>
          <w:rFonts w:hint="eastAsia" w:ascii="宋体" w:hAnsi="宋体" w:eastAsia="宋体" w:cs="Calibri"/>
          <w:color w:val="000000"/>
          <w:szCs w:val="21"/>
          <w:highlight w:val="none"/>
        </w:rPr>
        <w:t>人及以上单数组成</w:t>
      </w:r>
      <w:r>
        <w:rPr>
          <w:rFonts w:hint="eastAsia" w:ascii="宋体" w:hAnsi="宋体" w:eastAsia="宋体" w:cs="Calibri"/>
          <w:szCs w:val="21"/>
          <w:highlight w:val="none"/>
        </w:rPr>
        <w:t>，具体人数见“供应商须知前附表”</w:t>
      </w:r>
      <w:r>
        <w:rPr>
          <w:rFonts w:hint="eastAsia" w:ascii="宋体" w:hAnsi="宋体" w:eastAsia="宋体" w:cs="Calibri"/>
          <w:color w:val="000000"/>
          <w:szCs w:val="21"/>
          <w:highlight w:val="none"/>
        </w:rPr>
        <w:t>。</w:t>
      </w:r>
    </w:p>
    <w:p w14:paraId="37B6CF9B">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2.响应文件的开启：具体详见“供应商须知前附表”。</w:t>
      </w:r>
    </w:p>
    <w:p w14:paraId="03F1553F">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（二）响应文件评审程序</w:t>
      </w:r>
    </w:p>
    <w:p w14:paraId="087B9C6A">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.资格审查</w:t>
      </w:r>
    </w:p>
    <w:p w14:paraId="1788D3E0">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 xml:space="preserve">.1响应文件开启后，磋商小组依法对供应商的资格证明文件进行审查。 </w:t>
      </w:r>
    </w:p>
    <w:p w14:paraId="19D52244">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.2资格审查标准为本竞争性磋商文件中载明对供应商资格要求的条件。资格审查采用合格制，凡符合竞争性磋商文件规定的供应商资格要求的响应文件均通过资格审查。</w:t>
      </w:r>
    </w:p>
    <w:p w14:paraId="5CBB64EC">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.3供应商有下列情形之一的，资格审查不通过，其响应文件按无效响应处理：</w:t>
      </w:r>
    </w:p>
    <w:p w14:paraId="1C2889E0">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（1）不具备竞争性磋商文件中规定的资格要求的； </w:t>
      </w:r>
    </w:p>
    <w:p w14:paraId="5055DEAC">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）响应文件未提供任一项“供应商须知前附表”资格证明文件规定的“必须提供”的文件资料的；</w:t>
      </w:r>
    </w:p>
    <w:p w14:paraId="0AAB41F0">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）响应文件提供的资格证明文件出现任一项不符合“供应商须知前附表”资格证明文件规定的“必须提供”的文件资料要求或者无效的。</w:t>
      </w:r>
    </w:p>
    <w:p w14:paraId="4CFF5A86">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.4通过资格审查的合格供应商不足3家的，不得进入符合性审查环节，采购人应当重新开展采购活动。</w:t>
      </w:r>
    </w:p>
    <w:p w14:paraId="6DD3C7CA">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.符合性审查</w:t>
      </w:r>
    </w:p>
    <w:p w14:paraId="37033F90">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.1由磋商小组对通过资格审查的合格供应商的响应文件的竞标报价、商务、技术等实质性要求进行符合性审查，以确定其是否满足竞争性磋商文件的实质性要求。</w:t>
      </w:r>
    </w:p>
    <w:p w14:paraId="4B74F248">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782004A">
      <w:pPr>
        <w:spacing w:line="400" w:lineRule="exact"/>
        <w:ind w:firstLine="420" w:firstLineChars="200"/>
        <w:rPr>
          <w:rFonts w:ascii="宋体" w:hAnsi="宋体" w:eastAsia="宋体" w:cs="Calibri"/>
          <w:color w:val="000000"/>
          <w:spacing w:val="-6"/>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highlight w:val="none"/>
        </w:rPr>
        <w:t>应当附法定代表人授权书</w:t>
      </w:r>
      <w:r>
        <w:rPr>
          <w:rFonts w:hint="eastAsia" w:ascii="宋体" w:hAnsi="宋体" w:eastAsia="宋体" w:cs="Calibri"/>
          <w:color w:val="000000"/>
          <w:szCs w:val="21"/>
          <w:highlight w:val="none"/>
        </w:rPr>
        <w:t>（若委托代理人为响应文件中承诺的授权委托代理人的，无须出示法定代表人授权委托书）</w:t>
      </w:r>
      <w:r>
        <w:rPr>
          <w:rFonts w:hint="eastAsia" w:ascii="宋体" w:hAnsi="宋体" w:eastAsia="宋体" w:cs="Calibri"/>
          <w:color w:val="000000"/>
          <w:spacing w:val="-6"/>
          <w:szCs w:val="21"/>
          <w:highlight w:val="none"/>
        </w:rPr>
        <w:t>。</w:t>
      </w:r>
    </w:p>
    <w:p w14:paraId="11853E29">
      <w:pPr>
        <w:spacing w:line="400" w:lineRule="exact"/>
        <w:ind w:firstLine="396" w:firstLineChars="200"/>
        <w:rPr>
          <w:rFonts w:ascii="宋体" w:hAnsi="宋体" w:eastAsia="宋体" w:cs="Calibri"/>
          <w:color w:val="000000"/>
          <w:szCs w:val="21"/>
          <w:highlight w:val="none"/>
        </w:rPr>
      </w:pPr>
      <w:r>
        <w:rPr>
          <w:rFonts w:ascii="宋体" w:hAnsi="宋体" w:eastAsia="宋体" w:cs="Calibri"/>
          <w:color w:val="000000"/>
          <w:spacing w:val="-6"/>
          <w:szCs w:val="21"/>
          <w:highlight w:val="none"/>
        </w:rPr>
        <w:t>4</w:t>
      </w:r>
      <w:r>
        <w:rPr>
          <w:rFonts w:hint="eastAsia" w:ascii="宋体" w:hAnsi="宋体" w:eastAsia="宋体" w:cs="Calibri"/>
          <w:color w:val="000000"/>
          <w:spacing w:val="-6"/>
          <w:szCs w:val="21"/>
          <w:highlight w:val="none"/>
        </w:rPr>
        <w:t>.4</w:t>
      </w:r>
      <w:r>
        <w:rPr>
          <w:rFonts w:hint="eastAsia" w:ascii="宋体" w:hAnsi="宋体" w:eastAsia="宋体" w:cs="Calibri"/>
          <w:color w:val="000000"/>
          <w:szCs w:val="21"/>
          <w:highlight w:val="none"/>
        </w:rPr>
        <w:t xml:space="preserve">首次响应文件报价出现前后不一致的，按照下列规定修正： </w:t>
      </w:r>
    </w:p>
    <w:p w14:paraId="32953B51">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（1）响应文件中报价表内容与响应文件中相应内容不一致的，以报价表为准；</w:t>
      </w:r>
    </w:p>
    <w:p w14:paraId="58991CC0">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（2）大写金额和小写金额不一致的，以大写金额为准；</w:t>
      </w:r>
    </w:p>
    <w:p w14:paraId="0FA76B33">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同时出现两种以上不一致的，按照顺序逐条进行修正。修正后的报价经供应商确认后产生约束力，供应商不确认的，其响应文件按无效响应处理。</w:t>
      </w:r>
    </w:p>
    <w:p w14:paraId="50A5DD21">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.5商务技术报价评审</w:t>
      </w:r>
    </w:p>
    <w:p w14:paraId="00EC5720">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在评审时，如发现下列情形之一的，将被视为响应文件无效处理：</w:t>
      </w:r>
    </w:p>
    <w:p w14:paraId="73E36629">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（1）商务技术评审</w:t>
      </w:r>
    </w:p>
    <w:p w14:paraId="0E5F5A12">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1）提供响应文件正、副本数量不足的；</w:t>
      </w:r>
    </w:p>
    <w:p w14:paraId="47A8D1ED">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2）响应文件未按竞争性磋商文件要求签署、盖章的；</w:t>
      </w:r>
    </w:p>
    <w:p w14:paraId="02883284">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3）委托代理人未能出具有效身份证明或出具的身份证明与授权委托书中的信息不符的； </w:t>
      </w:r>
    </w:p>
    <w:p w14:paraId="64A1785E">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4）响应文件未提供任一项“供应商须知前附表”第1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.2条规定的“必须提供”或者“委托时必须提供”的文件资料要求或者无效的。</w:t>
      </w:r>
    </w:p>
    <w:p w14:paraId="025692CB">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5</w:t>
      </w:r>
      <w:r>
        <w:rPr>
          <w:rFonts w:hint="eastAsia" w:ascii="宋体" w:hAnsi="宋体" w:eastAsia="宋体" w:cs="Calibri"/>
          <w:color w:val="000000"/>
          <w:szCs w:val="21"/>
          <w:highlight w:val="none"/>
        </w:rPr>
        <w:t>）商务条款中标“▲”的条款发生负偏离的或允许负偏离的条款数超过“供应商须知前附表”规定项数的或标明实质性的要求发生负偏离的；</w:t>
      </w:r>
    </w:p>
    <w:p w14:paraId="2165822F">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）未对竞标有效期作出响应或响应文件承诺的竞标有效期不满足竞争性磋商文件要求的；</w:t>
      </w:r>
    </w:p>
    <w:p w14:paraId="6164FC89">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）响应文件的实质性内容未使用中文表述、使用计量单位不符合竞争性磋商文件要求的；</w:t>
      </w:r>
    </w:p>
    <w:p w14:paraId="033EB659">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）响应文件中的文件资料因填写不齐全或者内容虚假或者出现其他情形而导致被磋商小组认定无效的；</w:t>
      </w:r>
    </w:p>
    <w:p w14:paraId="4595F409">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）响应文件含有采购人不能接受的附加条件的；</w:t>
      </w:r>
    </w:p>
    <w:p w14:paraId="3489F7C8">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）明显不满足竞争性磋商文件要求的技术规格、安全、质量标准，或者与竞争性磋商文件中标“▲”的技术需求或标明实质性的要求发生负偏离的；</w:t>
      </w:r>
    </w:p>
    <w:p w14:paraId="0EAEFC67">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）技术需求允许负偏离的条款数超过“供应商须知前附表”规定项数的；</w:t>
      </w:r>
    </w:p>
    <w:p w14:paraId="4F2511B1">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）虚假竞标，或者出现其他情形而导致被磋商小组认定无效的；</w:t>
      </w:r>
    </w:p>
    <w:p w14:paraId="1806F468">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）竞标技术方案不明确，竞争性磋商文件未允许</w:t>
      </w:r>
      <w:r>
        <w:rPr>
          <w:rFonts w:hint="eastAsia" w:ascii="宋体" w:hAnsi="宋体" w:eastAsia="宋体" w:cs="Calibri"/>
          <w:szCs w:val="21"/>
          <w:highlight w:val="none"/>
        </w:rPr>
        <w:t>但响应文件中</w:t>
      </w:r>
      <w:r>
        <w:rPr>
          <w:rFonts w:hint="eastAsia" w:ascii="宋体" w:hAnsi="宋体" w:eastAsia="宋体" w:cs="Calibri"/>
          <w:color w:val="000000"/>
          <w:szCs w:val="21"/>
          <w:highlight w:val="none"/>
        </w:rPr>
        <w:t>存在一个或一个以上备选（替代）竞标方案的；</w:t>
      </w:r>
    </w:p>
    <w:p w14:paraId="24D034D1">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）未响应竞争性磋商文件实质性要求的；</w:t>
      </w:r>
    </w:p>
    <w:p w14:paraId="174E366E">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）法律、法规和竞争性磋商文件规定的其他无效情形。</w:t>
      </w:r>
    </w:p>
    <w:p w14:paraId="615BB3A2">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（2）报价评审</w:t>
      </w:r>
    </w:p>
    <w:p w14:paraId="7A389608">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 响应文件未提供“供应商须知前附表”第1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.2条规定中的“竞标报价表”的；</w:t>
      </w:r>
    </w:p>
    <w:p w14:paraId="4B014A91">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2）未采用人民币报价或者未按照竞争性磋商文件标明的币种报价的；</w:t>
      </w:r>
    </w:p>
    <w:p w14:paraId="45CFADDF">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3）竞标报价（包含首次报价、最后报价）超过规定的采购预算金额或者最高限价的（如本项目公布了最高限价）； </w:t>
      </w:r>
    </w:p>
    <w:p w14:paraId="34C4CFBC">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）修正后的报价，供应商不确认的；或经供应商确认修正后的竞标报价（包含首次报价、最后报价）超过规定的采购预算金额或者最高限价的（如本项目公布了最高限价）； </w:t>
      </w:r>
    </w:p>
    <w:p w14:paraId="284E4E43">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14:paraId="277B3EC4">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.7通过符合性审查的合格供应商不足3家的，不得进入磋商环节，采购人应当重新开展采购活动。</w:t>
      </w:r>
    </w:p>
    <w:p w14:paraId="0B795B2B">
      <w:pPr>
        <w:spacing w:line="400" w:lineRule="exact"/>
        <w:ind w:firstLine="422" w:firstLineChars="200"/>
        <w:rPr>
          <w:rFonts w:ascii="宋体" w:hAnsi="宋体" w:eastAsia="宋体" w:cs="Calibri"/>
          <w:b/>
          <w:color w:val="000000"/>
          <w:kern w:val="0"/>
          <w:szCs w:val="21"/>
          <w:highlight w:val="none"/>
        </w:rPr>
      </w:pPr>
      <w:r>
        <w:rPr>
          <w:rFonts w:hint="eastAsia" w:ascii="宋体" w:hAnsi="宋体" w:eastAsia="宋体" w:cs="Calibri"/>
          <w:b/>
          <w:color w:val="000000"/>
          <w:kern w:val="0"/>
          <w:szCs w:val="21"/>
          <w:highlight w:val="none"/>
        </w:rPr>
        <w:t>（三）磋商</w:t>
      </w:r>
    </w:p>
    <w:p w14:paraId="738D85CB">
      <w:pPr>
        <w:spacing w:line="400" w:lineRule="exact"/>
        <w:ind w:firstLine="420" w:firstLineChars="200"/>
        <w:rPr>
          <w:rFonts w:ascii="宋体" w:hAnsi="宋体" w:eastAsia="宋体" w:cs="Calibri"/>
          <w:color w:val="000000"/>
          <w:kern w:val="0"/>
          <w:szCs w:val="21"/>
          <w:highlight w:val="none"/>
        </w:rPr>
      </w:pPr>
      <w:r>
        <w:rPr>
          <w:rFonts w:ascii="宋体" w:hAnsi="宋体" w:eastAsia="宋体" w:cs="Calibri"/>
          <w:color w:val="000000"/>
          <w:kern w:val="0"/>
          <w:szCs w:val="21"/>
          <w:highlight w:val="none"/>
        </w:rPr>
        <w:t>5</w:t>
      </w:r>
      <w:r>
        <w:rPr>
          <w:rFonts w:hint="eastAsia" w:ascii="宋体" w:hAnsi="宋体" w:eastAsia="宋体" w:cs="Calibri"/>
          <w:color w:val="000000"/>
          <w:kern w:val="0"/>
          <w:szCs w:val="21"/>
          <w:highlight w:val="none"/>
        </w:rPr>
        <w:t>.磋商小组按照“供应商须知前附表”</w:t>
      </w:r>
      <w:r>
        <w:rPr>
          <w:rFonts w:hint="eastAsia" w:ascii="宋体" w:hAnsi="宋体" w:eastAsia="宋体" w:cs="Calibri"/>
          <w:color w:val="000000"/>
          <w:szCs w:val="21"/>
          <w:highlight w:val="none"/>
        </w:rPr>
        <w:t xml:space="preserve"> </w:t>
      </w:r>
      <w:r>
        <w:rPr>
          <w:rFonts w:hint="eastAsia" w:ascii="宋体" w:hAnsi="宋体" w:eastAsia="宋体" w:cs="Calibri"/>
          <w:color w:val="000000"/>
          <w:kern w:val="0"/>
          <w:szCs w:val="21"/>
          <w:highlight w:val="none"/>
        </w:rPr>
        <w:t>确定的</w:t>
      </w:r>
      <w:r>
        <w:rPr>
          <w:rFonts w:hint="eastAsia" w:ascii="宋体" w:hAnsi="宋体" w:eastAsia="宋体" w:cs="Calibri"/>
          <w:color w:val="000000"/>
          <w:szCs w:val="21"/>
          <w:highlight w:val="none"/>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14:paraId="14173AEF">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0B336E43">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.对竞争性磋商文件作出的实质性变动是竞争性磋商文件的有效组成部分，由磋商小组及时以书面形式同时通知所有参加磋商的供应商。</w:t>
      </w:r>
    </w:p>
    <w:p w14:paraId="3B653985">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14:paraId="4C0F6D7B">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.磋商中，</w:t>
      </w:r>
      <w:r>
        <w:rPr>
          <w:rFonts w:hint="eastAsia" w:ascii="宋体" w:hAnsi="宋体" w:eastAsia="宋体" w:cs="Calibri"/>
          <w:color w:val="000000"/>
          <w:spacing w:val="-6"/>
          <w:szCs w:val="21"/>
          <w:highlight w:val="none"/>
        </w:rPr>
        <w:t>磋商的任何一方不得透露与磋商有关的其他供应商的技术资料、价格和其他信息。</w:t>
      </w:r>
    </w:p>
    <w:p w14:paraId="06E590DB">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.磋商过程中重新提交的响应文件，供应商可以在开启前补充、修改。</w:t>
      </w:r>
    </w:p>
    <w:p w14:paraId="7605837C">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．对磋商过程提交的响应文件进行有效性、完整性和响应程度审查，通过审查的合格供应商不足3家的，采购人应当重新开展采购活动。</w:t>
      </w:r>
    </w:p>
    <w:p w14:paraId="2C84C72E">
      <w:pPr>
        <w:widowControl/>
        <w:spacing w:line="400" w:lineRule="exact"/>
        <w:ind w:firstLine="422" w:firstLineChars="200"/>
        <w:jc w:val="left"/>
        <w:rPr>
          <w:rFonts w:ascii="宋体" w:hAnsi="宋体" w:eastAsia="宋体" w:cs="Calibri"/>
          <w:b/>
          <w:color w:val="000000"/>
          <w:szCs w:val="21"/>
          <w:highlight w:val="none"/>
        </w:rPr>
      </w:pPr>
      <w:r>
        <w:rPr>
          <w:rFonts w:hint="eastAsia" w:ascii="宋体" w:hAnsi="宋体" w:eastAsia="宋体" w:cs="Calibri"/>
          <w:b/>
          <w:color w:val="000000"/>
          <w:szCs w:val="21"/>
          <w:highlight w:val="none"/>
        </w:rPr>
        <w:t>（四）最后报价</w:t>
      </w:r>
    </w:p>
    <w:p w14:paraId="3D86C7C8">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.竞争性磋商文件能够详细列明采购标的的技术、服务要求的，磋商结束后，由磋商小组要求所有继续参加磋商的供应商在规定时间内密封提交最后报价，提交最后报价的供应商不得少于3家。</w:t>
      </w:r>
    </w:p>
    <w:p w14:paraId="2761115F">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 最后报价是供应商响应文件的有效组成部分。</w:t>
      </w:r>
    </w:p>
    <w:p w14:paraId="2359628F">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.已经提交响应文件的供应商，在提交最后报价之前，可以根据磋商情况退出磋商，退出磋商的供应商的响应文件按无效响应处理。</w:t>
      </w:r>
    </w:p>
    <w:p w14:paraId="63C7402A">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.供应商未在规定时间内提交最后报价的，视同退出磋商。</w:t>
      </w:r>
    </w:p>
    <w:p w14:paraId="334233A7">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.磋商小组收齐最后报价后统一开启，磋商小组对最后报价进行有效性、完整性和响应程度的审查。</w:t>
      </w:r>
    </w:p>
    <w:p w14:paraId="0A772509">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.响应文件最后报价出现前后不一致的，按照本章第</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.4条的规定修正。 </w:t>
      </w:r>
    </w:p>
    <w:p w14:paraId="1DBC13B0">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18</w:t>
      </w:r>
      <w:r>
        <w:rPr>
          <w:rFonts w:hint="eastAsia" w:ascii="宋体" w:hAnsi="宋体" w:eastAsia="宋体" w:cs="Calibri"/>
          <w:color w:val="000000"/>
          <w:szCs w:val="21"/>
          <w:highlight w:val="none"/>
        </w:rPr>
        <w:t>.修正后的报价出现下列情形的，按无效响应处理：</w:t>
      </w:r>
    </w:p>
    <w:p w14:paraId="7EBA8ECE">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（1）供应商不确认的；</w:t>
      </w:r>
    </w:p>
    <w:p w14:paraId="51975BBE">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（2）经供应商确认修正后的竞标报价（包含首次报价、最后报价）超过规定的采购预算金额或者最高限价的（如本项目公布了最高限价）；</w:t>
      </w:r>
    </w:p>
    <w:p w14:paraId="047F64E8">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19</w:t>
      </w:r>
      <w:r>
        <w:rPr>
          <w:rFonts w:hint="eastAsia" w:ascii="宋体" w:hAnsi="宋体" w:eastAsia="宋体" w:cs="Calibri"/>
          <w:color w:val="000000"/>
          <w:szCs w:val="21"/>
          <w:highlight w:val="none"/>
        </w:rPr>
        <w:t>.经供应商确认修正后的最后报价作为评审及签订合同的依据。</w:t>
      </w:r>
    </w:p>
    <w:p w14:paraId="1673E95E">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20</w:t>
      </w:r>
      <w:r>
        <w:rPr>
          <w:rFonts w:hint="eastAsia" w:ascii="宋体" w:hAnsi="宋体" w:eastAsia="宋体" w:cs="Calibri"/>
          <w:color w:val="000000"/>
          <w:szCs w:val="21"/>
          <w:highlight w:val="none"/>
        </w:rPr>
        <w:t>.最后报价结束后，磋商小组不得再与供应商进行任何形式的商谈。</w:t>
      </w:r>
    </w:p>
    <w:p w14:paraId="0EE83F44">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（五）比较与评价</w:t>
      </w:r>
    </w:p>
    <w:p w14:paraId="540EB447">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.评审方法：综合评分法。</w:t>
      </w:r>
    </w:p>
    <w:p w14:paraId="5883B072">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.经磋商确定最终采购需求和提交最后报价的供应商后，由磋商小组采用综合评分法对提交最后报价的供应商的响应文件和最后报价进行综合评分。</w:t>
      </w:r>
    </w:p>
    <w:p w14:paraId="36B17C1A">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.评审时，磋商小组各成员应当独立对每个有效响应的文件进行评价、打分，然后汇总每个供应商每项评分因素的得分。</w:t>
      </w:r>
    </w:p>
    <w:p w14:paraId="679BDCB1">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（1）磋商小组按照竞争性磋商文件中规定的评审标准计算各供应商的报价得分。项目评审过程中，不得去掉最后报价中的最高报价和最低报价。</w:t>
      </w:r>
    </w:p>
    <w:p w14:paraId="280349A9">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（2）各供应商的得分为磋商小组所有成员的有效评分的算术平均数。</w:t>
      </w:r>
    </w:p>
    <w:p w14:paraId="0C5D49BF">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.评审价为供应商的最后报价进行政策性扣除后的价格，评审价只是作为评审时使用。最终成交供应商的成交金额等于最后报价（如有修正，以确认修正后的最后报价为准）。</w:t>
      </w:r>
    </w:p>
    <w:p w14:paraId="414C8313">
      <w:pPr>
        <w:spacing w:line="400" w:lineRule="exact"/>
        <w:rPr>
          <w:rFonts w:ascii="黑体" w:hAnsi="黑体" w:eastAsia="黑体" w:cs="Times New Roman"/>
          <w:b/>
          <w:color w:val="000000"/>
          <w:szCs w:val="21"/>
          <w:highlight w:val="none"/>
        </w:rPr>
      </w:pPr>
      <w:r>
        <w:rPr>
          <w:rFonts w:hint="eastAsia" w:ascii="宋体" w:hAnsi="宋体" w:eastAsia="宋体" w:cs="Times New Roman"/>
          <w:b/>
          <w:color w:val="000000"/>
          <w:sz w:val="28"/>
          <w:szCs w:val="28"/>
          <w:highlight w:val="none"/>
        </w:rPr>
        <w:t xml:space="preserve"> </w:t>
      </w:r>
      <w:r>
        <w:rPr>
          <w:rFonts w:ascii="宋体" w:hAnsi="宋体" w:eastAsia="宋体" w:cs="Times New Roman"/>
          <w:b/>
          <w:color w:val="000000"/>
          <w:sz w:val="28"/>
          <w:szCs w:val="28"/>
          <w:highlight w:val="none"/>
        </w:rPr>
        <w:t xml:space="preserve">   </w:t>
      </w:r>
      <w:r>
        <w:rPr>
          <w:rFonts w:hint="eastAsia" w:ascii="宋体" w:hAnsi="宋体" w:eastAsia="宋体" w:cs="Times New Roman"/>
          <w:b/>
          <w:color w:val="000000"/>
          <w:szCs w:val="21"/>
          <w:highlight w:val="none"/>
        </w:rPr>
        <w:t>二、评审标准</w:t>
      </w:r>
    </w:p>
    <w:p w14:paraId="56F0C8F4">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评审依据：磋商小组将以磋商响应文件为评审依据，对供应商的报价、技术、商务等方面内容按百分制打分。（计分方法按四舍五入取至百分位）</w:t>
      </w:r>
    </w:p>
    <w:tbl>
      <w:tblPr>
        <w:tblStyle w:val="48"/>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9"/>
        <w:gridCol w:w="1105"/>
        <w:gridCol w:w="6628"/>
        <w:gridCol w:w="1497"/>
      </w:tblGrid>
      <w:tr w14:paraId="1A62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89" w:type="dxa"/>
            <w:vAlign w:val="center"/>
          </w:tcPr>
          <w:p w14:paraId="54F007C1">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序号</w:t>
            </w:r>
          </w:p>
        </w:tc>
        <w:tc>
          <w:tcPr>
            <w:tcW w:w="1105" w:type="dxa"/>
            <w:vAlign w:val="center"/>
          </w:tcPr>
          <w:p w14:paraId="27C6F74A">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w:t>
            </w:r>
          </w:p>
        </w:tc>
        <w:tc>
          <w:tcPr>
            <w:tcW w:w="6628" w:type="dxa"/>
            <w:vAlign w:val="center"/>
          </w:tcPr>
          <w:p w14:paraId="4536E80E">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评审因素具体内容</w:t>
            </w:r>
          </w:p>
        </w:tc>
        <w:tc>
          <w:tcPr>
            <w:tcW w:w="1497" w:type="dxa"/>
            <w:vAlign w:val="center"/>
          </w:tcPr>
          <w:p w14:paraId="78750A3C">
            <w:pPr>
              <w:widowControl/>
              <w:spacing w:line="400" w:lineRule="exact"/>
              <w:jc w:val="center"/>
              <w:rPr>
                <w:rFonts w:ascii="宋体" w:hAnsi="宋体" w:eastAsia="宋体" w:cs="Tahoma"/>
                <w:b/>
                <w:bCs/>
                <w:color w:val="000000"/>
                <w:kern w:val="0"/>
                <w:szCs w:val="21"/>
                <w:highlight w:val="none"/>
              </w:rPr>
            </w:pPr>
            <w:r>
              <w:rPr>
                <w:rFonts w:hint="eastAsia" w:ascii="宋体" w:hAnsi="宋体" w:cs="Tahoma"/>
                <w:b/>
                <w:bCs/>
                <w:color w:val="000000"/>
                <w:kern w:val="0"/>
                <w:szCs w:val="21"/>
                <w:highlight w:val="none"/>
                <w:lang w:val="en-US" w:eastAsia="zh-CN"/>
              </w:rPr>
              <w:t>评审依据</w:t>
            </w:r>
          </w:p>
        </w:tc>
      </w:tr>
      <w:tr w14:paraId="698B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89" w:type="dxa"/>
            <w:vAlign w:val="center"/>
          </w:tcPr>
          <w:p w14:paraId="4F92D347">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w:t>
            </w:r>
          </w:p>
        </w:tc>
        <w:tc>
          <w:tcPr>
            <w:tcW w:w="1105" w:type="dxa"/>
            <w:vAlign w:val="center"/>
          </w:tcPr>
          <w:p w14:paraId="06F6D386">
            <w:pPr>
              <w:jc w:val="center"/>
              <w:rPr>
                <w:rFonts w:hint="eastAsia" w:ascii="宋体" w:hAnsi="宋体" w:cs="宋体"/>
                <w:b/>
                <w:bCs/>
                <w:color w:val="auto"/>
                <w:spacing w:val="2"/>
                <w:sz w:val="20"/>
                <w:szCs w:val="20"/>
                <w:highlight w:val="none"/>
                <w:lang w:val="en-US" w:eastAsia="zh-CN"/>
              </w:rPr>
            </w:pPr>
            <w:r>
              <w:rPr>
                <w:rFonts w:hint="eastAsia" w:ascii="宋体" w:hAnsi="宋体" w:cs="宋体"/>
                <w:b/>
                <w:bCs/>
                <w:color w:val="auto"/>
                <w:spacing w:val="2"/>
                <w:sz w:val="20"/>
                <w:szCs w:val="20"/>
                <w:highlight w:val="none"/>
                <w:lang w:val="en-US" w:eastAsia="zh-CN"/>
              </w:rPr>
              <w:t>价格分</w:t>
            </w:r>
          </w:p>
          <w:p w14:paraId="7628DB35">
            <w:pPr>
              <w:jc w:val="center"/>
              <w:rPr>
                <w:rFonts w:hint="default" w:ascii="宋体" w:hAnsi="宋体" w:eastAsia="宋体" w:cs="Tahoma"/>
                <w:color w:val="000000"/>
                <w:kern w:val="0"/>
                <w:szCs w:val="21"/>
                <w:highlight w:val="none"/>
                <w:lang w:val="en-US" w:eastAsia="zh-CN"/>
              </w:rPr>
            </w:pPr>
            <w:r>
              <w:rPr>
                <w:rFonts w:hint="eastAsia" w:ascii="宋体" w:hAnsi="宋体" w:cs="宋体"/>
                <w:b/>
                <w:bCs/>
                <w:color w:val="auto"/>
                <w:spacing w:val="2"/>
                <w:sz w:val="20"/>
                <w:szCs w:val="20"/>
                <w:highlight w:val="none"/>
                <w:lang w:val="en-US" w:eastAsia="zh-CN"/>
              </w:rPr>
              <w:t>40分</w:t>
            </w:r>
          </w:p>
        </w:tc>
        <w:tc>
          <w:tcPr>
            <w:tcW w:w="6628" w:type="dxa"/>
          </w:tcPr>
          <w:p w14:paraId="2C6B5F44">
            <w:pPr>
              <w:jc w:val="both"/>
              <w:rPr>
                <w:rFonts w:hint="eastAsia"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1.评审价为供应商的最后报价进行政策性扣除后的价格，评审价只是作为评审时使用。最终成交供应商的成交金额等于最后报价（如有修正，以确认修正后的最后报价为准）。</w:t>
            </w:r>
          </w:p>
          <w:p w14:paraId="183DE29E">
            <w:pPr>
              <w:jc w:val="both"/>
              <w:rPr>
                <w:rFonts w:hint="eastAsia"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2.政府采购政策性扣除计算方法</w:t>
            </w:r>
          </w:p>
          <w:p w14:paraId="66BA4AFF">
            <w:pPr>
              <w:jc w:val="both"/>
              <w:rPr>
                <w:rFonts w:hint="eastAsia"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1）按照《政府采购促进中小企业发展暂行办法》（财库〔2011〕181号）的规定，供应商为小型和微型企业，并在其响应文件中提供《中小企业声明函》，且其所竞标产品全部为小型和微型企业产品的，对其最后报价给予6%的扣除。</w:t>
            </w:r>
          </w:p>
          <w:p w14:paraId="701930F9">
            <w:pPr>
              <w:jc w:val="both"/>
              <w:rPr>
                <w:rFonts w:hint="eastAsia"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7030FDDB">
            <w:pPr>
              <w:jc w:val="both"/>
              <w:rPr>
                <w:rFonts w:hint="eastAsia"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E08529C">
            <w:pPr>
              <w:jc w:val="both"/>
              <w:rPr>
                <w:rFonts w:hint="eastAsia"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（4）政策性扣除计算方法。</w:t>
            </w:r>
          </w:p>
          <w:p w14:paraId="2946BC80">
            <w:pPr>
              <w:jc w:val="both"/>
              <w:rPr>
                <w:rFonts w:hint="eastAsia"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供应商被评定为监狱企业或残疾人福利性单位或小型和微型企业且其所竞标全部产品为小型和微型企业产品的，该供应商的最后报价给予6%的扣除，扣除后的价格为评审价，即评审价=最后报价×（1-6%）；大中型企业和其他自然人、法人或者其他组织与小型、微型企业组成联合体竞标，且联合体协议中约定小型、微型企业的协议合同金额占到联合体协议合同总金额30%以上的，联合体最后报价给予2%的扣除，扣除后的价格为评审价，即评审价=最后报价×（1-2%）；除上述情况外，评审价=最后报价。</w:t>
            </w:r>
          </w:p>
          <w:p w14:paraId="2F3D2ED3">
            <w:pPr>
              <w:jc w:val="both"/>
              <w:rPr>
                <w:rFonts w:hint="eastAsia"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（5）除上述情况外，评审价＝最后报价。</w:t>
            </w:r>
          </w:p>
          <w:p w14:paraId="33229CC9">
            <w:pPr>
              <w:jc w:val="both"/>
              <w:rPr>
                <w:rFonts w:hint="eastAsia"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（6）以进入比较与评价环节的最低的评审价为基准价，基准价得分为 30分。</w:t>
            </w:r>
          </w:p>
          <w:p w14:paraId="69981E4F">
            <w:pPr>
              <w:jc w:val="both"/>
              <w:rPr>
                <w:rFonts w:hint="eastAsia"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（7）价格分计算公式：</w:t>
            </w:r>
          </w:p>
          <w:p w14:paraId="07C88307">
            <w:pPr>
              <w:jc w:val="both"/>
              <w:rPr>
                <w:rFonts w:hint="eastAsia" w:ascii="宋体" w:hAnsi="宋体" w:eastAsia="宋体" w:cs="Courier New"/>
                <w:bCs/>
                <w:color w:val="000000"/>
                <w:szCs w:val="21"/>
                <w:highlight w:val="none"/>
                <w:u w:val="single"/>
              </w:rPr>
            </w:pPr>
            <w:r>
              <w:rPr>
                <w:rFonts w:hint="eastAsia" w:ascii="宋体" w:hAnsi="宋体" w:cs="宋体"/>
                <w:color w:val="auto"/>
                <w:spacing w:val="2"/>
                <w:sz w:val="20"/>
                <w:szCs w:val="20"/>
                <w:highlight w:val="none"/>
                <w:lang w:val="en-US" w:eastAsia="zh-CN"/>
              </w:rPr>
              <w:t>报价得分=（基准价/最后报价）×40分</w:t>
            </w:r>
          </w:p>
        </w:tc>
        <w:tc>
          <w:tcPr>
            <w:tcW w:w="1497" w:type="dxa"/>
            <w:vAlign w:val="center"/>
          </w:tcPr>
          <w:p w14:paraId="2355655B">
            <w:pPr>
              <w:widowControl/>
              <w:spacing w:line="400" w:lineRule="exact"/>
              <w:jc w:val="center"/>
              <w:rPr>
                <w:rFonts w:ascii="宋体" w:hAnsi="宋体" w:eastAsia="宋体" w:cs="Tahoma"/>
                <w:color w:val="000000"/>
                <w:kern w:val="0"/>
                <w:szCs w:val="21"/>
                <w:highlight w:val="none"/>
              </w:rPr>
            </w:pPr>
            <w:r>
              <w:rPr>
                <w:rFonts w:hint="eastAsia" w:ascii="宋体" w:hAnsi="宋体" w:cs="宋体"/>
                <w:color w:val="auto"/>
                <w:spacing w:val="2"/>
                <w:sz w:val="20"/>
                <w:szCs w:val="20"/>
                <w:highlight w:val="none"/>
                <w:lang w:val="en-US" w:eastAsia="zh-CN"/>
              </w:rPr>
              <w:t>最终报价</w:t>
            </w:r>
          </w:p>
        </w:tc>
      </w:tr>
      <w:tr w14:paraId="5C10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89" w:type="dxa"/>
            <w:shd w:val="clear" w:color="auto" w:fill="D7D7D7" w:themeFill="background1" w:themeFillShade="D8"/>
            <w:vAlign w:val="center"/>
          </w:tcPr>
          <w:p w14:paraId="2A7E8C91">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imes New Roman"/>
                <w:bCs/>
                <w:color w:val="000000"/>
                <w:kern w:val="0"/>
                <w:szCs w:val="21"/>
                <w:highlight w:val="none"/>
              </w:rPr>
              <w:t>2</w:t>
            </w:r>
          </w:p>
        </w:tc>
        <w:tc>
          <w:tcPr>
            <w:tcW w:w="1105" w:type="dxa"/>
            <w:shd w:val="clear" w:color="auto" w:fill="D7D7D7" w:themeFill="background1" w:themeFillShade="D8"/>
            <w:vAlign w:val="center"/>
          </w:tcPr>
          <w:p w14:paraId="76270B8E">
            <w:pPr>
              <w:widowControl/>
              <w:spacing w:line="400" w:lineRule="exact"/>
              <w:jc w:val="center"/>
              <w:rPr>
                <w:rFonts w:hint="eastAsia" w:ascii="宋体" w:hAnsi="宋体" w:eastAsia="宋体" w:cs="Times New Roman"/>
                <w:b/>
                <w:bCs w:val="0"/>
                <w:color w:val="000000"/>
                <w:kern w:val="0"/>
                <w:szCs w:val="21"/>
                <w:highlight w:val="none"/>
              </w:rPr>
            </w:pPr>
            <w:r>
              <w:rPr>
                <w:rFonts w:hint="eastAsia" w:ascii="宋体" w:hAnsi="宋体" w:eastAsia="宋体" w:cs="Times New Roman"/>
                <w:b/>
                <w:bCs w:val="0"/>
                <w:color w:val="000000"/>
                <w:kern w:val="0"/>
                <w:szCs w:val="21"/>
                <w:highlight w:val="none"/>
              </w:rPr>
              <w:t>技术分</w:t>
            </w:r>
          </w:p>
          <w:p w14:paraId="21318F61">
            <w:pPr>
              <w:widowControl/>
              <w:spacing w:line="400" w:lineRule="exact"/>
              <w:jc w:val="center"/>
              <w:rPr>
                <w:rFonts w:hint="default" w:ascii="宋体" w:hAnsi="宋体" w:eastAsia="宋体" w:cs="Tahoma"/>
                <w:b/>
                <w:bCs w:val="0"/>
                <w:color w:val="000000"/>
                <w:kern w:val="0"/>
                <w:szCs w:val="21"/>
                <w:highlight w:val="none"/>
                <w:lang w:val="en-US" w:eastAsia="zh-CN"/>
              </w:rPr>
            </w:pPr>
            <w:r>
              <w:rPr>
                <w:rFonts w:hint="eastAsia" w:ascii="宋体" w:hAnsi="宋体" w:cs="Times New Roman"/>
                <w:b/>
                <w:bCs w:val="0"/>
                <w:color w:val="000000"/>
                <w:kern w:val="0"/>
                <w:szCs w:val="21"/>
                <w:highlight w:val="none"/>
                <w:lang w:val="en-US" w:eastAsia="zh-CN"/>
              </w:rPr>
              <w:t>40分</w:t>
            </w:r>
          </w:p>
        </w:tc>
        <w:tc>
          <w:tcPr>
            <w:tcW w:w="6628" w:type="dxa"/>
            <w:shd w:val="clear" w:color="auto" w:fill="D7D7D7" w:themeFill="background1" w:themeFillShade="D8"/>
          </w:tcPr>
          <w:p w14:paraId="35502E7C">
            <w:pPr>
              <w:widowControl/>
              <w:spacing w:line="400" w:lineRule="exact"/>
              <w:jc w:val="center"/>
              <w:rPr>
                <w:rFonts w:ascii="宋体" w:hAnsi="宋体" w:eastAsia="宋体" w:cs="Tahoma"/>
                <w:b/>
                <w:bCs w:val="0"/>
                <w:color w:val="000000"/>
                <w:kern w:val="0"/>
                <w:szCs w:val="21"/>
                <w:highlight w:val="none"/>
              </w:rPr>
            </w:pPr>
            <w:r>
              <w:rPr>
                <w:rFonts w:hint="eastAsia" w:ascii="宋体" w:hAnsi="宋体" w:eastAsia="宋体" w:cs="Tahoma"/>
                <w:b/>
                <w:bCs w:val="0"/>
                <w:color w:val="000000"/>
                <w:kern w:val="0"/>
                <w:szCs w:val="21"/>
                <w:highlight w:val="none"/>
              </w:rPr>
              <w:t>评审因素</w:t>
            </w:r>
          </w:p>
        </w:tc>
        <w:tc>
          <w:tcPr>
            <w:tcW w:w="1497" w:type="dxa"/>
            <w:shd w:val="clear" w:color="auto" w:fill="D7D7D7" w:themeFill="background1" w:themeFillShade="D8"/>
          </w:tcPr>
          <w:p w14:paraId="3A0AB88B">
            <w:pPr>
              <w:widowControl/>
              <w:spacing w:line="400" w:lineRule="exact"/>
              <w:jc w:val="center"/>
              <w:rPr>
                <w:rFonts w:hint="default" w:ascii="宋体" w:hAnsi="宋体" w:eastAsia="宋体" w:cs="Tahoma"/>
                <w:b/>
                <w:bCs w:val="0"/>
                <w:color w:val="000000"/>
                <w:kern w:val="0"/>
                <w:szCs w:val="21"/>
                <w:highlight w:val="none"/>
                <w:lang w:val="en-US" w:eastAsia="zh-CN"/>
              </w:rPr>
            </w:pPr>
            <w:r>
              <w:rPr>
                <w:rFonts w:hint="eastAsia" w:ascii="宋体" w:hAnsi="宋体" w:cs="Tahoma"/>
                <w:b/>
                <w:bCs w:val="0"/>
                <w:color w:val="000000"/>
                <w:kern w:val="0"/>
                <w:szCs w:val="21"/>
                <w:highlight w:val="none"/>
                <w:lang w:val="en-US" w:eastAsia="zh-CN"/>
              </w:rPr>
              <w:t>评审依据</w:t>
            </w:r>
          </w:p>
        </w:tc>
      </w:tr>
      <w:tr w14:paraId="5E30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589" w:type="dxa"/>
            <w:vAlign w:val="center"/>
          </w:tcPr>
          <w:p w14:paraId="55A5E70B">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hint="eastAsia" w:ascii="宋体" w:hAnsi="宋体" w:eastAsia="宋体" w:cs="Times New Roman"/>
                <w:bCs/>
                <w:color w:val="000000"/>
                <w:kern w:val="0"/>
                <w:szCs w:val="21"/>
                <w:highlight w:val="none"/>
              </w:rPr>
              <w:t>2</w:t>
            </w:r>
            <w:r>
              <w:rPr>
                <w:rFonts w:ascii="宋体" w:hAnsi="宋体" w:eastAsia="宋体" w:cs="Times New Roman"/>
                <w:bCs/>
                <w:color w:val="000000"/>
                <w:kern w:val="0"/>
                <w:szCs w:val="21"/>
                <w:highlight w:val="none"/>
              </w:rPr>
              <w:t>.1</w:t>
            </w:r>
          </w:p>
        </w:tc>
        <w:tc>
          <w:tcPr>
            <w:tcW w:w="1105" w:type="dxa"/>
            <w:vAlign w:val="center"/>
          </w:tcPr>
          <w:p w14:paraId="478D530B">
            <w:pPr>
              <w:jc w:val="center"/>
              <w:rPr>
                <w:rFonts w:hint="eastAsia"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技术服务响应分</w:t>
            </w:r>
          </w:p>
          <w:p w14:paraId="0DA33EB1">
            <w:pPr>
              <w:jc w:val="center"/>
              <w:rPr>
                <w:rFonts w:hint="default"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20分</w:t>
            </w:r>
          </w:p>
        </w:tc>
        <w:tc>
          <w:tcPr>
            <w:tcW w:w="6628" w:type="dxa"/>
            <w:vAlign w:val="center"/>
          </w:tcPr>
          <w:p w14:paraId="3B25B3D1">
            <w:pPr>
              <w:jc w:val="left"/>
              <w:rPr>
                <w:rFonts w:ascii="宋体" w:hAnsi="宋体" w:eastAsia="宋体" w:cs="Courier New"/>
                <w:bCs/>
                <w:color w:val="000000"/>
                <w:kern w:val="0"/>
                <w:szCs w:val="21"/>
                <w:highlight w:val="none"/>
              </w:rPr>
            </w:pPr>
            <w:r>
              <w:rPr>
                <w:rFonts w:hint="eastAsia" w:ascii="宋体" w:hAnsi="宋体" w:cs="宋体"/>
                <w:color w:val="auto"/>
                <w:spacing w:val="2"/>
                <w:sz w:val="20"/>
                <w:szCs w:val="20"/>
                <w:highlight w:val="none"/>
                <w:lang w:val="en-US" w:eastAsia="zh-CN"/>
              </w:rPr>
              <w:t xml:space="preserve">技术偏离表中“投标文件响应情况”应如实填写，并与“招标文件技术要求”一一对应，如简单填写“响应或完全响应”将视为实质性不满足，视为投标无效。满足招标文件重要技术指标、参数要求的得20分。技术指标、参数低于招标文件规定的相应技术指标、参数的，每有一项减3分， 最多减12分（五项即为无效标书）。 </w:t>
            </w:r>
          </w:p>
        </w:tc>
        <w:tc>
          <w:tcPr>
            <w:tcW w:w="1497" w:type="dxa"/>
            <w:vAlign w:val="center"/>
          </w:tcPr>
          <w:p w14:paraId="24F76314">
            <w:pPr>
              <w:jc w:val="center"/>
              <w:rPr>
                <w:rFonts w:hint="default" w:ascii="宋体" w:hAnsi="宋体" w:eastAsia="宋体" w:cs="Tahoma"/>
                <w:color w:val="000000"/>
                <w:kern w:val="0"/>
                <w:szCs w:val="21"/>
                <w:highlight w:val="none"/>
                <w:lang w:val="en-US" w:eastAsia="zh-CN"/>
              </w:rPr>
            </w:pPr>
            <w:r>
              <w:rPr>
                <w:rFonts w:hint="eastAsia" w:ascii="宋体" w:hAnsi="宋体" w:cs="宋体"/>
                <w:color w:val="auto"/>
                <w:spacing w:val="2"/>
                <w:sz w:val="20"/>
                <w:szCs w:val="20"/>
                <w:highlight w:val="none"/>
                <w:lang w:val="en-US" w:eastAsia="zh-CN"/>
              </w:rPr>
              <w:t>技术参数偏离表</w:t>
            </w:r>
          </w:p>
        </w:tc>
      </w:tr>
      <w:tr w14:paraId="413C7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589" w:type="dxa"/>
            <w:vAlign w:val="center"/>
          </w:tcPr>
          <w:p w14:paraId="68F34B0B">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hint="eastAsia" w:ascii="宋体" w:hAnsi="宋体" w:eastAsia="宋体" w:cs="Times New Roman"/>
                <w:bCs/>
                <w:color w:val="000000"/>
                <w:kern w:val="0"/>
                <w:szCs w:val="21"/>
                <w:highlight w:val="none"/>
              </w:rPr>
              <w:t>2</w:t>
            </w:r>
            <w:r>
              <w:rPr>
                <w:rFonts w:ascii="宋体" w:hAnsi="宋体" w:eastAsia="宋体" w:cs="Times New Roman"/>
                <w:bCs/>
                <w:color w:val="000000"/>
                <w:kern w:val="0"/>
                <w:szCs w:val="21"/>
                <w:highlight w:val="none"/>
              </w:rPr>
              <w:t>.2</w:t>
            </w:r>
          </w:p>
        </w:tc>
        <w:tc>
          <w:tcPr>
            <w:tcW w:w="1105" w:type="dxa"/>
            <w:vAlign w:val="center"/>
          </w:tcPr>
          <w:p w14:paraId="7297F55E">
            <w:pPr>
              <w:jc w:val="center"/>
              <w:rPr>
                <w:rFonts w:hint="eastAsia"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人员配置</w:t>
            </w:r>
          </w:p>
          <w:p w14:paraId="33A89050">
            <w:pPr>
              <w:jc w:val="center"/>
              <w:rPr>
                <w:rFonts w:hint="default"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5分</w:t>
            </w:r>
          </w:p>
        </w:tc>
        <w:tc>
          <w:tcPr>
            <w:tcW w:w="6628" w:type="dxa"/>
            <w:vAlign w:val="center"/>
          </w:tcPr>
          <w:p w14:paraId="7D1101F8">
            <w:pPr>
              <w:jc w:val="both"/>
              <w:rPr>
                <w:rFonts w:hint="default" w:ascii="宋体" w:hAnsi="宋体" w:eastAsia="宋体" w:cs="Courier New"/>
                <w:bCs/>
                <w:color w:val="000000"/>
                <w:kern w:val="0"/>
                <w:szCs w:val="21"/>
                <w:highlight w:val="none"/>
                <w:lang w:val="en-US"/>
              </w:rPr>
            </w:pPr>
            <w:r>
              <w:rPr>
                <w:rFonts w:hint="eastAsia" w:ascii="宋体" w:hAnsi="宋体" w:cs="宋体"/>
                <w:color w:val="auto"/>
                <w:spacing w:val="2"/>
                <w:sz w:val="20"/>
                <w:szCs w:val="20"/>
                <w:highlight w:val="none"/>
                <w:lang w:val="en-US" w:eastAsia="zh-CN"/>
              </w:rPr>
              <w:t>根据本项目情况制定人员管理方案，方案包括：①配备优质服务的团队人员 ；②投入的人员综合能力；③人员岗位职责；④保证按时按质按量完成本项目服务工作作业规程。内容无缺项得5分，每项不合理或与本项目无关扣1分。</w:t>
            </w:r>
          </w:p>
        </w:tc>
        <w:tc>
          <w:tcPr>
            <w:tcW w:w="1497" w:type="dxa"/>
            <w:vAlign w:val="center"/>
          </w:tcPr>
          <w:p w14:paraId="663FAD7C">
            <w:pPr>
              <w:jc w:val="center"/>
              <w:rPr>
                <w:rFonts w:hint="default" w:ascii="宋体" w:hAnsi="宋体" w:eastAsia="宋体" w:cs="Tahoma"/>
                <w:color w:val="000000"/>
                <w:kern w:val="0"/>
                <w:szCs w:val="21"/>
                <w:highlight w:val="none"/>
                <w:lang w:val="en-US" w:eastAsia="zh-CN"/>
              </w:rPr>
            </w:pPr>
            <w:r>
              <w:rPr>
                <w:rFonts w:hint="eastAsia" w:ascii="宋体" w:hAnsi="宋体" w:cs="宋体"/>
                <w:color w:val="auto"/>
                <w:spacing w:val="2"/>
                <w:sz w:val="20"/>
                <w:szCs w:val="20"/>
                <w:highlight w:val="none"/>
                <w:lang w:val="en-US" w:eastAsia="zh-CN"/>
              </w:rPr>
              <w:t>响应文件人员配置方案</w:t>
            </w:r>
          </w:p>
        </w:tc>
      </w:tr>
      <w:tr w14:paraId="70EEA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589" w:type="dxa"/>
            <w:vAlign w:val="center"/>
          </w:tcPr>
          <w:p w14:paraId="148C7519">
            <w:pPr>
              <w:adjustRightInd w:val="0"/>
              <w:spacing w:line="400" w:lineRule="exact"/>
              <w:ind w:left="-105" w:leftChars="-50" w:right="-105" w:rightChars="-50"/>
              <w:jc w:val="center"/>
              <w:textAlignment w:val="baseline"/>
              <w:rPr>
                <w:rFonts w:hint="eastAsia" w:ascii="宋体" w:hAnsi="宋体" w:eastAsia="宋体" w:cs="Times New Roman"/>
                <w:bCs/>
                <w:color w:val="000000"/>
                <w:kern w:val="0"/>
                <w:szCs w:val="21"/>
                <w:highlight w:val="none"/>
                <w:lang w:eastAsia="zh-CN"/>
              </w:rPr>
            </w:pPr>
            <w:r>
              <w:rPr>
                <w:rFonts w:ascii="宋体" w:hAnsi="宋体" w:eastAsia="宋体" w:cs="Times New Roman"/>
                <w:bCs/>
                <w:color w:val="000000"/>
                <w:kern w:val="0"/>
                <w:szCs w:val="21"/>
                <w:highlight w:val="none"/>
              </w:rPr>
              <w:t>2.</w:t>
            </w:r>
            <w:r>
              <w:rPr>
                <w:rFonts w:hint="eastAsia" w:ascii="宋体" w:hAnsi="宋体" w:cs="Times New Roman"/>
                <w:bCs/>
                <w:color w:val="000000"/>
                <w:kern w:val="0"/>
                <w:szCs w:val="21"/>
                <w:highlight w:val="none"/>
                <w:lang w:val="en-US" w:eastAsia="zh-CN"/>
              </w:rPr>
              <w:t>3</w:t>
            </w:r>
          </w:p>
        </w:tc>
        <w:tc>
          <w:tcPr>
            <w:tcW w:w="1105" w:type="dxa"/>
            <w:vAlign w:val="center"/>
          </w:tcPr>
          <w:p w14:paraId="0950B64B">
            <w:pPr>
              <w:jc w:val="center"/>
              <w:rPr>
                <w:rFonts w:hint="eastAsia"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售后服务</w:t>
            </w:r>
          </w:p>
          <w:p w14:paraId="4E20CAA4">
            <w:pPr>
              <w:jc w:val="center"/>
              <w:rPr>
                <w:rFonts w:hint="default"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15分</w:t>
            </w:r>
          </w:p>
          <w:p w14:paraId="056B8319">
            <w:pPr>
              <w:adjustRightInd w:val="0"/>
              <w:spacing w:line="380" w:lineRule="exact"/>
              <w:ind w:left="-105" w:leftChars="-50" w:right="-105" w:rightChars="-50"/>
              <w:jc w:val="both"/>
              <w:textAlignment w:val="baseline"/>
              <w:rPr>
                <w:rFonts w:hint="eastAsia" w:ascii="Calibri" w:hAnsi="Calibri" w:eastAsia="宋体" w:cs="Times New Roman"/>
                <w:bCs/>
                <w:szCs w:val="24"/>
                <w:highlight w:val="none"/>
                <w:lang w:eastAsia="zh-CN"/>
              </w:rPr>
            </w:pPr>
          </w:p>
        </w:tc>
        <w:tc>
          <w:tcPr>
            <w:tcW w:w="6628" w:type="dxa"/>
            <w:vAlign w:val="center"/>
          </w:tcPr>
          <w:p w14:paraId="5DA434AF">
            <w:pPr>
              <w:jc w:val="both"/>
              <w:rPr>
                <w:rFonts w:hint="eastAsia"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（1）数据库中心网站全年提供全天 24 小时网络服务，设置在线客服，对出现的问题和咨询进行不间断服务。</w:t>
            </w:r>
          </w:p>
          <w:p w14:paraId="5A0681CE">
            <w:pPr>
              <w:jc w:val="both"/>
              <w:rPr>
                <w:rFonts w:hint="eastAsia"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（2）故障反应时间不超过 6 小时，故障解决时间不超过 24 小时。对于出现重大问题需到现场解决的，保证指派专门技术人员于工作日24小时内到达事故现场，并解决出现的问题。</w:t>
            </w:r>
          </w:p>
          <w:p w14:paraId="058BC29B">
            <w:pPr>
              <w:spacing w:line="400" w:lineRule="exact"/>
              <w:rPr>
                <w:rFonts w:ascii="宋体" w:hAnsi="宋体" w:eastAsia="宋体" w:cs="仿宋"/>
                <w:szCs w:val="21"/>
                <w:highlight w:val="none"/>
              </w:rPr>
            </w:pPr>
            <w:r>
              <w:rPr>
                <w:rFonts w:ascii="宋体" w:hAnsi="宋体" w:eastAsia="宋体" w:cs="仿宋"/>
                <w:sz w:val="18"/>
                <w:szCs w:val="18"/>
                <w:highlight w:val="none"/>
              </w:rPr>
              <w:t>提供加盖企业公章的承诺书（格式自拟），不提供承诺或无企业公章不得分。</w:t>
            </w:r>
          </w:p>
        </w:tc>
        <w:tc>
          <w:tcPr>
            <w:tcW w:w="1497" w:type="dxa"/>
            <w:vAlign w:val="center"/>
          </w:tcPr>
          <w:p w14:paraId="0995056F">
            <w:pPr>
              <w:jc w:val="center"/>
              <w:rPr>
                <w:rFonts w:hint="default" w:ascii="宋体" w:hAnsi="宋体" w:eastAsia="宋体" w:cs="Tahoma"/>
                <w:color w:val="000000"/>
                <w:kern w:val="0"/>
                <w:szCs w:val="21"/>
                <w:highlight w:val="none"/>
                <w:lang w:val="en-US"/>
              </w:rPr>
            </w:pPr>
            <w:r>
              <w:rPr>
                <w:rFonts w:hint="eastAsia" w:ascii="宋体" w:hAnsi="宋体" w:cs="宋体"/>
                <w:color w:val="auto"/>
                <w:spacing w:val="2"/>
                <w:sz w:val="20"/>
                <w:szCs w:val="20"/>
                <w:highlight w:val="none"/>
                <w:lang w:val="en-US" w:eastAsia="zh-CN"/>
              </w:rPr>
              <w:t>服务承诺</w:t>
            </w:r>
          </w:p>
        </w:tc>
      </w:tr>
      <w:tr w14:paraId="596C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589" w:type="dxa"/>
            <w:shd w:val="clear" w:color="auto" w:fill="D7D7D7" w:themeFill="background1" w:themeFillShade="D8"/>
            <w:vAlign w:val="center"/>
          </w:tcPr>
          <w:p w14:paraId="0ABC61AF">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3</w:t>
            </w:r>
          </w:p>
        </w:tc>
        <w:tc>
          <w:tcPr>
            <w:tcW w:w="1105" w:type="dxa"/>
            <w:shd w:val="clear" w:color="auto" w:fill="D7D7D7" w:themeFill="background1" w:themeFillShade="D8"/>
            <w:vAlign w:val="center"/>
          </w:tcPr>
          <w:p w14:paraId="3BF0A614">
            <w:pPr>
              <w:widowControl/>
              <w:spacing w:line="400" w:lineRule="exact"/>
              <w:jc w:val="center"/>
              <w:rPr>
                <w:rFonts w:hint="eastAsia" w:ascii="宋体" w:hAnsi="宋体" w:eastAsia="宋体" w:cs="Courier New"/>
                <w:b/>
                <w:bCs/>
                <w:color w:val="000000"/>
                <w:szCs w:val="21"/>
                <w:highlight w:val="none"/>
              </w:rPr>
            </w:pPr>
            <w:r>
              <w:rPr>
                <w:rFonts w:hint="eastAsia" w:ascii="宋体" w:hAnsi="宋体" w:eastAsia="宋体" w:cs="Courier New"/>
                <w:b/>
                <w:bCs/>
                <w:color w:val="000000"/>
                <w:szCs w:val="21"/>
                <w:highlight w:val="none"/>
              </w:rPr>
              <w:t>商务分</w:t>
            </w:r>
          </w:p>
          <w:p w14:paraId="2DAAA88E">
            <w:pPr>
              <w:widowControl/>
              <w:spacing w:line="400" w:lineRule="exact"/>
              <w:jc w:val="center"/>
              <w:rPr>
                <w:rFonts w:hint="default" w:ascii="宋体" w:hAnsi="宋体" w:eastAsia="宋体" w:cs="Courier New"/>
                <w:b/>
                <w:bCs/>
                <w:color w:val="000000"/>
                <w:szCs w:val="21"/>
                <w:highlight w:val="none"/>
                <w:lang w:val="en-US" w:eastAsia="zh-CN"/>
              </w:rPr>
            </w:pPr>
            <w:r>
              <w:rPr>
                <w:rFonts w:hint="eastAsia" w:ascii="宋体" w:hAnsi="宋体" w:cs="Courier New"/>
                <w:b/>
                <w:bCs/>
                <w:color w:val="000000"/>
                <w:szCs w:val="21"/>
                <w:highlight w:val="none"/>
                <w:lang w:val="en-US" w:eastAsia="zh-CN"/>
              </w:rPr>
              <w:t>20分</w:t>
            </w:r>
          </w:p>
        </w:tc>
        <w:tc>
          <w:tcPr>
            <w:tcW w:w="6628" w:type="dxa"/>
            <w:shd w:val="clear" w:color="auto" w:fill="D7D7D7" w:themeFill="background1" w:themeFillShade="D8"/>
            <w:vAlign w:val="center"/>
          </w:tcPr>
          <w:p w14:paraId="2742C3EE">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w:t>
            </w:r>
          </w:p>
        </w:tc>
        <w:tc>
          <w:tcPr>
            <w:tcW w:w="1497" w:type="dxa"/>
            <w:shd w:val="clear" w:color="auto" w:fill="D7D7D7" w:themeFill="background1" w:themeFillShade="D8"/>
            <w:vAlign w:val="center"/>
          </w:tcPr>
          <w:p w14:paraId="183F3315">
            <w:pPr>
              <w:widowControl/>
              <w:spacing w:line="400" w:lineRule="exact"/>
              <w:jc w:val="center"/>
              <w:rPr>
                <w:rFonts w:hint="default" w:ascii="宋体" w:hAnsi="宋体" w:eastAsia="宋体" w:cs="Tahoma"/>
                <w:b/>
                <w:bCs/>
                <w:color w:val="000000"/>
                <w:kern w:val="0"/>
                <w:szCs w:val="21"/>
                <w:highlight w:val="none"/>
                <w:lang w:val="en-US" w:eastAsia="zh-CN"/>
              </w:rPr>
            </w:pPr>
            <w:r>
              <w:rPr>
                <w:rFonts w:hint="eastAsia" w:ascii="宋体" w:hAnsi="宋体" w:cs="Tahoma"/>
                <w:b/>
                <w:bCs w:val="0"/>
                <w:color w:val="000000"/>
                <w:kern w:val="0"/>
                <w:szCs w:val="21"/>
                <w:highlight w:val="none"/>
                <w:lang w:val="en-US" w:eastAsia="zh-CN"/>
              </w:rPr>
              <w:t>评审依据</w:t>
            </w:r>
          </w:p>
        </w:tc>
      </w:tr>
      <w:tr w14:paraId="0A8FD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589" w:type="dxa"/>
            <w:vAlign w:val="center"/>
          </w:tcPr>
          <w:p w14:paraId="5793F69C">
            <w:pPr>
              <w:widowControl/>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3</w:t>
            </w:r>
            <w:r>
              <w:rPr>
                <w:rFonts w:hint="eastAsia" w:ascii="宋体" w:hAnsi="宋体" w:eastAsia="宋体" w:cs="Tahoma"/>
                <w:color w:val="000000"/>
                <w:kern w:val="0"/>
                <w:szCs w:val="21"/>
                <w:highlight w:val="none"/>
                <w:lang w:val="en-US" w:eastAsia="zh-CN"/>
              </w:rPr>
              <w:t>.</w:t>
            </w:r>
            <w:r>
              <w:rPr>
                <w:rFonts w:ascii="宋体" w:hAnsi="宋体" w:eastAsia="宋体" w:cs="Tahoma"/>
                <w:color w:val="000000"/>
                <w:kern w:val="0"/>
                <w:szCs w:val="21"/>
                <w:highlight w:val="none"/>
              </w:rPr>
              <w:t>1</w:t>
            </w:r>
          </w:p>
        </w:tc>
        <w:tc>
          <w:tcPr>
            <w:tcW w:w="1105" w:type="dxa"/>
            <w:vAlign w:val="center"/>
          </w:tcPr>
          <w:p w14:paraId="03F3046E">
            <w:pPr>
              <w:jc w:val="center"/>
              <w:rPr>
                <w:rFonts w:hint="eastAsia"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业绩分</w:t>
            </w:r>
          </w:p>
          <w:p w14:paraId="42D1F2BB">
            <w:pPr>
              <w:jc w:val="center"/>
              <w:rPr>
                <w:rFonts w:hint="default" w:ascii="宋体" w:hAnsi="宋体" w:eastAsia="宋体" w:cs="Arial"/>
                <w:szCs w:val="21"/>
                <w:highlight w:val="none"/>
                <w:lang w:val="en-US" w:eastAsia="zh-CN"/>
              </w:rPr>
            </w:pPr>
            <w:r>
              <w:rPr>
                <w:rFonts w:hint="eastAsia" w:ascii="宋体" w:hAnsi="宋体" w:cs="宋体"/>
                <w:color w:val="auto"/>
                <w:spacing w:val="2"/>
                <w:sz w:val="20"/>
                <w:szCs w:val="20"/>
                <w:highlight w:val="none"/>
                <w:lang w:val="en-US" w:eastAsia="zh-CN"/>
              </w:rPr>
              <w:t>10分</w:t>
            </w:r>
          </w:p>
        </w:tc>
        <w:tc>
          <w:tcPr>
            <w:tcW w:w="6628" w:type="dxa"/>
            <w:vAlign w:val="center"/>
          </w:tcPr>
          <w:p w14:paraId="738A8F7E">
            <w:pPr>
              <w:jc w:val="both"/>
              <w:rPr>
                <w:rFonts w:hint="eastAsia" w:ascii="宋体" w:hAnsi="宋体" w:eastAsia="宋体" w:cs="Arial"/>
                <w:szCs w:val="21"/>
                <w:highlight w:val="none"/>
                <w:lang w:eastAsia="zh-CN"/>
              </w:rPr>
            </w:pPr>
            <w:r>
              <w:rPr>
                <w:rFonts w:hint="eastAsia" w:ascii="宋体" w:hAnsi="宋体" w:cs="宋体"/>
                <w:color w:val="auto"/>
                <w:spacing w:val="2"/>
                <w:sz w:val="20"/>
                <w:szCs w:val="20"/>
                <w:highlight w:val="none"/>
                <w:lang w:val="en-US" w:eastAsia="zh-CN"/>
              </w:rPr>
              <w:t>2022年1月1日以来投标人有完成类似业绩的，有1个得2分，最高得10分。（以响应文件中提供提供合同复印件及验收报告复印件作为证明材料，不提供不得分）。</w:t>
            </w:r>
          </w:p>
        </w:tc>
        <w:tc>
          <w:tcPr>
            <w:tcW w:w="1497" w:type="dxa"/>
            <w:vAlign w:val="center"/>
          </w:tcPr>
          <w:p w14:paraId="0F90BAA0">
            <w:pPr>
              <w:jc w:val="center"/>
              <w:rPr>
                <w:rFonts w:hint="default" w:ascii="宋体" w:hAnsi="宋体" w:eastAsia="宋体" w:cs="Tahoma"/>
                <w:color w:val="000000"/>
                <w:kern w:val="0"/>
                <w:szCs w:val="21"/>
                <w:highlight w:val="none"/>
                <w:lang w:val="en-US" w:eastAsia="zh-CN"/>
              </w:rPr>
            </w:pPr>
            <w:r>
              <w:rPr>
                <w:rFonts w:hint="eastAsia" w:ascii="宋体" w:hAnsi="宋体" w:cs="宋体"/>
                <w:color w:val="auto"/>
                <w:spacing w:val="2"/>
                <w:sz w:val="20"/>
                <w:szCs w:val="20"/>
                <w:highlight w:val="none"/>
                <w:lang w:val="en-US" w:eastAsia="zh-CN"/>
              </w:rPr>
              <w:t>相应文件业绩证明材料</w:t>
            </w:r>
          </w:p>
        </w:tc>
      </w:tr>
      <w:tr w14:paraId="10EE6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589" w:type="dxa"/>
            <w:vAlign w:val="center"/>
          </w:tcPr>
          <w:p w14:paraId="4EA36979">
            <w:pPr>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3.2</w:t>
            </w:r>
          </w:p>
        </w:tc>
        <w:tc>
          <w:tcPr>
            <w:tcW w:w="1105" w:type="dxa"/>
            <w:vAlign w:val="center"/>
          </w:tcPr>
          <w:p w14:paraId="05191CCB">
            <w:pPr>
              <w:jc w:val="center"/>
              <w:rPr>
                <w:rFonts w:hint="default" w:ascii="宋体" w:hAnsi="宋体" w:eastAsia="宋体" w:cs="Arial"/>
                <w:szCs w:val="21"/>
                <w:highlight w:val="none"/>
                <w:lang w:val="en-US" w:eastAsia="zh-CN"/>
              </w:rPr>
            </w:pPr>
            <w:r>
              <w:rPr>
                <w:rFonts w:hint="eastAsia" w:ascii="宋体" w:hAnsi="宋体" w:cs="宋体"/>
                <w:color w:val="auto"/>
                <w:spacing w:val="2"/>
                <w:sz w:val="20"/>
                <w:szCs w:val="20"/>
                <w:highlight w:val="none"/>
                <w:lang w:val="en-US" w:eastAsia="zh-CN"/>
              </w:rPr>
              <w:t>增值服务10分</w:t>
            </w:r>
          </w:p>
        </w:tc>
        <w:tc>
          <w:tcPr>
            <w:tcW w:w="6628" w:type="dxa"/>
            <w:vAlign w:val="center"/>
          </w:tcPr>
          <w:p w14:paraId="1AF9AFD4">
            <w:pPr>
              <w:jc w:val="both"/>
              <w:rPr>
                <w:rFonts w:ascii="宋体" w:hAnsi="宋体" w:eastAsia="宋体" w:cs="Arial"/>
                <w:szCs w:val="21"/>
                <w:highlight w:val="none"/>
              </w:rPr>
            </w:pPr>
            <w:r>
              <w:rPr>
                <w:rFonts w:hint="eastAsia" w:ascii="宋体" w:hAnsi="宋体" w:cs="宋体"/>
                <w:color w:val="auto"/>
                <w:spacing w:val="2"/>
                <w:sz w:val="20"/>
                <w:szCs w:val="20"/>
                <w:highlight w:val="none"/>
                <w:lang w:val="en-US" w:eastAsia="zh-CN"/>
              </w:rPr>
              <w:t>投标人承诺提供采购需求外的增值服务并获得评委会认可，每项得2分，满分10分。</w:t>
            </w:r>
          </w:p>
        </w:tc>
        <w:tc>
          <w:tcPr>
            <w:tcW w:w="1497" w:type="dxa"/>
            <w:vAlign w:val="center"/>
          </w:tcPr>
          <w:p w14:paraId="684B5D09">
            <w:pPr>
              <w:jc w:val="center"/>
              <w:rPr>
                <w:rFonts w:hint="default" w:ascii="宋体" w:hAnsi="宋体" w:eastAsia="宋体" w:cs="Tahoma"/>
                <w:color w:val="000000"/>
                <w:kern w:val="0"/>
                <w:szCs w:val="21"/>
                <w:highlight w:val="none"/>
                <w:lang w:val="en-US"/>
              </w:rPr>
            </w:pPr>
            <w:r>
              <w:rPr>
                <w:rFonts w:hint="eastAsia" w:ascii="宋体" w:hAnsi="宋体" w:cs="宋体"/>
                <w:color w:val="auto"/>
                <w:spacing w:val="2"/>
                <w:sz w:val="20"/>
                <w:szCs w:val="20"/>
                <w:highlight w:val="none"/>
                <w:lang w:val="en-US" w:eastAsia="zh-CN"/>
              </w:rPr>
              <w:t>增值服务承诺函</w:t>
            </w:r>
          </w:p>
        </w:tc>
      </w:tr>
      <w:tr w14:paraId="13C0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22" w:type="dxa"/>
            <w:gridSpan w:val="3"/>
          </w:tcPr>
          <w:p w14:paraId="379D3265">
            <w:pPr>
              <w:spacing w:line="400" w:lineRule="exact"/>
              <w:ind w:firstLine="420" w:firstLineChars="200"/>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总得分＝1＋2＋3</w:t>
            </w:r>
          </w:p>
        </w:tc>
        <w:tc>
          <w:tcPr>
            <w:tcW w:w="1497" w:type="dxa"/>
            <w:vAlign w:val="center"/>
          </w:tcPr>
          <w:p w14:paraId="5385F6ED">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100分</w:t>
            </w:r>
          </w:p>
        </w:tc>
      </w:tr>
    </w:tbl>
    <w:p w14:paraId="2A735C4F">
      <w:pPr>
        <w:ind w:firstLine="420" w:firstLineChars="200"/>
        <w:jc w:val="left"/>
        <w:rPr>
          <w:rFonts w:ascii="宋体" w:hAnsi="宋体" w:eastAsia="宋体"/>
          <w:szCs w:val="21"/>
          <w:highlight w:val="none"/>
        </w:rPr>
      </w:pPr>
    </w:p>
    <w:p w14:paraId="0C23AC85">
      <w:pPr>
        <w:spacing w:line="400" w:lineRule="exact"/>
        <w:ind w:firstLine="422" w:firstLineChars="200"/>
        <w:jc w:val="left"/>
        <w:rPr>
          <w:rFonts w:ascii="宋体" w:hAnsi="宋体" w:eastAsia="宋体"/>
          <w:b/>
          <w:bCs/>
          <w:szCs w:val="21"/>
          <w:highlight w:val="none"/>
        </w:rPr>
      </w:pPr>
      <w:r>
        <w:rPr>
          <w:rFonts w:hint="eastAsia" w:ascii="宋体" w:hAnsi="宋体" w:eastAsia="宋体"/>
          <w:b/>
          <w:bCs/>
          <w:szCs w:val="21"/>
          <w:highlight w:val="none"/>
        </w:rPr>
        <w:t>三、成交候选人推荐原则</w:t>
      </w:r>
    </w:p>
    <w:p w14:paraId="19F3F821">
      <w:pPr>
        <w:spacing w:line="400" w:lineRule="exact"/>
        <w:ind w:firstLine="420" w:firstLineChars="200"/>
        <w:jc w:val="left"/>
        <w:rPr>
          <w:rFonts w:ascii="宋体" w:hAnsi="宋体" w:eastAsia="宋体"/>
          <w:szCs w:val="21"/>
          <w:highlight w:val="none"/>
        </w:rPr>
      </w:pPr>
      <w:r>
        <w:rPr>
          <w:rFonts w:ascii="宋体" w:hAnsi="宋体" w:eastAsia="宋体"/>
          <w:szCs w:val="21"/>
          <w:highlight w:val="none"/>
        </w:rPr>
        <w:t>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14:paraId="38C61E21">
      <w:pPr>
        <w:keepNext w:val="0"/>
        <w:keepLines w:val="0"/>
        <w:pageBreakBefore w:val="0"/>
        <w:kinsoku/>
        <w:overflowPunct/>
        <w:topLinePunct w:val="0"/>
        <w:bidi w:val="0"/>
        <w:spacing w:line="360" w:lineRule="auto"/>
        <w:jc w:val="center"/>
        <w:textAlignment w:val="auto"/>
        <w:outlineLvl w:val="0"/>
        <w:rPr>
          <w:rFonts w:hint="eastAsia" w:ascii="宋体" w:hAnsi="宋体"/>
          <w:b/>
          <w:color w:val="auto"/>
          <w:sz w:val="32"/>
          <w:szCs w:val="32"/>
          <w:highlight w:val="none"/>
        </w:rPr>
      </w:pPr>
    </w:p>
    <w:p w14:paraId="2F0F803F">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21345144">
      <w:pPr>
        <w:pStyle w:val="2"/>
        <w:spacing w:line="240" w:lineRule="auto"/>
        <w:jc w:val="center"/>
        <w:rPr>
          <w:rFonts w:hint="eastAsia" w:ascii="黑体" w:hAnsi="黑体" w:eastAsia="黑体" w:cs="黑体"/>
          <w:b/>
          <w:bCs/>
          <w:sz w:val="32"/>
          <w:szCs w:val="32"/>
          <w:highlight w:val="none"/>
        </w:rPr>
      </w:pPr>
      <w:bookmarkStart w:id="20" w:name="_Toc157176843"/>
      <w:r>
        <w:rPr>
          <w:rFonts w:hint="eastAsia" w:ascii="黑体" w:hAnsi="黑体" w:eastAsia="黑体" w:cs="黑体"/>
          <w:sz w:val="32"/>
          <w:szCs w:val="32"/>
          <w:highlight w:val="none"/>
        </w:rPr>
        <w:t>第五章  拟签订的合同文本</w:t>
      </w:r>
      <w:bookmarkEnd w:id="20"/>
    </w:p>
    <w:p w14:paraId="0C6CED18">
      <w:pPr>
        <w:jc w:val="center"/>
        <w:rPr>
          <w:rFonts w:hint="eastAsia" w:ascii="宋体" w:hAnsi="宋体"/>
          <w:b/>
          <w:color w:val="auto"/>
          <w:sz w:val="32"/>
          <w:szCs w:val="32"/>
          <w:highlight w:val="none"/>
        </w:rPr>
      </w:pPr>
    </w:p>
    <w:p w14:paraId="06E82013">
      <w:pPr>
        <w:jc w:val="center"/>
        <w:rPr>
          <w:rFonts w:ascii="宋体" w:hAnsi="宋体"/>
          <w:b/>
          <w:color w:val="auto"/>
          <w:sz w:val="32"/>
          <w:szCs w:val="32"/>
          <w:highlight w:val="none"/>
        </w:rPr>
      </w:pPr>
      <w:r>
        <w:rPr>
          <w:rFonts w:hint="eastAsia" w:ascii="仿宋_GB2312" w:hAnsi="仿宋_GB2312" w:eastAsia="仿宋_GB2312" w:cs="仿宋_GB2312"/>
          <w:b w:val="0"/>
          <w:bCs/>
          <w:color w:val="auto"/>
          <w:sz w:val="32"/>
          <w:szCs w:val="32"/>
          <w:highlight w:val="none"/>
          <w:lang w:val="en-US" w:eastAsia="zh-CN"/>
        </w:rPr>
        <w:t>以招投标文件及相关流程附件材料为基础，按广西壮族自治区政府采购合同模板要素协商签订</w:t>
      </w:r>
      <w:r>
        <w:rPr>
          <w:rFonts w:hint="eastAsia" w:ascii="宋体" w:hAnsi="宋体"/>
          <w:b/>
          <w:color w:val="auto"/>
          <w:sz w:val="32"/>
          <w:szCs w:val="32"/>
          <w:highlight w:val="none"/>
        </w:rPr>
        <w:br w:type="page"/>
      </w:r>
      <w:r>
        <w:rPr>
          <w:rFonts w:hint="eastAsia" w:ascii="宋体" w:hAnsi="宋体"/>
          <w:b/>
          <w:color w:val="auto"/>
          <w:sz w:val="32"/>
          <w:szCs w:val="32"/>
          <w:highlight w:val="none"/>
        </w:rPr>
        <w:t>第</w:t>
      </w:r>
      <w:r>
        <w:rPr>
          <w:rFonts w:hint="eastAsia" w:ascii="宋体" w:hAnsi="宋体"/>
          <w:b/>
          <w:color w:val="auto"/>
          <w:sz w:val="32"/>
          <w:szCs w:val="32"/>
          <w:highlight w:val="none"/>
          <w:lang w:val="en-US" w:eastAsia="zh-CN"/>
        </w:rPr>
        <w:t>六</w:t>
      </w:r>
      <w:r>
        <w:rPr>
          <w:rFonts w:hint="eastAsia" w:ascii="宋体" w:hAnsi="宋体"/>
          <w:b/>
          <w:color w:val="auto"/>
          <w:sz w:val="32"/>
          <w:szCs w:val="32"/>
          <w:highlight w:val="none"/>
        </w:rPr>
        <w:t xml:space="preserve">章  </w:t>
      </w:r>
      <w:r>
        <w:rPr>
          <w:rFonts w:hint="eastAsia" w:ascii="宋体" w:hAnsi="宋体"/>
          <w:b/>
          <w:color w:val="auto"/>
          <w:sz w:val="32"/>
          <w:szCs w:val="32"/>
          <w:highlight w:val="none"/>
          <w:lang w:eastAsia="zh-CN"/>
        </w:rPr>
        <w:t>磋商响应文件</w:t>
      </w:r>
      <w:r>
        <w:rPr>
          <w:rFonts w:hint="eastAsia" w:ascii="宋体" w:hAnsi="宋体"/>
          <w:b/>
          <w:color w:val="auto"/>
          <w:sz w:val="32"/>
          <w:szCs w:val="32"/>
          <w:highlight w:val="none"/>
        </w:rPr>
        <w:t>格式</w:t>
      </w:r>
      <w:bookmarkEnd w:id="19"/>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725AD7F9">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项目名称： </w:t>
      </w:r>
    </w:p>
    <w:p w14:paraId="00903F2D">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项目编号： </w:t>
      </w:r>
    </w:p>
    <w:p w14:paraId="67F6F7D8">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供应商名称（盖章）：</w:t>
      </w:r>
    </w:p>
    <w:p w14:paraId="13D2AF28">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在×年×月×日×时×分前不得启封（开标时才能启封）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21" w:name="_Toc301424941"/>
      <w:bookmarkStart w:id="22" w:name="_Toc326217567"/>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rPr>
        <w:t>响应文件</w:t>
      </w:r>
      <w:r>
        <w:rPr>
          <w:rFonts w:hint="eastAsia" w:hAnsi="宋体"/>
          <w:b/>
          <w:color w:val="auto"/>
          <w:sz w:val="28"/>
          <w:szCs w:val="28"/>
          <w:highlight w:val="none"/>
        </w:rPr>
        <w:t>封面格式：</w:t>
      </w:r>
      <w:bookmarkEnd w:id="21"/>
      <w:bookmarkEnd w:id="22"/>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项目名称：</w:t>
      </w:r>
      <w:r>
        <w:rPr>
          <w:rFonts w:hint="eastAsia" w:hAnsi="宋体"/>
          <w:bCs/>
          <w:color w:val="auto"/>
          <w:sz w:val="28"/>
          <w:szCs w:val="28"/>
          <w:highlight w:val="none"/>
          <w:u w:val="single"/>
        </w:rPr>
        <w:t xml:space="preserve">                                        </w:t>
      </w:r>
      <w:r>
        <w:rPr>
          <w:rFonts w:hint="eastAsia" w:hAnsi="宋体"/>
          <w:bCs/>
          <w:color w:val="auto"/>
          <w:sz w:val="28"/>
          <w:szCs w:val="28"/>
          <w:highlight w:val="none"/>
        </w:rPr>
        <w:t xml:space="preserve"> </w:t>
      </w:r>
    </w:p>
    <w:p w14:paraId="2FBA66DA">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项目编号：</w:t>
      </w:r>
      <w:r>
        <w:rPr>
          <w:rFonts w:hint="eastAsia" w:hAnsi="宋体"/>
          <w:bCs/>
          <w:color w:val="auto"/>
          <w:sz w:val="28"/>
          <w:szCs w:val="28"/>
          <w:highlight w:val="none"/>
          <w:u w:val="single"/>
        </w:rPr>
        <w:t xml:space="preserve">                                        </w:t>
      </w:r>
      <w:r>
        <w:rPr>
          <w:rFonts w:hint="eastAsia" w:hAnsi="宋体"/>
          <w:bCs/>
          <w:color w:val="auto"/>
          <w:sz w:val="28"/>
          <w:szCs w:val="28"/>
          <w:highlight w:val="none"/>
        </w:rPr>
        <w:t xml:space="preserve">      </w:t>
      </w:r>
    </w:p>
    <w:p w14:paraId="6C29D2D0">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25"/>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both"/>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lang w:val="en-US" w:eastAsia="zh-CN"/>
        </w:rPr>
        <w:t>三、</w:t>
      </w:r>
      <w:r>
        <w:rPr>
          <w:rFonts w:hint="eastAsia" w:ascii="Times New Roman" w:hAnsi="宋体" w:eastAsia="宋体" w:cs="Times New Roman"/>
          <w:b/>
          <w:color w:val="auto"/>
          <w:sz w:val="28"/>
          <w:szCs w:val="28"/>
          <w:highlight w:val="none"/>
        </w:rPr>
        <w:t>目录</w:t>
      </w:r>
    </w:p>
    <w:p w14:paraId="41E76DE0">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一</w:t>
      </w:r>
      <w:r>
        <w:rPr>
          <w:rFonts w:hint="eastAsia" w:ascii="宋体" w:hAnsi="宋体"/>
          <w:color w:val="auto"/>
          <w:sz w:val="21"/>
          <w:szCs w:val="21"/>
          <w:highlight w:val="none"/>
          <w:lang w:eastAsia="zh-CN"/>
        </w:rPr>
        <w:t>）</w:t>
      </w:r>
      <w:r>
        <w:rPr>
          <w:rFonts w:hint="eastAsia" w:ascii="宋体" w:hAnsi="宋体"/>
          <w:color w:val="auto"/>
          <w:sz w:val="21"/>
          <w:szCs w:val="21"/>
          <w:highlight w:val="none"/>
        </w:rPr>
        <w:t>价格文件</w:t>
      </w:r>
    </w:p>
    <w:p w14:paraId="35F65B78">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报价表</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417EBE45">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lang w:eastAsia="zh-CN"/>
        </w:rPr>
        <w:t>）</w:t>
      </w:r>
      <w:r>
        <w:rPr>
          <w:rFonts w:hint="eastAsia" w:ascii="宋体" w:hAnsi="宋体"/>
          <w:color w:val="auto"/>
          <w:sz w:val="21"/>
          <w:szCs w:val="21"/>
          <w:highlight w:val="none"/>
        </w:rPr>
        <w:t xml:space="preserve">商务技术文件 </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w:t>
      </w:r>
      <w:r>
        <w:rPr>
          <w:rFonts w:hint="eastAsia" w:ascii="宋体" w:hAnsi="宋体" w:eastAsia="宋体" w:cs="Times New Roman"/>
          <w:b w:val="0"/>
          <w:bCs/>
          <w:color w:val="auto"/>
          <w:kern w:val="2"/>
          <w:sz w:val="21"/>
          <w:szCs w:val="21"/>
          <w:highlight w:val="none"/>
          <w:lang w:val="en-US" w:eastAsia="zh-CN" w:bidi="ar-SA"/>
        </w:rPr>
        <w:t>................</w:t>
      </w:r>
    </w:p>
    <w:p w14:paraId="7853EF67">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s="Times New Roman"/>
          <w:b w:val="0"/>
          <w:bCs/>
          <w:color w:val="auto"/>
          <w:kern w:val="2"/>
          <w:sz w:val="21"/>
          <w:szCs w:val="21"/>
          <w:highlight w:val="none"/>
          <w:lang w:val="en-US" w:eastAsia="zh-CN" w:bidi="ar-SA"/>
        </w:rPr>
        <w:t>（2）</w:t>
      </w:r>
      <w:r>
        <w:rPr>
          <w:rFonts w:hint="eastAsia" w:ascii="宋体" w:hAnsi="宋体"/>
          <w:color w:val="auto"/>
          <w:sz w:val="21"/>
          <w:szCs w:val="21"/>
          <w:highlight w:val="none"/>
        </w:rPr>
        <w:t>技术</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w:t>
      </w:r>
    </w:p>
    <w:p w14:paraId="4CD4765B">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rPr>
        <w:t>商务</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w:t>
      </w:r>
    </w:p>
    <w:p w14:paraId="7E00FBFA">
      <w:pPr>
        <w:keepNext w:val="0"/>
        <w:keepLines w:val="0"/>
        <w:pageBreakBefore w:val="0"/>
        <w:kinsoku/>
        <w:overflowPunct/>
        <w:topLinePunct w:val="0"/>
        <w:bidi w:val="0"/>
        <w:spacing w:line="360" w:lineRule="auto"/>
        <w:ind w:firstLine="420" w:firstLineChars="200"/>
        <w:textAlignment w:val="auto"/>
        <w:rPr>
          <w:rFonts w:hint="default" w:eastAsia="宋体"/>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lang w:eastAsia="zh-CN"/>
        </w:rPr>
        <w:t>）</w:t>
      </w:r>
      <w:r>
        <w:rPr>
          <w:rFonts w:hint="eastAsia" w:ascii="宋体" w:hAnsi="宋体"/>
          <w:color w:val="auto"/>
          <w:sz w:val="21"/>
          <w:szCs w:val="21"/>
          <w:highlight w:val="none"/>
        </w:rPr>
        <w:t>供应商有效的</w:t>
      </w:r>
      <w:r>
        <w:rPr>
          <w:rFonts w:hint="eastAsia" w:ascii="宋体" w:hAnsi="宋体"/>
          <w:color w:val="auto"/>
          <w:sz w:val="21"/>
          <w:szCs w:val="21"/>
          <w:highlight w:val="none"/>
          <w:lang w:val="en-US" w:eastAsia="zh-CN"/>
        </w:rPr>
        <w:t>资质及证明文件</w:t>
      </w:r>
      <w:r>
        <w:rPr>
          <w:rFonts w:hint="eastAsia" w:ascii="宋体" w:hAnsi="宋体"/>
          <w:b w:val="0"/>
          <w:bCs w:val="0"/>
          <w:color w:val="auto"/>
          <w:sz w:val="21"/>
          <w:szCs w:val="21"/>
          <w:highlight w:val="none"/>
          <w:lang w:val="en-US" w:eastAsia="zh-CN"/>
        </w:rPr>
        <w:t>（</w:t>
      </w:r>
      <w:r>
        <w:rPr>
          <w:rFonts w:hint="eastAsia" w:ascii="宋体" w:hAnsi="宋体"/>
          <w:color w:val="auto"/>
          <w:sz w:val="21"/>
          <w:szCs w:val="21"/>
          <w:highlight w:val="none"/>
          <w:lang w:val="en-US" w:eastAsia="zh-CN"/>
        </w:rPr>
        <w:t>2025年1月至10月内任意连续3个月的依法缴纳税收的凭据复印件、2025年1月至10月内任意连续3个月的依法缴纳社会保障资金的缴费凭证</w:t>
      </w:r>
      <w:r>
        <w:rPr>
          <w:rFonts w:hint="eastAsia" w:ascii="宋体" w:hAnsi="宋体"/>
          <w:b w:val="0"/>
          <w:bCs w:val="0"/>
          <w:color w:val="auto"/>
          <w:sz w:val="21"/>
          <w:szCs w:val="21"/>
          <w:highlight w:val="none"/>
          <w:lang w:val="en-US"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w:t>
      </w:r>
    </w:p>
    <w:p w14:paraId="5632DE87">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（5）数据库功能服务内容简介</w:t>
      </w:r>
      <w:r>
        <w:rPr>
          <w:rFonts w:hint="eastAsia" w:ascii="宋体" w:hAnsi="宋体"/>
          <w:b/>
          <w:bCs/>
          <w:color w:val="auto"/>
          <w:sz w:val="21"/>
          <w:szCs w:val="21"/>
          <w:highlight w:val="none"/>
          <w:lang w:val="en-US" w:eastAsia="zh-CN"/>
        </w:rPr>
        <w:t>（格式目录自拟）.</w:t>
      </w:r>
      <w:r>
        <w:rPr>
          <w:rFonts w:hint="eastAsia" w:ascii="宋体" w:hAnsi="宋体"/>
          <w:color w:val="auto"/>
          <w:sz w:val="21"/>
          <w:szCs w:val="21"/>
          <w:highlight w:val="none"/>
          <w:lang w:val="en-US" w:eastAsia="zh-CN"/>
        </w:rPr>
        <w:t>...............................</w:t>
      </w:r>
    </w:p>
    <w:p w14:paraId="7AC9E88A">
      <w:pPr>
        <w:keepNext w:val="0"/>
        <w:keepLines w:val="0"/>
        <w:pageBreakBefore w:val="0"/>
        <w:kinsoku/>
        <w:overflowPunct/>
        <w:topLinePunct w:val="0"/>
        <w:bidi w:val="0"/>
        <w:snapToGrid w:val="0"/>
        <w:spacing w:line="360" w:lineRule="auto"/>
        <w:ind w:firstLine="420" w:firstLineChars="200"/>
        <w:textAlignment w:val="auto"/>
        <w:outlineLvl w:val="1"/>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（6）售后服务方案，</w:t>
      </w:r>
      <w:r>
        <w:rPr>
          <w:rFonts w:hint="eastAsia" w:ascii="宋体" w:hAnsi="宋体"/>
          <w:color w:val="auto"/>
          <w:sz w:val="21"/>
          <w:szCs w:val="21"/>
          <w:highlight w:val="none"/>
        </w:rPr>
        <w:t>提供的切实可行的售后服务承诺</w:t>
      </w:r>
      <w:r>
        <w:rPr>
          <w:rFonts w:hint="eastAsia" w:ascii="宋体" w:hAnsi="宋体"/>
          <w:color w:val="auto"/>
          <w:sz w:val="21"/>
          <w:szCs w:val="21"/>
          <w:highlight w:val="none"/>
          <w:lang w:val="en-US" w:eastAsia="zh-CN"/>
        </w:rPr>
        <w:t>（格式目录自拟）（必须提供）........................................................................</w:t>
      </w:r>
    </w:p>
    <w:p w14:paraId="2C1AA963">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eastAsia="宋体"/>
          <w:color w:val="auto"/>
          <w:sz w:val="21"/>
          <w:szCs w:val="21"/>
          <w:highlight w:val="none"/>
          <w:lang w:val="en-US" w:eastAsia="zh-CN"/>
        </w:rPr>
        <w:t>（</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增值服务承诺</w:t>
      </w:r>
      <w:r>
        <w:rPr>
          <w:rFonts w:hint="eastAsia" w:ascii="宋体" w:hAnsi="宋体"/>
          <w:color w:val="auto"/>
          <w:sz w:val="21"/>
          <w:szCs w:val="21"/>
          <w:highlight w:val="none"/>
        </w:rPr>
        <w:t>（格式</w:t>
      </w:r>
      <w:r>
        <w:rPr>
          <w:rFonts w:hint="eastAsia" w:ascii="宋体" w:hAnsi="宋体"/>
          <w:color w:val="auto"/>
          <w:sz w:val="21"/>
          <w:szCs w:val="21"/>
          <w:highlight w:val="none"/>
          <w:lang w:val="en-US" w:eastAsia="zh-CN"/>
        </w:rPr>
        <w:t>目录</w:t>
      </w:r>
      <w:r>
        <w:rPr>
          <w:rFonts w:hint="eastAsia" w:ascii="宋体" w:hAnsi="宋体"/>
          <w:color w:val="auto"/>
          <w:sz w:val="21"/>
          <w:szCs w:val="21"/>
          <w:highlight w:val="none"/>
        </w:rPr>
        <w:t>自拟）</w:t>
      </w:r>
      <w:r>
        <w:rPr>
          <w:rFonts w:hint="eastAsia" w:ascii="宋体" w:hAnsi="宋体"/>
          <w:color w:val="auto"/>
          <w:sz w:val="21"/>
          <w:szCs w:val="21"/>
          <w:highlight w:val="none"/>
          <w:lang w:val="en-US" w:eastAsia="zh-CN"/>
        </w:rPr>
        <w:t>................................</w:t>
      </w:r>
    </w:p>
    <w:p w14:paraId="03412E71">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lang w:eastAsia="zh-CN"/>
        </w:rPr>
        <w:t>）</w:t>
      </w:r>
      <w:r>
        <w:rPr>
          <w:rFonts w:hint="eastAsia" w:ascii="宋体" w:hAnsi="宋体"/>
          <w:color w:val="auto"/>
          <w:sz w:val="21"/>
          <w:szCs w:val="21"/>
          <w:highlight w:val="none"/>
        </w:rPr>
        <w:t>项目实施人员一览表</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格式后附</w:t>
      </w:r>
      <w:r>
        <w:rPr>
          <w:rFonts w:hint="eastAsia" w:ascii="宋体" w:hAnsi="宋体"/>
          <w:b/>
          <w:bCs/>
          <w:color w:val="auto"/>
          <w:sz w:val="21"/>
          <w:szCs w:val="21"/>
          <w:highlight w:val="none"/>
          <w:lang w:eastAsia="zh-CN"/>
        </w:rPr>
        <w:t>）</w:t>
      </w:r>
      <w:r>
        <w:rPr>
          <w:rFonts w:hint="eastAsia" w:ascii="宋体" w:hAnsi="宋体"/>
          <w:color w:val="auto"/>
          <w:sz w:val="21"/>
          <w:szCs w:val="21"/>
          <w:highlight w:val="none"/>
          <w:lang w:val="en-US" w:eastAsia="zh-CN"/>
        </w:rPr>
        <w:t>.................................</w:t>
      </w:r>
    </w:p>
    <w:p w14:paraId="1A36EBBC">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（9）业绩材料，供应商认为可以证明其能力或业绩的材料.....................</w:t>
      </w:r>
    </w:p>
    <w:p w14:paraId="3786740C">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（10）供应商认为其他需要提供的证明其履约能力和满足“采购需求”的相关材料............</w:t>
      </w:r>
    </w:p>
    <w:p w14:paraId="07EF10E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00544F09">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6FBC7B67">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424DBAE5">
      <w:pPr>
        <w:keepNext w:val="0"/>
        <w:keepLines w:val="0"/>
        <w:pageBreakBefore w:val="0"/>
        <w:kinsoku/>
        <w:overflowPunct/>
        <w:topLinePunct w:val="0"/>
        <w:bidi w:val="0"/>
        <w:spacing w:line="360" w:lineRule="auto"/>
        <w:ind w:firstLine="422"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一</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价格文件</w:t>
      </w:r>
    </w:p>
    <w:p w14:paraId="2FE436D1">
      <w:pPr>
        <w:keepNext w:val="0"/>
        <w:keepLines w:val="0"/>
        <w:pageBreakBefore w:val="0"/>
        <w:kinsoku/>
        <w:overflowPunct/>
        <w:topLinePunct w:val="0"/>
        <w:bidi w:val="0"/>
        <w:spacing w:line="360" w:lineRule="auto"/>
        <w:ind w:firstLine="422"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报价表</w:t>
      </w:r>
      <w:r>
        <w:rPr>
          <w:rFonts w:hint="eastAsia" w:ascii="宋体" w:hAnsi="宋体"/>
          <w:b/>
          <w:bCs/>
          <w:color w:val="auto"/>
          <w:sz w:val="21"/>
          <w:szCs w:val="21"/>
          <w:highlight w:val="none"/>
          <w:lang w:val="en-US" w:eastAsia="zh-CN"/>
        </w:rPr>
        <w:t>格式：</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 xml:space="preserve">     </w:t>
      </w:r>
    </w:p>
    <w:tbl>
      <w:tblPr>
        <w:tblStyle w:val="48"/>
        <w:tblpPr w:leftFromText="180" w:rightFromText="180" w:vertAnchor="text" w:horzAnchor="page" w:tblpX="975" w:tblpY="398"/>
        <w:tblOverlap w:val="never"/>
        <w:tblW w:w="104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023"/>
        <w:gridCol w:w="717"/>
        <w:gridCol w:w="905"/>
        <w:gridCol w:w="1585"/>
        <w:gridCol w:w="1635"/>
        <w:gridCol w:w="2767"/>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2023"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717"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90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585"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635"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2767" w:type="dxa"/>
            <w:tcBorders>
              <w:top w:val="single" w:color="auto" w:sz="4" w:space="0"/>
              <w:left w:val="nil"/>
              <w:bottom w:val="single" w:color="auto" w:sz="4" w:space="0"/>
              <w:right w:val="single" w:color="auto" w:sz="4" w:space="0"/>
            </w:tcBorders>
            <w:vAlign w:val="center"/>
          </w:tcPr>
          <w:p w14:paraId="2D2961B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备注</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如生产厂家、品牌型号等</w:t>
            </w:r>
            <w:r>
              <w:rPr>
                <w:rFonts w:hint="eastAsia" w:ascii="仿宋_GB2312" w:hAnsi="Calibri" w:eastAsia="仿宋_GB2312" w:cs="Calibri"/>
                <w:color w:val="000000"/>
                <w:sz w:val="24"/>
                <w:szCs w:val="24"/>
                <w:highlight w:val="none"/>
                <w:lang w:eastAsia="zh-CN"/>
              </w:rPr>
              <w:t>）</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2023"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文献数据库服务</w:t>
            </w:r>
          </w:p>
        </w:tc>
        <w:tc>
          <w:tcPr>
            <w:tcW w:w="717"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2</w:t>
            </w:r>
          </w:p>
        </w:tc>
        <w:tc>
          <w:tcPr>
            <w:tcW w:w="90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年</w:t>
            </w:r>
          </w:p>
        </w:tc>
        <w:tc>
          <w:tcPr>
            <w:tcW w:w="1585"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635"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4"/>
                <w:szCs w:val="24"/>
                <w:highlight w:val="none"/>
              </w:rPr>
            </w:pPr>
          </w:p>
        </w:tc>
        <w:tc>
          <w:tcPr>
            <w:tcW w:w="2767"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4"/>
                <w:szCs w:val="24"/>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632" w:type="dxa"/>
            <w:gridSpan w:val="6"/>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否则其响应文件按无效响应处理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，否则其响应文件按无效响应处理。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2379DA1D">
      <w:pPr>
        <w:keepNext w:val="0"/>
        <w:keepLines w:val="0"/>
        <w:pageBreakBefore w:val="0"/>
        <w:kinsoku/>
        <w:overflowPunct/>
        <w:topLinePunct w:val="0"/>
        <w:bidi w:val="0"/>
        <w:spacing w:line="360" w:lineRule="auto"/>
        <w:ind w:firstLine="422"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二</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 xml:space="preserve">商务技术文件 </w:t>
      </w:r>
    </w:p>
    <w:p w14:paraId="4720A665">
      <w:pPr>
        <w:keepNext w:val="0"/>
        <w:keepLines w:val="0"/>
        <w:pageBreakBefore w:val="0"/>
        <w:kinsoku/>
        <w:overflowPunct/>
        <w:topLinePunct w:val="0"/>
        <w:bidi w:val="0"/>
        <w:spacing w:line="360" w:lineRule="auto"/>
        <w:textAlignment w:val="auto"/>
        <w:rPr>
          <w:rFonts w:hint="eastAsia" w:ascii="宋体" w:hAnsi="宋体" w:eastAsia="宋体"/>
          <w:b/>
          <w:color w:val="auto"/>
          <w:sz w:val="32"/>
          <w:szCs w:val="32"/>
          <w:highlight w:val="none"/>
          <w:lang w:val="en-US" w:eastAsia="zh-CN"/>
        </w:rPr>
      </w:pPr>
      <w:r>
        <w:rPr>
          <w:rFonts w:hint="eastAsia" w:ascii="宋体" w:hAnsi="宋体"/>
          <w:b/>
          <w:bCs/>
          <w:color w:val="auto"/>
          <w:sz w:val="21"/>
          <w:szCs w:val="21"/>
          <w:highlight w:val="none"/>
        </w:rPr>
        <w:t>（1）</w:t>
      </w:r>
      <w:r>
        <w:rPr>
          <w:rFonts w:hint="eastAsia" w:ascii="宋体" w:hAnsi="宋体" w:eastAsia="宋体" w:cs="Times New Roman"/>
          <w:b/>
          <w:bCs/>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w:t>
      </w:r>
      <w:r>
        <w:rPr>
          <w:rFonts w:hint="eastAsia" w:ascii="宋体" w:hAnsi="宋体" w:eastAsia="宋体" w:cs="Times New Roman"/>
          <w:b/>
          <w:bCs/>
          <w:color w:val="auto"/>
          <w:sz w:val="21"/>
          <w:szCs w:val="21"/>
          <w:highlight w:val="none"/>
          <w:lang w:eastAsia="zh-CN"/>
        </w:rPr>
        <w:t>：</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同志为我公司参加贵单位组织的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44C6C55C">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附：代理人工作单位：</w:t>
      </w:r>
      <w:r>
        <w:rPr>
          <w:rFonts w:hint="eastAsia" w:ascii="宋体" w:hAnsi="宋体"/>
          <w:color w:val="auto"/>
          <w:sz w:val="21"/>
          <w:szCs w:val="21"/>
          <w:highlight w:val="none"/>
          <w:u w:val="single"/>
        </w:rPr>
        <w:t xml:space="preserve">                           </w:t>
      </w:r>
    </w:p>
    <w:p w14:paraId="5B29BB5E">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职务：</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性别：</w:t>
      </w:r>
      <w:r>
        <w:rPr>
          <w:rFonts w:hint="eastAsia" w:ascii="宋体" w:hAnsi="宋体"/>
          <w:color w:val="auto"/>
          <w:sz w:val="21"/>
          <w:szCs w:val="21"/>
          <w:highlight w:val="none"/>
          <w:u w:val="single"/>
        </w:rPr>
        <w:t xml:space="preserve">          </w:t>
      </w:r>
    </w:p>
    <w:p w14:paraId="70450F5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olor w:val="auto"/>
          <w:sz w:val="21"/>
          <w:szCs w:val="21"/>
          <w:highlight w:val="none"/>
          <w:u w:val="single"/>
        </w:rPr>
      </w:pPr>
      <w:r>
        <w:rPr>
          <w:rFonts w:hint="eastAsia" w:ascii="宋体" w:hAnsi="宋体"/>
          <w:color w:val="auto"/>
          <w:sz w:val="21"/>
          <w:szCs w:val="21"/>
          <w:highlight w:val="none"/>
        </w:rPr>
        <w:t>身份证号码：</w:t>
      </w:r>
      <w:r>
        <w:rPr>
          <w:rFonts w:hint="eastAsia" w:ascii="宋体" w:hAnsi="宋体"/>
          <w:color w:val="auto"/>
          <w:sz w:val="21"/>
          <w:szCs w:val="21"/>
          <w:highlight w:val="none"/>
          <w:u w:val="single"/>
        </w:rPr>
        <w:t xml:space="preserve">                               </w:t>
      </w: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50FEC823">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6438FD06">
      <w:pPr>
        <w:keepNext w:val="0"/>
        <w:keepLines w:val="0"/>
        <w:pageBreakBefore w:val="0"/>
        <w:kinsoku/>
        <w:overflowPunct/>
        <w:topLinePunct w:val="0"/>
        <w:bidi w:val="0"/>
        <w:spacing w:line="360" w:lineRule="auto"/>
        <w:ind w:firstLine="422" w:firstLineChars="200"/>
        <w:textAlignment w:val="auto"/>
        <w:rPr>
          <w:rFonts w:ascii="宋体" w:hAnsi="宋体"/>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2</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技术</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及偏离情况说明表</w:t>
      </w:r>
      <w:r>
        <w:rPr>
          <w:rFonts w:hint="eastAsia" w:ascii="宋体" w:hAnsi="宋体"/>
          <w:b/>
          <w:bCs/>
          <w:color w:val="auto"/>
          <w:sz w:val="21"/>
          <w:szCs w:val="21"/>
          <w:highlight w:val="none"/>
          <w:lang w:val="en-US" w:eastAsia="zh-CN"/>
        </w:rPr>
        <w:t>格式：</w:t>
      </w:r>
    </w:p>
    <w:p w14:paraId="15CD5A65">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p>
    <w:p w14:paraId="7BE9D971">
      <w:pPr>
        <w:keepNext w:val="0"/>
        <w:keepLines w:val="0"/>
        <w:pageBreakBefore w:val="0"/>
        <w:kinsoku/>
        <w:overflowPunct/>
        <w:topLinePunct w:val="0"/>
        <w:bidi w:val="0"/>
        <w:spacing w:line="360" w:lineRule="auto"/>
        <w:jc w:val="center"/>
        <w:textAlignment w:val="auto"/>
        <w:rPr>
          <w:rFonts w:hint="eastAsia" w:ascii="宋体" w:hAnsi="宋体"/>
          <w:b/>
          <w:color w:val="auto"/>
          <w:sz w:val="28"/>
          <w:szCs w:val="28"/>
          <w:highlight w:val="none"/>
        </w:rPr>
      </w:pPr>
      <w:r>
        <w:rPr>
          <w:rFonts w:hint="eastAsia" w:ascii="宋体" w:hAnsi="宋体"/>
          <w:b/>
          <w:color w:val="auto"/>
          <w:sz w:val="28"/>
          <w:szCs w:val="28"/>
          <w:highlight w:val="none"/>
        </w:rPr>
        <w:t>技术</w:t>
      </w:r>
      <w:r>
        <w:rPr>
          <w:rFonts w:hint="eastAsia" w:ascii="宋体" w:hAnsi="宋体"/>
          <w:b/>
          <w:color w:val="auto"/>
          <w:sz w:val="28"/>
          <w:szCs w:val="28"/>
          <w:highlight w:val="none"/>
          <w:lang w:val="en-US" w:eastAsia="zh-CN"/>
        </w:rPr>
        <w:t>参数</w:t>
      </w:r>
      <w:r>
        <w:rPr>
          <w:rFonts w:hint="eastAsia" w:ascii="宋体" w:hAnsi="宋体"/>
          <w:b/>
          <w:color w:val="auto"/>
          <w:sz w:val="28"/>
          <w:szCs w:val="28"/>
          <w:highlight w:val="none"/>
        </w:rPr>
        <w:t>响应及偏离情况说明表</w:t>
      </w:r>
    </w:p>
    <w:p w14:paraId="026701F4">
      <w:pPr>
        <w:pStyle w:val="58"/>
        <w:rPr>
          <w:highlight w:val="none"/>
        </w:rPr>
      </w:pPr>
    </w:p>
    <w:tbl>
      <w:tblPr>
        <w:tblStyle w:val="48"/>
        <w:tblW w:w="960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7727A6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565CE2B0">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23" w:name="_Toc173211900"/>
            <w:bookmarkStart w:id="24" w:name="_Toc254970588"/>
            <w:bookmarkStart w:id="25" w:name="_Toc173066401"/>
            <w:bookmarkStart w:id="26" w:name="_Toc8470"/>
            <w:bookmarkStart w:id="27" w:name="_Toc254970729"/>
            <w:bookmarkStart w:id="28" w:name="_Toc28243"/>
            <w:r>
              <w:rPr>
                <w:rFonts w:hint="eastAsia" w:ascii="宋体" w:hAnsi="宋体"/>
                <w:color w:val="auto"/>
                <w:sz w:val="21"/>
                <w:szCs w:val="21"/>
                <w:highlight w:val="none"/>
              </w:rPr>
              <w:t>序号</w:t>
            </w:r>
            <w:bookmarkEnd w:id="23"/>
            <w:bookmarkEnd w:id="24"/>
            <w:bookmarkEnd w:id="25"/>
            <w:bookmarkEnd w:id="26"/>
            <w:bookmarkEnd w:id="27"/>
            <w:bookmarkEnd w:id="28"/>
          </w:p>
        </w:tc>
        <w:tc>
          <w:tcPr>
            <w:tcW w:w="3483" w:type="dxa"/>
            <w:vAlign w:val="center"/>
          </w:tcPr>
          <w:p w14:paraId="22F670D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29" w:name="_Toc254970589"/>
            <w:bookmarkStart w:id="30" w:name="_Toc5682"/>
            <w:bookmarkStart w:id="31" w:name="_Toc23681"/>
            <w:bookmarkStart w:id="32" w:name="_Toc254970730"/>
            <w:bookmarkStart w:id="33" w:name="_Toc173066402"/>
            <w:bookmarkStart w:id="34" w:name="_Toc173211901"/>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文件中的技术需求</w:t>
            </w:r>
            <w:bookmarkEnd w:id="29"/>
            <w:bookmarkEnd w:id="30"/>
            <w:bookmarkEnd w:id="31"/>
            <w:bookmarkEnd w:id="32"/>
            <w:bookmarkEnd w:id="33"/>
            <w:bookmarkEnd w:id="34"/>
          </w:p>
        </w:tc>
        <w:tc>
          <w:tcPr>
            <w:tcW w:w="2514" w:type="dxa"/>
            <w:vAlign w:val="center"/>
          </w:tcPr>
          <w:p w14:paraId="76FC9AF7">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35" w:name="_Toc173211902"/>
            <w:bookmarkStart w:id="36" w:name="_Toc254970590"/>
            <w:bookmarkStart w:id="37" w:name="_Toc173066403"/>
            <w:bookmarkStart w:id="38" w:name="_Toc32072"/>
            <w:bookmarkStart w:id="39" w:name="_Toc254970731"/>
            <w:bookmarkStart w:id="40" w:name="_Toc4276"/>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响应文件具体响应</w:t>
            </w:r>
            <w:bookmarkEnd w:id="35"/>
            <w:bookmarkEnd w:id="36"/>
            <w:bookmarkEnd w:id="37"/>
            <w:bookmarkEnd w:id="38"/>
            <w:bookmarkEnd w:id="39"/>
            <w:bookmarkEnd w:id="40"/>
          </w:p>
        </w:tc>
        <w:tc>
          <w:tcPr>
            <w:tcW w:w="1571" w:type="dxa"/>
            <w:vAlign w:val="center"/>
          </w:tcPr>
          <w:p w14:paraId="3078B5B0">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41" w:name="_Toc254970732"/>
            <w:bookmarkStart w:id="42" w:name="_Toc23149"/>
            <w:bookmarkStart w:id="43" w:name="_Toc173211903"/>
            <w:bookmarkStart w:id="44" w:name="_Toc31581"/>
            <w:bookmarkStart w:id="45" w:name="_Toc173066404"/>
            <w:bookmarkStart w:id="46" w:name="_Toc254970591"/>
            <w:r>
              <w:rPr>
                <w:rFonts w:hint="eastAsia" w:ascii="宋体" w:hAnsi="宋体"/>
                <w:color w:val="auto"/>
                <w:sz w:val="21"/>
                <w:szCs w:val="21"/>
                <w:highlight w:val="none"/>
              </w:rPr>
              <w:t>响应/偏离</w:t>
            </w:r>
            <w:bookmarkEnd w:id="41"/>
            <w:bookmarkEnd w:id="42"/>
            <w:bookmarkEnd w:id="43"/>
            <w:bookmarkEnd w:id="44"/>
            <w:bookmarkEnd w:id="45"/>
            <w:bookmarkEnd w:id="46"/>
          </w:p>
        </w:tc>
        <w:tc>
          <w:tcPr>
            <w:tcW w:w="1396" w:type="dxa"/>
            <w:vAlign w:val="center"/>
          </w:tcPr>
          <w:p w14:paraId="2B84D44D">
            <w:pPr>
              <w:keepNext w:val="0"/>
              <w:keepLines w:val="0"/>
              <w:pageBreakBefore w:val="0"/>
              <w:kinsoku/>
              <w:overflowPunct/>
              <w:topLinePunct w:val="0"/>
              <w:bidi w:val="0"/>
              <w:adjustRightInd w:val="0"/>
              <w:snapToGrid w:val="0"/>
              <w:spacing w:line="360" w:lineRule="auto"/>
              <w:jc w:val="center"/>
              <w:textAlignment w:val="auto"/>
              <w:outlineLvl w:val="0"/>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佐证材料及页码</w:t>
            </w:r>
          </w:p>
        </w:tc>
      </w:tr>
      <w:tr w14:paraId="497A5F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6CFE544E">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47" w:name="_Toc9218"/>
            <w:bookmarkStart w:id="48" w:name="_Toc254970593"/>
            <w:bookmarkStart w:id="49" w:name="_Toc15488"/>
            <w:bookmarkStart w:id="50" w:name="_Toc173211905"/>
            <w:bookmarkStart w:id="51" w:name="_Toc173066406"/>
            <w:bookmarkStart w:id="52" w:name="_Toc254970734"/>
            <w:r>
              <w:rPr>
                <w:rFonts w:hint="eastAsia" w:ascii="宋体" w:hAnsi="宋体"/>
                <w:color w:val="auto"/>
                <w:sz w:val="21"/>
                <w:szCs w:val="21"/>
                <w:highlight w:val="none"/>
              </w:rPr>
              <w:t>1</w:t>
            </w:r>
            <w:bookmarkEnd w:id="47"/>
            <w:bookmarkEnd w:id="48"/>
            <w:bookmarkEnd w:id="49"/>
            <w:bookmarkEnd w:id="50"/>
            <w:bookmarkEnd w:id="51"/>
            <w:bookmarkEnd w:id="52"/>
          </w:p>
        </w:tc>
        <w:tc>
          <w:tcPr>
            <w:tcW w:w="3483" w:type="dxa"/>
            <w:vAlign w:val="center"/>
          </w:tcPr>
          <w:p w14:paraId="7846479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68616BC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6A7C987C">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2EAC0C9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6B4B3A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3D902DA3">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53" w:name="_Toc173066407"/>
            <w:bookmarkStart w:id="54" w:name="_Toc173211906"/>
            <w:bookmarkStart w:id="55" w:name="_Toc254970735"/>
            <w:bookmarkStart w:id="56" w:name="_Toc254970594"/>
            <w:bookmarkStart w:id="57" w:name="_Toc22236"/>
            <w:bookmarkStart w:id="58" w:name="_Toc21061"/>
            <w:r>
              <w:rPr>
                <w:rFonts w:hint="eastAsia" w:ascii="宋体" w:hAnsi="宋体"/>
                <w:color w:val="auto"/>
                <w:sz w:val="21"/>
                <w:szCs w:val="21"/>
                <w:highlight w:val="none"/>
              </w:rPr>
              <w:t>2</w:t>
            </w:r>
            <w:bookmarkEnd w:id="53"/>
            <w:bookmarkEnd w:id="54"/>
            <w:bookmarkEnd w:id="55"/>
            <w:bookmarkEnd w:id="56"/>
            <w:bookmarkEnd w:id="57"/>
            <w:bookmarkEnd w:id="58"/>
          </w:p>
        </w:tc>
        <w:tc>
          <w:tcPr>
            <w:tcW w:w="3483" w:type="dxa"/>
            <w:vAlign w:val="center"/>
          </w:tcPr>
          <w:p w14:paraId="738E409E">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4E4B9AD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7CEC5FF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4B1B23F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4A24AF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27D0E105">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59" w:name="_Toc12085"/>
            <w:bookmarkStart w:id="60" w:name="_Toc173066408"/>
            <w:bookmarkStart w:id="61" w:name="_Toc254970736"/>
            <w:bookmarkStart w:id="62" w:name="_Toc254970595"/>
            <w:bookmarkStart w:id="63" w:name="_Toc173211907"/>
            <w:bookmarkStart w:id="64" w:name="_Toc19181"/>
            <w:r>
              <w:rPr>
                <w:rFonts w:hint="eastAsia" w:ascii="宋体" w:hAnsi="宋体"/>
                <w:color w:val="auto"/>
                <w:sz w:val="21"/>
                <w:szCs w:val="21"/>
                <w:highlight w:val="none"/>
              </w:rPr>
              <w:t>3</w:t>
            </w:r>
            <w:bookmarkEnd w:id="59"/>
            <w:bookmarkEnd w:id="60"/>
            <w:bookmarkEnd w:id="61"/>
            <w:bookmarkEnd w:id="62"/>
            <w:bookmarkEnd w:id="63"/>
            <w:bookmarkEnd w:id="64"/>
          </w:p>
        </w:tc>
        <w:tc>
          <w:tcPr>
            <w:tcW w:w="3483" w:type="dxa"/>
            <w:vAlign w:val="center"/>
          </w:tcPr>
          <w:p w14:paraId="7ADC43AE">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2CA5B77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71C3DEE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1ED52BB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130E66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32E946A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5" w:name="_Toc17386"/>
            <w:bookmarkStart w:id="66" w:name="_Toc31037"/>
            <w:r>
              <w:rPr>
                <w:rFonts w:hint="eastAsia" w:ascii="宋体" w:hAnsi="宋体"/>
                <w:color w:val="auto"/>
                <w:sz w:val="21"/>
                <w:szCs w:val="21"/>
                <w:highlight w:val="none"/>
              </w:rPr>
              <w:t>4</w:t>
            </w:r>
            <w:bookmarkEnd w:id="65"/>
            <w:bookmarkEnd w:id="66"/>
          </w:p>
        </w:tc>
        <w:tc>
          <w:tcPr>
            <w:tcW w:w="3483" w:type="dxa"/>
            <w:vAlign w:val="center"/>
          </w:tcPr>
          <w:p w14:paraId="4DE1927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7853647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49992333">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002406F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6E3F29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605AFDC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7" w:name="_Toc6957"/>
            <w:bookmarkStart w:id="68" w:name="_Toc4853"/>
            <w:r>
              <w:rPr>
                <w:rFonts w:hint="eastAsia" w:ascii="宋体" w:hAnsi="宋体"/>
                <w:color w:val="auto"/>
                <w:sz w:val="21"/>
                <w:szCs w:val="21"/>
                <w:highlight w:val="none"/>
              </w:rPr>
              <w:t>5</w:t>
            </w:r>
            <w:bookmarkEnd w:id="67"/>
            <w:bookmarkEnd w:id="68"/>
          </w:p>
        </w:tc>
        <w:tc>
          <w:tcPr>
            <w:tcW w:w="3483" w:type="dxa"/>
            <w:vAlign w:val="center"/>
          </w:tcPr>
          <w:p w14:paraId="3017AF7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4A561FB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563D81C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7CDAA537">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2530EE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1F6329F4">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9" w:name="_Toc254970743"/>
            <w:bookmarkStart w:id="70" w:name="_Toc254970602"/>
            <w:bookmarkStart w:id="71" w:name="_Toc19274"/>
            <w:bookmarkStart w:id="72" w:name="_Toc173066415"/>
            <w:bookmarkStart w:id="73" w:name="_Toc173211914"/>
            <w:bookmarkStart w:id="74" w:name="_Toc19827"/>
            <w:r>
              <w:rPr>
                <w:rFonts w:hint="eastAsia" w:ascii="宋体" w:hAnsi="宋体"/>
                <w:color w:val="auto"/>
                <w:sz w:val="21"/>
                <w:szCs w:val="21"/>
                <w:highlight w:val="none"/>
              </w:rPr>
              <w:t>…</w:t>
            </w:r>
            <w:bookmarkEnd w:id="69"/>
            <w:bookmarkEnd w:id="70"/>
            <w:bookmarkEnd w:id="71"/>
            <w:bookmarkEnd w:id="72"/>
            <w:bookmarkEnd w:id="73"/>
            <w:bookmarkEnd w:id="74"/>
          </w:p>
        </w:tc>
        <w:tc>
          <w:tcPr>
            <w:tcW w:w="3483" w:type="dxa"/>
            <w:vAlign w:val="center"/>
          </w:tcPr>
          <w:p w14:paraId="69C1BFF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468725B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tcBorders>
              <w:right w:val="single" w:color="auto" w:sz="4" w:space="0"/>
            </w:tcBorders>
            <w:vAlign w:val="center"/>
          </w:tcPr>
          <w:p w14:paraId="6FBE6251">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tcBorders>
              <w:left w:val="single" w:color="auto" w:sz="4" w:space="0"/>
            </w:tcBorders>
            <w:vAlign w:val="center"/>
          </w:tcPr>
          <w:p w14:paraId="3A42CED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bl>
    <w:p w14:paraId="44E12619">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4D5DC5A5">
      <w:pPr>
        <w:pStyle w:val="19"/>
        <w:keepNext w:val="0"/>
        <w:keepLines w:val="0"/>
        <w:pageBreakBefore w:val="0"/>
        <w:kinsoku/>
        <w:overflowPunct/>
        <w:topLinePunct w:val="0"/>
        <w:bidi w:val="0"/>
        <w:spacing w:line="360" w:lineRule="auto"/>
        <w:ind w:firstLine="0"/>
        <w:textAlignment w:val="auto"/>
        <w:rPr>
          <w:rFonts w:hint="default" w:hAnsi="宋体" w:eastAsia="宋体"/>
          <w:b/>
          <w:bCs/>
          <w:color w:val="auto"/>
          <w:sz w:val="21"/>
          <w:szCs w:val="21"/>
          <w:highlight w:val="none"/>
          <w:lang w:val="en-US" w:eastAsia="zh-CN"/>
        </w:rPr>
      </w:pPr>
      <w:r>
        <w:rPr>
          <w:rFonts w:hint="eastAsia" w:hAnsi="宋体"/>
          <w:color w:val="auto"/>
          <w:sz w:val="21"/>
          <w:szCs w:val="21"/>
          <w:highlight w:val="none"/>
        </w:rPr>
        <w:t>说明：</w:t>
      </w:r>
      <w:r>
        <w:rPr>
          <w:rFonts w:hint="eastAsia" w:hAnsi="宋体"/>
          <w:color w:val="auto"/>
          <w:sz w:val="21"/>
          <w:szCs w:val="21"/>
          <w:highlight w:val="none"/>
          <w:lang w:val="en-US" w:eastAsia="zh-CN"/>
        </w:rPr>
        <w:t>1.</w:t>
      </w:r>
      <w:r>
        <w:rPr>
          <w:rFonts w:hint="eastAsia" w:hAnsi="宋体"/>
          <w:color w:val="auto"/>
          <w:sz w:val="21"/>
          <w:szCs w:val="21"/>
          <w:highlight w:val="none"/>
        </w:rPr>
        <w:t>应对照</w:t>
      </w:r>
      <w:r>
        <w:rPr>
          <w:rFonts w:hint="eastAsia" w:hAnsi="宋体"/>
          <w:color w:val="auto"/>
          <w:sz w:val="21"/>
          <w:szCs w:val="21"/>
          <w:highlight w:val="none"/>
          <w:lang w:eastAsia="zh-CN"/>
        </w:rPr>
        <w:t>磋商</w:t>
      </w:r>
      <w:r>
        <w:rPr>
          <w:rFonts w:hint="eastAsia" w:hAnsi="宋体"/>
          <w:color w:val="auto"/>
          <w:sz w:val="21"/>
          <w:szCs w:val="21"/>
          <w:highlight w:val="none"/>
        </w:rPr>
        <w:t>文件第三章《</w:t>
      </w:r>
      <w:r>
        <w:rPr>
          <w:rFonts w:hint="eastAsia" w:hAnsi="宋体"/>
          <w:color w:val="auto"/>
          <w:sz w:val="21"/>
          <w:szCs w:val="21"/>
          <w:highlight w:val="none"/>
          <w:lang w:eastAsia="zh-CN"/>
        </w:rPr>
        <w:t>项目需求一览表</w:t>
      </w:r>
      <w:r>
        <w:rPr>
          <w:rFonts w:hint="eastAsia" w:hAnsi="宋体"/>
          <w:color w:val="auto"/>
          <w:sz w:val="21"/>
          <w:szCs w:val="21"/>
          <w:highlight w:val="none"/>
        </w:rPr>
        <w:t>》中的“</w:t>
      </w:r>
      <w:r>
        <w:rPr>
          <w:rFonts w:hAnsi="宋体"/>
          <w:color w:val="auto"/>
          <w:sz w:val="21"/>
          <w:szCs w:val="21"/>
          <w:highlight w:val="none"/>
        </w:rPr>
        <w:t>服务内容及技术需求</w:t>
      </w:r>
      <w:r>
        <w:rPr>
          <w:rFonts w:hint="eastAsia" w:hAnsi="宋体"/>
          <w:color w:val="auto"/>
          <w:sz w:val="21"/>
          <w:szCs w:val="21"/>
          <w:highlight w:val="none"/>
        </w:rPr>
        <w:t>”，逐条说明所提供货物和服务已对</w:t>
      </w:r>
      <w:r>
        <w:rPr>
          <w:rFonts w:hint="eastAsia" w:hAnsi="宋体"/>
          <w:color w:val="auto"/>
          <w:sz w:val="21"/>
          <w:szCs w:val="21"/>
          <w:highlight w:val="none"/>
          <w:lang w:eastAsia="zh-CN"/>
        </w:rPr>
        <w:t>磋商</w:t>
      </w:r>
      <w:r>
        <w:rPr>
          <w:rFonts w:hint="eastAsia" w:hAnsi="宋体"/>
          <w:color w:val="auto"/>
          <w:sz w:val="21"/>
          <w:szCs w:val="21"/>
          <w:highlight w:val="none"/>
        </w:rPr>
        <w:t>文件的技术规格做出了实质性的响应，并申明与技术规格条文的响应和偏离。特别对有具体参数要求的指标，供应商必须提供所供设备的具体参数值。如果仅注明“符合”、“满足”或简单复制</w:t>
      </w:r>
      <w:r>
        <w:rPr>
          <w:rFonts w:hint="eastAsia" w:hAnsi="宋体"/>
          <w:color w:val="auto"/>
          <w:sz w:val="21"/>
          <w:szCs w:val="21"/>
          <w:highlight w:val="none"/>
          <w:lang w:eastAsia="zh-CN"/>
        </w:rPr>
        <w:t>磋商</w:t>
      </w:r>
      <w:r>
        <w:rPr>
          <w:rFonts w:hint="eastAsia" w:hAnsi="宋体"/>
          <w:color w:val="auto"/>
          <w:sz w:val="21"/>
          <w:szCs w:val="21"/>
          <w:highlight w:val="none"/>
        </w:rPr>
        <w:t>文件要求，将导致</w:t>
      </w:r>
      <w:r>
        <w:rPr>
          <w:rFonts w:hint="eastAsia" w:hAnsi="宋体"/>
          <w:color w:val="auto"/>
          <w:sz w:val="21"/>
          <w:szCs w:val="21"/>
          <w:highlight w:val="none"/>
          <w:lang w:eastAsia="zh-CN"/>
        </w:rPr>
        <w:t>磋商</w:t>
      </w:r>
      <w:r>
        <w:rPr>
          <w:rFonts w:hint="eastAsia" w:hAnsi="宋体"/>
          <w:color w:val="auto"/>
          <w:sz w:val="21"/>
          <w:szCs w:val="21"/>
          <w:highlight w:val="none"/>
        </w:rPr>
        <w:t>被拒绝。</w:t>
      </w:r>
      <w:r>
        <w:rPr>
          <w:rFonts w:hint="eastAsia" w:hAnsi="宋体"/>
          <w:b/>
          <w:bCs/>
          <w:color w:val="auto"/>
          <w:sz w:val="21"/>
          <w:szCs w:val="21"/>
          <w:highlight w:val="none"/>
          <w:lang w:val="en-US" w:eastAsia="zh-CN"/>
        </w:rPr>
        <w:t>2.严禁直接照抄磋商文件中的需求内容作为响应描述，否则响应无效。</w:t>
      </w:r>
    </w:p>
    <w:p w14:paraId="2F0ED223">
      <w:pPr>
        <w:pStyle w:val="25"/>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606184EB">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11FDF8F2">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41262C69">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00C2477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9CEF043">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ascii="宋体" w:hAnsi="宋体"/>
          <w:color w:val="auto"/>
          <w:sz w:val="21"/>
          <w:szCs w:val="21"/>
          <w:highlight w:val="none"/>
        </w:rPr>
        <w:br w:type="page"/>
      </w: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3</w:t>
      </w:r>
      <w:r>
        <w:rPr>
          <w:rFonts w:hint="eastAsia" w:ascii="宋体" w:hAnsi="宋体"/>
          <w:b/>
          <w:bCs/>
          <w:color w:val="auto"/>
          <w:sz w:val="21"/>
          <w:szCs w:val="21"/>
          <w:highlight w:val="none"/>
        </w:rPr>
        <w:t>）商务响应及偏离情况说明表</w:t>
      </w:r>
      <w:r>
        <w:rPr>
          <w:rFonts w:hint="eastAsia" w:ascii="宋体" w:hAnsi="宋体"/>
          <w:b/>
          <w:bCs/>
          <w:color w:val="auto"/>
          <w:sz w:val="21"/>
          <w:szCs w:val="21"/>
          <w:highlight w:val="none"/>
          <w:lang w:val="en-US" w:eastAsia="zh-CN"/>
        </w:rPr>
        <w:t>格式：</w:t>
      </w:r>
    </w:p>
    <w:p w14:paraId="6CF542ED">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p>
    <w:p w14:paraId="41F89D9D">
      <w:pPr>
        <w:keepNext w:val="0"/>
        <w:keepLines w:val="0"/>
        <w:pageBreakBefore w:val="0"/>
        <w:kinsoku/>
        <w:overflowPunct/>
        <w:topLinePunct w:val="0"/>
        <w:bidi w:val="0"/>
        <w:spacing w:line="360" w:lineRule="auto"/>
        <w:jc w:val="center"/>
        <w:textAlignment w:val="auto"/>
        <w:outlineLvl w:val="0"/>
        <w:rPr>
          <w:rFonts w:ascii="宋体" w:hAnsi="宋体"/>
          <w:b/>
          <w:color w:val="auto"/>
          <w:sz w:val="28"/>
          <w:szCs w:val="28"/>
          <w:highlight w:val="none"/>
        </w:rPr>
      </w:pPr>
      <w:bookmarkStart w:id="75" w:name="_Toc30593"/>
      <w:bookmarkStart w:id="76" w:name="_Toc26084"/>
      <w:r>
        <w:rPr>
          <w:rFonts w:hint="eastAsia" w:ascii="宋体" w:hAnsi="宋体"/>
          <w:b/>
          <w:color w:val="auto"/>
          <w:sz w:val="28"/>
          <w:szCs w:val="28"/>
          <w:highlight w:val="none"/>
        </w:rPr>
        <w:t>商务</w:t>
      </w:r>
      <w:r>
        <w:rPr>
          <w:rFonts w:hint="eastAsia" w:ascii="宋体" w:hAnsi="宋体"/>
          <w:b/>
          <w:color w:val="auto"/>
          <w:sz w:val="28"/>
          <w:szCs w:val="28"/>
          <w:highlight w:val="none"/>
          <w:lang w:val="en-US" w:eastAsia="zh-CN"/>
        </w:rPr>
        <w:t>参数</w:t>
      </w:r>
      <w:r>
        <w:rPr>
          <w:rFonts w:hint="eastAsia" w:ascii="宋体" w:hAnsi="宋体"/>
          <w:b/>
          <w:color w:val="auto"/>
          <w:sz w:val="28"/>
          <w:szCs w:val="28"/>
          <w:highlight w:val="none"/>
        </w:rPr>
        <w:t>响应及偏离情况说明表</w:t>
      </w:r>
      <w:bookmarkEnd w:id="75"/>
      <w:bookmarkEnd w:id="76"/>
    </w:p>
    <w:p w14:paraId="5BD5E299">
      <w:pPr>
        <w:keepNext w:val="0"/>
        <w:keepLines w:val="0"/>
        <w:pageBreakBefore w:val="0"/>
        <w:kinsoku/>
        <w:overflowPunct/>
        <w:topLinePunct w:val="0"/>
        <w:bidi w:val="0"/>
        <w:spacing w:line="360" w:lineRule="auto"/>
        <w:textAlignment w:val="auto"/>
        <w:rPr>
          <w:rFonts w:ascii="宋体" w:hAnsi="宋体"/>
          <w:color w:val="auto"/>
          <w:sz w:val="21"/>
          <w:szCs w:val="21"/>
          <w:highlight w:val="none"/>
          <w:u w:val="single"/>
        </w:rPr>
      </w:pPr>
    </w:p>
    <w:tbl>
      <w:tblPr>
        <w:tblStyle w:val="48"/>
        <w:tblW w:w="960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464029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38CDB2F6">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77" w:name="_Toc552"/>
            <w:bookmarkStart w:id="78" w:name="_Toc18552"/>
            <w:r>
              <w:rPr>
                <w:rFonts w:hint="eastAsia" w:ascii="宋体" w:hAnsi="宋体"/>
                <w:color w:val="auto"/>
                <w:sz w:val="21"/>
                <w:szCs w:val="21"/>
                <w:highlight w:val="none"/>
              </w:rPr>
              <w:t>序号</w:t>
            </w:r>
            <w:bookmarkEnd w:id="77"/>
            <w:bookmarkEnd w:id="78"/>
          </w:p>
        </w:tc>
        <w:tc>
          <w:tcPr>
            <w:tcW w:w="3483" w:type="dxa"/>
            <w:vAlign w:val="center"/>
          </w:tcPr>
          <w:p w14:paraId="550B56F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79" w:name="_Toc18304"/>
            <w:bookmarkStart w:id="80" w:name="_Toc12277"/>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文件中的商务要求</w:t>
            </w:r>
            <w:bookmarkEnd w:id="79"/>
            <w:bookmarkEnd w:id="80"/>
          </w:p>
        </w:tc>
        <w:tc>
          <w:tcPr>
            <w:tcW w:w="2514" w:type="dxa"/>
            <w:vAlign w:val="center"/>
          </w:tcPr>
          <w:p w14:paraId="34B8263A">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1" w:name="_Toc21252"/>
            <w:bookmarkStart w:id="82" w:name="_Toc19966"/>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响应文件具体响应</w:t>
            </w:r>
            <w:bookmarkEnd w:id="81"/>
            <w:bookmarkEnd w:id="82"/>
          </w:p>
        </w:tc>
        <w:tc>
          <w:tcPr>
            <w:tcW w:w="1571" w:type="dxa"/>
            <w:vAlign w:val="center"/>
          </w:tcPr>
          <w:p w14:paraId="2A7F4E76">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3" w:name="_Toc1968"/>
            <w:bookmarkStart w:id="84" w:name="_Toc25513"/>
            <w:r>
              <w:rPr>
                <w:rFonts w:hint="eastAsia" w:ascii="宋体" w:hAnsi="宋体"/>
                <w:color w:val="auto"/>
                <w:sz w:val="21"/>
                <w:szCs w:val="21"/>
                <w:highlight w:val="none"/>
              </w:rPr>
              <w:t>响应/偏离</w:t>
            </w:r>
            <w:bookmarkEnd w:id="83"/>
            <w:bookmarkEnd w:id="84"/>
          </w:p>
        </w:tc>
        <w:tc>
          <w:tcPr>
            <w:tcW w:w="1396" w:type="dxa"/>
            <w:vAlign w:val="center"/>
          </w:tcPr>
          <w:p w14:paraId="568070E4">
            <w:pPr>
              <w:keepNext w:val="0"/>
              <w:keepLines w:val="0"/>
              <w:pageBreakBefore w:val="0"/>
              <w:kinsoku/>
              <w:overflowPunct/>
              <w:topLinePunct w:val="0"/>
              <w:bidi w:val="0"/>
              <w:adjustRightInd w:val="0"/>
              <w:snapToGrid w:val="0"/>
              <w:spacing w:line="360" w:lineRule="auto"/>
              <w:jc w:val="center"/>
              <w:textAlignment w:val="auto"/>
              <w:outlineLvl w:val="0"/>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佐证材料及页码</w:t>
            </w:r>
          </w:p>
        </w:tc>
      </w:tr>
      <w:tr w14:paraId="1EA27B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4228CDF9">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85" w:name="_Toc16225"/>
            <w:bookmarkStart w:id="86" w:name="_Toc15845"/>
            <w:r>
              <w:rPr>
                <w:rFonts w:hint="eastAsia" w:ascii="宋体" w:hAnsi="宋体" w:cs="Times New Roman"/>
                <w:color w:val="auto"/>
                <w:sz w:val="21"/>
                <w:szCs w:val="21"/>
                <w:highlight w:val="none"/>
              </w:rPr>
              <w:t>1</w:t>
            </w:r>
            <w:bookmarkEnd w:id="85"/>
            <w:bookmarkEnd w:id="86"/>
          </w:p>
        </w:tc>
        <w:tc>
          <w:tcPr>
            <w:tcW w:w="3483" w:type="dxa"/>
            <w:vAlign w:val="center"/>
          </w:tcPr>
          <w:p w14:paraId="4B8E10E8">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61B4552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70839116">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10648842">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4D707F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06CF03E8">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87" w:name="_Toc25453"/>
            <w:bookmarkStart w:id="88" w:name="_Toc10757"/>
            <w:r>
              <w:rPr>
                <w:rFonts w:hint="eastAsia" w:ascii="宋体" w:hAnsi="宋体" w:cs="Times New Roman"/>
                <w:color w:val="auto"/>
                <w:sz w:val="21"/>
                <w:szCs w:val="21"/>
                <w:highlight w:val="none"/>
              </w:rPr>
              <w:t>2</w:t>
            </w:r>
            <w:bookmarkEnd w:id="87"/>
            <w:bookmarkEnd w:id="88"/>
          </w:p>
        </w:tc>
        <w:tc>
          <w:tcPr>
            <w:tcW w:w="3483" w:type="dxa"/>
            <w:vAlign w:val="center"/>
          </w:tcPr>
          <w:p w14:paraId="7D747995">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7CACE2E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17467B6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55FB8038">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59B8CD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0B7B178E">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89" w:name="_Toc6670"/>
            <w:bookmarkStart w:id="90" w:name="_Toc32202"/>
            <w:r>
              <w:rPr>
                <w:rFonts w:hint="eastAsia" w:ascii="宋体" w:hAnsi="宋体" w:cs="Times New Roman"/>
                <w:color w:val="auto"/>
                <w:sz w:val="21"/>
                <w:szCs w:val="21"/>
                <w:highlight w:val="none"/>
              </w:rPr>
              <w:t>3</w:t>
            </w:r>
            <w:bookmarkEnd w:id="89"/>
            <w:bookmarkEnd w:id="90"/>
          </w:p>
        </w:tc>
        <w:tc>
          <w:tcPr>
            <w:tcW w:w="3483" w:type="dxa"/>
            <w:vAlign w:val="center"/>
          </w:tcPr>
          <w:p w14:paraId="4565DEC0">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56246FB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26105B1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1ED1187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2DCDB9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23F17E1E">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1" w:name="_Toc7258"/>
            <w:bookmarkStart w:id="92" w:name="_Toc30764"/>
            <w:r>
              <w:rPr>
                <w:rFonts w:hint="eastAsia" w:ascii="宋体" w:hAnsi="宋体" w:cs="Times New Roman"/>
                <w:color w:val="auto"/>
                <w:sz w:val="21"/>
                <w:szCs w:val="21"/>
                <w:highlight w:val="none"/>
              </w:rPr>
              <w:t>4</w:t>
            </w:r>
            <w:bookmarkEnd w:id="91"/>
            <w:bookmarkEnd w:id="92"/>
          </w:p>
        </w:tc>
        <w:tc>
          <w:tcPr>
            <w:tcW w:w="3483" w:type="dxa"/>
            <w:vAlign w:val="center"/>
          </w:tcPr>
          <w:p w14:paraId="7B791F3A">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06F84E0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6AE8D35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33B7226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3A2568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4E949B12">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3" w:name="_Toc12478"/>
            <w:bookmarkStart w:id="94" w:name="_Toc13375"/>
            <w:r>
              <w:rPr>
                <w:rFonts w:hint="eastAsia" w:ascii="宋体" w:hAnsi="宋体" w:cs="Times New Roman"/>
                <w:color w:val="auto"/>
                <w:sz w:val="21"/>
                <w:szCs w:val="21"/>
                <w:highlight w:val="none"/>
              </w:rPr>
              <w:t>5</w:t>
            </w:r>
            <w:bookmarkEnd w:id="93"/>
            <w:bookmarkEnd w:id="94"/>
          </w:p>
        </w:tc>
        <w:tc>
          <w:tcPr>
            <w:tcW w:w="3483" w:type="dxa"/>
            <w:vAlign w:val="center"/>
          </w:tcPr>
          <w:p w14:paraId="6BBB9E05">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282F503C">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28922E0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49521A6E">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44CC98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63896969">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5" w:name="_Toc17269"/>
            <w:bookmarkStart w:id="96" w:name="_Toc3651"/>
            <w:r>
              <w:rPr>
                <w:rFonts w:hint="eastAsia" w:ascii="宋体" w:hAnsi="宋体" w:cs="Times New Roman"/>
                <w:color w:val="auto"/>
                <w:sz w:val="21"/>
                <w:szCs w:val="21"/>
                <w:highlight w:val="none"/>
              </w:rPr>
              <w:t>…</w:t>
            </w:r>
            <w:bookmarkEnd w:id="95"/>
            <w:bookmarkEnd w:id="96"/>
          </w:p>
        </w:tc>
        <w:tc>
          <w:tcPr>
            <w:tcW w:w="3483" w:type="dxa"/>
            <w:vAlign w:val="center"/>
          </w:tcPr>
          <w:p w14:paraId="35830B24">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73B90D5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tcBorders>
              <w:right w:val="single" w:color="auto" w:sz="4" w:space="0"/>
            </w:tcBorders>
            <w:vAlign w:val="center"/>
          </w:tcPr>
          <w:p w14:paraId="7174D7A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tcBorders>
              <w:left w:val="single" w:color="auto" w:sz="4" w:space="0"/>
            </w:tcBorders>
            <w:vAlign w:val="center"/>
          </w:tcPr>
          <w:p w14:paraId="21FCC51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bl>
    <w:p w14:paraId="2854E64F">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1DE7D22B">
      <w:pPr>
        <w:pStyle w:val="19"/>
        <w:keepNext w:val="0"/>
        <w:keepLines w:val="0"/>
        <w:pageBreakBefore w:val="0"/>
        <w:kinsoku/>
        <w:overflowPunct/>
        <w:topLinePunct w:val="0"/>
        <w:bidi w:val="0"/>
        <w:spacing w:line="360" w:lineRule="auto"/>
        <w:ind w:firstLine="0"/>
        <w:textAlignment w:val="auto"/>
        <w:rPr>
          <w:rFonts w:hint="default" w:hAnsi="宋体" w:eastAsia="宋体"/>
          <w:b/>
          <w:bCs/>
          <w:color w:val="auto"/>
          <w:sz w:val="21"/>
          <w:szCs w:val="21"/>
          <w:highlight w:val="none"/>
          <w:lang w:val="en-US" w:eastAsia="zh-CN"/>
        </w:rPr>
      </w:pPr>
      <w:r>
        <w:rPr>
          <w:rFonts w:hint="eastAsia" w:hAnsi="宋体"/>
          <w:color w:val="auto"/>
          <w:sz w:val="21"/>
          <w:szCs w:val="21"/>
          <w:highlight w:val="none"/>
        </w:rPr>
        <w:t>说明：</w:t>
      </w:r>
      <w:r>
        <w:rPr>
          <w:rFonts w:hint="eastAsia" w:hAnsi="宋体"/>
          <w:color w:val="auto"/>
          <w:sz w:val="21"/>
          <w:szCs w:val="21"/>
          <w:highlight w:val="none"/>
          <w:lang w:val="en-US" w:eastAsia="zh-CN"/>
        </w:rPr>
        <w:t>1.</w:t>
      </w:r>
      <w:r>
        <w:rPr>
          <w:rFonts w:hint="eastAsia" w:hAnsi="宋体"/>
          <w:color w:val="auto"/>
          <w:sz w:val="21"/>
          <w:szCs w:val="21"/>
          <w:highlight w:val="none"/>
        </w:rPr>
        <w:t>应对照</w:t>
      </w:r>
      <w:r>
        <w:rPr>
          <w:rFonts w:hint="eastAsia" w:hAnsi="宋体"/>
          <w:color w:val="auto"/>
          <w:sz w:val="21"/>
          <w:szCs w:val="21"/>
          <w:highlight w:val="none"/>
          <w:lang w:eastAsia="zh-CN"/>
        </w:rPr>
        <w:t>磋商</w:t>
      </w:r>
      <w:r>
        <w:rPr>
          <w:rFonts w:hint="eastAsia" w:hAnsi="宋体"/>
          <w:color w:val="auto"/>
          <w:sz w:val="21"/>
          <w:szCs w:val="21"/>
          <w:highlight w:val="none"/>
        </w:rPr>
        <w:t>文件第三章《</w:t>
      </w:r>
      <w:r>
        <w:rPr>
          <w:rFonts w:hint="eastAsia" w:hAnsi="宋体"/>
          <w:color w:val="auto"/>
          <w:sz w:val="21"/>
          <w:szCs w:val="21"/>
          <w:highlight w:val="none"/>
          <w:lang w:eastAsia="zh-CN"/>
        </w:rPr>
        <w:t>项目需求一览表</w:t>
      </w:r>
      <w:r>
        <w:rPr>
          <w:rFonts w:hint="eastAsia" w:hAnsi="宋体"/>
          <w:color w:val="auto"/>
          <w:sz w:val="21"/>
          <w:szCs w:val="21"/>
          <w:highlight w:val="none"/>
        </w:rPr>
        <w:t>》中的“商务要求</w:t>
      </w:r>
      <w:r>
        <w:rPr>
          <w:rFonts w:hint="eastAsia" w:hAnsi="宋体"/>
          <w:color w:val="auto"/>
          <w:sz w:val="21"/>
          <w:szCs w:val="21"/>
          <w:highlight w:val="none"/>
          <w:lang w:val="en-US" w:eastAsia="zh-CN"/>
        </w:rPr>
        <w:t>表</w:t>
      </w:r>
      <w:r>
        <w:rPr>
          <w:rFonts w:hint="eastAsia" w:hAnsi="宋体"/>
          <w:color w:val="auto"/>
          <w:sz w:val="21"/>
          <w:szCs w:val="21"/>
          <w:highlight w:val="none"/>
        </w:rPr>
        <w:t>”，逐条说明供应商的承诺的商务条件对应做出了实质性的响应，并申明与技术规格条文的响应和偏离。如果仅注明“符合”、“满足”或简单复制</w:t>
      </w:r>
      <w:r>
        <w:rPr>
          <w:rFonts w:hint="eastAsia" w:hAnsi="宋体"/>
          <w:color w:val="auto"/>
          <w:sz w:val="21"/>
          <w:szCs w:val="21"/>
          <w:highlight w:val="none"/>
          <w:lang w:eastAsia="zh-CN"/>
        </w:rPr>
        <w:t>磋商</w:t>
      </w:r>
      <w:r>
        <w:rPr>
          <w:rFonts w:hint="eastAsia" w:hAnsi="宋体"/>
          <w:color w:val="auto"/>
          <w:sz w:val="21"/>
          <w:szCs w:val="21"/>
          <w:highlight w:val="none"/>
        </w:rPr>
        <w:t>文件要求，将导致</w:t>
      </w:r>
      <w:r>
        <w:rPr>
          <w:rFonts w:hint="eastAsia" w:hAnsi="宋体"/>
          <w:color w:val="auto"/>
          <w:sz w:val="21"/>
          <w:szCs w:val="21"/>
          <w:highlight w:val="none"/>
          <w:lang w:eastAsia="zh-CN"/>
        </w:rPr>
        <w:t>磋商</w:t>
      </w:r>
      <w:r>
        <w:rPr>
          <w:rFonts w:hint="eastAsia" w:hAnsi="宋体"/>
          <w:color w:val="auto"/>
          <w:sz w:val="21"/>
          <w:szCs w:val="21"/>
          <w:highlight w:val="none"/>
        </w:rPr>
        <w:t>被拒绝。</w:t>
      </w:r>
      <w:r>
        <w:rPr>
          <w:rFonts w:hint="eastAsia" w:hAnsi="宋体"/>
          <w:b/>
          <w:bCs/>
          <w:color w:val="auto"/>
          <w:sz w:val="21"/>
          <w:szCs w:val="21"/>
          <w:highlight w:val="none"/>
          <w:lang w:val="en-US" w:eastAsia="zh-CN"/>
        </w:rPr>
        <w:t>2.严禁直接照抄磋商文件中的需求内容作为响应描述，否则响应无效。</w:t>
      </w:r>
    </w:p>
    <w:p w14:paraId="5B75A0DC">
      <w:pPr>
        <w:pStyle w:val="19"/>
        <w:keepNext w:val="0"/>
        <w:keepLines w:val="0"/>
        <w:pageBreakBefore w:val="0"/>
        <w:kinsoku/>
        <w:overflowPunct/>
        <w:topLinePunct w:val="0"/>
        <w:bidi w:val="0"/>
        <w:spacing w:line="360" w:lineRule="auto"/>
        <w:ind w:firstLine="0"/>
        <w:textAlignment w:val="auto"/>
        <w:rPr>
          <w:rFonts w:hAnsi="宋体"/>
          <w:color w:val="auto"/>
          <w:sz w:val="21"/>
          <w:szCs w:val="21"/>
          <w:highlight w:val="none"/>
        </w:rPr>
      </w:pPr>
    </w:p>
    <w:p w14:paraId="31944CEB">
      <w:pPr>
        <w:pStyle w:val="25"/>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7E54A6E4">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5264B688">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3D7D10BF">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0A6F7A4B">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50DEED1">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53C71C3">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0347ECDA">
      <w:pPr>
        <w:keepNext w:val="0"/>
        <w:keepLines w:val="0"/>
        <w:pageBreakBefore w:val="0"/>
        <w:widowControl/>
        <w:kinsoku/>
        <w:overflowPunct/>
        <w:topLinePunct w:val="0"/>
        <w:bidi w:val="0"/>
        <w:spacing w:line="360" w:lineRule="auto"/>
        <w:jc w:val="left"/>
        <w:textAlignment w:val="auto"/>
        <w:rPr>
          <w:rFonts w:hint="eastAsia" w:ascii="宋体" w:hAnsi="宋体"/>
          <w:color w:val="auto"/>
          <w:sz w:val="21"/>
          <w:szCs w:val="21"/>
          <w:highlight w:val="none"/>
        </w:rPr>
      </w:pPr>
      <w:r>
        <w:rPr>
          <w:rFonts w:ascii="宋体" w:hAnsi="宋体"/>
          <w:color w:val="auto"/>
          <w:sz w:val="21"/>
          <w:szCs w:val="21"/>
          <w:highlight w:val="none"/>
        </w:rPr>
        <w:br w:type="page"/>
      </w:r>
    </w:p>
    <w:p w14:paraId="71D27A99">
      <w:pPr>
        <w:keepNext w:val="0"/>
        <w:keepLines w:val="0"/>
        <w:pageBreakBefore w:val="0"/>
        <w:kinsoku/>
        <w:overflowPunct/>
        <w:topLinePunct w:val="0"/>
        <w:bidi w:val="0"/>
        <w:spacing w:line="360" w:lineRule="auto"/>
        <w:ind w:firstLine="422" w:firstLineChars="200"/>
        <w:textAlignment w:val="auto"/>
        <w:rPr>
          <w:rFonts w:hint="default" w:eastAsia="宋体"/>
          <w:b/>
          <w:bCs/>
          <w:sz w:val="21"/>
          <w:szCs w:val="21"/>
          <w:highlight w:val="none"/>
          <w:lang w:val="en-US" w:eastAsia="zh-CN"/>
        </w:rPr>
      </w:pPr>
      <w:r>
        <w:rPr>
          <w:rFonts w:hint="eastAsia" w:ascii="宋体" w:hAnsi="宋体"/>
          <w:b/>
          <w:bCs/>
          <w:color w:val="auto"/>
          <w:sz w:val="21"/>
          <w:szCs w:val="21"/>
          <w:highlight w:val="none"/>
          <w:lang w:val="en-US" w:eastAsia="zh-CN"/>
        </w:rPr>
        <w:t>（4</w:t>
      </w:r>
      <w:r>
        <w:rPr>
          <w:rFonts w:hint="eastAsia" w:ascii="宋体" w:hAnsi="宋体"/>
          <w:b/>
          <w:bCs/>
          <w:color w:val="auto"/>
          <w:sz w:val="21"/>
          <w:szCs w:val="21"/>
          <w:highlight w:val="none"/>
        </w:rPr>
        <w:t>）</w:t>
      </w:r>
      <w:r>
        <w:rPr>
          <w:rFonts w:hint="eastAsia" w:ascii="Times New Roman" w:hAnsi="Times New Roman" w:eastAsia="宋体" w:cs="Times New Roman"/>
          <w:b/>
          <w:bCs/>
          <w:kern w:val="2"/>
          <w:sz w:val="21"/>
          <w:szCs w:val="21"/>
          <w:highlight w:val="none"/>
          <w:lang w:val="en-US" w:eastAsia="zh-CN" w:bidi="ar-SA"/>
        </w:rPr>
        <w:t>供应商有效的资质及证明文件（2025年1月至10月内任意连续3个月的依法缴纳税收的凭据复印件、2025年1月至10月内任意连续3个月的依法缴纳社会保障资金的缴费凭证）</w:t>
      </w:r>
    </w:p>
    <w:p w14:paraId="099DF949">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default" w:eastAsia="宋体"/>
          <w:b/>
          <w:bCs/>
          <w:sz w:val="21"/>
          <w:szCs w:val="21"/>
          <w:highlight w:val="none"/>
          <w:lang w:val="en-US" w:eastAsia="zh-CN"/>
        </w:rPr>
      </w:pPr>
    </w:p>
    <w:p w14:paraId="7834C17C">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b/>
          <w:bCs/>
          <w:color w:val="auto"/>
          <w:sz w:val="21"/>
          <w:szCs w:val="21"/>
          <w:highlight w:val="none"/>
        </w:rPr>
      </w:pPr>
    </w:p>
    <w:p w14:paraId="30DA952B">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5</w:t>
      </w:r>
      <w:r>
        <w:rPr>
          <w:rFonts w:hint="eastAsia" w:ascii="宋体" w:hAnsi="宋体"/>
          <w:b/>
          <w:bCs/>
          <w:color w:val="auto"/>
          <w:sz w:val="21"/>
          <w:szCs w:val="21"/>
          <w:highlight w:val="none"/>
        </w:rPr>
        <w:t>）</w:t>
      </w:r>
      <w:r>
        <w:rPr>
          <w:rFonts w:hint="eastAsia" w:ascii="宋体" w:hAnsi="宋体" w:eastAsia="宋体" w:cs="Times New Roman"/>
          <w:b/>
          <w:bCs/>
          <w:color w:val="auto"/>
          <w:kern w:val="2"/>
          <w:sz w:val="21"/>
          <w:szCs w:val="21"/>
          <w:highlight w:val="none"/>
          <w:lang w:val="en-US" w:eastAsia="zh-CN" w:bidi="ar-SA"/>
        </w:rPr>
        <w:t>数据库功能服务内容简介</w:t>
      </w:r>
      <w:r>
        <w:rPr>
          <w:rFonts w:hint="eastAsia" w:ascii="宋体" w:hAnsi="宋体"/>
          <w:b/>
          <w:bCs/>
          <w:color w:val="auto"/>
          <w:sz w:val="21"/>
          <w:szCs w:val="21"/>
          <w:highlight w:val="none"/>
          <w:lang w:eastAsia="zh-CN"/>
        </w:rPr>
        <w:t>；</w:t>
      </w:r>
    </w:p>
    <w:p w14:paraId="069430A0">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cs="Times New Roman"/>
          <w:b/>
          <w:bCs/>
          <w:color w:val="auto"/>
          <w:sz w:val="21"/>
          <w:szCs w:val="21"/>
          <w:highlight w:val="none"/>
          <w:lang w:val="en-US" w:eastAsia="zh-CN"/>
        </w:rPr>
      </w:pPr>
      <w:r>
        <w:rPr>
          <w:rFonts w:hint="eastAsia" w:ascii="宋体" w:hAnsi="宋体"/>
          <w:b/>
          <w:color w:val="auto"/>
          <w:sz w:val="32"/>
          <w:szCs w:val="32"/>
          <w:highlight w:val="none"/>
          <w:lang w:val="en-US" w:eastAsia="zh-CN"/>
        </w:rPr>
        <w:t xml:space="preserve"> </w:t>
      </w:r>
      <w:r>
        <w:rPr>
          <w:rFonts w:hint="eastAsia" w:ascii="宋体" w:hAnsi="宋体" w:eastAsia="宋体" w:cs="Times New Roman"/>
          <w:b/>
          <w:bCs/>
          <w:color w:val="auto"/>
          <w:sz w:val="21"/>
          <w:szCs w:val="21"/>
          <w:highlight w:val="none"/>
          <w:lang w:val="en-US" w:eastAsia="zh-CN"/>
        </w:rPr>
        <w:t xml:space="preserve"> </w:t>
      </w:r>
      <w:r>
        <w:rPr>
          <w:rFonts w:hint="eastAsia" w:ascii="宋体" w:hAnsi="宋体" w:cs="Times New Roman"/>
          <w:b/>
          <w:bCs/>
          <w:color w:val="auto"/>
          <w:sz w:val="21"/>
          <w:szCs w:val="21"/>
          <w:highlight w:val="none"/>
          <w:lang w:val="en-US" w:eastAsia="zh-CN"/>
        </w:rPr>
        <w:t xml:space="preserve"> </w:t>
      </w:r>
    </w:p>
    <w:p w14:paraId="4442FDFB">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6）售后服务方案，提供的切实可行的售后服务承诺（格式目录自拟）</w:t>
      </w:r>
      <w:r>
        <w:rPr>
          <w:rFonts w:hint="eastAsia" w:ascii="宋体" w:hAnsi="宋体"/>
          <w:b/>
          <w:bCs/>
          <w:color w:val="auto"/>
          <w:sz w:val="21"/>
          <w:szCs w:val="21"/>
          <w:highlight w:val="none"/>
          <w:lang w:eastAsia="zh-CN"/>
        </w:rPr>
        <w:t>；</w:t>
      </w:r>
    </w:p>
    <w:p w14:paraId="500EE787">
      <w:pPr>
        <w:keepNext w:val="0"/>
        <w:keepLines w:val="0"/>
        <w:pageBreakBefore w:val="0"/>
        <w:kinsoku/>
        <w:overflowPunct/>
        <w:topLinePunct w:val="0"/>
        <w:bidi w:val="0"/>
        <w:adjustRightInd w:val="0"/>
        <w:snapToGrid w:val="0"/>
        <w:spacing w:line="360" w:lineRule="auto"/>
        <w:ind w:firstLine="422" w:firstLineChars="200"/>
        <w:jc w:val="left"/>
        <w:textAlignment w:val="auto"/>
        <w:rPr>
          <w:rFonts w:hint="eastAsia" w:ascii="宋体" w:hAnsi="宋体"/>
          <w:b/>
          <w:bCs/>
          <w:color w:val="auto"/>
          <w:sz w:val="21"/>
          <w:szCs w:val="21"/>
          <w:highlight w:val="none"/>
          <w:lang w:eastAsia="zh-CN"/>
        </w:rPr>
      </w:pPr>
    </w:p>
    <w:p w14:paraId="0E1C4F3D">
      <w:pPr>
        <w:keepNext w:val="0"/>
        <w:keepLines w:val="0"/>
        <w:pageBreakBefore w:val="0"/>
        <w:numPr>
          <w:ilvl w:val="0"/>
          <w:numId w:val="5"/>
        </w:numPr>
        <w:kinsoku/>
        <w:overflowPunct/>
        <w:topLinePunct w:val="0"/>
        <w:bidi w:val="0"/>
        <w:adjustRightInd w:val="0"/>
        <w:snapToGrid w:val="0"/>
        <w:spacing w:line="360" w:lineRule="auto"/>
        <w:ind w:firstLine="422" w:firstLineChars="200"/>
        <w:jc w:val="left"/>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val="en-US" w:eastAsia="zh-CN"/>
        </w:rPr>
        <w:t>增值服务承诺</w:t>
      </w:r>
      <w:r>
        <w:rPr>
          <w:rFonts w:hint="eastAsia" w:ascii="宋体" w:hAnsi="宋体"/>
          <w:b/>
          <w:bCs/>
          <w:color w:val="auto"/>
          <w:sz w:val="21"/>
          <w:szCs w:val="21"/>
          <w:highlight w:val="none"/>
          <w:lang w:eastAsia="zh-CN"/>
        </w:rPr>
        <w:t>（格式</w:t>
      </w:r>
      <w:r>
        <w:rPr>
          <w:rFonts w:hint="eastAsia" w:ascii="宋体" w:hAnsi="宋体"/>
          <w:b/>
          <w:bCs/>
          <w:color w:val="auto"/>
          <w:sz w:val="21"/>
          <w:szCs w:val="21"/>
          <w:highlight w:val="none"/>
          <w:lang w:val="en-US" w:eastAsia="zh-CN"/>
        </w:rPr>
        <w:t>目录</w:t>
      </w:r>
      <w:r>
        <w:rPr>
          <w:rFonts w:hint="eastAsia" w:ascii="宋体" w:hAnsi="宋体"/>
          <w:b/>
          <w:bCs/>
          <w:color w:val="auto"/>
          <w:sz w:val="21"/>
          <w:szCs w:val="21"/>
          <w:highlight w:val="none"/>
          <w:lang w:eastAsia="zh-CN"/>
        </w:rPr>
        <w:t>自拟）</w:t>
      </w:r>
    </w:p>
    <w:p w14:paraId="332E33F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BE0442E">
      <w:pPr>
        <w:keepNext w:val="0"/>
        <w:keepLines w:val="0"/>
        <w:pageBreakBefore w:val="0"/>
        <w:kinsoku/>
        <w:overflowPunct/>
        <w:topLinePunct w:val="0"/>
        <w:bidi w:val="0"/>
        <w:adjustRightInd w:val="0"/>
        <w:snapToGrid w:val="0"/>
        <w:spacing w:line="360" w:lineRule="auto"/>
        <w:ind w:firstLine="422" w:firstLineChars="200"/>
        <w:jc w:val="left"/>
        <w:textAlignment w:val="auto"/>
        <w:rPr>
          <w:rFonts w:hint="eastAsia" w:ascii="宋体" w:hAnsi="宋体" w:eastAsia="宋体"/>
          <w:b/>
          <w:color w:val="auto"/>
          <w:sz w:val="32"/>
          <w:szCs w:val="32"/>
          <w:highlight w:val="none"/>
          <w:lang w:val="en-US" w:eastAsia="zh-CN"/>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8</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项目实施人员一览表</w:t>
      </w:r>
      <w:r>
        <w:rPr>
          <w:rFonts w:hint="eastAsia" w:ascii="宋体" w:hAnsi="宋体"/>
          <w:b/>
          <w:bCs/>
          <w:color w:val="auto"/>
          <w:sz w:val="21"/>
          <w:szCs w:val="21"/>
          <w:highlight w:val="none"/>
          <w:lang w:val="en-US" w:eastAsia="zh-CN"/>
        </w:rPr>
        <w:t>格式：</w:t>
      </w:r>
    </w:p>
    <w:p w14:paraId="28389CB6">
      <w:pPr>
        <w:keepNext w:val="0"/>
        <w:keepLines w:val="0"/>
        <w:pageBreakBefore w:val="0"/>
        <w:kinsoku/>
        <w:overflowPunct/>
        <w:topLinePunct w:val="0"/>
        <w:bidi w:val="0"/>
        <w:adjustRightInd w:val="0"/>
        <w:snapToGrid w:val="0"/>
        <w:spacing w:line="360" w:lineRule="auto"/>
        <w:jc w:val="center"/>
        <w:textAlignment w:val="auto"/>
        <w:rPr>
          <w:rFonts w:hint="eastAsia" w:ascii="宋体" w:hAnsi="宋体"/>
          <w:b/>
          <w:color w:val="auto"/>
          <w:sz w:val="32"/>
          <w:szCs w:val="32"/>
          <w:highlight w:val="none"/>
        </w:rPr>
      </w:pPr>
    </w:p>
    <w:p w14:paraId="31F13E9B">
      <w:pPr>
        <w:keepNext w:val="0"/>
        <w:keepLines w:val="0"/>
        <w:pageBreakBefore w:val="0"/>
        <w:kinsoku/>
        <w:overflowPunct/>
        <w:topLinePunct w:val="0"/>
        <w:bidi w:val="0"/>
        <w:adjustRightInd w:val="0"/>
        <w:snapToGrid w:val="0"/>
        <w:spacing w:line="24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014CCA3E">
      <w:pPr>
        <w:keepNext w:val="0"/>
        <w:keepLines w:val="0"/>
        <w:pageBreakBefore w:val="0"/>
        <w:kinsoku/>
        <w:overflowPunct/>
        <w:topLinePunct w:val="0"/>
        <w:bidi w:val="0"/>
        <w:snapToGrid w:val="0"/>
        <w:spacing w:beforeLines="50" w:after="50" w:line="24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（拟投入人员及其技术资格一览表）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774"/>
        <w:gridCol w:w="1857"/>
        <w:gridCol w:w="1551"/>
        <w:gridCol w:w="1854"/>
        <w:gridCol w:w="2012"/>
      </w:tblGrid>
      <w:tr w14:paraId="5847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14:paraId="7F3CF33A">
            <w:pPr>
              <w:snapToGrid w:val="0"/>
              <w:spacing w:before="50" w:after="120" w:afterLines="50"/>
              <w:jc w:val="center"/>
              <w:rPr>
                <w:rFonts w:hint="eastAsia" w:hAnsi="宋体"/>
                <w:sz w:val="21"/>
                <w:szCs w:val="21"/>
                <w:highlight w:val="none"/>
              </w:rPr>
            </w:pPr>
            <w:r>
              <w:rPr>
                <w:rFonts w:hint="eastAsia" w:hAnsi="宋体"/>
                <w:sz w:val="21"/>
                <w:szCs w:val="21"/>
                <w:highlight w:val="none"/>
              </w:rPr>
              <w:t>姓名</w:t>
            </w:r>
          </w:p>
        </w:tc>
        <w:tc>
          <w:tcPr>
            <w:tcW w:w="774" w:type="dxa"/>
            <w:noWrap w:val="0"/>
            <w:vAlign w:val="center"/>
          </w:tcPr>
          <w:p w14:paraId="1D5A5D72">
            <w:pPr>
              <w:snapToGrid w:val="0"/>
              <w:spacing w:before="50" w:after="120" w:afterLines="50"/>
              <w:jc w:val="center"/>
              <w:rPr>
                <w:rFonts w:hint="eastAsia" w:hAnsi="宋体"/>
                <w:sz w:val="21"/>
                <w:szCs w:val="21"/>
                <w:highlight w:val="none"/>
              </w:rPr>
            </w:pPr>
            <w:r>
              <w:rPr>
                <w:rFonts w:hint="eastAsia" w:hAnsi="宋体"/>
                <w:sz w:val="21"/>
                <w:szCs w:val="21"/>
                <w:highlight w:val="none"/>
              </w:rPr>
              <w:t>职务</w:t>
            </w:r>
          </w:p>
        </w:tc>
        <w:tc>
          <w:tcPr>
            <w:tcW w:w="1857" w:type="dxa"/>
            <w:noWrap w:val="0"/>
            <w:vAlign w:val="center"/>
          </w:tcPr>
          <w:p w14:paraId="2BB55D62">
            <w:pPr>
              <w:snapToGrid w:val="0"/>
              <w:spacing w:before="50" w:after="120" w:afterLines="50"/>
              <w:jc w:val="center"/>
              <w:rPr>
                <w:rFonts w:hint="eastAsia" w:hAnsi="宋体"/>
                <w:sz w:val="21"/>
                <w:szCs w:val="21"/>
                <w:highlight w:val="none"/>
              </w:rPr>
            </w:pPr>
            <w:r>
              <w:rPr>
                <w:rFonts w:hint="eastAsia" w:hAnsi="宋体"/>
                <w:sz w:val="21"/>
                <w:szCs w:val="21"/>
                <w:highlight w:val="none"/>
              </w:rPr>
              <w:t>专业技术资格（职称）或者职业资格或者执业资格证或者其他证书</w:t>
            </w:r>
          </w:p>
        </w:tc>
        <w:tc>
          <w:tcPr>
            <w:tcW w:w="1551" w:type="dxa"/>
            <w:noWrap w:val="0"/>
            <w:vAlign w:val="center"/>
          </w:tcPr>
          <w:p w14:paraId="612CA87A">
            <w:pPr>
              <w:snapToGrid w:val="0"/>
              <w:spacing w:before="50" w:after="120" w:afterLines="50"/>
              <w:jc w:val="center"/>
              <w:rPr>
                <w:rFonts w:hint="eastAsia" w:hAnsi="宋体"/>
                <w:sz w:val="21"/>
                <w:szCs w:val="21"/>
                <w:highlight w:val="none"/>
              </w:rPr>
            </w:pPr>
            <w:r>
              <w:rPr>
                <w:rFonts w:hint="eastAsia" w:hAnsi="宋体"/>
                <w:sz w:val="21"/>
                <w:szCs w:val="21"/>
                <w:highlight w:val="none"/>
              </w:rPr>
              <w:t>证书编号</w:t>
            </w:r>
          </w:p>
        </w:tc>
        <w:tc>
          <w:tcPr>
            <w:tcW w:w="1854" w:type="dxa"/>
            <w:noWrap w:val="0"/>
            <w:vAlign w:val="center"/>
          </w:tcPr>
          <w:p w14:paraId="7EE713AC">
            <w:pPr>
              <w:snapToGrid w:val="0"/>
              <w:spacing w:before="50" w:after="120" w:afterLines="50"/>
              <w:jc w:val="center"/>
              <w:rPr>
                <w:rFonts w:hint="eastAsia" w:hAnsi="宋体"/>
                <w:sz w:val="21"/>
                <w:szCs w:val="21"/>
                <w:highlight w:val="none"/>
              </w:rPr>
            </w:pPr>
            <w:r>
              <w:rPr>
                <w:rFonts w:hint="eastAsia" w:hAnsi="宋体"/>
                <w:sz w:val="21"/>
                <w:szCs w:val="21"/>
                <w:highlight w:val="none"/>
              </w:rPr>
              <w:t>参加本单位</w:t>
            </w:r>
          </w:p>
          <w:p w14:paraId="50713CA2">
            <w:pPr>
              <w:snapToGrid w:val="0"/>
              <w:spacing w:before="50" w:after="120" w:afterLines="50"/>
              <w:jc w:val="center"/>
              <w:rPr>
                <w:rFonts w:hint="eastAsia" w:hAnsi="宋体"/>
                <w:sz w:val="21"/>
                <w:szCs w:val="21"/>
                <w:highlight w:val="none"/>
              </w:rPr>
            </w:pPr>
            <w:r>
              <w:rPr>
                <w:rFonts w:hint="eastAsia" w:hAnsi="宋体"/>
                <w:sz w:val="21"/>
                <w:szCs w:val="21"/>
                <w:highlight w:val="none"/>
              </w:rPr>
              <w:t>工作时间</w:t>
            </w:r>
          </w:p>
        </w:tc>
        <w:tc>
          <w:tcPr>
            <w:tcW w:w="2012" w:type="dxa"/>
            <w:noWrap w:val="0"/>
            <w:vAlign w:val="center"/>
          </w:tcPr>
          <w:p w14:paraId="7AEBB906">
            <w:pPr>
              <w:snapToGrid w:val="0"/>
              <w:spacing w:before="50" w:after="120" w:afterLines="50"/>
              <w:jc w:val="center"/>
              <w:rPr>
                <w:rFonts w:hint="default" w:hAnsi="宋体" w:eastAsia="宋体"/>
                <w:sz w:val="21"/>
                <w:szCs w:val="21"/>
                <w:highlight w:val="none"/>
                <w:lang w:val="en-US" w:eastAsia="zh-CN"/>
              </w:rPr>
            </w:pPr>
            <w:r>
              <w:rPr>
                <w:rFonts w:hint="eastAsia" w:hAnsi="宋体"/>
                <w:sz w:val="21"/>
                <w:szCs w:val="21"/>
                <w:highlight w:val="none"/>
                <w:lang w:val="en-US" w:eastAsia="zh-CN"/>
              </w:rPr>
              <w:t>社保编号</w:t>
            </w:r>
          </w:p>
        </w:tc>
      </w:tr>
      <w:tr w14:paraId="332BA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14:paraId="24E3474F">
            <w:pPr>
              <w:snapToGrid w:val="0"/>
              <w:spacing w:before="50" w:after="120" w:afterLines="50"/>
              <w:jc w:val="center"/>
              <w:rPr>
                <w:rFonts w:hint="eastAsia" w:hAnsi="宋体"/>
                <w:sz w:val="24"/>
                <w:szCs w:val="20"/>
                <w:highlight w:val="none"/>
              </w:rPr>
            </w:pPr>
          </w:p>
        </w:tc>
        <w:tc>
          <w:tcPr>
            <w:tcW w:w="774" w:type="dxa"/>
            <w:noWrap w:val="0"/>
            <w:vAlign w:val="center"/>
          </w:tcPr>
          <w:p w14:paraId="0175D8C3">
            <w:pPr>
              <w:snapToGrid w:val="0"/>
              <w:spacing w:before="50" w:after="120" w:afterLines="50"/>
              <w:jc w:val="center"/>
              <w:rPr>
                <w:rFonts w:hint="eastAsia" w:hAnsi="宋体"/>
                <w:sz w:val="24"/>
                <w:szCs w:val="20"/>
                <w:highlight w:val="none"/>
              </w:rPr>
            </w:pPr>
          </w:p>
        </w:tc>
        <w:tc>
          <w:tcPr>
            <w:tcW w:w="1857" w:type="dxa"/>
            <w:noWrap w:val="0"/>
            <w:vAlign w:val="center"/>
          </w:tcPr>
          <w:p w14:paraId="1B091DE9">
            <w:pPr>
              <w:snapToGrid w:val="0"/>
              <w:spacing w:before="50" w:after="120" w:afterLines="50"/>
              <w:jc w:val="center"/>
              <w:rPr>
                <w:rFonts w:hint="eastAsia" w:hAnsi="宋体"/>
                <w:sz w:val="24"/>
                <w:szCs w:val="20"/>
                <w:highlight w:val="none"/>
              </w:rPr>
            </w:pPr>
          </w:p>
        </w:tc>
        <w:tc>
          <w:tcPr>
            <w:tcW w:w="1551" w:type="dxa"/>
            <w:noWrap w:val="0"/>
            <w:vAlign w:val="center"/>
          </w:tcPr>
          <w:p w14:paraId="2243DC2D">
            <w:pPr>
              <w:snapToGrid w:val="0"/>
              <w:spacing w:before="50" w:after="120" w:afterLines="50"/>
              <w:jc w:val="center"/>
              <w:rPr>
                <w:rFonts w:hint="eastAsia" w:hAnsi="宋体"/>
                <w:sz w:val="24"/>
                <w:szCs w:val="20"/>
                <w:highlight w:val="none"/>
              </w:rPr>
            </w:pPr>
          </w:p>
        </w:tc>
        <w:tc>
          <w:tcPr>
            <w:tcW w:w="1854" w:type="dxa"/>
            <w:noWrap w:val="0"/>
            <w:vAlign w:val="center"/>
          </w:tcPr>
          <w:p w14:paraId="260201C3">
            <w:pPr>
              <w:snapToGrid w:val="0"/>
              <w:spacing w:before="50" w:after="120" w:afterLines="50"/>
              <w:jc w:val="center"/>
              <w:rPr>
                <w:rFonts w:hint="eastAsia" w:hAnsi="宋体"/>
                <w:sz w:val="24"/>
                <w:szCs w:val="20"/>
                <w:highlight w:val="none"/>
              </w:rPr>
            </w:pPr>
          </w:p>
        </w:tc>
        <w:tc>
          <w:tcPr>
            <w:tcW w:w="2012" w:type="dxa"/>
            <w:noWrap w:val="0"/>
            <w:vAlign w:val="center"/>
          </w:tcPr>
          <w:p w14:paraId="331B1C47">
            <w:pPr>
              <w:snapToGrid w:val="0"/>
              <w:spacing w:before="50" w:after="120" w:afterLines="50"/>
              <w:jc w:val="center"/>
              <w:rPr>
                <w:rFonts w:hint="eastAsia" w:hAnsi="宋体"/>
                <w:sz w:val="24"/>
                <w:szCs w:val="20"/>
                <w:highlight w:val="none"/>
              </w:rPr>
            </w:pPr>
          </w:p>
        </w:tc>
      </w:tr>
      <w:tr w14:paraId="6D98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14:paraId="324139E2">
            <w:pPr>
              <w:snapToGrid w:val="0"/>
              <w:spacing w:before="50" w:after="120" w:afterLines="50"/>
              <w:jc w:val="center"/>
              <w:rPr>
                <w:rFonts w:hint="eastAsia" w:hAnsi="宋体"/>
                <w:sz w:val="24"/>
                <w:szCs w:val="20"/>
                <w:highlight w:val="none"/>
              </w:rPr>
            </w:pPr>
          </w:p>
        </w:tc>
        <w:tc>
          <w:tcPr>
            <w:tcW w:w="774" w:type="dxa"/>
            <w:noWrap w:val="0"/>
            <w:vAlign w:val="center"/>
          </w:tcPr>
          <w:p w14:paraId="6F26CC4C">
            <w:pPr>
              <w:snapToGrid w:val="0"/>
              <w:spacing w:before="50" w:after="120" w:afterLines="50"/>
              <w:jc w:val="center"/>
              <w:rPr>
                <w:rFonts w:hint="eastAsia" w:hAnsi="宋体"/>
                <w:sz w:val="24"/>
                <w:szCs w:val="20"/>
                <w:highlight w:val="none"/>
              </w:rPr>
            </w:pPr>
          </w:p>
        </w:tc>
        <w:tc>
          <w:tcPr>
            <w:tcW w:w="1857" w:type="dxa"/>
            <w:noWrap w:val="0"/>
            <w:vAlign w:val="center"/>
          </w:tcPr>
          <w:p w14:paraId="458B66FF">
            <w:pPr>
              <w:snapToGrid w:val="0"/>
              <w:spacing w:before="50" w:after="120" w:afterLines="50"/>
              <w:jc w:val="center"/>
              <w:rPr>
                <w:rFonts w:hint="eastAsia" w:hAnsi="宋体"/>
                <w:sz w:val="24"/>
                <w:szCs w:val="20"/>
                <w:highlight w:val="none"/>
              </w:rPr>
            </w:pPr>
          </w:p>
        </w:tc>
        <w:tc>
          <w:tcPr>
            <w:tcW w:w="1551" w:type="dxa"/>
            <w:noWrap w:val="0"/>
            <w:vAlign w:val="center"/>
          </w:tcPr>
          <w:p w14:paraId="3157DD6A">
            <w:pPr>
              <w:snapToGrid w:val="0"/>
              <w:spacing w:before="50" w:after="120" w:afterLines="50"/>
              <w:jc w:val="center"/>
              <w:rPr>
                <w:rFonts w:hint="eastAsia" w:hAnsi="宋体"/>
                <w:sz w:val="24"/>
                <w:szCs w:val="20"/>
                <w:highlight w:val="none"/>
              </w:rPr>
            </w:pPr>
          </w:p>
        </w:tc>
        <w:tc>
          <w:tcPr>
            <w:tcW w:w="1854" w:type="dxa"/>
            <w:noWrap w:val="0"/>
            <w:vAlign w:val="center"/>
          </w:tcPr>
          <w:p w14:paraId="7FCB36B7">
            <w:pPr>
              <w:snapToGrid w:val="0"/>
              <w:spacing w:before="50" w:after="120" w:afterLines="50"/>
              <w:jc w:val="center"/>
              <w:rPr>
                <w:rFonts w:hint="eastAsia" w:hAnsi="宋体"/>
                <w:sz w:val="24"/>
                <w:szCs w:val="20"/>
                <w:highlight w:val="none"/>
              </w:rPr>
            </w:pPr>
          </w:p>
        </w:tc>
        <w:tc>
          <w:tcPr>
            <w:tcW w:w="2012" w:type="dxa"/>
            <w:noWrap w:val="0"/>
            <w:vAlign w:val="center"/>
          </w:tcPr>
          <w:p w14:paraId="0A9C8B65">
            <w:pPr>
              <w:snapToGrid w:val="0"/>
              <w:spacing w:before="50" w:after="120" w:afterLines="50"/>
              <w:jc w:val="center"/>
              <w:rPr>
                <w:rFonts w:hint="eastAsia" w:hAnsi="宋体"/>
                <w:sz w:val="24"/>
                <w:szCs w:val="20"/>
                <w:highlight w:val="none"/>
              </w:rPr>
            </w:pPr>
          </w:p>
        </w:tc>
      </w:tr>
      <w:tr w14:paraId="7D9BA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14:paraId="46EBEBAF">
            <w:pPr>
              <w:snapToGrid w:val="0"/>
              <w:spacing w:before="50" w:after="120" w:afterLines="50"/>
              <w:jc w:val="center"/>
              <w:rPr>
                <w:rFonts w:hint="eastAsia" w:hAnsi="宋体"/>
                <w:sz w:val="24"/>
                <w:szCs w:val="20"/>
                <w:highlight w:val="none"/>
              </w:rPr>
            </w:pPr>
          </w:p>
        </w:tc>
        <w:tc>
          <w:tcPr>
            <w:tcW w:w="774" w:type="dxa"/>
            <w:noWrap w:val="0"/>
            <w:vAlign w:val="center"/>
          </w:tcPr>
          <w:p w14:paraId="15C9456D">
            <w:pPr>
              <w:snapToGrid w:val="0"/>
              <w:spacing w:before="50" w:after="120" w:afterLines="50"/>
              <w:jc w:val="center"/>
              <w:rPr>
                <w:rFonts w:hint="eastAsia" w:hAnsi="宋体"/>
                <w:sz w:val="24"/>
                <w:szCs w:val="20"/>
                <w:highlight w:val="none"/>
              </w:rPr>
            </w:pPr>
          </w:p>
        </w:tc>
        <w:tc>
          <w:tcPr>
            <w:tcW w:w="1857" w:type="dxa"/>
            <w:noWrap w:val="0"/>
            <w:vAlign w:val="center"/>
          </w:tcPr>
          <w:p w14:paraId="1CF0DD4D">
            <w:pPr>
              <w:snapToGrid w:val="0"/>
              <w:spacing w:before="50" w:after="120" w:afterLines="50"/>
              <w:jc w:val="center"/>
              <w:rPr>
                <w:rFonts w:hint="eastAsia" w:hAnsi="宋体"/>
                <w:sz w:val="24"/>
                <w:szCs w:val="20"/>
                <w:highlight w:val="none"/>
              </w:rPr>
            </w:pPr>
          </w:p>
        </w:tc>
        <w:tc>
          <w:tcPr>
            <w:tcW w:w="1551" w:type="dxa"/>
            <w:noWrap w:val="0"/>
            <w:vAlign w:val="center"/>
          </w:tcPr>
          <w:p w14:paraId="5155F029">
            <w:pPr>
              <w:snapToGrid w:val="0"/>
              <w:spacing w:before="50" w:after="120" w:afterLines="50"/>
              <w:jc w:val="center"/>
              <w:rPr>
                <w:rFonts w:hint="eastAsia" w:hAnsi="宋体"/>
                <w:sz w:val="24"/>
                <w:szCs w:val="20"/>
                <w:highlight w:val="none"/>
              </w:rPr>
            </w:pPr>
          </w:p>
        </w:tc>
        <w:tc>
          <w:tcPr>
            <w:tcW w:w="1854" w:type="dxa"/>
            <w:noWrap w:val="0"/>
            <w:vAlign w:val="center"/>
          </w:tcPr>
          <w:p w14:paraId="2F1D8FE5">
            <w:pPr>
              <w:snapToGrid w:val="0"/>
              <w:spacing w:before="50" w:after="120" w:afterLines="50"/>
              <w:jc w:val="center"/>
              <w:rPr>
                <w:rFonts w:hint="eastAsia" w:hAnsi="宋体"/>
                <w:sz w:val="24"/>
                <w:szCs w:val="20"/>
                <w:highlight w:val="none"/>
              </w:rPr>
            </w:pPr>
          </w:p>
        </w:tc>
        <w:tc>
          <w:tcPr>
            <w:tcW w:w="2012" w:type="dxa"/>
            <w:noWrap w:val="0"/>
            <w:vAlign w:val="center"/>
          </w:tcPr>
          <w:p w14:paraId="23F945C8">
            <w:pPr>
              <w:snapToGrid w:val="0"/>
              <w:spacing w:before="50" w:after="120" w:afterLines="50"/>
              <w:jc w:val="center"/>
              <w:rPr>
                <w:rFonts w:hint="eastAsia" w:hAnsi="宋体"/>
                <w:sz w:val="24"/>
                <w:szCs w:val="20"/>
                <w:highlight w:val="none"/>
              </w:rPr>
            </w:pPr>
          </w:p>
        </w:tc>
      </w:tr>
    </w:tbl>
    <w:p w14:paraId="5631E284">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hint="eastAsia" w:ascii="宋体" w:hAnsi="宋体"/>
          <w:color w:val="auto"/>
          <w:sz w:val="21"/>
          <w:szCs w:val="21"/>
          <w:highlight w:val="none"/>
        </w:rPr>
      </w:pPr>
    </w:p>
    <w:p w14:paraId="55522BBD">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注：在填写时，如本表格不适合供应商的实际情况，可根据本表格式自行划表填写。</w:t>
      </w:r>
    </w:p>
    <w:p w14:paraId="51FBCA8A">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160448EA">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4CE6033E">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14:paraId="3A745E2B">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38D3885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DDC3FDE">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520F49F9">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27C339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002880DE">
      <w:pPr>
        <w:pStyle w:val="57"/>
        <w:rPr>
          <w:rFonts w:hint="eastAsia"/>
          <w:highlight w:val="none"/>
          <w:lang w:eastAsia="zh-CN"/>
        </w:rPr>
      </w:pPr>
    </w:p>
    <w:p w14:paraId="592DB7BA">
      <w:pPr>
        <w:rPr>
          <w:rFonts w:hint="eastAsia"/>
          <w:highlight w:val="none"/>
          <w:lang w:eastAsia="zh-CN"/>
        </w:rPr>
      </w:pPr>
    </w:p>
    <w:p w14:paraId="7207516B">
      <w:pPr>
        <w:pStyle w:val="57"/>
        <w:rPr>
          <w:rFonts w:hint="eastAsia"/>
          <w:highlight w:val="none"/>
          <w:lang w:eastAsia="zh-CN"/>
        </w:rPr>
      </w:pPr>
    </w:p>
    <w:p w14:paraId="5DE7385D">
      <w:pPr>
        <w:rPr>
          <w:rFonts w:hint="eastAsia"/>
          <w:highlight w:val="none"/>
          <w:lang w:eastAsia="zh-CN"/>
        </w:rPr>
      </w:pPr>
    </w:p>
    <w:p w14:paraId="53A5E299">
      <w:pPr>
        <w:pStyle w:val="57"/>
        <w:rPr>
          <w:rFonts w:hint="eastAsia"/>
          <w:highlight w:val="none"/>
          <w:lang w:eastAsia="zh-CN"/>
        </w:rPr>
      </w:pPr>
    </w:p>
    <w:p w14:paraId="5C1E6A28">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val="en-US" w:eastAsia="zh-CN"/>
        </w:rPr>
        <w:t>（9）业绩材料，供应商认为可以证明其能力或业绩的材料</w:t>
      </w:r>
      <w:r>
        <w:rPr>
          <w:rFonts w:hint="eastAsia" w:ascii="宋体" w:hAnsi="宋体"/>
          <w:b/>
          <w:bCs/>
          <w:color w:val="auto"/>
          <w:sz w:val="21"/>
          <w:szCs w:val="21"/>
          <w:highlight w:val="none"/>
          <w:lang w:eastAsia="zh-CN"/>
        </w:rPr>
        <w:t>。</w:t>
      </w:r>
    </w:p>
    <w:p w14:paraId="38786EC4">
      <w:pPr>
        <w:widowControl/>
        <w:snapToGrid w:val="0"/>
        <w:spacing w:before="50" w:after="50"/>
        <w:jc w:val="center"/>
        <w:rPr>
          <w:rFonts w:hAnsi="宋体" w:cs="方正小标宋简体"/>
          <w:b/>
          <w:sz w:val="32"/>
          <w:szCs w:val="32"/>
          <w:highlight w:val="none"/>
        </w:rPr>
      </w:pPr>
      <w:r>
        <w:rPr>
          <w:rFonts w:hint="eastAsia" w:hAnsi="宋体" w:cs="方正小标宋简体"/>
          <w:b/>
          <w:sz w:val="32"/>
          <w:szCs w:val="32"/>
          <w:highlight w:val="none"/>
        </w:rPr>
        <w:t>业绩情况一览表</w:t>
      </w:r>
    </w:p>
    <w:p w14:paraId="670B2593">
      <w:pPr>
        <w:rPr>
          <w:rFonts w:hint="eastAsia"/>
          <w:highlight w:val="none"/>
        </w:rPr>
      </w:pPr>
    </w:p>
    <w:tbl>
      <w:tblPr>
        <w:tblStyle w:val="48"/>
        <w:tblW w:w="87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5"/>
        <w:gridCol w:w="2219"/>
        <w:gridCol w:w="2677"/>
        <w:gridCol w:w="1622"/>
        <w:gridCol w:w="1473"/>
      </w:tblGrid>
      <w:tr w14:paraId="000F9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220A01D">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序号</w:t>
            </w:r>
          </w:p>
        </w:tc>
        <w:tc>
          <w:tcPr>
            <w:tcW w:w="2219" w:type="dxa"/>
            <w:tcBorders>
              <w:top w:val="single" w:color="auto" w:sz="4" w:space="0"/>
              <w:left w:val="single" w:color="auto" w:sz="4" w:space="0"/>
              <w:bottom w:val="single" w:color="auto" w:sz="4" w:space="0"/>
              <w:right w:val="single" w:color="auto" w:sz="4" w:space="0"/>
            </w:tcBorders>
            <w:noWrap w:val="0"/>
            <w:vAlign w:val="center"/>
          </w:tcPr>
          <w:p w14:paraId="6D9FA7E4">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rPr>
              <w:t>采购人名称</w:t>
            </w:r>
          </w:p>
        </w:tc>
        <w:tc>
          <w:tcPr>
            <w:tcW w:w="2677" w:type="dxa"/>
            <w:tcBorders>
              <w:top w:val="single" w:color="auto" w:sz="4" w:space="0"/>
              <w:left w:val="single" w:color="auto" w:sz="4" w:space="0"/>
              <w:right w:val="single" w:color="auto" w:sz="4" w:space="0"/>
            </w:tcBorders>
            <w:noWrap w:val="0"/>
            <w:vAlign w:val="center"/>
          </w:tcPr>
          <w:p w14:paraId="06218354">
            <w:pPr>
              <w:snapToGrid w:val="0"/>
              <w:jc w:val="center"/>
              <w:rPr>
                <w:rFonts w:hint="default" w:ascii="黑体" w:hAnsi="黑体" w:eastAsia="黑体" w:cs="黑体"/>
                <w:b/>
                <w:bCs/>
                <w:sz w:val="21"/>
                <w:szCs w:val="21"/>
                <w:highlight w:val="none"/>
                <w:lang w:val="en-US" w:eastAsia="zh-CN"/>
              </w:rPr>
            </w:pPr>
            <w:r>
              <w:rPr>
                <w:rFonts w:hint="eastAsia" w:ascii="黑体" w:hAnsi="黑体" w:eastAsia="黑体" w:cs="黑体"/>
                <w:b/>
                <w:bCs/>
                <w:sz w:val="21"/>
                <w:szCs w:val="21"/>
                <w:highlight w:val="none"/>
                <w:lang w:val="en-US" w:eastAsia="zh-CN"/>
              </w:rPr>
              <w:t>成交标的</w:t>
            </w:r>
            <w:r>
              <w:rPr>
                <w:rFonts w:hint="eastAsia" w:ascii="黑体" w:hAnsi="黑体" w:eastAsia="黑体" w:cs="黑体"/>
                <w:b/>
                <w:bCs/>
                <w:sz w:val="21"/>
                <w:szCs w:val="21"/>
                <w:highlight w:val="none"/>
              </w:rPr>
              <w:t>名称</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44E37739">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lang w:val="en-US" w:eastAsia="zh-CN"/>
              </w:rPr>
              <w:t>成交日期</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11B7A9B3">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备注</w:t>
            </w:r>
          </w:p>
        </w:tc>
      </w:tr>
      <w:tr w14:paraId="6C51E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3CE7FB5">
            <w:pPr>
              <w:snapToGrid w:val="0"/>
              <w:jc w:val="center"/>
              <w:rPr>
                <w:rFonts w:hint="eastAsia" w:hAnsi="宋体" w:eastAsia="宋体"/>
                <w:sz w:val="24"/>
                <w:highlight w:val="none"/>
                <w:lang w:val="en-US" w:eastAsia="zh-CN"/>
              </w:rPr>
            </w:pPr>
            <w:r>
              <w:rPr>
                <w:rFonts w:hint="eastAsia" w:hAnsi="宋体"/>
                <w:sz w:val="24"/>
                <w:highlight w:val="none"/>
                <w:lang w:val="en-US" w:eastAsia="zh-CN"/>
              </w:rPr>
              <w:t>1</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841EC44">
            <w:pPr>
              <w:snapToGrid w:val="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6CD3850">
            <w:pPr>
              <w:snapToGrid w:val="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1C70BFD">
            <w:pPr>
              <w:snapToGrid w:val="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3FD3A237">
            <w:pPr>
              <w:snapToGrid w:val="0"/>
              <w:rPr>
                <w:rFonts w:hint="eastAsia" w:hAnsi="宋体"/>
                <w:sz w:val="24"/>
                <w:highlight w:val="none"/>
              </w:rPr>
            </w:pPr>
          </w:p>
        </w:tc>
      </w:tr>
      <w:tr w14:paraId="14E32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CE5C591">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2</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D290F1E">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4F2344B1">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C37A70A">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3351410">
            <w:pPr>
              <w:snapToGrid w:val="0"/>
              <w:spacing w:before="50" w:after="120" w:afterLines="50"/>
              <w:rPr>
                <w:rFonts w:hint="eastAsia" w:hAnsi="宋体"/>
                <w:sz w:val="24"/>
                <w:highlight w:val="none"/>
              </w:rPr>
            </w:pPr>
          </w:p>
        </w:tc>
      </w:tr>
      <w:tr w14:paraId="6D51E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0376D052">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3</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6377F9B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6DFCF6F">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11EEE69E">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10818052">
            <w:pPr>
              <w:snapToGrid w:val="0"/>
              <w:spacing w:before="50" w:after="120" w:afterLines="50"/>
              <w:rPr>
                <w:rFonts w:hint="eastAsia" w:hAnsi="宋体"/>
                <w:sz w:val="24"/>
                <w:highlight w:val="none"/>
              </w:rPr>
            </w:pPr>
          </w:p>
        </w:tc>
      </w:tr>
      <w:tr w14:paraId="4EA03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10A3973">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2877EC6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C205B0B">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3181026">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1274B4C">
            <w:pPr>
              <w:snapToGrid w:val="0"/>
              <w:spacing w:before="50" w:after="120" w:afterLines="50"/>
              <w:rPr>
                <w:rFonts w:hint="eastAsia" w:hAnsi="宋体"/>
                <w:sz w:val="24"/>
                <w:highlight w:val="none"/>
              </w:rPr>
            </w:pPr>
          </w:p>
        </w:tc>
      </w:tr>
      <w:tr w14:paraId="458E9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8167D74">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4E5FE4AC">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DD5B538">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A07CA32">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0518937E">
            <w:pPr>
              <w:snapToGrid w:val="0"/>
              <w:spacing w:before="50" w:after="120" w:afterLines="50"/>
              <w:rPr>
                <w:rFonts w:hint="eastAsia" w:hAnsi="宋体"/>
                <w:sz w:val="24"/>
                <w:highlight w:val="none"/>
              </w:rPr>
            </w:pPr>
          </w:p>
        </w:tc>
      </w:tr>
    </w:tbl>
    <w:p w14:paraId="79870FEC">
      <w:pPr>
        <w:pStyle w:val="14"/>
        <w:spacing w:before="0" w:after="0"/>
        <w:contextualSpacing/>
        <w:rPr>
          <w:rFonts w:hint="eastAsia" w:ascii="宋体" w:hAnsi="宋体" w:eastAsia="宋体"/>
          <w:sz w:val="24"/>
          <w:szCs w:val="24"/>
          <w:highlight w:val="none"/>
        </w:rPr>
      </w:pPr>
      <w:r>
        <w:rPr>
          <w:rFonts w:hint="eastAsia" w:ascii="宋体" w:hAnsi="宋体" w:eastAsia="宋体"/>
          <w:sz w:val="24"/>
          <w:szCs w:val="24"/>
          <w:highlight w:val="none"/>
        </w:rPr>
        <w:t>注：</w:t>
      </w:r>
      <w:r>
        <w:rPr>
          <w:rFonts w:hint="eastAsia" w:ascii="宋体" w:hAnsi="宋体" w:eastAsia="宋体"/>
          <w:sz w:val="24"/>
          <w:highlight w:val="none"/>
        </w:rPr>
        <w:t>投标人根据评标标准具体要求附业绩证明材料。</w:t>
      </w:r>
    </w:p>
    <w:p w14:paraId="24342B12">
      <w:pPr>
        <w:pStyle w:val="14"/>
        <w:spacing w:before="0" w:after="0"/>
        <w:contextualSpacing/>
        <w:rPr>
          <w:rFonts w:ascii="宋体" w:hAnsi="宋体" w:eastAsia="宋体"/>
          <w:sz w:val="24"/>
          <w:szCs w:val="24"/>
          <w:highlight w:val="none"/>
        </w:rPr>
      </w:pPr>
    </w:p>
    <w:p w14:paraId="024EDE8B">
      <w:pPr>
        <w:pStyle w:val="25"/>
        <w:snapToGrid w:val="0"/>
        <w:spacing w:line="600" w:lineRule="auto"/>
        <w:jc w:val="center"/>
        <w:rPr>
          <w:rFonts w:hint="eastAsia" w:hAnsi="宋体"/>
          <w:sz w:val="24"/>
          <w:highlight w:val="none"/>
        </w:rPr>
      </w:pPr>
    </w:p>
    <w:p w14:paraId="7FE3B088">
      <w:pPr>
        <w:pStyle w:val="25"/>
        <w:snapToGrid w:val="0"/>
        <w:spacing w:line="600" w:lineRule="auto"/>
        <w:jc w:val="center"/>
        <w:rPr>
          <w:rFonts w:hint="eastAsia" w:hAnsi="宋体"/>
          <w:sz w:val="24"/>
          <w:szCs w:val="24"/>
          <w:highlight w:val="none"/>
          <w:u w:val="single"/>
        </w:rPr>
      </w:pPr>
      <w:r>
        <w:rPr>
          <w:rFonts w:hint="eastAsia" w:hAnsi="宋体"/>
          <w:sz w:val="24"/>
          <w:highlight w:val="none"/>
        </w:rPr>
        <w:t>投标人名称（</w:t>
      </w:r>
      <w:r>
        <w:rPr>
          <w:rFonts w:hint="eastAsia" w:hAnsi="宋体"/>
          <w:b/>
          <w:bCs/>
          <w:sz w:val="24"/>
          <w:highlight w:val="none"/>
          <w:lang w:val="en-US" w:eastAsia="zh-CN"/>
        </w:rPr>
        <w:t>公章</w:t>
      </w:r>
      <w:r>
        <w:rPr>
          <w:rFonts w:hint="eastAsia" w:hAnsi="宋体"/>
          <w:sz w:val="24"/>
          <w:highlight w:val="none"/>
        </w:rPr>
        <w:t>）：</w:t>
      </w:r>
      <w:r>
        <w:rPr>
          <w:rFonts w:hint="eastAsia" w:hAnsi="宋体"/>
          <w:sz w:val="24"/>
          <w:highlight w:val="none"/>
          <w:u w:val="single"/>
          <w:lang w:val="en-US" w:eastAsia="zh-CN"/>
        </w:rPr>
        <w:t xml:space="preserve">    </w:t>
      </w:r>
      <w:r>
        <w:rPr>
          <w:rFonts w:hAnsi="宋体"/>
          <w:sz w:val="24"/>
          <w:highlight w:val="none"/>
          <w:u w:val="single"/>
        </w:rPr>
        <w:t xml:space="preserve">    </w:t>
      </w:r>
      <w:r>
        <w:rPr>
          <w:rFonts w:hint="eastAsia" w:hAnsi="宋体"/>
          <w:sz w:val="24"/>
          <w:highlight w:val="none"/>
          <w:u w:val="single"/>
          <w:lang w:val="en-US" w:eastAsia="zh-CN"/>
        </w:rPr>
        <w:t xml:space="preserve">              </w:t>
      </w:r>
      <w:r>
        <w:rPr>
          <w:rFonts w:hAnsi="宋体"/>
          <w:sz w:val="24"/>
          <w:highlight w:val="none"/>
          <w:u w:val="single"/>
        </w:rPr>
        <w:t xml:space="preserve">  </w:t>
      </w:r>
    </w:p>
    <w:p w14:paraId="6A8473EC">
      <w:pPr>
        <w:pStyle w:val="25"/>
        <w:snapToGrid w:val="0"/>
        <w:spacing w:line="600" w:lineRule="auto"/>
        <w:jc w:val="right"/>
        <w:rPr>
          <w:rFonts w:hint="eastAsia" w:hAnsi="宋体"/>
          <w:sz w:val="24"/>
          <w:szCs w:val="24"/>
          <w:highlight w:val="none"/>
        </w:rPr>
      </w:pPr>
      <w:r>
        <w:rPr>
          <w:rFonts w:hint="eastAsia" w:hAnsi="宋体"/>
          <w:sz w:val="24"/>
          <w:szCs w:val="24"/>
          <w:highlight w:val="none"/>
          <w:u w:val="single"/>
        </w:rPr>
        <w:t xml:space="preserve">    </w:t>
      </w: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w:t>
      </w:r>
    </w:p>
    <w:p w14:paraId="2DC694A0">
      <w:pPr>
        <w:snapToGrid w:val="0"/>
        <w:spacing w:before="120" w:beforeLines="50"/>
        <w:rPr>
          <w:rFonts w:hAnsi="宋体"/>
          <w:sz w:val="24"/>
          <w:szCs w:val="20"/>
          <w:highlight w:val="none"/>
        </w:rPr>
        <w:sectPr>
          <w:headerReference r:id="rId3" w:type="default"/>
          <w:footerReference r:id="rId4" w:type="default"/>
          <w:pgSz w:w="11906" w:h="16838"/>
          <w:pgMar w:top="1440" w:right="1797" w:bottom="1440" w:left="1797" w:header="851" w:footer="992" w:gutter="0"/>
          <w:cols w:space="720" w:num="1"/>
          <w:docGrid w:linePitch="312" w:charSpace="0"/>
        </w:sectPr>
      </w:pPr>
    </w:p>
    <w:p w14:paraId="63DF5140">
      <w:pPr>
        <w:keepNext w:val="0"/>
        <w:keepLines w:val="0"/>
        <w:pageBreakBefore w:val="0"/>
        <w:numPr>
          <w:ilvl w:val="0"/>
          <w:numId w:val="0"/>
        </w:numPr>
        <w:kinsoku/>
        <w:overflowPunct/>
        <w:topLinePunct w:val="0"/>
        <w:bidi w:val="0"/>
        <w:spacing w:line="360" w:lineRule="auto"/>
        <w:textAlignment w:val="auto"/>
        <w:rPr>
          <w:rFonts w:hint="eastAsia" w:ascii="宋体" w:hAnsi="宋体" w:cs="Times New Roman"/>
          <w:b/>
          <w:bCs/>
          <w:color w:val="auto"/>
          <w:sz w:val="21"/>
          <w:szCs w:val="21"/>
          <w:highlight w:val="none"/>
          <w:lang w:val="en-US" w:eastAsia="zh-CN"/>
        </w:rPr>
      </w:pPr>
      <w:r>
        <w:rPr>
          <w:rFonts w:hint="eastAsia" w:ascii="宋体" w:hAnsi="宋体" w:cs="Times New Roman"/>
          <w:b/>
          <w:bCs/>
          <w:color w:val="auto"/>
          <w:sz w:val="21"/>
          <w:szCs w:val="21"/>
          <w:highlight w:val="none"/>
          <w:lang w:val="en-US" w:eastAsia="zh-CN"/>
        </w:rPr>
        <w:t>（10）供应商认为其他需要提供的证明其履约能力和满足“采购需求”的相关材料。</w:t>
      </w:r>
    </w:p>
    <w:p w14:paraId="71048FAD">
      <w:pPr>
        <w:pStyle w:val="57"/>
        <w:numPr>
          <w:ilvl w:val="0"/>
          <w:numId w:val="0"/>
        </w:numPr>
        <w:rPr>
          <w:rFonts w:hint="eastAsia"/>
          <w:highlight w:val="none"/>
          <w:lang w:eastAsia="zh-CN"/>
        </w:rPr>
      </w:pPr>
    </w:p>
    <w:p w14:paraId="406AB1D0">
      <w:pPr>
        <w:rPr>
          <w:rFonts w:hint="eastAsia" w:ascii="宋体" w:hAnsi="宋体"/>
          <w:b/>
          <w:color w:val="auto"/>
          <w:sz w:val="32"/>
          <w:szCs w:val="32"/>
          <w:highlight w:val="none"/>
        </w:rPr>
      </w:pPr>
    </w:p>
    <w:sectPr>
      <w:footerReference r:id="rId5" w:type="default"/>
      <w:pgSz w:w="11906" w:h="16838"/>
      <w:pgMar w:top="1134" w:right="1134" w:bottom="1134" w:left="1134" w:header="709" w:footer="709"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Microsoft YaHei UI"/>
    <w:panose1 w:val="03000509000000000000"/>
    <w:charset w:val="86"/>
    <w:family w:val="script"/>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8EC1A">
    <w:pPr>
      <w:pStyle w:val="3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222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222250"/>
                      </a:xfrm>
                      <a:prstGeom prst="rect">
                        <a:avLst/>
                      </a:prstGeom>
                      <a:noFill/>
                      <a:ln>
                        <a:noFill/>
                      </a:ln>
                    </wps:spPr>
                    <wps:txbx>
                      <w:txbxContent>
                        <w:p w14:paraId="3A9F666E">
                          <w:pPr>
                            <w:pStyle w:val="30"/>
                          </w:pPr>
                          <w:r>
                            <w:fldChar w:fldCharType="begin"/>
                          </w:r>
                          <w:r>
                            <w:instrText xml:space="preserve"> PAGE  \* MERGEFORMAT </w:instrText>
                          </w:r>
                          <w:r>
                            <w:fldChar w:fldCharType="separate"/>
                          </w:r>
                          <w:r>
                            <w:t>87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7.5pt;width:9.05pt;mso-position-horizontal:center;mso-position-horizontal-relative:margin;mso-wrap-style:none;z-index:251659264;mso-width-relative:page;mso-height-relative:page;" filled="f" stroked="f" coordsize="21600,21600" o:gfxdata="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T0Qt9EAAAADAQAADwAAAAAAAAABACAAAAAiAAAAZHJzL2Rvd25y&#10;ZXYueG1sUEsBAhQAFAAAAAgAh07iQPtrwp7MAQAAlwMAAA4AAAAAAAAAAQAgAAAAIAEAAGRycy9l&#10;Mm9Eb2MueG1sUEsFBgAAAAAGAAYAWQEAAF4FAAAAAA==&#10;">
              <v:fill on="f" focussize="0,0"/>
              <v:stroke on="f"/>
              <v:imagedata o:title=""/>
              <o:lock v:ext="edit" aspectratio="f"/>
              <v:textbox inset="0mm,0mm,0mm,0mm" style="mso-fit-shape-to-text:t;">
                <w:txbxContent>
                  <w:p w14:paraId="3A9F666E">
                    <w:pPr>
                      <w:pStyle w:val="30"/>
                    </w:pPr>
                    <w:r>
                      <w:fldChar w:fldCharType="begin"/>
                    </w:r>
                    <w:r>
                      <w:instrText xml:space="preserve"> PAGE  \* MERGEFORMAT </w:instrText>
                    </w:r>
                    <w:r>
                      <w:fldChar w:fldCharType="separate"/>
                    </w:r>
                    <w:r>
                      <w:t>87</w:t>
                    </w:r>
                    <w:r>
                      <w:fldChar w:fldCharType="end"/>
                    </w:r>
                  </w:p>
                </w:txbxContent>
              </v:textbox>
            </v:shape>
          </w:pict>
        </mc:Fallback>
      </mc:AlternateContent>
    </w:r>
  </w:p>
  <w:p w14:paraId="222725E3">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F9A73">
    <w:pPr>
      <w:pStyle w:val="30"/>
      <w:framePr w:wrap="around" w:vAnchor="text" w:hAnchor="margin" w:xAlign="center" w:y="1"/>
      <w:jc w:val="center"/>
      <w:rPr>
        <w:rStyle w:val="52"/>
      </w:rPr>
    </w:pPr>
    <w:r>
      <w:fldChar w:fldCharType="begin"/>
    </w:r>
    <w:r>
      <w:rPr>
        <w:rStyle w:val="52"/>
      </w:rPr>
      <w:instrText xml:space="preserve">PAGE  </w:instrText>
    </w:r>
    <w:r>
      <w:fldChar w:fldCharType="separate"/>
    </w:r>
    <w:r>
      <w:rPr>
        <w:rStyle w:val="52"/>
      </w:rPr>
      <w:t>17</w:t>
    </w:r>
    <w:r>
      <w:fldChar w:fldCharType="end"/>
    </w:r>
  </w:p>
  <w:p w14:paraId="08C4642F">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31"/>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5"/>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1">
    <w:nsid w:val="46928499"/>
    <w:multiLevelType w:val="singleLevel"/>
    <w:tmpl w:val="46928499"/>
    <w:lvl w:ilvl="0" w:tentative="0">
      <w:start w:val="7"/>
      <w:numFmt w:val="decimal"/>
      <w:suff w:val="nothing"/>
      <w:lvlText w:val="（%1）"/>
      <w:lvlJc w:val="left"/>
    </w:lvl>
  </w:abstractNum>
  <w:abstractNum w:abstractNumId="2">
    <w:nsid w:val="52A3EC38"/>
    <w:multiLevelType w:val="singleLevel"/>
    <w:tmpl w:val="52A3EC38"/>
    <w:lvl w:ilvl="0" w:tentative="0">
      <w:start w:val="3"/>
      <w:numFmt w:val="chineseCounting"/>
      <w:pStyle w:val="20"/>
      <w:suff w:val="nothing"/>
      <w:lvlText w:val="%1、"/>
      <w:lvlJc w:val="left"/>
    </w:lvl>
  </w:abstractNum>
  <w:abstractNum w:abstractNumId="3">
    <w:nsid w:val="53EB3389"/>
    <w:multiLevelType w:val="multilevel"/>
    <w:tmpl w:val="53EB3389"/>
    <w:lvl w:ilvl="0" w:tentative="0">
      <w:start w:val="1"/>
      <w:numFmt w:val="decimalEnclosedCircle"/>
      <w:pStyle w:val="264"/>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
    <w:nsid w:val="7116F2CC"/>
    <w:multiLevelType w:val="singleLevel"/>
    <w:tmpl w:val="7116F2CC"/>
    <w:lvl w:ilvl="0" w:tentative="0">
      <w:start w:val="2"/>
      <w:numFmt w:val="decimal"/>
      <w:lvlText w:val="%1."/>
      <w:lvlJc w:val="left"/>
      <w:pPr>
        <w:tabs>
          <w:tab w:val="left" w:pos="312"/>
        </w:tabs>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iZTAzZjRlMjc2MmVhMzExZGI5YWRmZjA5ZDVhYzEifQ=="/>
  </w:docVars>
  <w:rsids>
    <w:rsidRoot w:val="00172A27"/>
    <w:rsid w:val="000009B2"/>
    <w:rsid w:val="00000BE0"/>
    <w:rsid w:val="00002AC7"/>
    <w:rsid w:val="00003CE5"/>
    <w:rsid w:val="00004337"/>
    <w:rsid w:val="000044AD"/>
    <w:rsid w:val="00004F42"/>
    <w:rsid w:val="00006276"/>
    <w:rsid w:val="00006EFC"/>
    <w:rsid w:val="00010479"/>
    <w:rsid w:val="00011718"/>
    <w:rsid w:val="00012AE2"/>
    <w:rsid w:val="0001455D"/>
    <w:rsid w:val="0001491F"/>
    <w:rsid w:val="00015D4C"/>
    <w:rsid w:val="000165AA"/>
    <w:rsid w:val="0001732F"/>
    <w:rsid w:val="000178B1"/>
    <w:rsid w:val="00022CB1"/>
    <w:rsid w:val="0002393D"/>
    <w:rsid w:val="0002475C"/>
    <w:rsid w:val="00025437"/>
    <w:rsid w:val="00025544"/>
    <w:rsid w:val="00025622"/>
    <w:rsid w:val="00025B91"/>
    <w:rsid w:val="0002752B"/>
    <w:rsid w:val="00030368"/>
    <w:rsid w:val="00031637"/>
    <w:rsid w:val="000319C3"/>
    <w:rsid w:val="000359BA"/>
    <w:rsid w:val="00036B82"/>
    <w:rsid w:val="00037596"/>
    <w:rsid w:val="000376F4"/>
    <w:rsid w:val="00037C1A"/>
    <w:rsid w:val="00040D93"/>
    <w:rsid w:val="00040DD3"/>
    <w:rsid w:val="00040E90"/>
    <w:rsid w:val="000419D3"/>
    <w:rsid w:val="00042D37"/>
    <w:rsid w:val="0004426F"/>
    <w:rsid w:val="00044A04"/>
    <w:rsid w:val="00044EE6"/>
    <w:rsid w:val="00045D74"/>
    <w:rsid w:val="00047350"/>
    <w:rsid w:val="000473BC"/>
    <w:rsid w:val="00050011"/>
    <w:rsid w:val="00050E1D"/>
    <w:rsid w:val="000512D5"/>
    <w:rsid w:val="00051ADD"/>
    <w:rsid w:val="00051D97"/>
    <w:rsid w:val="00052767"/>
    <w:rsid w:val="00054302"/>
    <w:rsid w:val="00055358"/>
    <w:rsid w:val="0005662B"/>
    <w:rsid w:val="000578B0"/>
    <w:rsid w:val="00060CE6"/>
    <w:rsid w:val="00062560"/>
    <w:rsid w:val="00063355"/>
    <w:rsid w:val="00063B63"/>
    <w:rsid w:val="00063FAB"/>
    <w:rsid w:val="00064176"/>
    <w:rsid w:val="00064C4E"/>
    <w:rsid w:val="00065A26"/>
    <w:rsid w:val="0006689D"/>
    <w:rsid w:val="000674A8"/>
    <w:rsid w:val="000716D8"/>
    <w:rsid w:val="000722DA"/>
    <w:rsid w:val="00073131"/>
    <w:rsid w:val="0007355F"/>
    <w:rsid w:val="000737C8"/>
    <w:rsid w:val="00073EAE"/>
    <w:rsid w:val="00073FDD"/>
    <w:rsid w:val="000745A8"/>
    <w:rsid w:val="000748B0"/>
    <w:rsid w:val="00074CA7"/>
    <w:rsid w:val="00075EA8"/>
    <w:rsid w:val="0007678F"/>
    <w:rsid w:val="000770F1"/>
    <w:rsid w:val="00077A5F"/>
    <w:rsid w:val="000807D7"/>
    <w:rsid w:val="000818D7"/>
    <w:rsid w:val="00081D8B"/>
    <w:rsid w:val="000838D8"/>
    <w:rsid w:val="00084DF4"/>
    <w:rsid w:val="00085F3C"/>
    <w:rsid w:val="00086193"/>
    <w:rsid w:val="00086924"/>
    <w:rsid w:val="00086940"/>
    <w:rsid w:val="00086FA5"/>
    <w:rsid w:val="000871D5"/>
    <w:rsid w:val="00090286"/>
    <w:rsid w:val="00091E8F"/>
    <w:rsid w:val="0009282D"/>
    <w:rsid w:val="00093132"/>
    <w:rsid w:val="000952A4"/>
    <w:rsid w:val="000956C0"/>
    <w:rsid w:val="00095DC9"/>
    <w:rsid w:val="00096261"/>
    <w:rsid w:val="000970F5"/>
    <w:rsid w:val="00097FBA"/>
    <w:rsid w:val="000A1A5A"/>
    <w:rsid w:val="000A237B"/>
    <w:rsid w:val="000A2453"/>
    <w:rsid w:val="000A41D7"/>
    <w:rsid w:val="000A44ED"/>
    <w:rsid w:val="000A51A7"/>
    <w:rsid w:val="000A52EC"/>
    <w:rsid w:val="000A588B"/>
    <w:rsid w:val="000B06AE"/>
    <w:rsid w:val="000B0866"/>
    <w:rsid w:val="000B11A9"/>
    <w:rsid w:val="000B1783"/>
    <w:rsid w:val="000B2CC4"/>
    <w:rsid w:val="000B5023"/>
    <w:rsid w:val="000B5699"/>
    <w:rsid w:val="000B64B7"/>
    <w:rsid w:val="000C01BF"/>
    <w:rsid w:val="000C1131"/>
    <w:rsid w:val="000C1E1B"/>
    <w:rsid w:val="000C1FB2"/>
    <w:rsid w:val="000C2059"/>
    <w:rsid w:val="000C24F6"/>
    <w:rsid w:val="000C2DE8"/>
    <w:rsid w:val="000C375D"/>
    <w:rsid w:val="000C3BB1"/>
    <w:rsid w:val="000C43D7"/>
    <w:rsid w:val="000C43F3"/>
    <w:rsid w:val="000C4FEA"/>
    <w:rsid w:val="000C74AF"/>
    <w:rsid w:val="000D02C5"/>
    <w:rsid w:val="000D0AA1"/>
    <w:rsid w:val="000D1CFA"/>
    <w:rsid w:val="000D282A"/>
    <w:rsid w:val="000D3B73"/>
    <w:rsid w:val="000D3F50"/>
    <w:rsid w:val="000D51F6"/>
    <w:rsid w:val="000D591F"/>
    <w:rsid w:val="000D5C8E"/>
    <w:rsid w:val="000D64B2"/>
    <w:rsid w:val="000D672E"/>
    <w:rsid w:val="000D6872"/>
    <w:rsid w:val="000D733E"/>
    <w:rsid w:val="000D7994"/>
    <w:rsid w:val="000E00A1"/>
    <w:rsid w:val="000E045F"/>
    <w:rsid w:val="000E06F6"/>
    <w:rsid w:val="000E094E"/>
    <w:rsid w:val="000E0D79"/>
    <w:rsid w:val="000E1689"/>
    <w:rsid w:val="000E1E13"/>
    <w:rsid w:val="000E41A4"/>
    <w:rsid w:val="000E4ED3"/>
    <w:rsid w:val="000E6281"/>
    <w:rsid w:val="000E6E3E"/>
    <w:rsid w:val="000E7F98"/>
    <w:rsid w:val="000F3FB7"/>
    <w:rsid w:val="000F475D"/>
    <w:rsid w:val="000F4837"/>
    <w:rsid w:val="000F575F"/>
    <w:rsid w:val="000F5ADE"/>
    <w:rsid w:val="000F7E66"/>
    <w:rsid w:val="00102033"/>
    <w:rsid w:val="001024DB"/>
    <w:rsid w:val="00102F73"/>
    <w:rsid w:val="00104214"/>
    <w:rsid w:val="00104565"/>
    <w:rsid w:val="00104989"/>
    <w:rsid w:val="00105121"/>
    <w:rsid w:val="001067C4"/>
    <w:rsid w:val="00107740"/>
    <w:rsid w:val="0011047C"/>
    <w:rsid w:val="0011098B"/>
    <w:rsid w:val="00110CE6"/>
    <w:rsid w:val="00111E35"/>
    <w:rsid w:val="00112775"/>
    <w:rsid w:val="001147BB"/>
    <w:rsid w:val="00114AC5"/>
    <w:rsid w:val="00115726"/>
    <w:rsid w:val="0011633A"/>
    <w:rsid w:val="0011661F"/>
    <w:rsid w:val="00116DBC"/>
    <w:rsid w:val="001216D7"/>
    <w:rsid w:val="00122345"/>
    <w:rsid w:val="00122DAC"/>
    <w:rsid w:val="00123860"/>
    <w:rsid w:val="00123A7B"/>
    <w:rsid w:val="001244D6"/>
    <w:rsid w:val="00125085"/>
    <w:rsid w:val="0012558D"/>
    <w:rsid w:val="00125EF1"/>
    <w:rsid w:val="001269DD"/>
    <w:rsid w:val="00126DEA"/>
    <w:rsid w:val="00127B33"/>
    <w:rsid w:val="0013050E"/>
    <w:rsid w:val="00133418"/>
    <w:rsid w:val="0013606C"/>
    <w:rsid w:val="001362C1"/>
    <w:rsid w:val="0013648D"/>
    <w:rsid w:val="001377B8"/>
    <w:rsid w:val="0014078C"/>
    <w:rsid w:val="00140A72"/>
    <w:rsid w:val="00140DF8"/>
    <w:rsid w:val="001413A1"/>
    <w:rsid w:val="00142A21"/>
    <w:rsid w:val="00142B0A"/>
    <w:rsid w:val="001449B4"/>
    <w:rsid w:val="00145374"/>
    <w:rsid w:val="001463A7"/>
    <w:rsid w:val="00147540"/>
    <w:rsid w:val="001478F9"/>
    <w:rsid w:val="00152555"/>
    <w:rsid w:val="0015280A"/>
    <w:rsid w:val="0015297F"/>
    <w:rsid w:val="00153963"/>
    <w:rsid w:val="00153D88"/>
    <w:rsid w:val="0015417A"/>
    <w:rsid w:val="00154277"/>
    <w:rsid w:val="00154978"/>
    <w:rsid w:val="00156023"/>
    <w:rsid w:val="00161964"/>
    <w:rsid w:val="00162551"/>
    <w:rsid w:val="00162A74"/>
    <w:rsid w:val="00163A5B"/>
    <w:rsid w:val="00163BB2"/>
    <w:rsid w:val="00163DF2"/>
    <w:rsid w:val="001665C5"/>
    <w:rsid w:val="00166FA6"/>
    <w:rsid w:val="00167096"/>
    <w:rsid w:val="00167104"/>
    <w:rsid w:val="0017171C"/>
    <w:rsid w:val="001724DF"/>
    <w:rsid w:val="001728EB"/>
    <w:rsid w:val="00172A27"/>
    <w:rsid w:val="00172F6C"/>
    <w:rsid w:val="0017320B"/>
    <w:rsid w:val="001734E1"/>
    <w:rsid w:val="00175DAA"/>
    <w:rsid w:val="0017702C"/>
    <w:rsid w:val="001771B5"/>
    <w:rsid w:val="00177651"/>
    <w:rsid w:val="001777A2"/>
    <w:rsid w:val="00177AE1"/>
    <w:rsid w:val="00181039"/>
    <w:rsid w:val="00182120"/>
    <w:rsid w:val="00182682"/>
    <w:rsid w:val="001826B0"/>
    <w:rsid w:val="00185EBE"/>
    <w:rsid w:val="001866E1"/>
    <w:rsid w:val="00186790"/>
    <w:rsid w:val="001877A2"/>
    <w:rsid w:val="00187B31"/>
    <w:rsid w:val="0019114D"/>
    <w:rsid w:val="00192A4C"/>
    <w:rsid w:val="001939F2"/>
    <w:rsid w:val="00193C50"/>
    <w:rsid w:val="00194422"/>
    <w:rsid w:val="001949D8"/>
    <w:rsid w:val="00194A8F"/>
    <w:rsid w:val="00195D0D"/>
    <w:rsid w:val="00197AD6"/>
    <w:rsid w:val="001A00ED"/>
    <w:rsid w:val="001A1D52"/>
    <w:rsid w:val="001A2242"/>
    <w:rsid w:val="001A2553"/>
    <w:rsid w:val="001A317F"/>
    <w:rsid w:val="001A3C7F"/>
    <w:rsid w:val="001A49CA"/>
    <w:rsid w:val="001A4DDA"/>
    <w:rsid w:val="001A4ED3"/>
    <w:rsid w:val="001A50C9"/>
    <w:rsid w:val="001A50FC"/>
    <w:rsid w:val="001A694A"/>
    <w:rsid w:val="001A70FC"/>
    <w:rsid w:val="001A7666"/>
    <w:rsid w:val="001B019D"/>
    <w:rsid w:val="001B2B1C"/>
    <w:rsid w:val="001B2F45"/>
    <w:rsid w:val="001B4956"/>
    <w:rsid w:val="001B4B01"/>
    <w:rsid w:val="001B5078"/>
    <w:rsid w:val="001B741E"/>
    <w:rsid w:val="001B7C39"/>
    <w:rsid w:val="001C1969"/>
    <w:rsid w:val="001C27EB"/>
    <w:rsid w:val="001C2C61"/>
    <w:rsid w:val="001C3434"/>
    <w:rsid w:val="001C4E19"/>
    <w:rsid w:val="001C5506"/>
    <w:rsid w:val="001C5BD1"/>
    <w:rsid w:val="001C6C91"/>
    <w:rsid w:val="001D00F2"/>
    <w:rsid w:val="001D1319"/>
    <w:rsid w:val="001D153A"/>
    <w:rsid w:val="001D1C87"/>
    <w:rsid w:val="001D3469"/>
    <w:rsid w:val="001D56DD"/>
    <w:rsid w:val="001D62B6"/>
    <w:rsid w:val="001E008D"/>
    <w:rsid w:val="001E0C68"/>
    <w:rsid w:val="001E105A"/>
    <w:rsid w:val="001E24DD"/>
    <w:rsid w:val="001E273E"/>
    <w:rsid w:val="001E345E"/>
    <w:rsid w:val="001E35E4"/>
    <w:rsid w:val="001E37B9"/>
    <w:rsid w:val="001E62DA"/>
    <w:rsid w:val="001F23AE"/>
    <w:rsid w:val="001F2C1A"/>
    <w:rsid w:val="001F2E55"/>
    <w:rsid w:val="001F2FD7"/>
    <w:rsid w:val="001F3413"/>
    <w:rsid w:val="001F3A99"/>
    <w:rsid w:val="001F41DB"/>
    <w:rsid w:val="001F5A10"/>
    <w:rsid w:val="001F6B58"/>
    <w:rsid w:val="001F761A"/>
    <w:rsid w:val="001F7E80"/>
    <w:rsid w:val="002010A4"/>
    <w:rsid w:val="00203C02"/>
    <w:rsid w:val="00204403"/>
    <w:rsid w:val="00211C14"/>
    <w:rsid w:val="002143FD"/>
    <w:rsid w:val="00216B8C"/>
    <w:rsid w:val="00217032"/>
    <w:rsid w:val="00217932"/>
    <w:rsid w:val="00220FE8"/>
    <w:rsid w:val="00221371"/>
    <w:rsid w:val="00221C24"/>
    <w:rsid w:val="0022262C"/>
    <w:rsid w:val="00224F75"/>
    <w:rsid w:val="0022535F"/>
    <w:rsid w:val="002273CA"/>
    <w:rsid w:val="00227F10"/>
    <w:rsid w:val="00227F59"/>
    <w:rsid w:val="0023005D"/>
    <w:rsid w:val="002303E5"/>
    <w:rsid w:val="00231DEE"/>
    <w:rsid w:val="0023233B"/>
    <w:rsid w:val="00232BD9"/>
    <w:rsid w:val="002336E4"/>
    <w:rsid w:val="0023376B"/>
    <w:rsid w:val="00234834"/>
    <w:rsid w:val="00234ABF"/>
    <w:rsid w:val="00234CD2"/>
    <w:rsid w:val="002367C3"/>
    <w:rsid w:val="00236EEF"/>
    <w:rsid w:val="00240AF9"/>
    <w:rsid w:val="00240CCD"/>
    <w:rsid w:val="00242EED"/>
    <w:rsid w:val="002435B9"/>
    <w:rsid w:val="002436C5"/>
    <w:rsid w:val="00245882"/>
    <w:rsid w:val="0025282D"/>
    <w:rsid w:val="00252E8A"/>
    <w:rsid w:val="002544C6"/>
    <w:rsid w:val="00256486"/>
    <w:rsid w:val="00256FF8"/>
    <w:rsid w:val="00261101"/>
    <w:rsid w:val="00262E0E"/>
    <w:rsid w:val="0026389F"/>
    <w:rsid w:val="00263C9C"/>
    <w:rsid w:val="00267295"/>
    <w:rsid w:val="002679B4"/>
    <w:rsid w:val="00270250"/>
    <w:rsid w:val="00270310"/>
    <w:rsid w:val="002709FA"/>
    <w:rsid w:val="002715A2"/>
    <w:rsid w:val="00271609"/>
    <w:rsid w:val="002742E2"/>
    <w:rsid w:val="00274C89"/>
    <w:rsid w:val="00274D1B"/>
    <w:rsid w:val="00274E50"/>
    <w:rsid w:val="00276295"/>
    <w:rsid w:val="002766DD"/>
    <w:rsid w:val="00282639"/>
    <w:rsid w:val="00282DE6"/>
    <w:rsid w:val="00283432"/>
    <w:rsid w:val="0028452E"/>
    <w:rsid w:val="002848A6"/>
    <w:rsid w:val="002867BC"/>
    <w:rsid w:val="00286EFD"/>
    <w:rsid w:val="002904D7"/>
    <w:rsid w:val="00290F28"/>
    <w:rsid w:val="00291F07"/>
    <w:rsid w:val="00292B9D"/>
    <w:rsid w:val="00294BC4"/>
    <w:rsid w:val="002958CD"/>
    <w:rsid w:val="00295FDE"/>
    <w:rsid w:val="0029698C"/>
    <w:rsid w:val="002974ED"/>
    <w:rsid w:val="002977C6"/>
    <w:rsid w:val="00297E9A"/>
    <w:rsid w:val="002A1179"/>
    <w:rsid w:val="002A1770"/>
    <w:rsid w:val="002A1C40"/>
    <w:rsid w:val="002A25F1"/>
    <w:rsid w:val="002A2C8F"/>
    <w:rsid w:val="002A4AB8"/>
    <w:rsid w:val="002A4CB0"/>
    <w:rsid w:val="002A70F5"/>
    <w:rsid w:val="002A73F5"/>
    <w:rsid w:val="002A7416"/>
    <w:rsid w:val="002A7C15"/>
    <w:rsid w:val="002B12C0"/>
    <w:rsid w:val="002B228D"/>
    <w:rsid w:val="002B2C50"/>
    <w:rsid w:val="002B4048"/>
    <w:rsid w:val="002B5AA4"/>
    <w:rsid w:val="002B5E21"/>
    <w:rsid w:val="002B63DC"/>
    <w:rsid w:val="002C00EC"/>
    <w:rsid w:val="002C0411"/>
    <w:rsid w:val="002C103A"/>
    <w:rsid w:val="002C1D3F"/>
    <w:rsid w:val="002C268F"/>
    <w:rsid w:val="002C34A1"/>
    <w:rsid w:val="002C393D"/>
    <w:rsid w:val="002C4845"/>
    <w:rsid w:val="002C4CA5"/>
    <w:rsid w:val="002C64B2"/>
    <w:rsid w:val="002C724D"/>
    <w:rsid w:val="002C78B2"/>
    <w:rsid w:val="002C7EF2"/>
    <w:rsid w:val="002D05E6"/>
    <w:rsid w:val="002D0985"/>
    <w:rsid w:val="002D0AAC"/>
    <w:rsid w:val="002D0C27"/>
    <w:rsid w:val="002D0E44"/>
    <w:rsid w:val="002D1186"/>
    <w:rsid w:val="002D16E7"/>
    <w:rsid w:val="002D221C"/>
    <w:rsid w:val="002D3FDA"/>
    <w:rsid w:val="002D5B85"/>
    <w:rsid w:val="002D6F94"/>
    <w:rsid w:val="002D7080"/>
    <w:rsid w:val="002E04CD"/>
    <w:rsid w:val="002E220D"/>
    <w:rsid w:val="002E47BF"/>
    <w:rsid w:val="002E70A8"/>
    <w:rsid w:val="002E716E"/>
    <w:rsid w:val="002F0366"/>
    <w:rsid w:val="002F23CB"/>
    <w:rsid w:val="002F38F8"/>
    <w:rsid w:val="002F4573"/>
    <w:rsid w:val="002F5829"/>
    <w:rsid w:val="002F6069"/>
    <w:rsid w:val="002F6311"/>
    <w:rsid w:val="00301529"/>
    <w:rsid w:val="0030209C"/>
    <w:rsid w:val="00302C00"/>
    <w:rsid w:val="00303774"/>
    <w:rsid w:val="00303A37"/>
    <w:rsid w:val="003048F0"/>
    <w:rsid w:val="00305A16"/>
    <w:rsid w:val="0030640A"/>
    <w:rsid w:val="00306EE7"/>
    <w:rsid w:val="00311298"/>
    <w:rsid w:val="00312919"/>
    <w:rsid w:val="00312F6F"/>
    <w:rsid w:val="003154E7"/>
    <w:rsid w:val="00315A57"/>
    <w:rsid w:val="00316540"/>
    <w:rsid w:val="00317F33"/>
    <w:rsid w:val="00323A7F"/>
    <w:rsid w:val="0032530F"/>
    <w:rsid w:val="00325C54"/>
    <w:rsid w:val="0033092E"/>
    <w:rsid w:val="003324E6"/>
    <w:rsid w:val="00334440"/>
    <w:rsid w:val="003349A8"/>
    <w:rsid w:val="00334E71"/>
    <w:rsid w:val="003352C0"/>
    <w:rsid w:val="00335E7D"/>
    <w:rsid w:val="003361F2"/>
    <w:rsid w:val="0033743D"/>
    <w:rsid w:val="0033745B"/>
    <w:rsid w:val="003408E5"/>
    <w:rsid w:val="0034117F"/>
    <w:rsid w:val="003431E2"/>
    <w:rsid w:val="00343913"/>
    <w:rsid w:val="00346C30"/>
    <w:rsid w:val="003541BD"/>
    <w:rsid w:val="00355F75"/>
    <w:rsid w:val="00356D74"/>
    <w:rsid w:val="00356E8D"/>
    <w:rsid w:val="003573A7"/>
    <w:rsid w:val="00357718"/>
    <w:rsid w:val="00357851"/>
    <w:rsid w:val="003579EA"/>
    <w:rsid w:val="003604BD"/>
    <w:rsid w:val="00360781"/>
    <w:rsid w:val="00362010"/>
    <w:rsid w:val="0036327C"/>
    <w:rsid w:val="00363C7C"/>
    <w:rsid w:val="003647D8"/>
    <w:rsid w:val="00366C87"/>
    <w:rsid w:val="003725DF"/>
    <w:rsid w:val="003767EB"/>
    <w:rsid w:val="00376D4E"/>
    <w:rsid w:val="003772C1"/>
    <w:rsid w:val="00377D7E"/>
    <w:rsid w:val="0038184F"/>
    <w:rsid w:val="00381A66"/>
    <w:rsid w:val="0038226A"/>
    <w:rsid w:val="003831EA"/>
    <w:rsid w:val="00384DD1"/>
    <w:rsid w:val="00384F16"/>
    <w:rsid w:val="00385ECF"/>
    <w:rsid w:val="00386413"/>
    <w:rsid w:val="00387481"/>
    <w:rsid w:val="00387D44"/>
    <w:rsid w:val="003905AB"/>
    <w:rsid w:val="00392813"/>
    <w:rsid w:val="00392AE2"/>
    <w:rsid w:val="00392CA6"/>
    <w:rsid w:val="00392E19"/>
    <w:rsid w:val="0039385E"/>
    <w:rsid w:val="00393CE3"/>
    <w:rsid w:val="003970B9"/>
    <w:rsid w:val="003A0EAF"/>
    <w:rsid w:val="003A11F2"/>
    <w:rsid w:val="003A11F9"/>
    <w:rsid w:val="003A1B82"/>
    <w:rsid w:val="003A602E"/>
    <w:rsid w:val="003A619B"/>
    <w:rsid w:val="003A7071"/>
    <w:rsid w:val="003A76AA"/>
    <w:rsid w:val="003B113F"/>
    <w:rsid w:val="003B1477"/>
    <w:rsid w:val="003B196E"/>
    <w:rsid w:val="003B22E8"/>
    <w:rsid w:val="003B264A"/>
    <w:rsid w:val="003B3A85"/>
    <w:rsid w:val="003B53C9"/>
    <w:rsid w:val="003B5403"/>
    <w:rsid w:val="003B5BA6"/>
    <w:rsid w:val="003C186B"/>
    <w:rsid w:val="003C337A"/>
    <w:rsid w:val="003C357C"/>
    <w:rsid w:val="003C3CFC"/>
    <w:rsid w:val="003C426B"/>
    <w:rsid w:val="003C4B2B"/>
    <w:rsid w:val="003C5AD6"/>
    <w:rsid w:val="003D0B37"/>
    <w:rsid w:val="003D1C60"/>
    <w:rsid w:val="003D2561"/>
    <w:rsid w:val="003D29EE"/>
    <w:rsid w:val="003D323B"/>
    <w:rsid w:val="003D33F9"/>
    <w:rsid w:val="003D415A"/>
    <w:rsid w:val="003D46B1"/>
    <w:rsid w:val="003D4706"/>
    <w:rsid w:val="003D499F"/>
    <w:rsid w:val="003D5A3C"/>
    <w:rsid w:val="003D5EC8"/>
    <w:rsid w:val="003D67D1"/>
    <w:rsid w:val="003D6825"/>
    <w:rsid w:val="003D7709"/>
    <w:rsid w:val="003E09AB"/>
    <w:rsid w:val="003E2B98"/>
    <w:rsid w:val="003E5091"/>
    <w:rsid w:val="003E6892"/>
    <w:rsid w:val="003E72AA"/>
    <w:rsid w:val="003F03AD"/>
    <w:rsid w:val="003F1530"/>
    <w:rsid w:val="003F176F"/>
    <w:rsid w:val="003F25F1"/>
    <w:rsid w:val="003F26D8"/>
    <w:rsid w:val="003F2BA5"/>
    <w:rsid w:val="003F2F20"/>
    <w:rsid w:val="003F3360"/>
    <w:rsid w:val="003F3B24"/>
    <w:rsid w:val="003F4186"/>
    <w:rsid w:val="003F4EA6"/>
    <w:rsid w:val="003F6127"/>
    <w:rsid w:val="003F64AB"/>
    <w:rsid w:val="003F6A27"/>
    <w:rsid w:val="003F6C34"/>
    <w:rsid w:val="004014E4"/>
    <w:rsid w:val="004042CE"/>
    <w:rsid w:val="00404D8A"/>
    <w:rsid w:val="0040512E"/>
    <w:rsid w:val="00405479"/>
    <w:rsid w:val="0040601C"/>
    <w:rsid w:val="004068CD"/>
    <w:rsid w:val="00406D86"/>
    <w:rsid w:val="00412273"/>
    <w:rsid w:val="004140C0"/>
    <w:rsid w:val="00414C0F"/>
    <w:rsid w:val="00414F12"/>
    <w:rsid w:val="0041686C"/>
    <w:rsid w:val="00416976"/>
    <w:rsid w:val="00421D78"/>
    <w:rsid w:val="004230AE"/>
    <w:rsid w:val="00423102"/>
    <w:rsid w:val="00423247"/>
    <w:rsid w:val="004235F8"/>
    <w:rsid w:val="0042519B"/>
    <w:rsid w:val="004252F9"/>
    <w:rsid w:val="0042546E"/>
    <w:rsid w:val="00425883"/>
    <w:rsid w:val="0042592A"/>
    <w:rsid w:val="00425E0B"/>
    <w:rsid w:val="00426558"/>
    <w:rsid w:val="00427113"/>
    <w:rsid w:val="00427740"/>
    <w:rsid w:val="00431018"/>
    <w:rsid w:val="00431E95"/>
    <w:rsid w:val="004322AA"/>
    <w:rsid w:val="004328EB"/>
    <w:rsid w:val="00434105"/>
    <w:rsid w:val="00436937"/>
    <w:rsid w:val="00441535"/>
    <w:rsid w:val="00441F67"/>
    <w:rsid w:val="004420AC"/>
    <w:rsid w:val="00442DE1"/>
    <w:rsid w:val="00443E71"/>
    <w:rsid w:val="00443F63"/>
    <w:rsid w:val="0044507A"/>
    <w:rsid w:val="004458C6"/>
    <w:rsid w:val="0044799F"/>
    <w:rsid w:val="004520C4"/>
    <w:rsid w:val="004538B0"/>
    <w:rsid w:val="00454367"/>
    <w:rsid w:val="00454575"/>
    <w:rsid w:val="00455282"/>
    <w:rsid w:val="00455534"/>
    <w:rsid w:val="00456813"/>
    <w:rsid w:val="0045693B"/>
    <w:rsid w:val="00456C98"/>
    <w:rsid w:val="00461063"/>
    <w:rsid w:val="004611E9"/>
    <w:rsid w:val="00461AC5"/>
    <w:rsid w:val="00462394"/>
    <w:rsid w:val="00463024"/>
    <w:rsid w:val="00463605"/>
    <w:rsid w:val="0046450D"/>
    <w:rsid w:val="00464584"/>
    <w:rsid w:val="0046498E"/>
    <w:rsid w:val="00465787"/>
    <w:rsid w:val="00465912"/>
    <w:rsid w:val="00467CE3"/>
    <w:rsid w:val="00470B8B"/>
    <w:rsid w:val="00470C3C"/>
    <w:rsid w:val="00471659"/>
    <w:rsid w:val="00472714"/>
    <w:rsid w:val="00473804"/>
    <w:rsid w:val="00473F39"/>
    <w:rsid w:val="00475198"/>
    <w:rsid w:val="00475DF9"/>
    <w:rsid w:val="00477118"/>
    <w:rsid w:val="00480315"/>
    <w:rsid w:val="00482570"/>
    <w:rsid w:val="00482DF7"/>
    <w:rsid w:val="00484EF4"/>
    <w:rsid w:val="004865CE"/>
    <w:rsid w:val="00490B57"/>
    <w:rsid w:val="00491BEF"/>
    <w:rsid w:val="00494E63"/>
    <w:rsid w:val="00495135"/>
    <w:rsid w:val="00495552"/>
    <w:rsid w:val="00495913"/>
    <w:rsid w:val="00495B4B"/>
    <w:rsid w:val="0049642C"/>
    <w:rsid w:val="00496F61"/>
    <w:rsid w:val="00497116"/>
    <w:rsid w:val="0049747D"/>
    <w:rsid w:val="004A05FA"/>
    <w:rsid w:val="004A0C33"/>
    <w:rsid w:val="004A0FC8"/>
    <w:rsid w:val="004A2E24"/>
    <w:rsid w:val="004A506F"/>
    <w:rsid w:val="004A61E4"/>
    <w:rsid w:val="004B0652"/>
    <w:rsid w:val="004B088A"/>
    <w:rsid w:val="004B1348"/>
    <w:rsid w:val="004B2F45"/>
    <w:rsid w:val="004B3499"/>
    <w:rsid w:val="004B3704"/>
    <w:rsid w:val="004B426B"/>
    <w:rsid w:val="004B49C5"/>
    <w:rsid w:val="004B4D85"/>
    <w:rsid w:val="004B546D"/>
    <w:rsid w:val="004B6DBA"/>
    <w:rsid w:val="004B6F27"/>
    <w:rsid w:val="004C042A"/>
    <w:rsid w:val="004C04CB"/>
    <w:rsid w:val="004C073D"/>
    <w:rsid w:val="004C19BC"/>
    <w:rsid w:val="004C1D44"/>
    <w:rsid w:val="004C3B65"/>
    <w:rsid w:val="004C3D9B"/>
    <w:rsid w:val="004C4580"/>
    <w:rsid w:val="004C5172"/>
    <w:rsid w:val="004C60E5"/>
    <w:rsid w:val="004C6488"/>
    <w:rsid w:val="004C650B"/>
    <w:rsid w:val="004C79DD"/>
    <w:rsid w:val="004C7F8D"/>
    <w:rsid w:val="004D0D59"/>
    <w:rsid w:val="004D26A5"/>
    <w:rsid w:val="004D3906"/>
    <w:rsid w:val="004D4192"/>
    <w:rsid w:val="004D43BA"/>
    <w:rsid w:val="004D7348"/>
    <w:rsid w:val="004D7DFD"/>
    <w:rsid w:val="004E09A9"/>
    <w:rsid w:val="004E0B5C"/>
    <w:rsid w:val="004E2150"/>
    <w:rsid w:val="004E2FFC"/>
    <w:rsid w:val="004E3528"/>
    <w:rsid w:val="004E4AF9"/>
    <w:rsid w:val="004E53CB"/>
    <w:rsid w:val="004E63DC"/>
    <w:rsid w:val="004E691A"/>
    <w:rsid w:val="004E6DD9"/>
    <w:rsid w:val="004F0778"/>
    <w:rsid w:val="004F30CF"/>
    <w:rsid w:val="004F3CD5"/>
    <w:rsid w:val="004F4C28"/>
    <w:rsid w:val="004F4F8B"/>
    <w:rsid w:val="004F5415"/>
    <w:rsid w:val="004F6871"/>
    <w:rsid w:val="004F7333"/>
    <w:rsid w:val="004F777F"/>
    <w:rsid w:val="004F7C0A"/>
    <w:rsid w:val="00500A80"/>
    <w:rsid w:val="00500EA3"/>
    <w:rsid w:val="00500F56"/>
    <w:rsid w:val="00501C21"/>
    <w:rsid w:val="00502A71"/>
    <w:rsid w:val="00502EFE"/>
    <w:rsid w:val="00503E21"/>
    <w:rsid w:val="00504DC3"/>
    <w:rsid w:val="00504E43"/>
    <w:rsid w:val="00506CBE"/>
    <w:rsid w:val="00506DB0"/>
    <w:rsid w:val="00511CBB"/>
    <w:rsid w:val="00511D0B"/>
    <w:rsid w:val="00512242"/>
    <w:rsid w:val="00513A3B"/>
    <w:rsid w:val="00517F01"/>
    <w:rsid w:val="00522746"/>
    <w:rsid w:val="00523676"/>
    <w:rsid w:val="00523F17"/>
    <w:rsid w:val="00524A55"/>
    <w:rsid w:val="005252B5"/>
    <w:rsid w:val="00525E51"/>
    <w:rsid w:val="005260E6"/>
    <w:rsid w:val="00527E21"/>
    <w:rsid w:val="005305DC"/>
    <w:rsid w:val="005319BC"/>
    <w:rsid w:val="00531A7F"/>
    <w:rsid w:val="00532351"/>
    <w:rsid w:val="00533090"/>
    <w:rsid w:val="005336F1"/>
    <w:rsid w:val="00533B88"/>
    <w:rsid w:val="00536A79"/>
    <w:rsid w:val="00536BC7"/>
    <w:rsid w:val="00537DC5"/>
    <w:rsid w:val="00541613"/>
    <w:rsid w:val="00542604"/>
    <w:rsid w:val="005432B8"/>
    <w:rsid w:val="00544DB0"/>
    <w:rsid w:val="005451F7"/>
    <w:rsid w:val="00547225"/>
    <w:rsid w:val="00550030"/>
    <w:rsid w:val="00552209"/>
    <w:rsid w:val="00553AF9"/>
    <w:rsid w:val="00554574"/>
    <w:rsid w:val="00555908"/>
    <w:rsid w:val="00556DD5"/>
    <w:rsid w:val="005572A2"/>
    <w:rsid w:val="0055783D"/>
    <w:rsid w:val="00557D80"/>
    <w:rsid w:val="00557DC2"/>
    <w:rsid w:val="00557F58"/>
    <w:rsid w:val="00557FB8"/>
    <w:rsid w:val="00561D03"/>
    <w:rsid w:val="005621E7"/>
    <w:rsid w:val="005625C6"/>
    <w:rsid w:val="00562F27"/>
    <w:rsid w:val="00566AAD"/>
    <w:rsid w:val="005673BA"/>
    <w:rsid w:val="0056773F"/>
    <w:rsid w:val="0056787B"/>
    <w:rsid w:val="00570369"/>
    <w:rsid w:val="00570E9E"/>
    <w:rsid w:val="00571656"/>
    <w:rsid w:val="0057298D"/>
    <w:rsid w:val="00572DAF"/>
    <w:rsid w:val="00572EBF"/>
    <w:rsid w:val="00572FC5"/>
    <w:rsid w:val="0057324C"/>
    <w:rsid w:val="005739D8"/>
    <w:rsid w:val="00574009"/>
    <w:rsid w:val="00574700"/>
    <w:rsid w:val="0057538C"/>
    <w:rsid w:val="00576B96"/>
    <w:rsid w:val="005801D2"/>
    <w:rsid w:val="00580F51"/>
    <w:rsid w:val="005812E6"/>
    <w:rsid w:val="005814B1"/>
    <w:rsid w:val="005829B8"/>
    <w:rsid w:val="0058410A"/>
    <w:rsid w:val="005842DD"/>
    <w:rsid w:val="00585B36"/>
    <w:rsid w:val="005862A6"/>
    <w:rsid w:val="00586E8E"/>
    <w:rsid w:val="005904C4"/>
    <w:rsid w:val="0059097C"/>
    <w:rsid w:val="00590BD3"/>
    <w:rsid w:val="00591118"/>
    <w:rsid w:val="005914C9"/>
    <w:rsid w:val="005937A6"/>
    <w:rsid w:val="00593D08"/>
    <w:rsid w:val="0059403E"/>
    <w:rsid w:val="0059723A"/>
    <w:rsid w:val="00597B1E"/>
    <w:rsid w:val="005A0002"/>
    <w:rsid w:val="005A0E1F"/>
    <w:rsid w:val="005A24F3"/>
    <w:rsid w:val="005A3053"/>
    <w:rsid w:val="005A30E9"/>
    <w:rsid w:val="005A32BC"/>
    <w:rsid w:val="005A3572"/>
    <w:rsid w:val="005A3795"/>
    <w:rsid w:val="005A4C96"/>
    <w:rsid w:val="005A5317"/>
    <w:rsid w:val="005A557E"/>
    <w:rsid w:val="005A58B3"/>
    <w:rsid w:val="005A6F62"/>
    <w:rsid w:val="005A7219"/>
    <w:rsid w:val="005A7C69"/>
    <w:rsid w:val="005B0844"/>
    <w:rsid w:val="005B0AEF"/>
    <w:rsid w:val="005B13CF"/>
    <w:rsid w:val="005B2D8B"/>
    <w:rsid w:val="005B2FAF"/>
    <w:rsid w:val="005B337C"/>
    <w:rsid w:val="005B3384"/>
    <w:rsid w:val="005B3AD7"/>
    <w:rsid w:val="005B48D9"/>
    <w:rsid w:val="005B4D80"/>
    <w:rsid w:val="005B6EB7"/>
    <w:rsid w:val="005C0B7F"/>
    <w:rsid w:val="005C0BFD"/>
    <w:rsid w:val="005C1384"/>
    <w:rsid w:val="005C1B1A"/>
    <w:rsid w:val="005C2125"/>
    <w:rsid w:val="005C2CDE"/>
    <w:rsid w:val="005C30CC"/>
    <w:rsid w:val="005C342B"/>
    <w:rsid w:val="005C3EDA"/>
    <w:rsid w:val="005C43F9"/>
    <w:rsid w:val="005C4D39"/>
    <w:rsid w:val="005C56B1"/>
    <w:rsid w:val="005C5758"/>
    <w:rsid w:val="005C5FCF"/>
    <w:rsid w:val="005C647E"/>
    <w:rsid w:val="005C6B6E"/>
    <w:rsid w:val="005D0568"/>
    <w:rsid w:val="005D07C7"/>
    <w:rsid w:val="005D19F3"/>
    <w:rsid w:val="005D20EE"/>
    <w:rsid w:val="005D230C"/>
    <w:rsid w:val="005D24B1"/>
    <w:rsid w:val="005D2C34"/>
    <w:rsid w:val="005D3531"/>
    <w:rsid w:val="005D47B1"/>
    <w:rsid w:val="005D4AFA"/>
    <w:rsid w:val="005D53BA"/>
    <w:rsid w:val="005D56F5"/>
    <w:rsid w:val="005D71C9"/>
    <w:rsid w:val="005E0387"/>
    <w:rsid w:val="005E067C"/>
    <w:rsid w:val="005E0979"/>
    <w:rsid w:val="005E12F4"/>
    <w:rsid w:val="005E28DD"/>
    <w:rsid w:val="005E3F08"/>
    <w:rsid w:val="005E3F7D"/>
    <w:rsid w:val="005E487F"/>
    <w:rsid w:val="005E5921"/>
    <w:rsid w:val="005F1067"/>
    <w:rsid w:val="005F2353"/>
    <w:rsid w:val="005F2E90"/>
    <w:rsid w:val="005F35EB"/>
    <w:rsid w:val="005F3885"/>
    <w:rsid w:val="005F42F0"/>
    <w:rsid w:val="005F5F45"/>
    <w:rsid w:val="005F64B8"/>
    <w:rsid w:val="005F69C1"/>
    <w:rsid w:val="005F6F86"/>
    <w:rsid w:val="005F7F76"/>
    <w:rsid w:val="005F7FEB"/>
    <w:rsid w:val="00601887"/>
    <w:rsid w:val="00602C99"/>
    <w:rsid w:val="00602FD1"/>
    <w:rsid w:val="0060303C"/>
    <w:rsid w:val="00605E5A"/>
    <w:rsid w:val="00606132"/>
    <w:rsid w:val="00606D53"/>
    <w:rsid w:val="00607006"/>
    <w:rsid w:val="006075D6"/>
    <w:rsid w:val="0061091E"/>
    <w:rsid w:val="00611415"/>
    <w:rsid w:val="006122D7"/>
    <w:rsid w:val="0061402E"/>
    <w:rsid w:val="0061482E"/>
    <w:rsid w:val="00614F26"/>
    <w:rsid w:val="006156B7"/>
    <w:rsid w:val="00616754"/>
    <w:rsid w:val="00616A10"/>
    <w:rsid w:val="00616E19"/>
    <w:rsid w:val="00616EC7"/>
    <w:rsid w:val="00616FD7"/>
    <w:rsid w:val="00620F4A"/>
    <w:rsid w:val="00622520"/>
    <w:rsid w:val="00622FD5"/>
    <w:rsid w:val="00623D97"/>
    <w:rsid w:val="00624041"/>
    <w:rsid w:val="00624479"/>
    <w:rsid w:val="006256DE"/>
    <w:rsid w:val="00625DF4"/>
    <w:rsid w:val="00626560"/>
    <w:rsid w:val="00631E86"/>
    <w:rsid w:val="00632D39"/>
    <w:rsid w:val="00633049"/>
    <w:rsid w:val="006359C3"/>
    <w:rsid w:val="00635F71"/>
    <w:rsid w:val="0063738D"/>
    <w:rsid w:val="00637C67"/>
    <w:rsid w:val="00641D29"/>
    <w:rsid w:val="0064289F"/>
    <w:rsid w:val="00642D8D"/>
    <w:rsid w:val="006440B2"/>
    <w:rsid w:val="00644E80"/>
    <w:rsid w:val="00644ED9"/>
    <w:rsid w:val="0064525F"/>
    <w:rsid w:val="006458F8"/>
    <w:rsid w:val="006470C7"/>
    <w:rsid w:val="00651CF8"/>
    <w:rsid w:val="00651EA5"/>
    <w:rsid w:val="0065282C"/>
    <w:rsid w:val="00653CA7"/>
    <w:rsid w:val="00656674"/>
    <w:rsid w:val="00660706"/>
    <w:rsid w:val="00665381"/>
    <w:rsid w:val="006663D3"/>
    <w:rsid w:val="00666E7B"/>
    <w:rsid w:val="0066711B"/>
    <w:rsid w:val="0066766A"/>
    <w:rsid w:val="006709DB"/>
    <w:rsid w:val="0067162C"/>
    <w:rsid w:val="00671865"/>
    <w:rsid w:val="006727AB"/>
    <w:rsid w:val="00673076"/>
    <w:rsid w:val="00674408"/>
    <w:rsid w:val="00674C7E"/>
    <w:rsid w:val="00674E29"/>
    <w:rsid w:val="00674EE7"/>
    <w:rsid w:val="00674F73"/>
    <w:rsid w:val="00675CBA"/>
    <w:rsid w:val="006800C0"/>
    <w:rsid w:val="006837D9"/>
    <w:rsid w:val="006863F7"/>
    <w:rsid w:val="00690B17"/>
    <w:rsid w:val="006920EA"/>
    <w:rsid w:val="00694AF9"/>
    <w:rsid w:val="006958B6"/>
    <w:rsid w:val="00696BD2"/>
    <w:rsid w:val="00697558"/>
    <w:rsid w:val="006A0C47"/>
    <w:rsid w:val="006A27C7"/>
    <w:rsid w:val="006A2E09"/>
    <w:rsid w:val="006A338B"/>
    <w:rsid w:val="006A46A6"/>
    <w:rsid w:val="006A6AF8"/>
    <w:rsid w:val="006A71B7"/>
    <w:rsid w:val="006B3391"/>
    <w:rsid w:val="006B348F"/>
    <w:rsid w:val="006B3A72"/>
    <w:rsid w:val="006B450F"/>
    <w:rsid w:val="006B5C7D"/>
    <w:rsid w:val="006B5D42"/>
    <w:rsid w:val="006B7152"/>
    <w:rsid w:val="006B7D1A"/>
    <w:rsid w:val="006C056C"/>
    <w:rsid w:val="006C07BD"/>
    <w:rsid w:val="006C2180"/>
    <w:rsid w:val="006C2E1D"/>
    <w:rsid w:val="006C3E46"/>
    <w:rsid w:val="006C626B"/>
    <w:rsid w:val="006C6485"/>
    <w:rsid w:val="006D0628"/>
    <w:rsid w:val="006D19F4"/>
    <w:rsid w:val="006D2015"/>
    <w:rsid w:val="006D3C9E"/>
    <w:rsid w:val="006D4175"/>
    <w:rsid w:val="006D4BD7"/>
    <w:rsid w:val="006D52FD"/>
    <w:rsid w:val="006D561A"/>
    <w:rsid w:val="006D5B9F"/>
    <w:rsid w:val="006D60E5"/>
    <w:rsid w:val="006D6690"/>
    <w:rsid w:val="006D67BA"/>
    <w:rsid w:val="006D729D"/>
    <w:rsid w:val="006E13B9"/>
    <w:rsid w:val="006E289E"/>
    <w:rsid w:val="006E2D02"/>
    <w:rsid w:val="006E2D42"/>
    <w:rsid w:val="006E32DF"/>
    <w:rsid w:val="006E352F"/>
    <w:rsid w:val="006E4696"/>
    <w:rsid w:val="006E5FBB"/>
    <w:rsid w:val="006E6C0E"/>
    <w:rsid w:val="006F21FB"/>
    <w:rsid w:val="006F38C4"/>
    <w:rsid w:val="006F38DD"/>
    <w:rsid w:val="006F5691"/>
    <w:rsid w:val="006F6A34"/>
    <w:rsid w:val="007017F6"/>
    <w:rsid w:val="00702250"/>
    <w:rsid w:val="0070235F"/>
    <w:rsid w:val="00702C0D"/>
    <w:rsid w:val="00703138"/>
    <w:rsid w:val="007038A2"/>
    <w:rsid w:val="007067A6"/>
    <w:rsid w:val="007079F2"/>
    <w:rsid w:val="00707DB4"/>
    <w:rsid w:val="00710972"/>
    <w:rsid w:val="007109B4"/>
    <w:rsid w:val="00711D3E"/>
    <w:rsid w:val="00711DF2"/>
    <w:rsid w:val="007146ED"/>
    <w:rsid w:val="00714EA8"/>
    <w:rsid w:val="00715BFE"/>
    <w:rsid w:val="007165C2"/>
    <w:rsid w:val="00720F10"/>
    <w:rsid w:val="007211AE"/>
    <w:rsid w:val="00721B00"/>
    <w:rsid w:val="0072276D"/>
    <w:rsid w:val="00722FE0"/>
    <w:rsid w:val="00723AC4"/>
    <w:rsid w:val="007247FB"/>
    <w:rsid w:val="0072549D"/>
    <w:rsid w:val="00725CF3"/>
    <w:rsid w:val="00727C9E"/>
    <w:rsid w:val="00732AD0"/>
    <w:rsid w:val="00732E51"/>
    <w:rsid w:val="00734653"/>
    <w:rsid w:val="007346A9"/>
    <w:rsid w:val="007346D8"/>
    <w:rsid w:val="00736211"/>
    <w:rsid w:val="00740757"/>
    <w:rsid w:val="00742517"/>
    <w:rsid w:val="007428EB"/>
    <w:rsid w:val="007439DF"/>
    <w:rsid w:val="00743AE8"/>
    <w:rsid w:val="00743CCB"/>
    <w:rsid w:val="00745E82"/>
    <w:rsid w:val="0074668C"/>
    <w:rsid w:val="00746726"/>
    <w:rsid w:val="00746949"/>
    <w:rsid w:val="00746B2A"/>
    <w:rsid w:val="00750DD2"/>
    <w:rsid w:val="0075229B"/>
    <w:rsid w:val="007526B8"/>
    <w:rsid w:val="00752C09"/>
    <w:rsid w:val="00753230"/>
    <w:rsid w:val="00753D4E"/>
    <w:rsid w:val="00754002"/>
    <w:rsid w:val="00754724"/>
    <w:rsid w:val="00754866"/>
    <w:rsid w:val="00756DCD"/>
    <w:rsid w:val="00757361"/>
    <w:rsid w:val="00762D5A"/>
    <w:rsid w:val="00763060"/>
    <w:rsid w:val="00763A11"/>
    <w:rsid w:val="007655E4"/>
    <w:rsid w:val="007656BF"/>
    <w:rsid w:val="0076589D"/>
    <w:rsid w:val="00765CAA"/>
    <w:rsid w:val="007661F9"/>
    <w:rsid w:val="00766F71"/>
    <w:rsid w:val="007719FC"/>
    <w:rsid w:val="00771D1A"/>
    <w:rsid w:val="00774970"/>
    <w:rsid w:val="00774FE6"/>
    <w:rsid w:val="007753A7"/>
    <w:rsid w:val="0078013E"/>
    <w:rsid w:val="0078069D"/>
    <w:rsid w:val="00780C38"/>
    <w:rsid w:val="007815E8"/>
    <w:rsid w:val="00781A5D"/>
    <w:rsid w:val="00782756"/>
    <w:rsid w:val="00782E70"/>
    <w:rsid w:val="00783264"/>
    <w:rsid w:val="007833CB"/>
    <w:rsid w:val="0078494E"/>
    <w:rsid w:val="007852A0"/>
    <w:rsid w:val="0078540A"/>
    <w:rsid w:val="00787C88"/>
    <w:rsid w:val="007902EE"/>
    <w:rsid w:val="0079073A"/>
    <w:rsid w:val="00790B7C"/>
    <w:rsid w:val="00791D78"/>
    <w:rsid w:val="00792B3B"/>
    <w:rsid w:val="00792EDF"/>
    <w:rsid w:val="00793444"/>
    <w:rsid w:val="00796CAF"/>
    <w:rsid w:val="00796CE5"/>
    <w:rsid w:val="007A1446"/>
    <w:rsid w:val="007A160D"/>
    <w:rsid w:val="007A297B"/>
    <w:rsid w:val="007A3407"/>
    <w:rsid w:val="007A360E"/>
    <w:rsid w:val="007A3C28"/>
    <w:rsid w:val="007A3CBF"/>
    <w:rsid w:val="007A3CCA"/>
    <w:rsid w:val="007A3EDA"/>
    <w:rsid w:val="007A413A"/>
    <w:rsid w:val="007A5939"/>
    <w:rsid w:val="007A7F4A"/>
    <w:rsid w:val="007B062B"/>
    <w:rsid w:val="007B1804"/>
    <w:rsid w:val="007B1DE8"/>
    <w:rsid w:val="007B1EBE"/>
    <w:rsid w:val="007B2426"/>
    <w:rsid w:val="007B3CED"/>
    <w:rsid w:val="007B45D7"/>
    <w:rsid w:val="007B4E40"/>
    <w:rsid w:val="007B5AD4"/>
    <w:rsid w:val="007B5C33"/>
    <w:rsid w:val="007B5F33"/>
    <w:rsid w:val="007C06F5"/>
    <w:rsid w:val="007C103B"/>
    <w:rsid w:val="007C2CBF"/>
    <w:rsid w:val="007C30F3"/>
    <w:rsid w:val="007C4089"/>
    <w:rsid w:val="007C489F"/>
    <w:rsid w:val="007C496A"/>
    <w:rsid w:val="007C5668"/>
    <w:rsid w:val="007C673B"/>
    <w:rsid w:val="007D11EF"/>
    <w:rsid w:val="007D29CF"/>
    <w:rsid w:val="007D3147"/>
    <w:rsid w:val="007D356E"/>
    <w:rsid w:val="007D3FED"/>
    <w:rsid w:val="007D571D"/>
    <w:rsid w:val="007D5B62"/>
    <w:rsid w:val="007D5F17"/>
    <w:rsid w:val="007D7455"/>
    <w:rsid w:val="007D7AAF"/>
    <w:rsid w:val="007E056B"/>
    <w:rsid w:val="007E105E"/>
    <w:rsid w:val="007E113E"/>
    <w:rsid w:val="007E36F6"/>
    <w:rsid w:val="007E3D21"/>
    <w:rsid w:val="007E3DEF"/>
    <w:rsid w:val="007E7213"/>
    <w:rsid w:val="007E7253"/>
    <w:rsid w:val="007E77B5"/>
    <w:rsid w:val="007E7C1C"/>
    <w:rsid w:val="007F0F97"/>
    <w:rsid w:val="007F3D3F"/>
    <w:rsid w:val="007F3E1F"/>
    <w:rsid w:val="007F3EB4"/>
    <w:rsid w:val="007F43E3"/>
    <w:rsid w:val="007F47FF"/>
    <w:rsid w:val="007F4F26"/>
    <w:rsid w:val="007F56EE"/>
    <w:rsid w:val="007F6E43"/>
    <w:rsid w:val="007F7E0F"/>
    <w:rsid w:val="0080209C"/>
    <w:rsid w:val="00802361"/>
    <w:rsid w:val="00802E3B"/>
    <w:rsid w:val="00803298"/>
    <w:rsid w:val="00803323"/>
    <w:rsid w:val="0080382F"/>
    <w:rsid w:val="0080550F"/>
    <w:rsid w:val="008078A7"/>
    <w:rsid w:val="0081258D"/>
    <w:rsid w:val="0081414F"/>
    <w:rsid w:val="00814DE5"/>
    <w:rsid w:val="00815050"/>
    <w:rsid w:val="00815807"/>
    <w:rsid w:val="008158D1"/>
    <w:rsid w:val="00817207"/>
    <w:rsid w:val="0081781E"/>
    <w:rsid w:val="00817C15"/>
    <w:rsid w:val="00817F57"/>
    <w:rsid w:val="008200C5"/>
    <w:rsid w:val="00822D1E"/>
    <w:rsid w:val="00822D68"/>
    <w:rsid w:val="0082514E"/>
    <w:rsid w:val="00826488"/>
    <w:rsid w:val="00827AC6"/>
    <w:rsid w:val="00827E2C"/>
    <w:rsid w:val="00831247"/>
    <w:rsid w:val="008329CF"/>
    <w:rsid w:val="008337DA"/>
    <w:rsid w:val="00833AF8"/>
    <w:rsid w:val="00833E83"/>
    <w:rsid w:val="00834F0C"/>
    <w:rsid w:val="00836563"/>
    <w:rsid w:val="00836EF3"/>
    <w:rsid w:val="00837F4B"/>
    <w:rsid w:val="00841603"/>
    <w:rsid w:val="00841881"/>
    <w:rsid w:val="0084371E"/>
    <w:rsid w:val="00845659"/>
    <w:rsid w:val="00845A5A"/>
    <w:rsid w:val="008467B0"/>
    <w:rsid w:val="00846E5F"/>
    <w:rsid w:val="0084756C"/>
    <w:rsid w:val="008500E1"/>
    <w:rsid w:val="00851914"/>
    <w:rsid w:val="008532CE"/>
    <w:rsid w:val="00853A19"/>
    <w:rsid w:val="00855487"/>
    <w:rsid w:val="00856457"/>
    <w:rsid w:val="00857F3C"/>
    <w:rsid w:val="0086078A"/>
    <w:rsid w:val="00860BF7"/>
    <w:rsid w:val="00861CDB"/>
    <w:rsid w:val="008622F5"/>
    <w:rsid w:val="008628C6"/>
    <w:rsid w:val="00863A41"/>
    <w:rsid w:val="00864907"/>
    <w:rsid w:val="00865D51"/>
    <w:rsid w:val="008662FE"/>
    <w:rsid w:val="008670E4"/>
    <w:rsid w:val="00867137"/>
    <w:rsid w:val="00867849"/>
    <w:rsid w:val="008717D6"/>
    <w:rsid w:val="00871D6E"/>
    <w:rsid w:val="008721CB"/>
    <w:rsid w:val="0087343B"/>
    <w:rsid w:val="00873D38"/>
    <w:rsid w:val="00873E5D"/>
    <w:rsid w:val="0087620C"/>
    <w:rsid w:val="00882F86"/>
    <w:rsid w:val="00883B4D"/>
    <w:rsid w:val="00883B63"/>
    <w:rsid w:val="008849A6"/>
    <w:rsid w:val="00885314"/>
    <w:rsid w:val="008873F3"/>
    <w:rsid w:val="00887F36"/>
    <w:rsid w:val="00890C78"/>
    <w:rsid w:val="008912A6"/>
    <w:rsid w:val="00891BF2"/>
    <w:rsid w:val="0089321E"/>
    <w:rsid w:val="008936C9"/>
    <w:rsid w:val="00893F0E"/>
    <w:rsid w:val="0089489B"/>
    <w:rsid w:val="0089621D"/>
    <w:rsid w:val="00896ED1"/>
    <w:rsid w:val="00897253"/>
    <w:rsid w:val="008973EA"/>
    <w:rsid w:val="00897903"/>
    <w:rsid w:val="008A01D5"/>
    <w:rsid w:val="008A1329"/>
    <w:rsid w:val="008A1D91"/>
    <w:rsid w:val="008A27FA"/>
    <w:rsid w:val="008A407E"/>
    <w:rsid w:val="008A43F4"/>
    <w:rsid w:val="008A5152"/>
    <w:rsid w:val="008A58C9"/>
    <w:rsid w:val="008A735E"/>
    <w:rsid w:val="008A7377"/>
    <w:rsid w:val="008A783F"/>
    <w:rsid w:val="008B072B"/>
    <w:rsid w:val="008B0CF5"/>
    <w:rsid w:val="008B135B"/>
    <w:rsid w:val="008B3800"/>
    <w:rsid w:val="008B551A"/>
    <w:rsid w:val="008B57B1"/>
    <w:rsid w:val="008B5CCF"/>
    <w:rsid w:val="008B6027"/>
    <w:rsid w:val="008B605D"/>
    <w:rsid w:val="008B6444"/>
    <w:rsid w:val="008B775E"/>
    <w:rsid w:val="008C002D"/>
    <w:rsid w:val="008C12EF"/>
    <w:rsid w:val="008C1AC3"/>
    <w:rsid w:val="008C218F"/>
    <w:rsid w:val="008C2652"/>
    <w:rsid w:val="008C2C3C"/>
    <w:rsid w:val="008C5906"/>
    <w:rsid w:val="008D076A"/>
    <w:rsid w:val="008D0EA8"/>
    <w:rsid w:val="008D110C"/>
    <w:rsid w:val="008D1622"/>
    <w:rsid w:val="008D20E5"/>
    <w:rsid w:val="008D2B4E"/>
    <w:rsid w:val="008D3F0E"/>
    <w:rsid w:val="008D4395"/>
    <w:rsid w:val="008E1057"/>
    <w:rsid w:val="008E1704"/>
    <w:rsid w:val="008E2D6B"/>
    <w:rsid w:val="008E424F"/>
    <w:rsid w:val="008E5934"/>
    <w:rsid w:val="008E5B62"/>
    <w:rsid w:val="008E6BA9"/>
    <w:rsid w:val="008E77E2"/>
    <w:rsid w:val="008F0A92"/>
    <w:rsid w:val="008F2299"/>
    <w:rsid w:val="008F53F6"/>
    <w:rsid w:val="008F5DF9"/>
    <w:rsid w:val="008F6988"/>
    <w:rsid w:val="008F77BE"/>
    <w:rsid w:val="009007AC"/>
    <w:rsid w:val="009008D3"/>
    <w:rsid w:val="009019A7"/>
    <w:rsid w:val="009030D2"/>
    <w:rsid w:val="009034E1"/>
    <w:rsid w:val="00903A5D"/>
    <w:rsid w:val="00903BBA"/>
    <w:rsid w:val="0090474E"/>
    <w:rsid w:val="00905D02"/>
    <w:rsid w:val="009101B3"/>
    <w:rsid w:val="0091077D"/>
    <w:rsid w:val="009115A9"/>
    <w:rsid w:val="00911988"/>
    <w:rsid w:val="00912DD5"/>
    <w:rsid w:val="00913E5C"/>
    <w:rsid w:val="00915D80"/>
    <w:rsid w:val="0091736C"/>
    <w:rsid w:val="00917A00"/>
    <w:rsid w:val="00917E7D"/>
    <w:rsid w:val="00920259"/>
    <w:rsid w:val="0092072F"/>
    <w:rsid w:val="0092215A"/>
    <w:rsid w:val="00923A8B"/>
    <w:rsid w:val="009244E0"/>
    <w:rsid w:val="00924BC5"/>
    <w:rsid w:val="00926984"/>
    <w:rsid w:val="00927639"/>
    <w:rsid w:val="00927B55"/>
    <w:rsid w:val="00927EC4"/>
    <w:rsid w:val="0093092E"/>
    <w:rsid w:val="0093387B"/>
    <w:rsid w:val="00933D99"/>
    <w:rsid w:val="00934DC2"/>
    <w:rsid w:val="00934E12"/>
    <w:rsid w:val="00935EB4"/>
    <w:rsid w:val="00936C7E"/>
    <w:rsid w:val="009406A7"/>
    <w:rsid w:val="00940E35"/>
    <w:rsid w:val="0094122B"/>
    <w:rsid w:val="00941AD8"/>
    <w:rsid w:val="00942834"/>
    <w:rsid w:val="0094295D"/>
    <w:rsid w:val="00943135"/>
    <w:rsid w:val="00943492"/>
    <w:rsid w:val="00944394"/>
    <w:rsid w:val="00944B6B"/>
    <w:rsid w:val="009457B7"/>
    <w:rsid w:val="009459D9"/>
    <w:rsid w:val="009465C1"/>
    <w:rsid w:val="00946B27"/>
    <w:rsid w:val="009476E4"/>
    <w:rsid w:val="00947CC0"/>
    <w:rsid w:val="00950475"/>
    <w:rsid w:val="00950B90"/>
    <w:rsid w:val="00952DA3"/>
    <w:rsid w:val="00952DA6"/>
    <w:rsid w:val="009541B6"/>
    <w:rsid w:val="009549A9"/>
    <w:rsid w:val="009550F3"/>
    <w:rsid w:val="00955A90"/>
    <w:rsid w:val="009564E8"/>
    <w:rsid w:val="00956714"/>
    <w:rsid w:val="0095688C"/>
    <w:rsid w:val="00960C92"/>
    <w:rsid w:val="00961DC4"/>
    <w:rsid w:val="00961F32"/>
    <w:rsid w:val="009621AA"/>
    <w:rsid w:val="0096265E"/>
    <w:rsid w:val="00963084"/>
    <w:rsid w:val="0096376A"/>
    <w:rsid w:val="009639F6"/>
    <w:rsid w:val="00964EA8"/>
    <w:rsid w:val="0096673E"/>
    <w:rsid w:val="00966DB8"/>
    <w:rsid w:val="00967133"/>
    <w:rsid w:val="00967CEC"/>
    <w:rsid w:val="009725CE"/>
    <w:rsid w:val="00972BFA"/>
    <w:rsid w:val="00973C8B"/>
    <w:rsid w:val="009753AB"/>
    <w:rsid w:val="00975E60"/>
    <w:rsid w:val="0097759B"/>
    <w:rsid w:val="00977FF3"/>
    <w:rsid w:val="009801CD"/>
    <w:rsid w:val="009824A9"/>
    <w:rsid w:val="00982BE1"/>
    <w:rsid w:val="00983375"/>
    <w:rsid w:val="0098508C"/>
    <w:rsid w:val="00985630"/>
    <w:rsid w:val="009863AE"/>
    <w:rsid w:val="0098658A"/>
    <w:rsid w:val="0098676D"/>
    <w:rsid w:val="009876EC"/>
    <w:rsid w:val="009903C3"/>
    <w:rsid w:val="00990A4F"/>
    <w:rsid w:val="00991487"/>
    <w:rsid w:val="00991863"/>
    <w:rsid w:val="009921FA"/>
    <w:rsid w:val="00992852"/>
    <w:rsid w:val="00992F96"/>
    <w:rsid w:val="009934D5"/>
    <w:rsid w:val="00993BCC"/>
    <w:rsid w:val="00995C89"/>
    <w:rsid w:val="00995D9B"/>
    <w:rsid w:val="00996506"/>
    <w:rsid w:val="0099659F"/>
    <w:rsid w:val="00997E6B"/>
    <w:rsid w:val="009A1F34"/>
    <w:rsid w:val="009A1F4E"/>
    <w:rsid w:val="009A2A10"/>
    <w:rsid w:val="009A2DDD"/>
    <w:rsid w:val="009A3570"/>
    <w:rsid w:val="009A558A"/>
    <w:rsid w:val="009A6539"/>
    <w:rsid w:val="009A71E1"/>
    <w:rsid w:val="009A77E6"/>
    <w:rsid w:val="009B0A06"/>
    <w:rsid w:val="009B149E"/>
    <w:rsid w:val="009B1A29"/>
    <w:rsid w:val="009B210A"/>
    <w:rsid w:val="009B2A76"/>
    <w:rsid w:val="009B54B5"/>
    <w:rsid w:val="009B5881"/>
    <w:rsid w:val="009B6397"/>
    <w:rsid w:val="009B66FB"/>
    <w:rsid w:val="009B70A6"/>
    <w:rsid w:val="009B74AB"/>
    <w:rsid w:val="009C043E"/>
    <w:rsid w:val="009C0529"/>
    <w:rsid w:val="009C0FF8"/>
    <w:rsid w:val="009C1115"/>
    <w:rsid w:val="009C1840"/>
    <w:rsid w:val="009C31AC"/>
    <w:rsid w:val="009C6571"/>
    <w:rsid w:val="009D045B"/>
    <w:rsid w:val="009D0A8A"/>
    <w:rsid w:val="009D0A92"/>
    <w:rsid w:val="009D0B35"/>
    <w:rsid w:val="009D2480"/>
    <w:rsid w:val="009D29CC"/>
    <w:rsid w:val="009D4640"/>
    <w:rsid w:val="009D4EA8"/>
    <w:rsid w:val="009D5055"/>
    <w:rsid w:val="009D79E2"/>
    <w:rsid w:val="009D7A9F"/>
    <w:rsid w:val="009E0836"/>
    <w:rsid w:val="009E115A"/>
    <w:rsid w:val="009E1957"/>
    <w:rsid w:val="009E259A"/>
    <w:rsid w:val="009E3C77"/>
    <w:rsid w:val="009E57E2"/>
    <w:rsid w:val="009E5FC9"/>
    <w:rsid w:val="009E726C"/>
    <w:rsid w:val="009E74B1"/>
    <w:rsid w:val="009E7A2F"/>
    <w:rsid w:val="009E7B17"/>
    <w:rsid w:val="009E7FCE"/>
    <w:rsid w:val="009F01DF"/>
    <w:rsid w:val="009F0201"/>
    <w:rsid w:val="009F046D"/>
    <w:rsid w:val="009F30F0"/>
    <w:rsid w:val="009F34A1"/>
    <w:rsid w:val="009F37A2"/>
    <w:rsid w:val="009F405A"/>
    <w:rsid w:val="009F5C54"/>
    <w:rsid w:val="009F6D2E"/>
    <w:rsid w:val="009F70D6"/>
    <w:rsid w:val="009F7163"/>
    <w:rsid w:val="00A0090C"/>
    <w:rsid w:val="00A01844"/>
    <w:rsid w:val="00A0232B"/>
    <w:rsid w:val="00A02346"/>
    <w:rsid w:val="00A03E16"/>
    <w:rsid w:val="00A04CFC"/>
    <w:rsid w:val="00A06DD4"/>
    <w:rsid w:val="00A073F4"/>
    <w:rsid w:val="00A10CBF"/>
    <w:rsid w:val="00A12561"/>
    <w:rsid w:val="00A1294E"/>
    <w:rsid w:val="00A12BDC"/>
    <w:rsid w:val="00A16FA6"/>
    <w:rsid w:val="00A2006B"/>
    <w:rsid w:val="00A20228"/>
    <w:rsid w:val="00A21597"/>
    <w:rsid w:val="00A2186B"/>
    <w:rsid w:val="00A21898"/>
    <w:rsid w:val="00A22C51"/>
    <w:rsid w:val="00A243CC"/>
    <w:rsid w:val="00A2558E"/>
    <w:rsid w:val="00A26003"/>
    <w:rsid w:val="00A26E24"/>
    <w:rsid w:val="00A27ADB"/>
    <w:rsid w:val="00A27DB7"/>
    <w:rsid w:val="00A32490"/>
    <w:rsid w:val="00A3299A"/>
    <w:rsid w:val="00A33369"/>
    <w:rsid w:val="00A3356E"/>
    <w:rsid w:val="00A339E9"/>
    <w:rsid w:val="00A354EC"/>
    <w:rsid w:val="00A358B0"/>
    <w:rsid w:val="00A363C7"/>
    <w:rsid w:val="00A36568"/>
    <w:rsid w:val="00A41E05"/>
    <w:rsid w:val="00A42558"/>
    <w:rsid w:val="00A428B0"/>
    <w:rsid w:val="00A43300"/>
    <w:rsid w:val="00A43919"/>
    <w:rsid w:val="00A43974"/>
    <w:rsid w:val="00A43992"/>
    <w:rsid w:val="00A43B00"/>
    <w:rsid w:val="00A4609E"/>
    <w:rsid w:val="00A46FEC"/>
    <w:rsid w:val="00A47D30"/>
    <w:rsid w:val="00A521F3"/>
    <w:rsid w:val="00A53355"/>
    <w:rsid w:val="00A5385B"/>
    <w:rsid w:val="00A5457B"/>
    <w:rsid w:val="00A54D17"/>
    <w:rsid w:val="00A5595C"/>
    <w:rsid w:val="00A568A9"/>
    <w:rsid w:val="00A6067F"/>
    <w:rsid w:val="00A60C25"/>
    <w:rsid w:val="00A60D11"/>
    <w:rsid w:val="00A63B1E"/>
    <w:rsid w:val="00A63E09"/>
    <w:rsid w:val="00A63E36"/>
    <w:rsid w:val="00A64FAE"/>
    <w:rsid w:val="00A670AE"/>
    <w:rsid w:val="00A70136"/>
    <w:rsid w:val="00A7135D"/>
    <w:rsid w:val="00A718FA"/>
    <w:rsid w:val="00A73B25"/>
    <w:rsid w:val="00A758E8"/>
    <w:rsid w:val="00A76394"/>
    <w:rsid w:val="00A76957"/>
    <w:rsid w:val="00A77E8D"/>
    <w:rsid w:val="00A77F5C"/>
    <w:rsid w:val="00A8023E"/>
    <w:rsid w:val="00A805B0"/>
    <w:rsid w:val="00A8093D"/>
    <w:rsid w:val="00A8123F"/>
    <w:rsid w:val="00A812CD"/>
    <w:rsid w:val="00A82378"/>
    <w:rsid w:val="00A82836"/>
    <w:rsid w:val="00A82D74"/>
    <w:rsid w:val="00A82EDC"/>
    <w:rsid w:val="00A8305F"/>
    <w:rsid w:val="00A83814"/>
    <w:rsid w:val="00A8385F"/>
    <w:rsid w:val="00A84541"/>
    <w:rsid w:val="00A84B77"/>
    <w:rsid w:val="00A856D5"/>
    <w:rsid w:val="00A85A0C"/>
    <w:rsid w:val="00A85E2F"/>
    <w:rsid w:val="00A85F72"/>
    <w:rsid w:val="00A866A0"/>
    <w:rsid w:val="00A873A3"/>
    <w:rsid w:val="00A87A4D"/>
    <w:rsid w:val="00A907F9"/>
    <w:rsid w:val="00A90AB4"/>
    <w:rsid w:val="00A93D83"/>
    <w:rsid w:val="00A95331"/>
    <w:rsid w:val="00A95D62"/>
    <w:rsid w:val="00A9794D"/>
    <w:rsid w:val="00A97A9F"/>
    <w:rsid w:val="00AA06CC"/>
    <w:rsid w:val="00AA0770"/>
    <w:rsid w:val="00AA2158"/>
    <w:rsid w:val="00AA2C51"/>
    <w:rsid w:val="00AA2CB3"/>
    <w:rsid w:val="00AA3C42"/>
    <w:rsid w:val="00AA5518"/>
    <w:rsid w:val="00AA55EE"/>
    <w:rsid w:val="00AA5EF8"/>
    <w:rsid w:val="00AA6C19"/>
    <w:rsid w:val="00AA6FD8"/>
    <w:rsid w:val="00AA7EA9"/>
    <w:rsid w:val="00AA7FA8"/>
    <w:rsid w:val="00AB1BD7"/>
    <w:rsid w:val="00AB1C4F"/>
    <w:rsid w:val="00AB5D75"/>
    <w:rsid w:val="00AB5F9C"/>
    <w:rsid w:val="00AB624A"/>
    <w:rsid w:val="00AB6501"/>
    <w:rsid w:val="00AB7DB3"/>
    <w:rsid w:val="00AC0190"/>
    <w:rsid w:val="00AC1987"/>
    <w:rsid w:val="00AC1BFB"/>
    <w:rsid w:val="00AC340D"/>
    <w:rsid w:val="00AC348C"/>
    <w:rsid w:val="00AC3C22"/>
    <w:rsid w:val="00AC4ADD"/>
    <w:rsid w:val="00AC4DC9"/>
    <w:rsid w:val="00AC5377"/>
    <w:rsid w:val="00AC53FA"/>
    <w:rsid w:val="00AC5612"/>
    <w:rsid w:val="00AC58B1"/>
    <w:rsid w:val="00AC7BD3"/>
    <w:rsid w:val="00AC7F76"/>
    <w:rsid w:val="00AD18F1"/>
    <w:rsid w:val="00AD29A0"/>
    <w:rsid w:val="00AD29BF"/>
    <w:rsid w:val="00AD5005"/>
    <w:rsid w:val="00AD5938"/>
    <w:rsid w:val="00AD628D"/>
    <w:rsid w:val="00AD7C69"/>
    <w:rsid w:val="00AE0391"/>
    <w:rsid w:val="00AE131D"/>
    <w:rsid w:val="00AE2FE7"/>
    <w:rsid w:val="00AE36A5"/>
    <w:rsid w:val="00AE56CD"/>
    <w:rsid w:val="00AE679A"/>
    <w:rsid w:val="00AE7DBC"/>
    <w:rsid w:val="00AF071F"/>
    <w:rsid w:val="00AF0CB9"/>
    <w:rsid w:val="00AF171A"/>
    <w:rsid w:val="00AF251A"/>
    <w:rsid w:val="00AF2E1A"/>
    <w:rsid w:val="00AF3035"/>
    <w:rsid w:val="00AF3447"/>
    <w:rsid w:val="00AF6882"/>
    <w:rsid w:val="00AF6D65"/>
    <w:rsid w:val="00AF763B"/>
    <w:rsid w:val="00B026E0"/>
    <w:rsid w:val="00B02D54"/>
    <w:rsid w:val="00B0416D"/>
    <w:rsid w:val="00B042E4"/>
    <w:rsid w:val="00B043FF"/>
    <w:rsid w:val="00B053A5"/>
    <w:rsid w:val="00B0642C"/>
    <w:rsid w:val="00B07211"/>
    <w:rsid w:val="00B10F6E"/>
    <w:rsid w:val="00B13199"/>
    <w:rsid w:val="00B13436"/>
    <w:rsid w:val="00B14889"/>
    <w:rsid w:val="00B16050"/>
    <w:rsid w:val="00B16C59"/>
    <w:rsid w:val="00B206BD"/>
    <w:rsid w:val="00B20740"/>
    <w:rsid w:val="00B21C0F"/>
    <w:rsid w:val="00B2251A"/>
    <w:rsid w:val="00B27E97"/>
    <w:rsid w:val="00B30849"/>
    <w:rsid w:val="00B31157"/>
    <w:rsid w:val="00B31EB2"/>
    <w:rsid w:val="00B32452"/>
    <w:rsid w:val="00B32882"/>
    <w:rsid w:val="00B328FD"/>
    <w:rsid w:val="00B33547"/>
    <w:rsid w:val="00B33CB5"/>
    <w:rsid w:val="00B34251"/>
    <w:rsid w:val="00B34D0F"/>
    <w:rsid w:val="00B34F34"/>
    <w:rsid w:val="00B358F8"/>
    <w:rsid w:val="00B36FAB"/>
    <w:rsid w:val="00B375C4"/>
    <w:rsid w:val="00B37C57"/>
    <w:rsid w:val="00B37D81"/>
    <w:rsid w:val="00B409D6"/>
    <w:rsid w:val="00B451E4"/>
    <w:rsid w:val="00B47B11"/>
    <w:rsid w:val="00B512B2"/>
    <w:rsid w:val="00B522E0"/>
    <w:rsid w:val="00B52D5C"/>
    <w:rsid w:val="00B53719"/>
    <w:rsid w:val="00B538D5"/>
    <w:rsid w:val="00B53D9A"/>
    <w:rsid w:val="00B557E2"/>
    <w:rsid w:val="00B55A16"/>
    <w:rsid w:val="00B56179"/>
    <w:rsid w:val="00B57AE8"/>
    <w:rsid w:val="00B60631"/>
    <w:rsid w:val="00B65BE8"/>
    <w:rsid w:val="00B669F0"/>
    <w:rsid w:val="00B670CA"/>
    <w:rsid w:val="00B67997"/>
    <w:rsid w:val="00B67C41"/>
    <w:rsid w:val="00B710E5"/>
    <w:rsid w:val="00B72315"/>
    <w:rsid w:val="00B72380"/>
    <w:rsid w:val="00B72400"/>
    <w:rsid w:val="00B74BD9"/>
    <w:rsid w:val="00B74CB2"/>
    <w:rsid w:val="00B755E2"/>
    <w:rsid w:val="00B75BE6"/>
    <w:rsid w:val="00B763EA"/>
    <w:rsid w:val="00B77909"/>
    <w:rsid w:val="00B80046"/>
    <w:rsid w:val="00B81FBF"/>
    <w:rsid w:val="00B82B9D"/>
    <w:rsid w:val="00B83A0E"/>
    <w:rsid w:val="00B84919"/>
    <w:rsid w:val="00B84C5D"/>
    <w:rsid w:val="00B8513A"/>
    <w:rsid w:val="00B863B9"/>
    <w:rsid w:val="00B9077D"/>
    <w:rsid w:val="00B919AC"/>
    <w:rsid w:val="00B92E86"/>
    <w:rsid w:val="00B93121"/>
    <w:rsid w:val="00B9481A"/>
    <w:rsid w:val="00B94FF4"/>
    <w:rsid w:val="00B950C7"/>
    <w:rsid w:val="00B95B52"/>
    <w:rsid w:val="00B964DD"/>
    <w:rsid w:val="00B9719F"/>
    <w:rsid w:val="00B97910"/>
    <w:rsid w:val="00BA0890"/>
    <w:rsid w:val="00BA29EB"/>
    <w:rsid w:val="00BA3855"/>
    <w:rsid w:val="00BA3BB5"/>
    <w:rsid w:val="00BA3BE3"/>
    <w:rsid w:val="00BA42A9"/>
    <w:rsid w:val="00BA4DD2"/>
    <w:rsid w:val="00BA5031"/>
    <w:rsid w:val="00BA601D"/>
    <w:rsid w:val="00BA733E"/>
    <w:rsid w:val="00BB1465"/>
    <w:rsid w:val="00BB17B5"/>
    <w:rsid w:val="00BB3715"/>
    <w:rsid w:val="00BB3B50"/>
    <w:rsid w:val="00BB4203"/>
    <w:rsid w:val="00BB4890"/>
    <w:rsid w:val="00BB7290"/>
    <w:rsid w:val="00BC022B"/>
    <w:rsid w:val="00BC1E62"/>
    <w:rsid w:val="00BC1EE1"/>
    <w:rsid w:val="00BC20F0"/>
    <w:rsid w:val="00BC74CA"/>
    <w:rsid w:val="00BC7A58"/>
    <w:rsid w:val="00BC7E0E"/>
    <w:rsid w:val="00BD079E"/>
    <w:rsid w:val="00BD1053"/>
    <w:rsid w:val="00BD1737"/>
    <w:rsid w:val="00BD320E"/>
    <w:rsid w:val="00BD58C4"/>
    <w:rsid w:val="00BD5F6E"/>
    <w:rsid w:val="00BD7285"/>
    <w:rsid w:val="00BD74D1"/>
    <w:rsid w:val="00BD7806"/>
    <w:rsid w:val="00BE0679"/>
    <w:rsid w:val="00BE1F4E"/>
    <w:rsid w:val="00BE7EB1"/>
    <w:rsid w:val="00BF10DF"/>
    <w:rsid w:val="00BF1426"/>
    <w:rsid w:val="00BF159F"/>
    <w:rsid w:val="00BF27B8"/>
    <w:rsid w:val="00BF34F5"/>
    <w:rsid w:val="00BF392B"/>
    <w:rsid w:val="00BF3A1C"/>
    <w:rsid w:val="00BF3E8B"/>
    <w:rsid w:val="00BF4C17"/>
    <w:rsid w:val="00BF5B11"/>
    <w:rsid w:val="00BF66AE"/>
    <w:rsid w:val="00BF7A50"/>
    <w:rsid w:val="00BF7FE2"/>
    <w:rsid w:val="00C02314"/>
    <w:rsid w:val="00C0235E"/>
    <w:rsid w:val="00C02D26"/>
    <w:rsid w:val="00C032B5"/>
    <w:rsid w:val="00C04400"/>
    <w:rsid w:val="00C049F8"/>
    <w:rsid w:val="00C067E9"/>
    <w:rsid w:val="00C06B73"/>
    <w:rsid w:val="00C10E3F"/>
    <w:rsid w:val="00C11306"/>
    <w:rsid w:val="00C12559"/>
    <w:rsid w:val="00C128CA"/>
    <w:rsid w:val="00C12FBF"/>
    <w:rsid w:val="00C13A5B"/>
    <w:rsid w:val="00C13A70"/>
    <w:rsid w:val="00C1473A"/>
    <w:rsid w:val="00C16883"/>
    <w:rsid w:val="00C206B9"/>
    <w:rsid w:val="00C2193B"/>
    <w:rsid w:val="00C2205A"/>
    <w:rsid w:val="00C22C8B"/>
    <w:rsid w:val="00C24561"/>
    <w:rsid w:val="00C24BA3"/>
    <w:rsid w:val="00C25644"/>
    <w:rsid w:val="00C26CD5"/>
    <w:rsid w:val="00C27202"/>
    <w:rsid w:val="00C27C3E"/>
    <w:rsid w:val="00C302C9"/>
    <w:rsid w:val="00C31B11"/>
    <w:rsid w:val="00C33847"/>
    <w:rsid w:val="00C33D16"/>
    <w:rsid w:val="00C3436F"/>
    <w:rsid w:val="00C35E23"/>
    <w:rsid w:val="00C369DF"/>
    <w:rsid w:val="00C37982"/>
    <w:rsid w:val="00C401C0"/>
    <w:rsid w:val="00C4089E"/>
    <w:rsid w:val="00C428E3"/>
    <w:rsid w:val="00C42CA6"/>
    <w:rsid w:val="00C44046"/>
    <w:rsid w:val="00C468E1"/>
    <w:rsid w:val="00C46AF8"/>
    <w:rsid w:val="00C46C1A"/>
    <w:rsid w:val="00C47A20"/>
    <w:rsid w:val="00C47E12"/>
    <w:rsid w:val="00C503D3"/>
    <w:rsid w:val="00C5168F"/>
    <w:rsid w:val="00C524B5"/>
    <w:rsid w:val="00C53349"/>
    <w:rsid w:val="00C53373"/>
    <w:rsid w:val="00C563F6"/>
    <w:rsid w:val="00C56623"/>
    <w:rsid w:val="00C56DF2"/>
    <w:rsid w:val="00C56E40"/>
    <w:rsid w:val="00C600C3"/>
    <w:rsid w:val="00C6022F"/>
    <w:rsid w:val="00C60DEC"/>
    <w:rsid w:val="00C61220"/>
    <w:rsid w:val="00C61425"/>
    <w:rsid w:val="00C620AB"/>
    <w:rsid w:val="00C65747"/>
    <w:rsid w:val="00C66301"/>
    <w:rsid w:val="00C70003"/>
    <w:rsid w:val="00C700C9"/>
    <w:rsid w:val="00C71BF7"/>
    <w:rsid w:val="00C734B7"/>
    <w:rsid w:val="00C75DC6"/>
    <w:rsid w:val="00C75E1D"/>
    <w:rsid w:val="00C763F4"/>
    <w:rsid w:val="00C76D59"/>
    <w:rsid w:val="00C76D73"/>
    <w:rsid w:val="00C77829"/>
    <w:rsid w:val="00C81699"/>
    <w:rsid w:val="00C8238B"/>
    <w:rsid w:val="00C84217"/>
    <w:rsid w:val="00C85468"/>
    <w:rsid w:val="00C860B6"/>
    <w:rsid w:val="00C91314"/>
    <w:rsid w:val="00C9253F"/>
    <w:rsid w:val="00C94231"/>
    <w:rsid w:val="00C968CE"/>
    <w:rsid w:val="00C97320"/>
    <w:rsid w:val="00CA12E5"/>
    <w:rsid w:val="00CA1DFB"/>
    <w:rsid w:val="00CA2B14"/>
    <w:rsid w:val="00CA34C0"/>
    <w:rsid w:val="00CA34CC"/>
    <w:rsid w:val="00CA3672"/>
    <w:rsid w:val="00CA36E7"/>
    <w:rsid w:val="00CA3B32"/>
    <w:rsid w:val="00CA4DB2"/>
    <w:rsid w:val="00CA4E4E"/>
    <w:rsid w:val="00CA5E2D"/>
    <w:rsid w:val="00CA7065"/>
    <w:rsid w:val="00CA7B22"/>
    <w:rsid w:val="00CA7B6B"/>
    <w:rsid w:val="00CB093E"/>
    <w:rsid w:val="00CB39AB"/>
    <w:rsid w:val="00CB5F06"/>
    <w:rsid w:val="00CC013D"/>
    <w:rsid w:val="00CC17A8"/>
    <w:rsid w:val="00CC23A2"/>
    <w:rsid w:val="00CC2827"/>
    <w:rsid w:val="00CC4017"/>
    <w:rsid w:val="00CC4092"/>
    <w:rsid w:val="00CC4CAE"/>
    <w:rsid w:val="00CC4F6F"/>
    <w:rsid w:val="00CC5611"/>
    <w:rsid w:val="00CC5848"/>
    <w:rsid w:val="00CC6911"/>
    <w:rsid w:val="00CC71FC"/>
    <w:rsid w:val="00CC7474"/>
    <w:rsid w:val="00CD386C"/>
    <w:rsid w:val="00CD4CB0"/>
    <w:rsid w:val="00CD5884"/>
    <w:rsid w:val="00CD6678"/>
    <w:rsid w:val="00CE14FA"/>
    <w:rsid w:val="00CE1E99"/>
    <w:rsid w:val="00CE3CA3"/>
    <w:rsid w:val="00CE40A0"/>
    <w:rsid w:val="00CE5AD2"/>
    <w:rsid w:val="00CE705C"/>
    <w:rsid w:val="00CF0109"/>
    <w:rsid w:val="00CF04DD"/>
    <w:rsid w:val="00CF1078"/>
    <w:rsid w:val="00CF1276"/>
    <w:rsid w:val="00CF1A02"/>
    <w:rsid w:val="00CF31DB"/>
    <w:rsid w:val="00CF3718"/>
    <w:rsid w:val="00CF3CA9"/>
    <w:rsid w:val="00CF48C1"/>
    <w:rsid w:val="00CF6D17"/>
    <w:rsid w:val="00CF6F18"/>
    <w:rsid w:val="00CF7007"/>
    <w:rsid w:val="00CF7DBA"/>
    <w:rsid w:val="00D00949"/>
    <w:rsid w:val="00D00C97"/>
    <w:rsid w:val="00D01E60"/>
    <w:rsid w:val="00D021CE"/>
    <w:rsid w:val="00D0333A"/>
    <w:rsid w:val="00D03BBC"/>
    <w:rsid w:val="00D03EAE"/>
    <w:rsid w:val="00D06690"/>
    <w:rsid w:val="00D06D12"/>
    <w:rsid w:val="00D06EC3"/>
    <w:rsid w:val="00D07674"/>
    <w:rsid w:val="00D0779B"/>
    <w:rsid w:val="00D1037C"/>
    <w:rsid w:val="00D10618"/>
    <w:rsid w:val="00D10690"/>
    <w:rsid w:val="00D10BE4"/>
    <w:rsid w:val="00D11B99"/>
    <w:rsid w:val="00D12716"/>
    <w:rsid w:val="00D12B81"/>
    <w:rsid w:val="00D12DEF"/>
    <w:rsid w:val="00D13408"/>
    <w:rsid w:val="00D1571E"/>
    <w:rsid w:val="00D15ED1"/>
    <w:rsid w:val="00D1618D"/>
    <w:rsid w:val="00D16491"/>
    <w:rsid w:val="00D164D2"/>
    <w:rsid w:val="00D17596"/>
    <w:rsid w:val="00D201C1"/>
    <w:rsid w:val="00D203FF"/>
    <w:rsid w:val="00D210A0"/>
    <w:rsid w:val="00D21167"/>
    <w:rsid w:val="00D21FD3"/>
    <w:rsid w:val="00D234A5"/>
    <w:rsid w:val="00D237DB"/>
    <w:rsid w:val="00D25325"/>
    <w:rsid w:val="00D259D7"/>
    <w:rsid w:val="00D25FCD"/>
    <w:rsid w:val="00D2626F"/>
    <w:rsid w:val="00D31967"/>
    <w:rsid w:val="00D3567B"/>
    <w:rsid w:val="00D359ED"/>
    <w:rsid w:val="00D36447"/>
    <w:rsid w:val="00D36891"/>
    <w:rsid w:val="00D36A2F"/>
    <w:rsid w:val="00D36F48"/>
    <w:rsid w:val="00D3770D"/>
    <w:rsid w:val="00D40866"/>
    <w:rsid w:val="00D409C3"/>
    <w:rsid w:val="00D409DF"/>
    <w:rsid w:val="00D40FA5"/>
    <w:rsid w:val="00D4145C"/>
    <w:rsid w:val="00D42EE8"/>
    <w:rsid w:val="00D43652"/>
    <w:rsid w:val="00D4414C"/>
    <w:rsid w:val="00D46591"/>
    <w:rsid w:val="00D46E4F"/>
    <w:rsid w:val="00D47F7A"/>
    <w:rsid w:val="00D50DD9"/>
    <w:rsid w:val="00D53235"/>
    <w:rsid w:val="00D54247"/>
    <w:rsid w:val="00D552A4"/>
    <w:rsid w:val="00D55992"/>
    <w:rsid w:val="00D56148"/>
    <w:rsid w:val="00D562EE"/>
    <w:rsid w:val="00D565A7"/>
    <w:rsid w:val="00D567FF"/>
    <w:rsid w:val="00D56A75"/>
    <w:rsid w:val="00D574B2"/>
    <w:rsid w:val="00D607D2"/>
    <w:rsid w:val="00D613CC"/>
    <w:rsid w:val="00D62C41"/>
    <w:rsid w:val="00D6310F"/>
    <w:rsid w:val="00D63B1A"/>
    <w:rsid w:val="00D63CE4"/>
    <w:rsid w:val="00D6430F"/>
    <w:rsid w:val="00D70E8E"/>
    <w:rsid w:val="00D724E3"/>
    <w:rsid w:val="00D72D9A"/>
    <w:rsid w:val="00D737EE"/>
    <w:rsid w:val="00D7469E"/>
    <w:rsid w:val="00D765F1"/>
    <w:rsid w:val="00D7675B"/>
    <w:rsid w:val="00D80294"/>
    <w:rsid w:val="00D81676"/>
    <w:rsid w:val="00D82E02"/>
    <w:rsid w:val="00D82EF3"/>
    <w:rsid w:val="00D84FBB"/>
    <w:rsid w:val="00D859CD"/>
    <w:rsid w:val="00D871A8"/>
    <w:rsid w:val="00D87349"/>
    <w:rsid w:val="00D901B8"/>
    <w:rsid w:val="00D91055"/>
    <w:rsid w:val="00D9112E"/>
    <w:rsid w:val="00D913B3"/>
    <w:rsid w:val="00D91689"/>
    <w:rsid w:val="00D92977"/>
    <w:rsid w:val="00D92A69"/>
    <w:rsid w:val="00D93263"/>
    <w:rsid w:val="00D9352C"/>
    <w:rsid w:val="00D93A18"/>
    <w:rsid w:val="00D94A3D"/>
    <w:rsid w:val="00D9564E"/>
    <w:rsid w:val="00D957D0"/>
    <w:rsid w:val="00D966F5"/>
    <w:rsid w:val="00DA1608"/>
    <w:rsid w:val="00DA2B46"/>
    <w:rsid w:val="00DA4139"/>
    <w:rsid w:val="00DA5FEA"/>
    <w:rsid w:val="00DA76FB"/>
    <w:rsid w:val="00DA7867"/>
    <w:rsid w:val="00DB0004"/>
    <w:rsid w:val="00DB0378"/>
    <w:rsid w:val="00DB1364"/>
    <w:rsid w:val="00DB2ACD"/>
    <w:rsid w:val="00DB4314"/>
    <w:rsid w:val="00DB5497"/>
    <w:rsid w:val="00DC112C"/>
    <w:rsid w:val="00DC1813"/>
    <w:rsid w:val="00DC220F"/>
    <w:rsid w:val="00DC29AD"/>
    <w:rsid w:val="00DC699C"/>
    <w:rsid w:val="00DC7C52"/>
    <w:rsid w:val="00DD0075"/>
    <w:rsid w:val="00DD02E2"/>
    <w:rsid w:val="00DD12EC"/>
    <w:rsid w:val="00DD13E1"/>
    <w:rsid w:val="00DD26BA"/>
    <w:rsid w:val="00DD2D1A"/>
    <w:rsid w:val="00DD3493"/>
    <w:rsid w:val="00DD49A2"/>
    <w:rsid w:val="00DD558E"/>
    <w:rsid w:val="00DD5C65"/>
    <w:rsid w:val="00DE01AE"/>
    <w:rsid w:val="00DE165B"/>
    <w:rsid w:val="00DE275A"/>
    <w:rsid w:val="00DE3145"/>
    <w:rsid w:val="00DE49D6"/>
    <w:rsid w:val="00DE4A66"/>
    <w:rsid w:val="00DE4E5E"/>
    <w:rsid w:val="00DE6325"/>
    <w:rsid w:val="00DE76CF"/>
    <w:rsid w:val="00DE7BE6"/>
    <w:rsid w:val="00DF08F3"/>
    <w:rsid w:val="00DF0941"/>
    <w:rsid w:val="00DF1551"/>
    <w:rsid w:val="00DF2A8D"/>
    <w:rsid w:val="00DF2A9C"/>
    <w:rsid w:val="00DF3202"/>
    <w:rsid w:val="00DF33A7"/>
    <w:rsid w:val="00DF3841"/>
    <w:rsid w:val="00DF3986"/>
    <w:rsid w:val="00DF4199"/>
    <w:rsid w:val="00DF47FC"/>
    <w:rsid w:val="00DF5E71"/>
    <w:rsid w:val="00DF639A"/>
    <w:rsid w:val="00DF69A4"/>
    <w:rsid w:val="00DF7914"/>
    <w:rsid w:val="00E0008C"/>
    <w:rsid w:val="00E00B99"/>
    <w:rsid w:val="00E00E96"/>
    <w:rsid w:val="00E01228"/>
    <w:rsid w:val="00E01D48"/>
    <w:rsid w:val="00E03578"/>
    <w:rsid w:val="00E03994"/>
    <w:rsid w:val="00E03CE9"/>
    <w:rsid w:val="00E05693"/>
    <w:rsid w:val="00E06732"/>
    <w:rsid w:val="00E069BB"/>
    <w:rsid w:val="00E06ACB"/>
    <w:rsid w:val="00E0738D"/>
    <w:rsid w:val="00E11797"/>
    <w:rsid w:val="00E12535"/>
    <w:rsid w:val="00E12A34"/>
    <w:rsid w:val="00E1305F"/>
    <w:rsid w:val="00E1701D"/>
    <w:rsid w:val="00E17159"/>
    <w:rsid w:val="00E1723F"/>
    <w:rsid w:val="00E1780D"/>
    <w:rsid w:val="00E20FB9"/>
    <w:rsid w:val="00E21285"/>
    <w:rsid w:val="00E22E28"/>
    <w:rsid w:val="00E22EBE"/>
    <w:rsid w:val="00E24AA8"/>
    <w:rsid w:val="00E26BA5"/>
    <w:rsid w:val="00E2735C"/>
    <w:rsid w:val="00E31DBA"/>
    <w:rsid w:val="00E328EE"/>
    <w:rsid w:val="00E32F4C"/>
    <w:rsid w:val="00E34EA5"/>
    <w:rsid w:val="00E351E9"/>
    <w:rsid w:val="00E354FF"/>
    <w:rsid w:val="00E36554"/>
    <w:rsid w:val="00E4029D"/>
    <w:rsid w:val="00E40CF9"/>
    <w:rsid w:val="00E4135F"/>
    <w:rsid w:val="00E42218"/>
    <w:rsid w:val="00E44C22"/>
    <w:rsid w:val="00E454D8"/>
    <w:rsid w:val="00E4640A"/>
    <w:rsid w:val="00E515E6"/>
    <w:rsid w:val="00E5209A"/>
    <w:rsid w:val="00E5397C"/>
    <w:rsid w:val="00E53B97"/>
    <w:rsid w:val="00E53C5F"/>
    <w:rsid w:val="00E55CEA"/>
    <w:rsid w:val="00E55F35"/>
    <w:rsid w:val="00E560E5"/>
    <w:rsid w:val="00E57D45"/>
    <w:rsid w:val="00E6065F"/>
    <w:rsid w:val="00E61367"/>
    <w:rsid w:val="00E62C90"/>
    <w:rsid w:val="00E64FE4"/>
    <w:rsid w:val="00E653C6"/>
    <w:rsid w:val="00E653F6"/>
    <w:rsid w:val="00E666BE"/>
    <w:rsid w:val="00E66A57"/>
    <w:rsid w:val="00E70139"/>
    <w:rsid w:val="00E70506"/>
    <w:rsid w:val="00E71A92"/>
    <w:rsid w:val="00E71C66"/>
    <w:rsid w:val="00E71E05"/>
    <w:rsid w:val="00E71E2B"/>
    <w:rsid w:val="00E72E62"/>
    <w:rsid w:val="00E74595"/>
    <w:rsid w:val="00E75107"/>
    <w:rsid w:val="00E7750D"/>
    <w:rsid w:val="00E81F06"/>
    <w:rsid w:val="00E8530D"/>
    <w:rsid w:val="00E864D5"/>
    <w:rsid w:val="00E870C4"/>
    <w:rsid w:val="00E878D7"/>
    <w:rsid w:val="00E87BA5"/>
    <w:rsid w:val="00E87BEF"/>
    <w:rsid w:val="00E92114"/>
    <w:rsid w:val="00E932D2"/>
    <w:rsid w:val="00E94049"/>
    <w:rsid w:val="00E9585B"/>
    <w:rsid w:val="00E95C85"/>
    <w:rsid w:val="00E965BA"/>
    <w:rsid w:val="00E967C6"/>
    <w:rsid w:val="00E97119"/>
    <w:rsid w:val="00EA1A77"/>
    <w:rsid w:val="00EA2C38"/>
    <w:rsid w:val="00EA31E4"/>
    <w:rsid w:val="00EA35AA"/>
    <w:rsid w:val="00EA4198"/>
    <w:rsid w:val="00EA7174"/>
    <w:rsid w:val="00EA7F41"/>
    <w:rsid w:val="00EB06B3"/>
    <w:rsid w:val="00EB0D51"/>
    <w:rsid w:val="00EB2476"/>
    <w:rsid w:val="00EB3783"/>
    <w:rsid w:val="00EB3AA1"/>
    <w:rsid w:val="00EB4208"/>
    <w:rsid w:val="00EB4B5C"/>
    <w:rsid w:val="00EB5663"/>
    <w:rsid w:val="00EC013A"/>
    <w:rsid w:val="00EC1DE6"/>
    <w:rsid w:val="00EC4A2B"/>
    <w:rsid w:val="00ED0472"/>
    <w:rsid w:val="00ED0916"/>
    <w:rsid w:val="00ED0B0E"/>
    <w:rsid w:val="00ED0E4E"/>
    <w:rsid w:val="00ED1F6C"/>
    <w:rsid w:val="00ED237B"/>
    <w:rsid w:val="00ED28E6"/>
    <w:rsid w:val="00ED296E"/>
    <w:rsid w:val="00ED37C7"/>
    <w:rsid w:val="00ED4696"/>
    <w:rsid w:val="00ED4712"/>
    <w:rsid w:val="00ED4976"/>
    <w:rsid w:val="00ED4BDA"/>
    <w:rsid w:val="00ED515F"/>
    <w:rsid w:val="00ED55FD"/>
    <w:rsid w:val="00ED568A"/>
    <w:rsid w:val="00ED64C3"/>
    <w:rsid w:val="00ED7334"/>
    <w:rsid w:val="00ED7525"/>
    <w:rsid w:val="00EE0B28"/>
    <w:rsid w:val="00EE0D20"/>
    <w:rsid w:val="00EE13A1"/>
    <w:rsid w:val="00EE3436"/>
    <w:rsid w:val="00EE362C"/>
    <w:rsid w:val="00EE3C7F"/>
    <w:rsid w:val="00EE64C1"/>
    <w:rsid w:val="00EF0261"/>
    <w:rsid w:val="00EF09F1"/>
    <w:rsid w:val="00EF1553"/>
    <w:rsid w:val="00EF1913"/>
    <w:rsid w:val="00EF19D0"/>
    <w:rsid w:val="00EF1E10"/>
    <w:rsid w:val="00EF21CA"/>
    <w:rsid w:val="00EF23A2"/>
    <w:rsid w:val="00EF2509"/>
    <w:rsid w:val="00EF29E3"/>
    <w:rsid w:val="00EF3116"/>
    <w:rsid w:val="00EF323D"/>
    <w:rsid w:val="00EF476E"/>
    <w:rsid w:val="00EF501F"/>
    <w:rsid w:val="00EF52B6"/>
    <w:rsid w:val="00EF5BAD"/>
    <w:rsid w:val="00EF6F2C"/>
    <w:rsid w:val="00EF79BF"/>
    <w:rsid w:val="00F00A18"/>
    <w:rsid w:val="00F028A2"/>
    <w:rsid w:val="00F03CCC"/>
    <w:rsid w:val="00F03F4B"/>
    <w:rsid w:val="00F04D5D"/>
    <w:rsid w:val="00F04E88"/>
    <w:rsid w:val="00F07019"/>
    <w:rsid w:val="00F0728D"/>
    <w:rsid w:val="00F0784A"/>
    <w:rsid w:val="00F100A5"/>
    <w:rsid w:val="00F117BB"/>
    <w:rsid w:val="00F12091"/>
    <w:rsid w:val="00F1375E"/>
    <w:rsid w:val="00F15A92"/>
    <w:rsid w:val="00F162C8"/>
    <w:rsid w:val="00F1694F"/>
    <w:rsid w:val="00F207CE"/>
    <w:rsid w:val="00F21362"/>
    <w:rsid w:val="00F21A65"/>
    <w:rsid w:val="00F22D89"/>
    <w:rsid w:val="00F238DA"/>
    <w:rsid w:val="00F23B43"/>
    <w:rsid w:val="00F25359"/>
    <w:rsid w:val="00F253E8"/>
    <w:rsid w:val="00F257D3"/>
    <w:rsid w:val="00F25E07"/>
    <w:rsid w:val="00F264C2"/>
    <w:rsid w:val="00F26788"/>
    <w:rsid w:val="00F26AA0"/>
    <w:rsid w:val="00F26CAA"/>
    <w:rsid w:val="00F27906"/>
    <w:rsid w:val="00F30221"/>
    <w:rsid w:val="00F32882"/>
    <w:rsid w:val="00F34999"/>
    <w:rsid w:val="00F3686D"/>
    <w:rsid w:val="00F368D5"/>
    <w:rsid w:val="00F3776D"/>
    <w:rsid w:val="00F40CAF"/>
    <w:rsid w:val="00F41940"/>
    <w:rsid w:val="00F41E94"/>
    <w:rsid w:val="00F4251E"/>
    <w:rsid w:val="00F43B0D"/>
    <w:rsid w:val="00F45E71"/>
    <w:rsid w:val="00F45F0F"/>
    <w:rsid w:val="00F46204"/>
    <w:rsid w:val="00F463C9"/>
    <w:rsid w:val="00F506B2"/>
    <w:rsid w:val="00F506BE"/>
    <w:rsid w:val="00F5107A"/>
    <w:rsid w:val="00F54447"/>
    <w:rsid w:val="00F54E89"/>
    <w:rsid w:val="00F57586"/>
    <w:rsid w:val="00F579DD"/>
    <w:rsid w:val="00F61D6E"/>
    <w:rsid w:val="00F61E4A"/>
    <w:rsid w:val="00F62840"/>
    <w:rsid w:val="00F6423E"/>
    <w:rsid w:val="00F6476D"/>
    <w:rsid w:val="00F6697C"/>
    <w:rsid w:val="00F6746D"/>
    <w:rsid w:val="00F70762"/>
    <w:rsid w:val="00F70F8E"/>
    <w:rsid w:val="00F71652"/>
    <w:rsid w:val="00F71A3D"/>
    <w:rsid w:val="00F71E42"/>
    <w:rsid w:val="00F72A01"/>
    <w:rsid w:val="00F72BE8"/>
    <w:rsid w:val="00F72C34"/>
    <w:rsid w:val="00F743B4"/>
    <w:rsid w:val="00F74B90"/>
    <w:rsid w:val="00F754F1"/>
    <w:rsid w:val="00F81E7B"/>
    <w:rsid w:val="00F83941"/>
    <w:rsid w:val="00F857ED"/>
    <w:rsid w:val="00F85C23"/>
    <w:rsid w:val="00F868F1"/>
    <w:rsid w:val="00F9047A"/>
    <w:rsid w:val="00F907D0"/>
    <w:rsid w:val="00F92715"/>
    <w:rsid w:val="00F939D9"/>
    <w:rsid w:val="00F93ACE"/>
    <w:rsid w:val="00F93AFC"/>
    <w:rsid w:val="00F96588"/>
    <w:rsid w:val="00F96627"/>
    <w:rsid w:val="00F967A9"/>
    <w:rsid w:val="00F96C72"/>
    <w:rsid w:val="00F9715C"/>
    <w:rsid w:val="00FA009C"/>
    <w:rsid w:val="00FA0282"/>
    <w:rsid w:val="00FA0C97"/>
    <w:rsid w:val="00FA0D41"/>
    <w:rsid w:val="00FA18D4"/>
    <w:rsid w:val="00FA1A3B"/>
    <w:rsid w:val="00FA3034"/>
    <w:rsid w:val="00FA4729"/>
    <w:rsid w:val="00FA4ED5"/>
    <w:rsid w:val="00FA530B"/>
    <w:rsid w:val="00FB014F"/>
    <w:rsid w:val="00FB0580"/>
    <w:rsid w:val="00FB2637"/>
    <w:rsid w:val="00FB2C74"/>
    <w:rsid w:val="00FB2ED7"/>
    <w:rsid w:val="00FB3F5D"/>
    <w:rsid w:val="00FB40AA"/>
    <w:rsid w:val="00FB4A3E"/>
    <w:rsid w:val="00FB4ED4"/>
    <w:rsid w:val="00FB535F"/>
    <w:rsid w:val="00FB5667"/>
    <w:rsid w:val="00FB5803"/>
    <w:rsid w:val="00FC12B5"/>
    <w:rsid w:val="00FC1454"/>
    <w:rsid w:val="00FC2F47"/>
    <w:rsid w:val="00FC32B3"/>
    <w:rsid w:val="00FC42A3"/>
    <w:rsid w:val="00FC44F1"/>
    <w:rsid w:val="00FC46FA"/>
    <w:rsid w:val="00FC4EED"/>
    <w:rsid w:val="00FC5552"/>
    <w:rsid w:val="00FC55F1"/>
    <w:rsid w:val="00FC637F"/>
    <w:rsid w:val="00FC6E1D"/>
    <w:rsid w:val="00FD0400"/>
    <w:rsid w:val="00FD07D9"/>
    <w:rsid w:val="00FD08C5"/>
    <w:rsid w:val="00FD1995"/>
    <w:rsid w:val="00FD2191"/>
    <w:rsid w:val="00FD3069"/>
    <w:rsid w:val="00FD366D"/>
    <w:rsid w:val="00FD3AE3"/>
    <w:rsid w:val="00FD43B2"/>
    <w:rsid w:val="00FD5A22"/>
    <w:rsid w:val="00FD65BF"/>
    <w:rsid w:val="00FD6816"/>
    <w:rsid w:val="00FD6A10"/>
    <w:rsid w:val="00FD73BD"/>
    <w:rsid w:val="00FD7661"/>
    <w:rsid w:val="00FE0C79"/>
    <w:rsid w:val="00FE224E"/>
    <w:rsid w:val="00FE4383"/>
    <w:rsid w:val="00FE69C1"/>
    <w:rsid w:val="00FF0389"/>
    <w:rsid w:val="00FF0960"/>
    <w:rsid w:val="00FF2537"/>
    <w:rsid w:val="00FF3851"/>
    <w:rsid w:val="00FF4888"/>
    <w:rsid w:val="00FF54C9"/>
    <w:rsid w:val="00FF67CE"/>
    <w:rsid w:val="00FF6E0D"/>
    <w:rsid w:val="00FF79EC"/>
    <w:rsid w:val="010A29DC"/>
    <w:rsid w:val="016C71F3"/>
    <w:rsid w:val="02BD20E3"/>
    <w:rsid w:val="03487496"/>
    <w:rsid w:val="04476073"/>
    <w:rsid w:val="05855EEC"/>
    <w:rsid w:val="058A5E9A"/>
    <w:rsid w:val="05C425E3"/>
    <w:rsid w:val="07A502FF"/>
    <w:rsid w:val="07C72F83"/>
    <w:rsid w:val="07DE7B41"/>
    <w:rsid w:val="08002443"/>
    <w:rsid w:val="0822685D"/>
    <w:rsid w:val="085F52C3"/>
    <w:rsid w:val="08820598"/>
    <w:rsid w:val="09075CB8"/>
    <w:rsid w:val="09815806"/>
    <w:rsid w:val="09CD67BD"/>
    <w:rsid w:val="09D21BBD"/>
    <w:rsid w:val="0A013CC4"/>
    <w:rsid w:val="0A1B3564"/>
    <w:rsid w:val="0A29089B"/>
    <w:rsid w:val="0A9C4909"/>
    <w:rsid w:val="0AD860D1"/>
    <w:rsid w:val="0AE622BA"/>
    <w:rsid w:val="0B7E013F"/>
    <w:rsid w:val="0C37049C"/>
    <w:rsid w:val="0CD5088F"/>
    <w:rsid w:val="0D5B3A6D"/>
    <w:rsid w:val="0DF668CF"/>
    <w:rsid w:val="0ED21414"/>
    <w:rsid w:val="0EFC02FC"/>
    <w:rsid w:val="0F501D99"/>
    <w:rsid w:val="0FA1275E"/>
    <w:rsid w:val="0FAF31B0"/>
    <w:rsid w:val="0FE64614"/>
    <w:rsid w:val="104D44FD"/>
    <w:rsid w:val="106D183A"/>
    <w:rsid w:val="10CF32FA"/>
    <w:rsid w:val="10DC1574"/>
    <w:rsid w:val="112A6783"/>
    <w:rsid w:val="114C66F9"/>
    <w:rsid w:val="11861420"/>
    <w:rsid w:val="11B0442C"/>
    <w:rsid w:val="11E15093"/>
    <w:rsid w:val="121A67F7"/>
    <w:rsid w:val="13016218"/>
    <w:rsid w:val="13E4101E"/>
    <w:rsid w:val="13EC5F71"/>
    <w:rsid w:val="14665900"/>
    <w:rsid w:val="14834114"/>
    <w:rsid w:val="15137904"/>
    <w:rsid w:val="154222ED"/>
    <w:rsid w:val="157A0BE7"/>
    <w:rsid w:val="159152D8"/>
    <w:rsid w:val="15C42DE2"/>
    <w:rsid w:val="15D942D4"/>
    <w:rsid w:val="162753FF"/>
    <w:rsid w:val="16B32D77"/>
    <w:rsid w:val="179B06B9"/>
    <w:rsid w:val="18035AC4"/>
    <w:rsid w:val="190F1BE1"/>
    <w:rsid w:val="1A9A1477"/>
    <w:rsid w:val="1A9C3430"/>
    <w:rsid w:val="1B205FCC"/>
    <w:rsid w:val="1B446693"/>
    <w:rsid w:val="1B6D0844"/>
    <w:rsid w:val="1BFB31F6"/>
    <w:rsid w:val="1C12639B"/>
    <w:rsid w:val="1C1C22EA"/>
    <w:rsid w:val="1C207895"/>
    <w:rsid w:val="1C8B27CB"/>
    <w:rsid w:val="1CB67F57"/>
    <w:rsid w:val="1D047440"/>
    <w:rsid w:val="1D060B2E"/>
    <w:rsid w:val="1D3F1F41"/>
    <w:rsid w:val="1D5A5F94"/>
    <w:rsid w:val="1D5E5986"/>
    <w:rsid w:val="1D8A4831"/>
    <w:rsid w:val="1DDB5B45"/>
    <w:rsid w:val="1EAD30EA"/>
    <w:rsid w:val="1F356839"/>
    <w:rsid w:val="1F394761"/>
    <w:rsid w:val="1F63352B"/>
    <w:rsid w:val="1FC940DC"/>
    <w:rsid w:val="1FEC6894"/>
    <w:rsid w:val="2020322B"/>
    <w:rsid w:val="202D1DEC"/>
    <w:rsid w:val="215417DB"/>
    <w:rsid w:val="22F569E0"/>
    <w:rsid w:val="23383301"/>
    <w:rsid w:val="234C0796"/>
    <w:rsid w:val="23BE3486"/>
    <w:rsid w:val="248F4CBD"/>
    <w:rsid w:val="24CA4031"/>
    <w:rsid w:val="24E050B6"/>
    <w:rsid w:val="253B5D39"/>
    <w:rsid w:val="255B6AB3"/>
    <w:rsid w:val="2561523F"/>
    <w:rsid w:val="25684B8D"/>
    <w:rsid w:val="257B6FF6"/>
    <w:rsid w:val="25D4501E"/>
    <w:rsid w:val="25F43DF1"/>
    <w:rsid w:val="26243349"/>
    <w:rsid w:val="26A747E4"/>
    <w:rsid w:val="26AE73B8"/>
    <w:rsid w:val="26C04EA1"/>
    <w:rsid w:val="26FE39C7"/>
    <w:rsid w:val="27452CEB"/>
    <w:rsid w:val="275D5307"/>
    <w:rsid w:val="27FC632B"/>
    <w:rsid w:val="2841496F"/>
    <w:rsid w:val="288C4BD9"/>
    <w:rsid w:val="289C366A"/>
    <w:rsid w:val="290A10F9"/>
    <w:rsid w:val="292813A2"/>
    <w:rsid w:val="29283FBC"/>
    <w:rsid w:val="29825DAC"/>
    <w:rsid w:val="29C93DDC"/>
    <w:rsid w:val="2A19639C"/>
    <w:rsid w:val="2A783C63"/>
    <w:rsid w:val="2AE35581"/>
    <w:rsid w:val="2AFA1FCC"/>
    <w:rsid w:val="2B726706"/>
    <w:rsid w:val="2BBC087A"/>
    <w:rsid w:val="2BEA0B0A"/>
    <w:rsid w:val="2C5869D0"/>
    <w:rsid w:val="2C665485"/>
    <w:rsid w:val="2E300293"/>
    <w:rsid w:val="2EB57234"/>
    <w:rsid w:val="2EFE7B51"/>
    <w:rsid w:val="2F512EF2"/>
    <w:rsid w:val="2F6173BC"/>
    <w:rsid w:val="30110DE2"/>
    <w:rsid w:val="307663F5"/>
    <w:rsid w:val="309B04C2"/>
    <w:rsid w:val="31211DB1"/>
    <w:rsid w:val="313B25D2"/>
    <w:rsid w:val="31616FC6"/>
    <w:rsid w:val="31CB5112"/>
    <w:rsid w:val="31ED0364"/>
    <w:rsid w:val="321A6D0A"/>
    <w:rsid w:val="32BF0681"/>
    <w:rsid w:val="32C87A38"/>
    <w:rsid w:val="32D7593D"/>
    <w:rsid w:val="32FD48AE"/>
    <w:rsid w:val="33030EB6"/>
    <w:rsid w:val="332F2BA2"/>
    <w:rsid w:val="33AC476C"/>
    <w:rsid w:val="33C87A09"/>
    <w:rsid w:val="33EA1D4E"/>
    <w:rsid w:val="34267E11"/>
    <w:rsid w:val="34E268A9"/>
    <w:rsid w:val="35C63C07"/>
    <w:rsid w:val="35DC779C"/>
    <w:rsid w:val="36174C78"/>
    <w:rsid w:val="36B14785"/>
    <w:rsid w:val="36BA7A9D"/>
    <w:rsid w:val="36C7044C"/>
    <w:rsid w:val="36F31241"/>
    <w:rsid w:val="37085BE3"/>
    <w:rsid w:val="376F0F4A"/>
    <w:rsid w:val="37A46227"/>
    <w:rsid w:val="38E4447B"/>
    <w:rsid w:val="38F41CAC"/>
    <w:rsid w:val="38FD0AD1"/>
    <w:rsid w:val="39057B83"/>
    <w:rsid w:val="3915396C"/>
    <w:rsid w:val="395947D8"/>
    <w:rsid w:val="39FC0CA0"/>
    <w:rsid w:val="3A021B8A"/>
    <w:rsid w:val="3A4C37B1"/>
    <w:rsid w:val="3A6C2288"/>
    <w:rsid w:val="3CE753A4"/>
    <w:rsid w:val="3D233C1D"/>
    <w:rsid w:val="3DD93AE7"/>
    <w:rsid w:val="3E1A70B4"/>
    <w:rsid w:val="3F110BCB"/>
    <w:rsid w:val="3F2253B7"/>
    <w:rsid w:val="3F6B1DE0"/>
    <w:rsid w:val="403041DC"/>
    <w:rsid w:val="4123518C"/>
    <w:rsid w:val="41906EED"/>
    <w:rsid w:val="41917F4D"/>
    <w:rsid w:val="41FB6582"/>
    <w:rsid w:val="42F779C3"/>
    <w:rsid w:val="43B14016"/>
    <w:rsid w:val="43D32BC8"/>
    <w:rsid w:val="43E03D0D"/>
    <w:rsid w:val="44705C7F"/>
    <w:rsid w:val="45525D88"/>
    <w:rsid w:val="455E49F0"/>
    <w:rsid w:val="45655411"/>
    <w:rsid w:val="46565349"/>
    <w:rsid w:val="46566C93"/>
    <w:rsid w:val="468B4FF2"/>
    <w:rsid w:val="46EE000D"/>
    <w:rsid w:val="4707219F"/>
    <w:rsid w:val="485F6FAF"/>
    <w:rsid w:val="486377AA"/>
    <w:rsid w:val="486A6AC5"/>
    <w:rsid w:val="48B85ED8"/>
    <w:rsid w:val="48F76FF7"/>
    <w:rsid w:val="497D50F0"/>
    <w:rsid w:val="49A8022D"/>
    <w:rsid w:val="49F27137"/>
    <w:rsid w:val="4A6C0C97"/>
    <w:rsid w:val="4A702FFD"/>
    <w:rsid w:val="4AA93872"/>
    <w:rsid w:val="4AC25FAD"/>
    <w:rsid w:val="4B1E3FB4"/>
    <w:rsid w:val="4B2F3883"/>
    <w:rsid w:val="4B7404E0"/>
    <w:rsid w:val="4BDB3175"/>
    <w:rsid w:val="4BDC3BFA"/>
    <w:rsid w:val="4BFB54F9"/>
    <w:rsid w:val="4C283C45"/>
    <w:rsid w:val="4C4D4AF8"/>
    <w:rsid w:val="4C653BF0"/>
    <w:rsid w:val="4DB1782C"/>
    <w:rsid w:val="4DBB7A1A"/>
    <w:rsid w:val="4DD13360"/>
    <w:rsid w:val="4DDD0D5D"/>
    <w:rsid w:val="4E2F6BAB"/>
    <w:rsid w:val="4E8111E8"/>
    <w:rsid w:val="4E8350EA"/>
    <w:rsid w:val="4EF516B9"/>
    <w:rsid w:val="4FBD66C3"/>
    <w:rsid w:val="50415057"/>
    <w:rsid w:val="505F2FC5"/>
    <w:rsid w:val="51306B7A"/>
    <w:rsid w:val="51DB4BBB"/>
    <w:rsid w:val="52546BE0"/>
    <w:rsid w:val="527032EE"/>
    <w:rsid w:val="537853C6"/>
    <w:rsid w:val="53DC1C2A"/>
    <w:rsid w:val="5401711E"/>
    <w:rsid w:val="5491679B"/>
    <w:rsid w:val="54A92194"/>
    <w:rsid w:val="55247373"/>
    <w:rsid w:val="552F638D"/>
    <w:rsid w:val="55CD19D1"/>
    <w:rsid w:val="56FA011E"/>
    <w:rsid w:val="572850E5"/>
    <w:rsid w:val="574F23B7"/>
    <w:rsid w:val="576E0B38"/>
    <w:rsid w:val="58006459"/>
    <w:rsid w:val="58093FC9"/>
    <w:rsid w:val="5898519A"/>
    <w:rsid w:val="5904194C"/>
    <w:rsid w:val="59393FA9"/>
    <w:rsid w:val="5B2B24A8"/>
    <w:rsid w:val="5B3A13FC"/>
    <w:rsid w:val="5B764A19"/>
    <w:rsid w:val="5C401F83"/>
    <w:rsid w:val="5C4B7DDA"/>
    <w:rsid w:val="5C717109"/>
    <w:rsid w:val="5CA41536"/>
    <w:rsid w:val="5CFF3BED"/>
    <w:rsid w:val="5D3B263B"/>
    <w:rsid w:val="5D5A7075"/>
    <w:rsid w:val="5DC57FB0"/>
    <w:rsid w:val="5DED1C97"/>
    <w:rsid w:val="5E677C9B"/>
    <w:rsid w:val="5E797FFB"/>
    <w:rsid w:val="5F7C7776"/>
    <w:rsid w:val="5FAA2AD2"/>
    <w:rsid w:val="604A6751"/>
    <w:rsid w:val="611F34A2"/>
    <w:rsid w:val="61965A39"/>
    <w:rsid w:val="61FD5165"/>
    <w:rsid w:val="623D5410"/>
    <w:rsid w:val="628A6FCD"/>
    <w:rsid w:val="62C639F3"/>
    <w:rsid w:val="62D022B3"/>
    <w:rsid w:val="62DF165D"/>
    <w:rsid w:val="63465F11"/>
    <w:rsid w:val="639D0FF4"/>
    <w:rsid w:val="63A10BD6"/>
    <w:rsid w:val="63ED1010"/>
    <w:rsid w:val="63ED599B"/>
    <w:rsid w:val="64300B2F"/>
    <w:rsid w:val="64342C4C"/>
    <w:rsid w:val="64942F08"/>
    <w:rsid w:val="662C169B"/>
    <w:rsid w:val="66383CCB"/>
    <w:rsid w:val="66B51D11"/>
    <w:rsid w:val="67137C81"/>
    <w:rsid w:val="679C11F9"/>
    <w:rsid w:val="6837468C"/>
    <w:rsid w:val="684352D5"/>
    <w:rsid w:val="6898283B"/>
    <w:rsid w:val="68D65EA4"/>
    <w:rsid w:val="695F1B1C"/>
    <w:rsid w:val="698810E4"/>
    <w:rsid w:val="699123B8"/>
    <w:rsid w:val="69A46245"/>
    <w:rsid w:val="6A024E0C"/>
    <w:rsid w:val="6A2A6732"/>
    <w:rsid w:val="6A830004"/>
    <w:rsid w:val="6A8C5FCA"/>
    <w:rsid w:val="6AE84658"/>
    <w:rsid w:val="6B120F8F"/>
    <w:rsid w:val="6B2A0A71"/>
    <w:rsid w:val="6BB169FA"/>
    <w:rsid w:val="6BE9177C"/>
    <w:rsid w:val="6C216489"/>
    <w:rsid w:val="6C2E3BA6"/>
    <w:rsid w:val="6C4169C4"/>
    <w:rsid w:val="6C571860"/>
    <w:rsid w:val="6C7E50C9"/>
    <w:rsid w:val="6CD4062A"/>
    <w:rsid w:val="6D561607"/>
    <w:rsid w:val="6DE27B06"/>
    <w:rsid w:val="6E2F7588"/>
    <w:rsid w:val="6E4B629A"/>
    <w:rsid w:val="6E851A78"/>
    <w:rsid w:val="6E865E29"/>
    <w:rsid w:val="6E9975B5"/>
    <w:rsid w:val="6ECE341F"/>
    <w:rsid w:val="6EE443CA"/>
    <w:rsid w:val="6F1B57F1"/>
    <w:rsid w:val="6F566213"/>
    <w:rsid w:val="6F631F94"/>
    <w:rsid w:val="6FD809F9"/>
    <w:rsid w:val="6FDF0931"/>
    <w:rsid w:val="70043652"/>
    <w:rsid w:val="70522ADF"/>
    <w:rsid w:val="706742A9"/>
    <w:rsid w:val="70767CAB"/>
    <w:rsid w:val="70B66A0B"/>
    <w:rsid w:val="7175385C"/>
    <w:rsid w:val="72384447"/>
    <w:rsid w:val="72C963D7"/>
    <w:rsid w:val="73442C60"/>
    <w:rsid w:val="73834BC1"/>
    <w:rsid w:val="73D963DA"/>
    <w:rsid w:val="7417580B"/>
    <w:rsid w:val="741C4C2C"/>
    <w:rsid w:val="743374C1"/>
    <w:rsid w:val="74836A59"/>
    <w:rsid w:val="74E514C2"/>
    <w:rsid w:val="750B1B93"/>
    <w:rsid w:val="75333457"/>
    <w:rsid w:val="756617C4"/>
    <w:rsid w:val="76B51D8D"/>
    <w:rsid w:val="77A62F27"/>
    <w:rsid w:val="77C305EE"/>
    <w:rsid w:val="77DD1DFC"/>
    <w:rsid w:val="77F20F30"/>
    <w:rsid w:val="79295E21"/>
    <w:rsid w:val="796B08D0"/>
    <w:rsid w:val="796C59D2"/>
    <w:rsid w:val="796F257C"/>
    <w:rsid w:val="79981742"/>
    <w:rsid w:val="79D457D6"/>
    <w:rsid w:val="7B195D05"/>
    <w:rsid w:val="7C053FD3"/>
    <w:rsid w:val="7C2E3BC1"/>
    <w:rsid w:val="7CB7787A"/>
    <w:rsid w:val="7E4A27FD"/>
    <w:rsid w:val="7E503216"/>
    <w:rsid w:val="7EA24A4B"/>
    <w:rsid w:val="7EC61571"/>
    <w:rsid w:val="7EE66086"/>
    <w:rsid w:val="7FB37454"/>
    <w:rsid w:val="7FC70160"/>
    <w:rsid w:val="B6F8A292"/>
    <w:rsid w:val="D83BDE7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uiPriority="0" w:name="List 3"/>
    <w:lsdException w:unhideWhenUsed="0" w:uiPriority="0" w:semiHidden="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7"/>
    <w:qFormat/>
    <w:uiPriority w:val="0"/>
    <w:pPr>
      <w:keepNext/>
      <w:spacing w:line="340" w:lineRule="exact"/>
      <w:outlineLvl w:val="0"/>
    </w:pPr>
    <w:rPr>
      <w:bCs/>
    </w:rPr>
  </w:style>
  <w:style w:type="paragraph" w:styleId="3">
    <w:name w:val="heading 2"/>
    <w:basedOn w:val="1"/>
    <w:next w:val="1"/>
    <w:link w:val="100"/>
    <w:autoRedefine/>
    <w:qFormat/>
    <w:uiPriority w:val="9"/>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94"/>
    <w:qFormat/>
    <w:uiPriority w:val="0"/>
    <w:pPr>
      <w:keepNext/>
      <w:keepLines/>
      <w:spacing w:before="260" w:after="260" w:line="416" w:lineRule="auto"/>
      <w:outlineLvl w:val="2"/>
    </w:pPr>
    <w:rPr>
      <w:b/>
      <w:bCs/>
      <w:sz w:val="32"/>
      <w:szCs w:val="32"/>
    </w:rPr>
  </w:style>
  <w:style w:type="paragraph" w:styleId="5">
    <w:name w:val="heading 4"/>
    <w:basedOn w:val="1"/>
    <w:next w:val="1"/>
    <w:link w:val="149"/>
    <w:autoRedefine/>
    <w:qFormat/>
    <w:uiPriority w:val="0"/>
    <w:pPr>
      <w:keepNext/>
      <w:keepLines/>
      <w:numPr>
        <w:ilvl w:val="3"/>
        <w:numId w:val="1"/>
      </w:numPr>
      <w:spacing w:before="280" w:after="290" w:line="372" w:lineRule="auto"/>
      <w:outlineLvl w:val="3"/>
    </w:pPr>
    <w:rPr>
      <w:rFonts w:ascii="宋体" w:hAnsi="Arial" w:eastAsia="黑体"/>
      <w:b/>
      <w:sz w:val="24"/>
      <w:szCs w:val="20"/>
    </w:rPr>
  </w:style>
  <w:style w:type="paragraph" w:styleId="6">
    <w:name w:val="heading 5"/>
    <w:basedOn w:val="1"/>
    <w:next w:val="7"/>
    <w:link w:val="147"/>
    <w:qFormat/>
    <w:uiPriority w:val="0"/>
    <w:pPr>
      <w:keepNext/>
      <w:keepLines/>
      <w:numPr>
        <w:ilvl w:val="4"/>
        <w:numId w:val="1"/>
      </w:numPr>
      <w:spacing w:before="280" w:after="290" w:line="372" w:lineRule="auto"/>
      <w:outlineLvl w:val="4"/>
    </w:pPr>
    <w:rPr>
      <w:b/>
      <w:sz w:val="28"/>
      <w:szCs w:val="20"/>
    </w:rPr>
  </w:style>
  <w:style w:type="paragraph" w:styleId="8">
    <w:name w:val="heading 6"/>
    <w:basedOn w:val="1"/>
    <w:next w:val="7"/>
    <w:link w:val="144"/>
    <w:autoRedefine/>
    <w:qFormat/>
    <w:uiPriority w:val="0"/>
    <w:pPr>
      <w:keepNext/>
      <w:keepLines/>
      <w:numPr>
        <w:ilvl w:val="5"/>
        <w:numId w:val="1"/>
      </w:numPr>
      <w:spacing w:before="240" w:after="64" w:line="317" w:lineRule="auto"/>
      <w:outlineLvl w:val="5"/>
    </w:pPr>
    <w:rPr>
      <w:rFonts w:ascii="Arial" w:hAnsi="Arial" w:eastAsia="黑体"/>
      <w:b/>
      <w:sz w:val="24"/>
      <w:szCs w:val="20"/>
    </w:rPr>
  </w:style>
  <w:style w:type="paragraph" w:styleId="9">
    <w:name w:val="heading 7"/>
    <w:basedOn w:val="1"/>
    <w:next w:val="7"/>
    <w:link w:val="150"/>
    <w:qFormat/>
    <w:uiPriority w:val="0"/>
    <w:pPr>
      <w:keepNext/>
      <w:keepLines/>
      <w:numPr>
        <w:ilvl w:val="6"/>
        <w:numId w:val="1"/>
      </w:numPr>
      <w:spacing w:before="240" w:after="64" w:line="317" w:lineRule="auto"/>
      <w:outlineLvl w:val="6"/>
    </w:pPr>
    <w:rPr>
      <w:b/>
      <w:sz w:val="24"/>
      <w:szCs w:val="20"/>
    </w:rPr>
  </w:style>
  <w:style w:type="paragraph" w:styleId="10">
    <w:name w:val="heading 8"/>
    <w:basedOn w:val="1"/>
    <w:next w:val="7"/>
    <w:link w:val="151"/>
    <w:autoRedefine/>
    <w:qFormat/>
    <w:uiPriority w:val="0"/>
    <w:pPr>
      <w:keepNext/>
      <w:keepLines/>
      <w:numPr>
        <w:ilvl w:val="7"/>
        <w:numId w:val="1"/>
      </w:numPr>
      <w:spacing w:before="240" w:after="64" w:line="317" w:lineRule="auto"/>
      <w:outlineLvl w:val="7"/>
    </w:pPr>
    <w:rPr>
      <w:rFonts w:ascii="Arial" w:hAnsi="Arial" w:eastAsia="黑体"/>
      <w:sz w:val="24"/>
      <w:szCs w:val="20"/>
    </w:rPr>
  </w:style>
  <w:style w:type="paragraph" w:styleId="11">
    <w:name w:val="heading 9"/>
    <w:basedOn w:val="1"/>
    <w:next w:val="7"/>
    <w:link w:val="152"/>
    <w:autoRedefine/>
    <w:qFormat/>
    <w:uiPriority w:val="0"/>
    <w:pPr>
      <w:keepNext/>
      <w:keepLines/>
      <w:numPr>
        <w:ilvl w:val="8"/>
        <w:numId w:val="1"/>
      </w:numPr>
      <w:spacing w:before="240" w:after="64" w:line="317" w:lineRule="auto"/>
      <w:outlineLvl w:val="8"/>
    </w:pPr>
    <w:rPr>
      <w:rFonts w:ascii="Arial" w:hAnsi="Arial" w:eastAsia="黑体"/>
      <w:szCs w:val="20"/>
    </w:rPr>
  </w:style>
  <w:style w:type="character" w:default="1" w:styleId="50">
    <w:name w:val="Default Paragraph Font"/>
    <w:semiHidden/>
    <w:unhideWhenUsed/>
    <w:qFormat/>
    <w:uiPriority w:val="1"/>
  </w:style>
  <w:style w:type="table" w:default="1" w:styleId="48">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autoRedefine/>
    <w:qFormat/>
    <w:uiPriority w:val="0"/>
    <w:pPr>
      <w:tabs>
        <w:tab w:val="right" w:leader="dot" w:pos="9185"/>
      </w:tabs>
      <w:adjustRightInd w:val="0"/>
      <w:spacing w:line="312" w:lineRule="atLeast"/>
      <w:ind w:left="2520"/>
      <w:textAlignment w:val="baseline"/>
    </w:pPr>
    <w:rPr>
      <w:kern w:val="0"/>
      <w:szCs w:val="20"/>
    </w:rPr>
  </w:style>
  <w:style w:type="paragraph" w:styleId="13">
    <w:name w:val="List Number"/>
    <w:basedOn w:val="1"/>
    <w:autoRedefine/>
    <w:qFormat/>
    <w:uiPriority w:val="0"/>
    <w:pPr>
      <w:widowControl/>
      <w:tabs>
        <w:tab w:val="left" w:pos="454"/>
        <w:tab w:val="left" w:pos="720"/>
        <w:tab w:val="left" w:pos="840"/>
      </w:tabs>
      <w:spacing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autoRedefine/>
    <w:qFormat/>
    <w:uiPriority w:val="0"/>
    <w:pPr>
      <w:shd w:val="clear" w:color="auto" w:fill="000080"/>
    </w:pPr>
  </w:style>
  <w:style w:type="paragraph" w:styleId="16">
    <w:name w:val="annotation text"/>
    <w:basedOn w:val="1"/>
    <w:link w:val="101"/>
    <w:autoRedefine/>
    <w:qFormat/>
    <w:uiPriority w:val="0"/>
    <w:pPr>
      <w:jc w:val="left"/>
    </w:pPr>
  </w:style>
  <w:style w:type="paragraph" w:styleId="17">
    <w:name w:val="Body Text 3"/>
    <w:basedOn w:val="1"/>
    <w:link w:val="103"/>
    <w:qFormat/>
    <w:uiPriority w:val="0"/>
    <w:pPr>
      <w:spacing w:line="500" w:lineRule="exact"/>
    </w:pPr>
    <w:rPr>
      <w:b/>
      <w:bCs/>
      <w:sz w:val="24"/>
    </w:rPr>
  </w:style>
  <w:style w:type="paragraph" w:styleId="18">
    <w:name w:val="Body Text"/>
    <w:basedOn w:val="1"/>
    <w:next w:val="1"/>
    <w:link w:val="153"/>
    <w:autoRedefine/>
    <w:qFormat/>
    <w:uiPriority w:val="0"/>
    <w:pPr>
      <w:autoSpaceDE w:val="0"/>
      <w:autoSpaceDN w:val="0"/>
      <w:adjustRightInd w:val="0"/>
      <w:spacing w:after="120"/>
      <w:jc w:val="left"/>
    </w:pPr>
    <w:rPr>
      <w:rFonts w:ascii="宋体"/>
      <w:kern w:val="0"/>
      <w:sz w:val="34"/>
      <w:szCs w:val="20"/>
    </w:rPr>
  </w:style>
  <w:style w:type="paragraph" w:styleId="19">
    <w:name w:val="Body Text Indent"/>
    <w:basedOn w:val="1"/>
    <w:qFormat/>
    <w:uiPriority w:val="0"/>
    <w:pPr>
      <w:spacing w:line="200" w:lineRule="exact"/>
      <w:ind w:firstLine="301"/>
    </w:pPr>
    <w:rPr>
      <w:rFonts w:ascii="宋体" w:hAnsi="Courier New"/>
      <w:spacing w:val="-4"/>
      <w:sz w:val="18"/>
      <w:szCs w:val="20"/>
    </w:rPr>
  </w:style>
  <w:style w:type="paragraph" w:styleId="20">
    <w:name w:val="List Number 3"/>
    <w:basedOn w:val="1"/>
    <w:autoRedefine/>
    <w:qFormat/>
    <w:uiPriority w:val="0"/>
    <w:pPr>
      <w:numPr>
        <w:ilvl w:val="0"/>
        <w:numId w:val="2"/>
      </w:numPr>
      <w:tabs>
        <w:tab w:val="left" w:pos="1200"/>
      </w:tabs>
    </w:pPr>
  </w:style>
  <w:style w:type="paragraph" w:styleId="21">
    <w:name w:val="List 2"/>
    <w:basedOn w:val="1"/>
    <w:autoRedefine/>
    <w:qFormat/>
    <w:uiPriority w:val="0"/>
    <w:pPr>
      <w:ind w:left="100" w:leftChars="200" w:hanging="200" w:hangingChars="200"/>
    </w:pPr>
    <w:rPr>
      <w:sz w:val="28"/>
    </w:rPr>
  </w:style>
  <w:style w:type="paragraph" w:styleId="22">
    <w:name w:val="Block Text"/>
    <w:basedOn w:val="1"/>
    <w:qFormat/>
    <w:uiPriority w:val="0"/>
    <w:pPr>
      <w:adjustRightInd w:val="0"/>
      <w:ind w:left="420" w:right="33"/>
      <w:jc w:val="left"/>
      <w:textAlignment w:val="baseline"/>
    </w:pPr>
    <w:rPr>
      <w:kern w:val="0"/>
      <w:sz w:val="24"/>
      <w:szCs w:val="20"/>
    </w:rPr>
  </w:style>
  <w:style w:type="paragraph" w:styleId="23">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4">
    <w:name w:val="toc 3"/>
    <w:basedOn w:val="1"/>
    <w:next w:val="1"/>
    <w:autoRedefine/>
    <w:qFormat/>
    <w:uiPriority w:val="0"/>
    <w:pPr>
      <w:ind w:left="840" w:leftChars="400"/>
    </w:pPr>
  </w:style>
  <w:style w:type="paragraph" w:styleId="25">
    <w:name w:val="Plain Text"/>
    <w:basedOn w:val="1"/>
    <w:link w:val="245"/>
    <w:qFormat/>
    <w:uiPriority w:val="0"/>
    <w:rPr>
      <w:rFonts w:ascii="宋体" w:hAnsi="Courier New"/>
      <w:szCs w:val="20"/>
    </w:rPr>
  </w:style>
  <w:style w:type="paragraph" w:styleId="26">
    <w:name w:val="toc 8"/>
    <w:basedOn w:val="1"/>
    <w:next w:val="1"/>
    <w:autoRedefine/>
    <w:qFormat/>
    <w:uiPriority w:val="0"/>
    <w:pPr>
      <w:tabs>
        <w:tab w:val="right" w:leader="dot" w:pos="9185"/>
      </w:tabs>
      <w:adjustRightInd w:val="0"/>
      <w:spacing w:line="312" w:lineRule="atLeast"/>
      <w:ind w:left="2940"/>
      <w:textAlignment w:val="baseline"/>
    </w:pPr>
    <w:rPr>
      <w:kern w:val="0"/>
      <w:szCs w:val="20"/>
    </w:rPr>
  </w:style>
  <w:style w:type="paragraph" w:styleId="27">
    <w:name w:val="Date"/>
    <w:basedOn w:val="1"/>
    <w:next w:val="1"/>
    <w:qFormat/>
    <w:uiPriority w:val="0"/>
    <w:pPr>
      <w:ind w:left="100" w:leftChars="2500"/>
    </w:pPr>
    <w:rPr>
      <w:spacing w:val="30"/>
      <w:sz w:val="28"/>
    </w:rPr>
  </w:style>
  <w:style w:type="paragraph" w:styleId="28">
    <w:name w:val="Body Text Indent 2"/>
    <w:basedOn w:val="1"/>
    <w:qFormat/>
    <w:uiPriority w:val="0"/>
    <w:pPr>
      <w:spacing w:line="400" w:lineRule="exact"/>
      <w:ind w:firstLine="480"/>
    </w:pPr>
  </w:style>
  <w:style w:type="paragraph" w:styleId="29">
    <w:name w:val="Balloon Text"/>
    <w:basedOn w:val="1"/>
    <w:autoRedefine/>
    <w:qFormat/>
    <w:uiPriority w:val="0"/>
    <w:rPr>
      <w:sz w:val="18"/>
      <w:szCs w:val="18"/>
    </w:rPr>
  </w:style>
  <w:style w:type="paragraph" w:styleId="30">
    <w:name w:val="footer"/>
    <w:basedOn w:val="1"/>
    <w:link w:val="98"/>
    <w:qFormat/>
    <w:uiPriority w:val="0"/>
    <w:pPr>
      <w:tabs>
        <w:tab w:val="center" w:pos="4153"/>
        <w:tab w:val="right" w:pos="8306"/>
      </w:tabs>
      <w:snapToGrid w:val="0"/>
      <w:jc w:val="left"/>
    </w:pPr>
    <w:rPr>
      <w:rFonts w:ascii="宋体" w:hAnsi="Courier New"/>
      <w:sz w:val="18"/>
      <w:szCs w:val="20"/>
    </w:rPr>
  </w:style>
  <w:style w:type="paragraph" w:styleId="31">
    <w:name w:val="header"/>
    <w:basedOn w:val="1"/>
    <w:link w:val="90"/>
    <w:autoRedefine/>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32">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33">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4">
    <w:name w:val="List"/>
    <w:basedOn w:val="1"/>
    <w:autoRedefine/>
    <w:qFormat/>
    <w:uiPriority w:val="0"/>
    <w:pPr>
      <w:ind w:left="200" w:hanging="200" w:hangingChars="200"/>
    </w:pPr>
    <w:rPr>
      <w:sz w:val="28"/>
    </w:rPr>
  </w:style>
  <w:style w:type="paragraph" w:styleId="35">
    <w:name w:val="toc 6"/>
    <w:basedOn w:val="1"/>
    <w:next w:val="1"/>
    <w:autoRedefine/>
    <w:qFormat/>
    <w:uiPriority w:val="0"/>
    <w:pPr>
      <w:tabs>
        <w:tab w:val="right" w:leader="dot" w:pos="9185"/>
      </w:tabs>
      <w:adjustRightInd w:val="0"/>
      <w:spacing w:line="312" w:lineRule="atLeast"/>
      <w:ind w:left="2100"/>
      <w:textAlignment w:val="baseline"/>
    </w:pPr>
    <w:rPr>
      <w:kern w:val="0"/>
      <w:szCs w:val="20"/>
    </w:rPr>
  </w:style>
  <w:style w:type="paragraph" w:styleId="36">
    <w:name w:val="List 5"/>
    <w:basedOn w:val="1"/>
    <w:qFormat/>
    <w:uiPriority w:val="0"/>
    <w:pPr>
      <w:ind w:left="2100" w:hanging="420"/>
    </w:pPr>
    <w:rPr>
      <w:szCs w:val="20"/>
    </w:rPr>
  </w:style>
  <w:style w:type="paragraph" w:styleId="37">
    <w:name w:val="Body Text Indent 3"/>
    <w:basedOn w:val="1"/>
    <w:qFormat/>
    <w:uiPriority w:val="0"/>
    <w:pPr>
      <w:spacing w:line="360" w:lineRule="auto"/>
      <w:ind w:firstLine="359" w:firstLineChars="171"/>
    </w:pPr>
  </w:style>
  <w:style w:type="paragraph" w:styleId="38">
    <w:name w:val="toc 2"/>
    <w:basedOn w:val="1"/>
    <w:next w:val="1"/>
    <w:qFormat/>
    <w:uiPriority w:val="0"/>
    <w:pPr>
      <w:ind w:left="420" w:leftChars="200"/>
    </w:pPr>
  </w:style>
  <w:style w:type="paragraph" w:styleId="39">
    <w:name w:val="toc 9"/>
    <w:basedOn w:val="1"/>
    <w:next w:val="1"/>
    <w:autoRedefine/>
    <w:qFormat/>
    <w:uiPriority w:val="0"/>
    <w:pPr>
      <w:tabs>
        <w:tab w:val="right" w:leader="dot" w:pos="9185"/>
      </w:tabs>
      <w:adjustRightInd w:val="0"/>
      <w:spacing w:line="312" w:lineRule="atLeast"/>
      <w:ind w:left="3360"/>
      <w:textAlignment w:val="baseline"/>
    </w:pPr>
    <w:rPr>
      <w:kern w:val="0"/>
      <w:szCs w:val="20"/>
    </w:rPr>
  </w:style>
  <w:style w:type="paragraph" w:styleId="40">
    <w:name w:val="Body Text 2"/>
    <w:basedOn w:val="1"/>
    <w:autoRedefine/>
    <w:qFormat/>
    <w:uiPriority w:val="0"/>
    <w:pPr>
      <w:spacing w:after="120" w:line="480" w:lineRule="auto"/>
    </w:p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43">
    <w:name w:val="index 1"/>
    <w:basedOn w:val="1"/>
    <w:next w:val="1"/>
    <w:autoRedefine/>
    <w:qFormat/>
    <w:uiPriority w:val="0"/>
    <w:pPr>
      <w:spacing w:line="360" w:lineRule="exact"/>
      <w:ind w:firstLine="432" w:firstLineChars="240"/>
    </w:pPr>
    <w:rPr>
      <w:rFonts w:ascii="宋体" w:hAnsi="宋体"/>
      <w:bCs/>
      <w:sz w:val="18"/>
      <w:szCs w:val="18"/>
    </w:rPr>
  </w:style>
  <w:style w:type="paragraph" w:styleId="44">
    <w:name w:val="Title"/>
    <w:basedOn w:val="1"/>
    <w:next w:val="1"/>
    <w:autoRedefine/>
    <w:qFormat/>
    <w:uiPriority w:val="0"/>
    <w:pPr>
      <w:spacing w:before="240" w:after="60"/>
      <w:jc w:val="center"/>
      <w:outlineLvl w:val="0"/>
    </w:pPr>
    <w:rPr>
      <w:rFonts w:ascii="Arial" w:hAnsi="Arial"/>
      <w:b/>
      <w:sz w:val="32"/>
      <w:szCs w:val="20"/>
    </w:rPr>
  </w:style>
  <w:style w:type="paragraph" w:styleId="45">
    <w:name w:val="annotation subject"/>
    <w:basedOn w:val="16"/>
    <w:next w:val="16"/>
    <w:qFormat/>
    <w:uiPriority w:val="0"/>
    <w:rPr>
      <w:b/>
      <w:bCs/>
    </w:rPr>
  </w:style>
  <w:style w:type="paragraph" w:styleId="46">
    <w:name w:val="Body Text First Indent"/>
    <w:basedOn w:val="18"/>
    <w:autoRedefine/>
    <w:qFormat/>
    <w:uiPriority w:val="0"/>
    <w:pPr>
      <w:adjustRightInd w:val="0"/>
      <w:snapToGrid w:val="0"/>
      <w:spacing w:after="120" w:line="360" w:lineRule="auto"/>
      <w:ind w:right="240" w:firstLine="420" w:firstLineChars="100"/>
      <w:jc w:val="left"/>
    </w:pPr>
    <w:rPr>
      <w:rFonts w:ascii="宋体" w:hAnsi="宋体" w:eastAsia="方正仿宋_GBK"/>
      <w:kern w:val="2"/>
      <w:sz w:val="21"/>
      <w:szCs w:val="28"/>
    </w:rPr>
  </w:style>
  <w:style w:type="paragraph" w:styleId="47">
    <w:name w:val="Body Text First Indent 2"/>
    <w:basedOn w:val="19"/>
    <w:unhideWhenUsed/>
    <w:qFormat/>
    <w:uiPriority w:val="99"/>
    <w:pPr>
      <w:ind w:firstLine="0"/>
    </w:pPr>
    <w:rPr>
      <w:rFonts w:hint="eastAsia" w:ascii="Times New Roman" w:hAnsi="Times New Roman"/>
      <w:sz w:val="22"/>
    </w:rPr>
  </w:style>
  <w:style w:type="table" w:styleId="49">
    <w:name w:val="Table Grid"/>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autoRedefine/>
    <w:qFormat/>
    <w:uiPriority w:val="0"/>
    <w:rPr>
      <w:b/>
      <w:bCs/>
    </w:rPr>
  </w:style>
  <w:style w:type="character" w:styleId="52">
    <w:name w:val="page number"/>
    <w:basedOn w:val="50"/>
    <w:autoRedefine/>
    <w:qFormat/>
    <w:uiPriority w:val="0"/>
  </w:style>
  <w:style w:type="character" w:styleId="53">
    <w:name w:val="FollowedHyperlink"/>
    <w:autoRedefine/>
    <w:qFormat/>
    <w:uiPriority w:val="0"/>
    <w:rPr>
      <w:color w:val="800080"/>
      <w:u w:val="single"/>
    </w:rPr>
  </w:style>
  <w:style w:type="character" w:styleId="54">
    <w:name w:val="Hyperlink"/>
    <w:autoRedefine/>
    <w:qFormat/>
    <w:uiPriority w:val="0"/>
    <w:rPr>
      <w:color w:val="0000FF"/>
      <w:u w:val="single"/>
    </w:rPr>
  </w:style>
  <w:style w:type="character" w:styleId="55">
    <w:name w:val="HTML Code"/>
    <w:qFormat/>
    <w:uiPriority w:val="0"/>
    <w:rPr>
      <w:rFonts w:ascii="宋体" w:hAnsi="宋体" w:eastAsia="宋体" w:cs="宋体"/>
      <w:sz w:val="24"/>
      <w:szCs w:val="24"/>
    </w:rPr>
  </w:style>
  <w:style w:type="character" w:styleId="56">
    <w:name w:val="annotation reference"/>
    <w:autoRedefine/>
    <w:qFormat/>
    <w:uiPriority w:val="99"/>
    <w:rPr>
      <w:sz w:val="21"/>
    </w:rPr>
  </w:style>
  <w:style w:type="paragraph" w:customStyle="1" w:styleId="57">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58">
    <w:name w:val="Default"/>
    <w:basedOn w:val="44"/>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59">
    <w:name w:val="TOC 标题1"/>
    <w:basedOn w:val="2"/>
    <w:next w:val="1"/>
    <w:qFormat/>
    <w:uiPriority w:val="0"/>
    <w:pPr>
      <w:spacing w:before="480" w:line="276" w:lineRule="auto"/>
      <w:outlineLvl w:val="9"/>
    </w:pPr>
    <w:rPr>
      <w:rFonts w:ascii="仿宋" w:hAnsi="仿宋" w:eastAsia="仿宋"/>
      <w:color w:val="000000"/>
      <w:kern w:val="0"/>
      <w:szCs w:val="32"/>
    </w:rPr>
  </w:style>
  <w:style w:type="paragraph" w:customStyle="1" w:styleId="60">
    <w:name w:val="首行缩进"/>
    <w:basedOn w:val="1"/>
    <w:qFormat/>
    <w:uiPriority w:val="0"/>
    <w:pPr>
      <w:ind w:firstLine="480" w:firstLineChars="200"/>
    </w:pPr>
    <w:rPr>
      <w:lang w:val="zh-CN"/>
    </w:rPr>
  </w:style>
  <w:style w:type="character" w:customStyle="1" w:styleId="61">
    <w:name w:val="style54"/>
    <w:basedOn w:val="50"/>
    <w:autoRedefine/>
    <w:qFormat/>
    <w:uiPriority w:val="0"/>
  </w:style>
  <w:style w:type="character" w:customStyle="1" w:styleId="62">
    <w:name w:val="1051"/>
    <w:autoRedefine/>
    <w:qFormat/>
    <w:uiPriority w:val="0"/>
    <w:rPr>
      <w:sz w:val="21"/>
      <w:szCs w:val="21"/>
    </w:rPr>
  </w:style>
  <w:style w:type="character" w:customStyle="1" w:styleId="63">
    <w:name w:val="style31"/>
    <w:qFormat/>
    <w:uiPriority w:val="0"/>
    <w:rPr>
      <w:sz w:val="18"/>
      <w:szCs w:val="18"/>
    </w:rPr>
  </w:style>
  <w:style w:type="character" w:customStyle="1" w:styleId="64">
    <w:name w:val="unnamed21"/>
    <w:basedOn w:val="50"/>
    <w:autoRedefine/>
    <w:qFormat/>
    <w:uiPriority w:val="0"/>
  </w:style>
  <w:style w:type="character" w:customStyle="1" w:styleId="65">
    <w:name w:val="Char Char2"/>
    <w:qFormat/>
    <w:uiPriority w:val="0"/>
    <w:rPr>
      <w:rFonts w:ascii="宋体" w:hAnsi="Courier New" w:eastAsia="宋体"/>
      <w:spacing w:val="-4"/>
      <w:kern w:val="2"/>
      <w:sz w:val="18"/>
      <w:lang w:val="en-US" w:eastAsia="zh-CN" w:bidi="ar-SA"/>
    </w:rPr>
  </w:style>
  <w:style w:type="character" w:customStyle="1" w:styleId="66">
    <w:name w:val="style51"/>
    <w:basedOn w:val="50"/>
    <w:autoRedefine/>
    <w:qFormat/>
    <w:uiPriority w:val="0"/>
  </w:style>
  <w:style w:type="character" w:customStyle="1" w:styleId="67">
    <w:name w:val="普通文字 Char Char1"/>
    <w:autoRedefine/>
    <w:qFormat/>
    <w:uiPriority w:val="0"/>
    <w:rPr>
      <w:rFonts w:ascii="宋体" w:hAnsi="Courier New" w:eastAsia="宋体"/>
      <w:kern w:val="2"/>
      <w:sz w:val="21"/>
      <w:lang w:val="en-US" w:eastAsia="zh-CN" w:bidi="ar-SA"/>
    </w:rPr>
  </w:style>
  <w:style w:type="character" w:customStyle="1" w:styleId="68">
    <w:name w:val="apple-style-span"/>
    <w:basedOn w:val="50"/>
    <w:qFormat/>
    <w:uiPriority w:val="0"/>
  </w:style>
  <w:style w:type="paragraph" w:customStyle="1" w:styleId="69">
    <w:name w:val="Char Char Char Char Char Char Char"/>
    <w:basedOn w:val="1"/>
    <w:autoRedefine/>
    <w:qFormat/>
    <w:uiPriority w:val="0"/>
  </w:style>
  <w:style w:type="paragraph" w:customStyle="1" w:styleId="70">
    <w:name w:val="默认段落字体 Para Char1"/>
    <w:next w:val="1"/>
    <w:autoRedefine/>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7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72">
    <w:name w:val="默认段落字体 Char Char Char"/>
    <w:basedOn w:val="1"/>
    <w:autoRedefine/>
    <w:qFormat/>
    <w:uiPriority w:val="0"/>
    <w:pPr>
      <w:widowControl/>
    </w:pPr>
    <w:rPr>
      <w:rFonts w:ascii="Arial" w:hAnsi="Arial" w:cs="Arial"/>
      <w:sz w:val="22"/>
      <w:szCs w:val="22"/>
      <w:lang w:eastAsia="en-US"/>
    </w:rPr>
  </w:style>
  <w:style w:type="paragraph" w:customStyle="1" w:styleId="73">
    <w:name w:val="样式1"/>
    <w:basedOn w:val="1"/>
    <w:autoRedefine/>
    <w:qFormat/>
    <w:uiPriority w:val="0"/>
  </w:style>
  <w:style w:type="paragraph" w:customStyle="1" w:styleId="74">
    <w:name w:val="Char"/>
    <w:basedOn w:val="15"/>
    <w:autoRedefine/>
    <w:qFormat/>
    <w:uiPriority w:val="0"/>
    <w:rPr>
      <w:rFonts w:ascii="Tahoma" w:hAnsi="Tahoma"/>
      <w:sz w:val="24"/>
    </w:rPr>
  </w:style>
  <w:style w:type="paragraph" w:customStyle="1" w:styleId="75">
    <w:name w:val="Char Char Char"/>
    <w:basedOn w:val="1"/>
    <w:autoRedefine/>
    <w:qFormat/>
    <w:uiPriority w:val="0"/>
    <w:rPr>
      <w:rFonts w:ascii="Tahoma" w:hAnsi="Tahoma"/>
      <w:sz w:val="24"/>
      <w:szCs w:val="20"/>
    </w:rPr>
  </w:style>
  <w:style w:type="paragraph" w:customStyle="1" w:styleId="76">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7">
    <w:name w:val="默认段落字体 Para Char Char Char Char Char Char Char Char Char Char"/>
    <w:basedOn w:val="1"/>
    <w:autoRedefine/>
    <w:qFormat/>
    <w:uiPriority w:val="0"/>
  </w:style>
  <w:style w:type="paragraph" w:customStyle="1" w:styleId="78">
    <w:name w:val="F2"/>
    <w:basedOn w:val="1"/>
    <w:qFormat/>
    <w:uiPriority w:val="0"/>
    <w:pPr>
      <w:autoSpaceDE w:val="0"/>
      <w:autoSpaceDN w:val="0"/>
      <w:adjustRightInd w:val="0"/>
      <w:ind w:firstLine="601"/>
      <w:textAlignment w:val="baseline"/>
    </w:pPr>
    <w:rPr>
      <w:kern w:val="0"/>
      <w:sz w:val="24"/>
      <w:szCs w:val="20"/>
    </w:rPr>
  </w:style>
  <w:style w:type="paragraph" w:customStyle="1" w:styleId="79">
    <w:name w:val="xl31"/>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80">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1">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2">
    <w:name w:val="Char Char Char Char Char Char1 Char"/>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3">
    <w:name w:val="xl2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kern w:val="0"/>
      <w:sz w:val="20"/>
      <w:szCs w:val="20"/>
    </w:rPr>
  </w:style>
  <w:style w:type="paragraph" w:customStyle="1" w:styleId="84">
    <w:name w:val="样式3"/>
    <w:basedOn w:val="18"/>
    <w:autoRedefine/>
    <w:qFormat/>
    <w:uiPriority w:val="0"/>
    <w:pPr>
      <w:autoSpaceDE/>
      <w:autoSpaceDN/>
      <w:adjustRightInd/>
      <w:spacing w:line="360" w:lineRule="auto"/>
      <w:jc w:val="both"/>
    </w:pPr>
    <w:rPr>
      <w:kern w:val="2"/>
      <w:sz w:val="21"/>
      <w:szCs w:val="24"/>
    </w:rPr>
  </w:style>
  <w:style w:type="paragraph" w:customStyle="1" w:styleId="85">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86">
    <w:name w:val="Char Char Char Char Char Char1 Char1"/>
    <w:basedOn w:val="1"/>
    <w:autoRedefine/>
    <w:qFormat/>
    <w:uiPriority w:val="0"/>
    <w:pPr>
      <w:widowControl/>
      <w:spacing w:after="160" w:line="240" w:lineRule="exact"/>
      <w:jc w:val="left"/>
    </w:pPr>
    <w:rPr>
      <w:rFonts w:ascii="Arial" w:hAnsi="Arial" w:eastAsia="楷体_GB2312" w:cs="Verdana"/>
      <w:b/>
      <w:kern w:val="0"/>
      <w:sz w:val="24"/>
      <w:lang w:eastAsia="en-US"/>
    </w:rPr>
  </w:style>
  <w:style w:type="paragraph" w:customStyle="1" w:styleId="87">
    <w:name w:val="列出段落1"/>
    <w:autoRedefine/>
    <w:qFormat/>
    <w:uiPriority w:val="0"/>
    <w:pPr>
      <w:ind w:firstLine="420" w:firstLineChars="200"/>
    </w:pPr>
    <w:rPr>
      <w:rFonts w:ascii="Calibri" w:hAnsi="Calibri" w:eastAsia="宋体" w:cs="Times New Roman"/>
      <w:lang w:val="en-US" w:eastAsia="zh-CN" w:bidi="ar-SA"/>
    </w:rPr>
  </w:style>
  <w:style w:type="character" w:customStyle="1" w:styleId="88">
    <w:name w:val="apple-converted-space"/>
    <w:basedOn w:val="50"/>
    <w:autoRedefine/>
    <w:qFormat/>
    <w:uiPriority w:val="0"/>
  </w:style>
  <w:style w:type="paragraph" w:customStyle="1" w:styleId="89">
    <w:name w:val="Char Char Char Char"/>
    <w:basedOn w:val="1"/>
    <w:autoRedefine/>
    <w:qFormat/>
    <w:uiPriority w:val="0"/>
    <w:rPr>
      <w:szCs w:val="20"/>
    </w:rPr>
  </w:style>
  <w:style w:type="character" w:customStyle="1" w:styleId="90">
    <w:name w:val="页眉 Char"/>
    <w:link w:val="31"/>
    <w:autoRedefine/>
    <w:qFormat/>
    <w:uiPriority w:val="0"/>
    <w:rPr>
      <w:rFonts w:ascii="宋体" w:hAnsi="Courier New" w:eastAsia="宋体"/>
      <w:kern w:val="2"/>
      <w:sz w:val="18"/>
      <w:lang w:val="en-US" w:eastAsia="zh-CN" w:bidi="ar-SA"/>
    </w:rPr>
  </w:style>
  <w:style w:type="character" w:customStyle="1" w:styleId="91">
    <w:name w:val="chart1"/>
    <w:autoRedefine/>
    <w:qFormat/>
    <w:uiPriority w:val="0"/>
    <w:rPr>
      <w:rFonts w:hint="default" w:ascii="Verdana" w:hAnsi="Verdana"/>
      <w:color w:val="000000"/>
      <w:sz w:val="16"/>
      <w:szCs w:val="16"/>
    </w:rPr>
  </w:style>
  <w:style w:type="character" w:customStyle="1" w:styleId="92">
    <w:name w:val="1ji Char Char"/>
    <w:link w:val="93"/>
    <w:autoRedefine/>
    <w:qFormat/>
    <w:uiPriority w:val="0"/>
    <w:rPr>
      <w:rFonts w:ascii="宋体" w:hAnsi="宋体" w:eastAsia="宋体"/>
      <w:b/>
      <w:bCs/>
      <w:kern w:val="44"/>
      <w:sz w:val="36"/>
      <w:szCs w:val="44"/>
      <w:lang w:val="en-US" w:eastAsia="zh-CN" w:bidi="ar-SA"/>
    </w:rPr>
  </w:style>
  <w:style w:type="paragraph" w:customStyle="1" w:styleId="93">
    <w:name w:val="1ji"/>
    <w:basedOn w:val="2"/>
    <w:link w:val="92"/>
    <w:autoRedefine/>
    <w:qFormat/>
    <w:uiPriority w:val="0"/>
    <w:pPr>
      <w:widowControl/>
      <w:spacing w:line="240" w:lineRule="auto"/>
      <w:jc w:val="center"/>
    </w:pPr>
    <w:rPr>
      <w:rFonts w:ascii="宋体" w:hAnsi="宋体"/>
      <w:kern w:val="44"/>
      <w:sz w:val="36"/>
      <w:szCs w:val="44"/>
    </w:rPr>
  </w:style>
  <w:style w:type="character" w:customStyle="1" w:styleId="94">
    <w:name w:val="标题 3 Char"/>
    <w:link w:val="4"/>
    <w:autoRedefine/>
    <w:qFormat/>
    <w:uiPriority w:val="9"/>
    <w:rPr>
      <w:rFonts w:eastAsia="宋体"/>
      <w:b/>
      <w:bCs/>
      <w:kern w:val="2"/>
      <w:sz w:val="32"/>
      <w:szCs w:val="32"/>
      <w:lang w:val="en-US" w:eastAsia="zh-CN" w:bidi="ar-SA"/>
    </w:rPr>
  </w:style>
  <w:style w:type="character" w:customStyle="1" w:styleId="95">
    <w:name w:val="Char Char3"/>
    <w:autoRedefine/>
    <w:qFormat/>
    <w:uiPriority w:val="0"/>
    <w:rPr>
      <w:rFonts w:eastAsia="宋体"/>
      <w:kern w:val="2"/>
      <w:sz w:val="21"/>
      <w:szCs w:val="24"/>
      <w:lang w:val="en-US" w:eastAsia="zh-CN" w:bidi="ar-SA"/>
    </w:rPr>
  </w:style>
  <w:style w:type="character" w:customStyle="1" w:styleId="96">
    <w:name w:val="1ji Char Char Char"/>
    <w:autoRedefine/>
    <w:qFormat/>
    <w:uiPriority w:val="0"/>
    <w:rPr>
      <w:rFonts w:ascii="宋体" w:hAnsi="宋体" w:eastAsia="宋体"/>
      <w:b/>
      <w:bCs/>
      <w:kern w:val="44"/>
      <w:sz w:val="36"/>
      <w:szCs w:val="44"/>
      <w:lang w:val="en-US" w:eastAsia="zh-CN" w:bidi="ar-SA"/>
    </w:rPr>
  </w:style>
  <w:style w:type="character" w:customStyle="1" w:styleId="97">
    <w:name w:val="标题 1 Char"/>
    <w:link w:val="2"/>
    <w:autoRedefine/>
    <w:qFormat/>
    <w:uiPriority w:val="0"/>
    <w:rPr>
      <w:rFonts w:eastAsia="宋体"/>
      <w:b/>
      <w:bCs/>
      <w:kern w:val="2"/>
      <w:sz w:val="21"/>
      <w:szCs w:val="24"/>
      <w:lang w:val="en-US" w:eastAsia="zh-CN" w:bidi="ar-SA"/>
    </w:rPr>
  </w:style>
  <w:style w:type="character" w:customStyle="1" w:styleId="98">
    <w:name w:val="页脚 Char"/>
    <w:link w:val="30"/>
    <w:autoRedefine/>
    <w:qFormat/>
    <w:uiPriority w:val="0"/>
    <w:rPr>
      <w:rFonts w:ascii="宋体" w:hAnsi="Courier New" w:eastAsia="宋体"/>
      <w:kern w:val="2"/>
      <w:sz w:val="18"/>
      <w:lang w:val="en-US" w:eastAsia="zh-CN" w:bidi="ar-SA"/>
    </w:rPr>
  </w:style>
  <w:style w:type="character" w:customStyle="1" w:styleId="99">
    <w:name w:val="case31"/>
    <w:autoRedefine/>
    <w:qFormat/>
    <w:uiPriority w:val="0"/>
    <w:rPr>
      <w:rFonts w:hint="default"/>
      <w:sz w:val="21"/>
      <w:szCs w:val="21"/>
    </w:rPr>
  </w:style>
  <w:style w:type="character" w:customStyle="1" w:styleId="100">
    <w:name w:val="标题 2 Char"/>
    <w:link w:val="3"/>
    <w:autoRedefine/>
    <w:qFormat/>
    <w:uiPriority w:val="0"/>
    <w:rPr>
      <w:rFonts w:ascii="Arial" w:hAnsi="Arial" w:eastAsia="黑体"/>
      <w:b/>
      <w:bCs/>
      <w:kern w:val="2"/>
      <w:sz w:val="32"/>
      <w:szCs w:val="32"/>
      <w:lang w:val="en-US" w:eastAsia="zh-CN" w:bidi="ar-SA"/>
    </w:rPr>
  </w:style>
  <w:style w:type="character" w:customStyle="1" w:styleId="101">
    <w:name w:val="批注文字 Char"/>
    <w:link w:val="16"/>
    <w:autoRedefine/>
    <w:qFormat/>
    <w:uiPriority w:val="0"/>
    <w:rPr>
      <w:rFonts w:eastAsia="宋体"/>
      <w:kern w:val="2"/>
      <w:sz w:val="21"/>
      <w:szCs w:val="24"/>
      <w:lang w:val="en-US" w:eastAsia="zh-CN" w:bidi="ar-SA"/>
    </w:rPr>
  </w:style>
  <w:style w:type="character" w:customStyle="1" w:styleId="102">
    <w:name w:val="062"/>
    <w:autoRedefine/>
    <w:qFormat/>
    <w:uiPriority w:val="0"/>
    <w:rPr>
      <w:rFonts w:ascii="宋体" w:hAnsi="宋体"/>
      <w:b/>
      <w:bCs/>
      <w:sz w:val="32"/>
    </w:rPr>
  </w:style>
  <w:style w:type="character" w:customStyle="1" w:styleId="103">
    <w:name w:val="正文文本 3 Char"/>
    <w:link w:val="17"/>
    <w:autoRedefine/>
    <w:qFormat/>
    <w:uiPriority w:val="0"/>
    <w:rPr>
      <w:rFonts w:eastAsia="宋体"/>
      <w:b/>
      <w:bCs/>
      <w:kern w:val="2"/>
      <w:sz w:val="24"/>
      <w:szCs w:val="24"/>
      <w:lang w:val="en-US" w:eastAsia="zh-CN" w:bidi="ar-SA"/>
    </w:rPr>
  </w:style>
  <w:style w:type="character" w:customStyle="1" w:styleId="104">
    <w:name w:val="正文YANG Char Char"/>
    <w:link w:val="105"/>
    <w:autoRedefine/>
    <w:qFormat/>
    <w:uiPriority w:val="0"/>
    <w:rPr>
      <w:rFonts w:ascii="Calibri" w:hAnsi="Calibri" w:eastAsia="华文中宋"/>
      <w:kern w:val="2"/>
      <w:sz w:val="24"/>
      <w:szCs w:val="24"/>
      <w:lang w:val="en-US" w:eastAsia="zh-CN" w:bidi="ar-SA"/>
    </w:rPr>
  </w:style>
  <w:style w:type="paragraph" w:customStyle="1" w:styleId="105">
    <w:name w:val="正文YANG"/>
    <w:basedOn w:val="1"/>
    <w:link w:val="104"/>
    <w:autoRedefine/>
    <w:qFormat/>
    <w:uiPriority w:val="0"/>
    <w:rPr>
      <w:rFonts w:ascii="Calibri" w:hAnsi="Calibri" w:eastAsia="华文中宋"/>
      <w:sz w:val="24"/>
    </w:rPr>
  </w:style>
  <w:style w:type="character" w:customStyle="1" w:styleId="106">
    <w:name w:val="Char Char5"/>
    <w:autoRedefine/>
    <w:qFormat/>
    <w:uiPriority w:val="0"/>
    <w:rPr>
      <w:rFonts w:ascii="仿宋_GB2312" w:eastAsia="仿宋_GB2312"/>
      <w:kern w:val="2"/>
      <w:sz w:val="32"/>
      <w:lang w:val="en-US" w:eastAsia="zh-CN" w:bidi="ar-SA"/>
    </w:rPr>
  </w:style>
  <w:style w:type="character" w:customStyle="1" w:styleId="107">
    <w:name w:val="Normal Indent Char Char"/>
    <w:autoRedefine/>
    <w:qFormat/>
    <w:uiPriority w:val="0"/>
    <w:rPr>
      <w:rFonts w:eastAsia="宋体"/>
      <w:kern w:val="2"/>
      <w:sz w:val="21"/>
      <w:lang w:val="en-US" w:eastAsia="zh-CN"/>
    </w:rPr>
  </w:style>
  <w:style w:type="character" w:customStyle="1" w:styleId="108">
    <w:name w:val="body1"/>
    <w:autoRedefine/>
    <w:qFormat/>
    <w:uiPriority w:val="0"/>
    <w:rPr>
      <w:rFonts w:hint="default" w:ascii="Verdana" w:hAnsi="Verdana"/>
      <w:color w:val="000000"/>
      <w:sz w:val="19"/>
      <w:szCs w:val="19"/>
    </w:rPr>
  </w:style>
  <w:style w:type="paragraph" w:customStyle="1" w:styleId="109">
    <w:name w:val="Char1 Char Char Char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10">
    <w:name w:val="彩色列表 - 强调文字颜色 11"/>
    <w:basedOn w:val="1"/>
    <w:autoRedefine/>
    <w:qFormat/>
    <w:uiPriority w:val="0"/>
    <w:pPr>
      <w:ind w:firstLine="200" w:firstLineChars="200"/>
    </w:pPr>
    <w:rPr>
      <w:rFonts w:ascii="Calibri" w:hAnsi="Calibri" w:cs="Calibri"/>
      <w:sz w:val="24"/>
    </w:rPr>
  </w:style>
  <w:style w:type="paragraph" w:customStyle="1" w:styleId="111">
    <w:name w:val="Char Char Char1"/>
    <w:basedOn w:val="1"/>
    <w:autoRedefine/>
    <w:qFormat/>
    <w:uiPriority w:val="0"/>
    <w:rPr>
      <w:rFonts w:ascii="Tahoma" w:hAnsi="Tahoma"/>
      <w:sz w:val="24"/>
      <w:szCs w:val="20"/>
    </w:rPr>
  </w:style>
  <w:style w:type="paragraph" w:customStyle="1" w:styleId="112">
    <w:name w:val="正文段"/>
    <w:basedOn w:val="1"/>
    <w:autoRedefine/>
    <w:qFormat/>
    <w:uiPriority w:val="0"/>
    <w:pPr>
      <w:widowControl/>
      <w:snapToGrid w:val="0"/>
      <w:spacing w:afterLines="50"/>
      <w:ind w:firstLine="200" w:firstLineChars="200"/>
    </w:pPr>
    <w:rPr>
      <w:kern w:val="0"/>
      <w:sz w:val="24"/>
      <w:szCs w:val="20"/>
    </w:rPr>
  </w:style>
  <w:style w:type="paragraph" w:customStyle="1" w:styleId="113">
    <w:name w:val="Default Paragraph Font Para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14">
    <w:name w:val="默认段落字体 Para Char Char Char Char Char Char Char"/>
    <w:basedOn w:val="1"/>
    <w:autoRedefine/>
    <w:qFormat/>
    <w:uiPriority w:val="0"/>
    <w:rPr>
      <w:rFonts w:ascii="Tahoma" w:hAnsi="Tahoma" w:cs="Tahoma"/>
      <w:sz w:val="24"/>
    </w:rPr>
  </w:style>
  <w:style w:type="paragraph" w:customStyle="1" w:styleId="115">
    <w:name w:val="默认段落字体 Para Char Char Char Char Char Char Char Char Char1 Char Char Char Char"/>
    <w:basedOn w:val="1"/>
    <w:autoRedefine/>
    <w:qFormat/>
    <w:uiPriority w:val="0"/>
    <w:rPr>
      <w:rFonts w:ascii="Tahoma" w:hAnsi="Tahoma"/>
      <w:sz w:val="24"/>
      <w:szCs w:val="20"/>
    </w:rPr>
  </w:style>
  <w:style w:type="paragraph" w:customStyle="1" w:styleId="116">
    <w:name w:val="表格"/>
    <w:basedOn w:val="1"/>
    <w:autoRedefine/>
    <w:qFormat/>
    <w:uiPriority w:val="0"/>
    <w:pPr>
      <w:spacing w:line="400" w:lineRule="exact"/>
    </w:pPr>
    <w:rPr>
      <w:sz w:val="24"/>
    </w:rPr>
  </w:style>
  <w:style w:type="paragraph" w:customStyle="1" w:styleId="117">
    <w:name w:val="列出段落11"/>
    <w:basedOn w:val="1"/>
    <w:autoRedefine/>
    <w:qFormat/>
    <w:uiPriority w:val="0"/>
    <w:pPr>
      <w:ind w:firstLine="420" w:firstLineChars="200"/>
    </w:pPr>
    <w:rPr>
      <w:rFonts w:ascii="Calibri" w:hAnsi="Calibri"/>
      <w:szCs w:val="22"/>
    </w:rPr>
  </w:style>
  <w:style w:type="paragraph" w:customStyle="1" w:styleId="118">
    <w:name w:val="1"/>
    <w:basedOn w:val="1"/>
    <w:next w:val="25"/>
    <w:autoRedefine/>
    <w:qFormat/>
    <w:uiPriority w:val="0"/>
    <w:rPr>
      <w:rFonts w:ascii="宋体" w:hAnsi="Courier New"/>
      <w:szCs w:val="20"/>
    </w:rPr>
  </w:style>
  <w:style w:type="paragraph" w:customStyle="1" w:styleId="119">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sz w:val="28"/>
      <w:szCs w:val="20"/>
    </w:rPr>
  </w:style>
  <w:style w:type="paragraph" w:customStyle="1" w:styleId="120">
    <w:name w:val="默认段落字体 Para Char Char Char Char"/>
    <w:basedOn w:val="1"/>
    <w:autoRedefine/>
    <w:qFormat/>
    <w:uiPriority w:val="0"/>
    <w:pPr>
      <w:spacing w:line="560" w:lineRule="exact"/>
      <w:ind w:firstLine="640" w:firstLineChars="200"/>
    </w:pPr>
    <w:rPr>
      <w:rFonts w:eastAsia="仿宋_GB2312"/>
      <w:kern w:val="0"/>
      <w:sz w:val="32"/>
      <w:szCs w:val="32"/>
    </w:rPr>
  </w:style>
  <w:style w:type="paragraph" w:customStyle="1" w:styleId="121">
    <w:name w:val="2ji"/>
    <w:basedOn w:val="3"/>
    <w:autoRedefine/>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22">
    <w:name w:val="444"/>
    <w:basedOn w:val="1"/>
    <w:autoRedefine/>
    <w:qFormat/>
    <w:uiPriority w:val="0"/>
    <w:pPr>
      <w:adjustRightInd w:val="0"/>
      <w:spacing w:line="312" w:lineRule="atLeast"/>
      <w:jc w:val="center"/>
      <w:textAlignment w:val="baseline"/>
    </w:pPr>
    <w:rPr>
      <w:b/>
      <w:kern w:val="0"/>
      <w:sz w:val="36"/>
      <w:szCs w:val="36"/>
    </w:rPr>
  </w:style>
  <w:style w:type="paragraph" w:customStyle="1" w:styleId="123">
    <w:name w:val="Char1"/>
    <w:basedOn w:val="1"/>
    <w:autoRedefine/>
    <w:qFormat/>
    <w:uiPriority w:val="0"/>
    <w:rPr>
      <w:szCs w:val="21"/>
    </w:rPr>
  </w:style>
  <w:style w:type="paragraph" w:customStyle="1" w:styleId="124">
    <w:name w:val="Char3"/>
    <w:basedOn w:val="1"/>
    <w:autoRedefine/>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25">
    <w:name w:val="普通(网站)1"/>
    <w:basedOn w:val="1"/>
    <w:autoRedefine/>
    <w:qFormat/>
    <w:uiPriority w:val="0"/>
    <w:pPr>
      <w:widowControl/>
      <w:spacing w:beforeLines="50" w:beforeAutospacing="1" w:afterLines="50" w:afterAutospacing="1"/>
      <w:ind w:firstLine="200" w:firstLineChars="200"/>
      <w:jc w:val="left"/>
    </w:pPr>
    <w:rPr>
      <w:rFonts w:ascii="宋体" w:hAnsi="宋体" w:cs="宋体"/>
      <w:kern w:val="0"/>
      <w:sz w:val="24"/>
    </w:rPr>
  </w:style>
  <w:style w:type="paragraph" w:customStyle="1" w:styleId="126">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paragraph" w:customStyle="1" w:styleId="127">
    <w:name w:val="Char Char Char Char Char Char Char1"/>
    <w:basedOn w:val="1"/>
    <w:autoRedefine/>
    <w:qFormat/>
    <w:uiPriority w:val="0"/>
  </w:style>
  <w:style w:type="paragraph" w:customStyle="1" w:styleId="128">
    <w:name w:val="默认段落字体 Para Char Char Char Char Char Char Char Char Char Cha标题1r"/>
    <w:basedOn w:val="1"/>
    <w:autoRedefine/>
    <w:qFormat/>
    <w:uiPriority w:val="0"/>
    <w:pPr>
      <w:jc w:val="center"/>
    </w:pPr>
  </w:style>
  <w:style w:type="paragraph" w:customStyle="1" w:styleId="129">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30">
    <w:name w:val="2-2ji"/>
    <w:basedOn w:val="3"/>
    <w:autoRedefine/>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31">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customStyle="1" w:styleId="132">
    <w:name w:val="样式 首行缩进:  2 字符"/>
    <w:basedOn w:val="1"/>
    <w:autoRedefine/>
    <w:qFormat/>
    <w:uiPriority w:val="0"/>
    <w:pPr>
      <w:spacing w:line="400" w:lineRule="exact"/>
      <w:ind w:firstLine="200" w:firstLineChars="200"/>
    </w:pPr>
    <w:rPr>
      <w:rFonts w:cs="宋体"/>
      <w:sz w:val="24"/>
    </w:rPr>
  </w:style>
  <w:style w:type="paragraph" w:customStyle="1" w:styleId="133">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4">
    <w:name w:val="正文首行缩进两字符"/>
    <w:basedOn w:val="1"/>
    <w:autoRedefine/>
    <w:qFormat/>
    <w:uiPriority w:val="0"/>
    <w:pPr>
      <w:spacing w:line="360" w:lineRule="auto"/>
      <w:ind w:firstLine="200" w:firstLineChars="200"/>
    </w:pPr>
  </w:style>
  <w:style w:type="character" w:customStyle="1" w:styleId="135">
    <w:name w:val="H1 Char"/>
    <w:autoRedefine/>
    <w:qFormat/>
    <w:uiPriority w:val="0"/>
    <w:rPr>
      <w:rFonts w:eastAsia="宋体"/>
      <w:b/>
      <w:bCs/>
      <w:kern w:val="44"/>
      <w:sz w:val="44"/>
      <w:szCs w:val="44"/>
      <w:lang w:val="en-US" w:eastAsia="zh-CN" w:bidi="ar-SA"/>
    </w:rPr>
  </w:style>
  <w:style w:type="character" w:customStyle="1" w:styleId="136">
    <w:name w:val="小标题 Char"/>
    <w:autoRedefine/>
    <w:qFormat/>
    <w:uiPriority w:val="0"/>
    <w:rPr>
      <w:rFonts w:eastAsia="宋体"/>
      <w:b/>
      <w:bCs/>
      <w:kern w:val="2"/>
      <w:sz w:val="32"/>
      <w:szCs w:val="32"/>
      <w:lang w:val="en-US" w:eastAsia="zh-CN" w:bidi="ar-SA"/>
    </w:rPr>
  </w:style>
  <w:style w:type="character" w:customStyle="1" w:styleId="137">
    <w:name w:val="1ji Char"/>
    <w:autoRedefine/>
    <w:qFormat/>
    <w:uiPriority w:val="0"/>
    <w:rPr>
      <w:rFonts w:ascii="宋体" w:hAnsi="宋体" w:eastAsia="宋体"/>
      <w:b/>
      <w:bCs/>
      <w:kern w:val="44"/>
      <w:sz w:val="36"/>
      <w:szCs w:val="44"/>
      <w:lang w:val="en-US" w:eastAsia="zh-CN" w:bidi="ar-SA"/>
    </w:rPr>
  </w:style>
  <w:style w:type="character" w:customStyle="1" w:styleId="138">
    <w:name w:val="正文文字首行缩进 Char1"/>
    <w:autoRedefine/>
    <w:qFormat/>
    <w:uiPriority w:val="0"/>
    <w:rPr>
      <w:rFonts w:ascii="仿宋_GB2312" w:eastAsia="仿宋_GB2312"/>
      <w:kern w:val="2"/>
      <w:sz w:val="32"/>
      <w:lang w:val="en-US" w:eastAsia="zh-CN" w:bidi="ar-SA"/>
    </w:rPr>
  </w:style>
  <w:style w:type="character" w:customStyle="1" w:styleId="139">
    <w:name w:val="h Char"/>
    <w:autoRedefine/>
    <w:qFormat/>
    <w:uiPriority w:val="0"/>
    <w:rPr>
      <w:rFonts w:eastAsia="宋体"/>
      <w:kern w:val="2"/>
      <w:sz w:val="18"/>
      <w:szCs w:val="18"/>
      <w:lang w:val="en-US" w:eastAsia="zh-CN" w:bidi="ar-SA"/>
    </w:rPr>
  </w:style>
  <w:style w:type="character" w:customStyle="1" w:styleId="140">
    <w:name w:val="fo Char"/>
    <w:autoRedefine/>
    <w:qFormat/>
    <w:uiPriority w:val="0"/>
    <w:rPr>
      <w:rFonts w:eastAsia="宋体"/>
      <w:kern w:val="2"/>
      <w:sz w:val="18"/>
      <w:szCs w:val="18"/>
      <w:lang w:val="en-US" w:eastAsia="zh-CN" w:bidi="ar-SA"/>
    </w:rPr>
  </w:style>
  <w:style w:type="paragraph" w:customStyle="1" w:styleId="141">
    <w:name w:val="Char11"/>
    <w:basedOn w:val="1"/>
    <w:autoRedefine/>
    <w:qFormat/>
    <w:uiPriority w:val="0"/>
    <w:rPr>
      <w:rFonts w:ascii="仿宋_GB2312" w:eastAsia="仿宋_GB2312"/>
      <w:b/>
      <w:sz w:val="32"/>
      <w:szCs w:val="32"/>
    </w:rPr>
  </w:style>
  <w:style w:type="character" w:customStyle="1" w:styleId="142">
    <w:name w:val="unnamed11"/>
    <w:autoRedefine/>
    <w:qFormat/>
    <w:uiPriority w:val="0"/>
    <w:rPr>
      <w:color w:val="auto"/>
      <w:sz w:val="18"/>
      <w:szCs w:val="18"/>
    </w:rPr>
  </w:style>
  <w:style w:type="character" w:customStyle="1" w:styleId="143">
    <w:name w:val="A4"/>
    <w:autoRedefine/>
    <w:qFormat/>
    <w:uiPriority w:val="0"/>
    <w:rPr>
      <w:color w:val="000000"/>
    </w:rPr>
  </w:style>
  <w:style w:type="character" w:customStyle="1" w:styleId="144">
    <w:name w:val="标题 6 Char"/>
    <w:link w:val="8"/>
    <w:autoRedefine/>
    <w:qFormat/>
    <w:uiPriority w:val="0"/>
    <w:rPr>
      <w:rFonts w:ascii="Arial" w:hAnsi="Arial" w:eastAsia="黑体"/>
      <w:b/>
      <w:kern w:val="2"/>
      <w:sz w:val="24"/>
    </w:rPr>
  </w:style>
  <w:style w:type="character" w:customStyle="1" w:styleId="145">
    <w:name w:val="正文文字首行缩进 Char"/>
    <w:autoRedefine/>
    <w:qFormat/>
    <w:uiPriority w:val="0"/>
    <w:rPr>
      <w:rFonts w:ascii="仿宋_GB2312" w:eastAsia="仿宋_GB2312"/>
      <w:kern w:val="2"/>
      <w:sz w:val="32"/>
      <w:lang w:val="en-US" w:eastAsia="zh-CN" w:bidi="ar-SA"/>
    </w:rPr>
  </w:style>
  <w:style w:type="paragraph" w:customStyle="1" w:styleId="146">
    <w:name w:val="列出段落2"/>
    <w:basedOn w:val="1"/>
    <w:autoRedefine/>
    <w:qFormat/>
    <w:uiPriority w:val="0"/>
    <w:pPr>
      <w:ind w:firstLine="420" w:firstLineChars="200"/>
    </w:pPr>
    <w:rPr>
      <w:rFonts w:ascii="Calibri" w:hAnsi="Calibri" w:cs="Calibri"/>
      <w:szCs w:val="21"/>
    </w:rPr>
  </w:style>
  <w:style w:type="character" w:customStyle="1" w:styleId="147">
    <w:name w:val="标题 5 Char"/>
    <w:link w:val="6"/>
    <w:autoRedefine/>
    <w:qFormat/>
    <w:uiPriority w:val="0"/>
    <w:rPr>
      <w:b/>
      <w:kern w:val="2"/>
      <w:sz w:val="28"/>
    </w:rPr>
  </w:style>
  <w:style w:type="character" w:customStyle="1" w:styleId="148">
    <w:name w:val="Heading 2 Hidden Char"/>
    <w:autoRedefine/>
    <w:qFormat/>
    <w:uiPriority w:val="0"/>
    <w:rPr>
      <w:rFonts w:ascii="Arial" w:hAnsi="Arial" w:eastAsia="黑体"/>
      <w:b/>
      <w:bCs/>
      <w:kern w:val="2"/>
      <w:sz w:val="32"/>
      <w:szCs w:val="32"/>
      <w:lang w:val="en-US" w:eastAsia="zh-CN" w:bidi="ar-SA"/>
    </w:rPr>
  </w:style>
  <w:style w:type="character" w:customStyle="1" w:styleId="149">
    <w:name w:val="标题 4 Char"/>
    <w:link w:val="5"/>
    <w:autoRedefine/>
    <w:qFormat/>
    <w:uiPriority w:val="0"/>
    <w:rPr>
      <w:rFonts w:ascii="宋体" w:hAnsi="Arial" w:eastAsia="黑体"/>
      <w:b/>
      <w:kern w:val="2"/>
      <w:sz w:val="24"/>
    </w:rPr>
  </w:style>
  <w:style w:type="character" w:customStyle="1" w:styleId="150">
    <w:name w:val="标题 7 Char"/>
    <w:link w:val="9"/>
    <w:autoRedefine/>
    <w:qFormat/>
    <w:uiPriority w:val="0"/>
    <w:rPr>
      <w:b/>
      <w:kern w:val="2"/>
      <w:sz w:val="24"/>
    </w:rPr>
  </w:style>
  <w:style w:type="character" w:customStyle="1" w:styleId="151">
    <w:name w:val="标题 8 Char"/>
    <w:link w:val="10"/>
    <w:autoRedefine/>
    <w:qFormat/>
    <w:uiPriority w:val="0"/>
    <w:rPr>
      <w:rFonts w:ascii="Arial" w:hAnsi="Arial" w:eastAsia="黑体"/>
      <w:kern w:val="2"/>
      <w:sz w:val="24"/>
    </w:rPr>
  </w:style>
  <w:style w:type="character" w:customStyle="1" w:styleId="152">
    <w:name w:val="标题 9 Char"/>
    <w:link w:val="11"/>
    <w:autoRedefine/>
    <w:qFormat/>
    <w:uiPriority w:val="0"/>
    <w:rPr>
      <w:rFonts w:ascii="Arial" w:hAnsi="Arial" w:eastAsia="黑体"/>
      <w:kern w:val="2"/>
      <w:sz w:val="21"/>
    </w:rPr>
  </w:style>
  <w:style w:type="character" w:customStyle="1" w:styleId="153">
    <w:name w:val="正文文本 Char"/>
    <w:link w:val="18"/>
    <w:autoRedefine/>
    <w:qFormat/>
    <w:uiPriority w:val="0"/>
    <w:rPr>
      <w:rFonts w:ascii="宋体" w:eastAsia="宋体"/>
      <w:sz w:val="34"/>
      <w:lang w:val="en-US" w:eastAsia="zh-CN" w:bidi="ar-SA"/>
    </w:rPr>
  </w:style>
  <w:style w:type="character" w:customStyle="1" w:styleId="154">
    <w:name w:val="18h1"/>
    <w:autoRedefine/>
    <w:qFormat/>
    <w:uiPriority w:val="0"/>
    <w:rPr>
      <w:color w:val="3B3B3B"/>
    </w:rPr>
  </w:style>
  <w:style w:type="character" w:customStyle="1" w:styleId="155">
    <w:name w:val="链接"/>
    <w:autoRedefine/>
    <w:qFormat/>
    <w:uiPriority w:val="0"/>
    <w:rPr>
      <w:rFonts w:ascii="Times New Roman" w:eastAsia="宋体"/>
      <w:color w:val="0000FF"/>
      <w:sz w:val="21"/>
      <w:u w:val="single" w:color="0000FF"/>
      <w:vertAlign w:val="baseline"/>
      <w:lang w:val="en-US" w:eastAsia="zh-CN"/>
    </w:rPr>
  </w:style>
  <w:style w:type="character" w:customStyle="1" w:styleId="156">
    <w:name w:val="超级链接"/>
    <w:autoRedefine/>
    <w:qFormat/>
    <w:uiPriority w:val="0"/>
    <w:rPr>
      <w:rFonts w:ascii="Times New Roman" w:eastAsia="宋体"/>
      <w:color w:val="0000FF"/>
      <w:sz w:val="21"/>
      <w:u w:val="single" w:color="0000FF"/>
      <w:vertAlign w:val="baseline"/>
      <w:lang w:val="en-US" w:eastAsia="zh-CN"/>
    </w:rPr>
  </w:style>
  <w:style w:type="paragraph" w:customStyle="1" w:styleId="157">
    <w:name w:val="目录1"/>
    <w:basedOn w:val="1"/>
    <w:next w:val="1"/>
    <w:autoRedefine/>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u w:color="000000"/>
    </w:rPr>
  </w:style>
  <w:style w:type="paragraph" w:customStyle="1" w:styleId="158">
    <w:name w:val="目录标题"/>
    <w:basedOn w:val="1"/>
    <w:next w:val="1"/>
    <w:autoRedefine/>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u w:color="000000"/>
    </w:rPr>
  </w:style>
  <w:style w:type="paragraph" w:customStyle="1" w:styleId="159">
    <w:name w:val="文章总标题"/>
    <w:basedOn w:val="1"/>
    <w:next w:val="160"/>
    <w:autoRedefine/>
    <w:qFormat/>
    <w:uiPriority w:val="0"/>
    <w:pPr>
      <w:widowControl/>
      <w:spacing w:before="566" w:after="544" w:line="566" w:lineRule="atLeast"/>
      <w:jc w:val="center"/>
      <w:textAlignment w:val="baseline"/>
    </w:pPr>
    <w:rPr>
      <w:rFonts w:ascii="Arial" w:eastAsia="黑体"/>
      <w:color w:val="000000"/>
      <w:kern w:val="0"/>
      <w:sz w:val="54"/>
      <w:szCs w:val="20"/>
      <w:u w:color="000000"/>
    </w:rPr>
  </w:style>
  <w:style w:type="paragraph" w:customStyle="1" w:styleId="160">
    <w:name w:val="文章附标题"/>
    <w:basedOn w:val="1"/>
    <w:next w:val="2"/>
    <w:autoRedefine/>
    <w:qFormat/>
    <w:uiPriority w:val="0"/>
    <w:pPr>
      <w:widowControl/>
      <w:spacing w:before="187" w:after="175" w:line="374" w:lineRule="atLeast"/>
      <w:jc w:val="center"/>
      <w:textAlignment w:val="baseline"/>
    </w:pPr>
    <w:rPr>
      <w:color w:val="000000"/>
      <w:kern w:val="0"/>
      <w:sz w:val="36"/>
      <w:szCs w:val="20"/>
      <w:u w:color="000000"/>
    </w:rPr>
  </w:style>
  <w:style w:type="paragraph" w:customStyle="1" w:styleId="161">
    <w:name w:val="节标题"/>
    <w:basedOn w:val="1"/>
    <w:next w:val="18"/>
    <w:autoRedefine/>
    <w:qFormat/>
    <w:uiPriority w:val="0"/>
    <w:pPr>
      <w:widowControl/>
      <w:spacing w:line="289" w:lineRule="atLeast"/>
      <w:jc w:val="center"/>
      <w:textAlignment w:val="baseline"/>
    </w:pPr>
    <w:rPr>
      <w:color w:val="000000"/>
      <w:kern w:val="0"/>
      <w:sz w:val="28"/>
      <w:szCs w:val="20"/>
      <w:u w:color="000000"/>
    </w:rPr>
  </w:style>
  <w:style w:type="paragraph" w:customStyle="1" w:styleId="162">
    <w:name w:val="小节标题"/>
    <w:basedOn w:val="1"/>
    <w:next w:val="1"/>
    <w:autoRedefine/>
    <w:qFormat/>
    <w:uiPriority w:val="0"/>
    <w:pPr>
      <w:widowControl/>
      <w:spacing w:before="175" w:after="102" w:line="351" w:lineRule="atLeast"/>
      <w:textAlignment w:val="baseline"/>
    </w:pPr>
    <w:rPr>
      <w:rFonts w:eastAsia="黑体"/>
      <w:color w:val="000000"/>
      <w:kern w:val="0"/>
      <w:szCs w:val="20"/>
      <w:u w:color="000000"/>
    </w:rPr>
  </w:style>
  <w:style w:type="paragraph" w:customStyle="1" w:styleId="163">
    <w:name w:val="目录3"/>
    <w:basedOn w:val="1"/>
    <w:next w:val="1"/>
    <w:autoRedefine/>
    <w:qFormat/>
    <w:uiPriority w:val="0"/>
    <w:pPr>
      <w:widowControl/>
      <w:tabs>
        <w:tab w:val="left" w:leader="dot" w:pos="8503"/>
      </w:tabs>
      <w:spacing w:line="317" w:lineRule="atLeast"/>
      <w:ind w:firstLine="419"/>
      <w:textAlignment w:val="baseline"/>
    </w:pPr>
    <w:rPr>
      <w:color w:val="000000"/>
      <w:kern w:val="0"/>
      <w:szCs w:val="20"/>
      <w:u w:color="000000"/>
    </w:rPr>
  </w:style>
  <w:style w:type="paragraph" w:customStyle="1" w:styleId="164">
    <w:name w:val="目录2"/>
    <w:basedOn w:val="1"/>
    <w:next w:val="1"/>
    <w:autoRedefine/>
    <w:qFormat/>
    <w:uiPriority w:val="0"/>
    <w:pPr>
      <w:widowControl/>
      <w:tabs>
        <w:tab w:val="left" w:leader="dot" w:pos="8503"/>
      </w:tabs>
      <w:spacing w:line="317" w:lineRule="atLeast"/>
      <w:ind w:firstLine="209"/>
      <w:textAlignment w:val="baseline"/>
    </w:pPr>
    <w:rPr>
      <w:color w:val="000000"/>
      <w:kern w:val="0"/>
      <w:szCs w:val="20"/>
      <w:u w:color="000000"/>
    </w:rPr>
  </w:style>
  <w:style w:type="paragraph" w:customStyle="1" w:styleId="165">
    <w:name w:val="目录4"/>
    <w:basedOn w:val="1"/>
    <w:next w:val="1"/>
    <w:autoRedefine/>
    <w:qFormat/>
    <w:uiPriority w:val="0"/>
    <w:pPr>
      <w:widowControl/>
      <w:tabs>
        <w:tab w:val="left" w:leader="dot" w:pos="8503"/>
      </w:tabs>
      <w:spacing w:line="317" w:lineRule="atLeast"/>
      <w:ind w:firstLine="629"/>
      <w:textAlignment w:val="baseline"/>
    </w:pPr>
    <w:rPr>
      <w:color w:val="000000"/>
      <w:kern w:val="0"/>
      <w:szCs w:val="20"/>
      <w:u w:color="000000"/>
    </w:rPr>
  </w:style>
  <w:style w:type="paragraph" w:customStyle="1" w:styleId="166">
    <w:name w:val="Char2"/>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67">
    <w:name w:val="Char Char Char Char Char Char Char Char Char Char Char Char Char Char Char Char"/>
    <w:basedOn w:val="1"/>
    <w:autoRedefine/>
    <w:qFormat/>
    <w:uiPriority w:val="0"/>
    <w:pPr>
      <w:tabs>
        <w:tab w:val="left" w:pos="360"/>
      </w:tabs>
      <w:spacing w:line="360" w:lineRule="auto"/>
      <w:ind w:left="482" w:firstLine="200" w:firstLineChars="200"/>
    </w:pPr>
    <w:rPr>
      <w:rFonts w:ascii="宋体"/>
      <w:sz w:val="24"/>
    </w:rPr>
  </w:style>
  <w:style w:type="paragraph" w:customStyle="1" w:styleId="168">
    <w:name w:val="样式 标题 2 + (西文) 宋体 非加粗 居中"/>
    <w:basedOn w:val="3"/>
    <w:autoRedefine/>
    <w:qFormat/>
    <w:uiPriority w:val="0"/>
    <w:pPr>
      <w:spacing w:line="416" w:lineRule="auto"/>
      <w:jc w:val="center"/>
    </w:pPr>
    <w:rPr>
      <w:rFonts w:ascii="宋体" w:hAnsi="宋体" w:cs="宋体"/>
      <w:b w:val="0"/>
      <w:bCs w:val="0"/>
      <w:spacing w:val="2"/>
      <w:sz w:val="28"/>
      <w:szCs w:val="20"/>
    </w:rPr>
  </w:style>
  <w:style w:type="character" w:customStyle="1" w:styleId="169">
    <w:name w:val="btn-lnk-alignl2"/>
    <w:autoRedefine/>
    <w:qFormat/>
    <w:uiPriority w:val="0"/>
  </w:style>
  <w:style w:type="paragraph" w:customStyle="1" w:styleId="170">
    <w:name w:val="Char Char Char Char1"/>
    <w:basedOn w:val="15"/>
    <w:autoRedefine/>
    <w:qFormat/>
    <w:uiPriority w:val="0"/>
    <w:pPr>
      <w:adjustRightInd w:val="0"/>
      <w:snapToGrid w:val="0"/>
      <w:spacing w:line="360" w:lineRule="auto"/>
    </w:pPr>
    <w:rPr>
      <w:rFonts w:ascii="Tahoma" w:hAnsi="Tahoma"/>
      <w:sz w:val="24"/>
    </w:rPr>
  </w:style>
  <w:style w:type="paragraph" w:customStyle="1" w:styleId="171">
    <w:name w:val="Char2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72">
    <w:name w:val="段"/>
    <w:link w:val="173"/>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73">
    <w:name w:val="段 Char"/>
    <w:link w:val="172"/>
    <w:autoRedefine/>
    <w:qFormat/>
    <w:locked/>
    <w:uiPriority w:val="0"/>
    <w:rPr>
      <w:rFonts w:ascii="宋体"/>
      <w:sz w:val="21"/>
      <w:lang w:val="en-US" w:eastAsia="zh-CN" w:bidi="ar-SA"/>
    </w:rPr>
  </w:style>
  <w:style w:type="character" w:customStyle="1" w:styleId="174">
    <w:name w:val="d1"/>
    <w:autoRedefine/>
    <w:qFormat/>
    <w:uiPriority w:val="0"/>
    <w:rPr>
      <w:color w:val="000000"/>
      <w:sz w:val="21"/>
      <w:szCs w:val="21"/>
      <w:u w:val="none"/>
    </w:rPr>
  </w:style>
  <w:style w:type="paragraph" w:customStyle="1" w:styleId="175">
    <w:name w:val="xl35"/>
    <w:basedOn w:val="1"/>
    <w:autoRedefine/>
    <w:qFormat/>
    <w:uiPriority w:val="0"/>
    <w:pPr>
      <w:widowControl/>
      <w:spacing w:before="100" w:beforeAutospacing="1" w:after="100" w:afterAutospacing="1"/>
      <w:jc w:val="right"/>
    </w:pPr>
    <w:rPr>
      <w:rFonts w:ascii="宋体" w:hAnsi="宋体"/>
      <w:kern w:val="0"/>
      <w:sz w:val="24"/>
    </w:rPr>
  </w:style>
  <w:style w:type="paragraph" w:customStyle="1" w:styleId="176">
    <w:name w:val="6"/>
    <w:basedOn w:val="1"/>
    <w:autoRedefine/>
    <w:qFormat/>
    <w:uiPriority w:val="0"/>
    <w:rPr>
      <w:rFonts w:ascii="Tahoma" w:hAnsi="Tahoma"/>
      <w:sz w:val="24"/>
      <w:u w:val="single"/>
    </w:rPr>
  </w:style>
  <w:style w:type="paragraph" w:customStyle="1" w:styleId="177">
    <w:name w:val="p0"/>
    <w:basedOn w:val="1"/>
    <w:autoRedefine/>
    <w:qFormat/>
    <w:uiPriority w:val="0"/>
    <w:pPr>
      <w:widowControl/>
    </w:pPr>
    <w:rPr>
      <w:kern w:val="0"/>
      <w:szCs w:val="21"/>
    </w:rPr>
  </w:style>
  <w:style w:type="character" w:customStyle="1" w:styleId="178">
    <w:name w:val="c lh15"/>
    <w:basedOn w:val="50"/>
    <w:autoRedefine/>
    <w:qFormat/>
    <w:uiPriority w:val="0"/>
  </w:style>
  <w:style w:type="paragraph" w:customStyle="1" w:styleId="179">
    <w:name w:val="正文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0">
    <w:name w:val="正文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1">
    <w:name w:val="pa-4"/>
    <w:basedOn w:val="1"/>
    <w:autoRedefine/>
    <w:qFormat/>
    <w:uiPriority w:val="0"/>
    <w:pPr>
      <w:widowControl/>
      <w:spacing w:before="150" w:after="150"/>
      <w:jc w:val="left"/>
    </w:pPr>
    <w:rPr>
      <w:rFonts w:ascii="宋体" w:hAnsi="宋体" w:cs="宋体"/>
      <w:kern w:val="0"/>
      <w:sz w:val="24"/>
    </w:rPr>
  </w:style>
  <w:style w:type="character" w:customStyle="1" w:styleId="182">
    <w:name w:val="ca-1"/>
    <w:basedOn w:val="50"/>
    <w:autoRedefine/>
    <w:qFormat/>
    <w:uiPriority w:val="0"/>
  </w:style>
  <w:style w:type="character" w:customStyle="1" w:styleId="183">
    <w:name w:val="ca-4"/>
    <w:basedOn w:val="50"/>
    <w:autoRedefine/>
    <w:qFormat/>
    <w:uiPriority w:val="0"/>
  </w:style>
  <w:style w:type="character" w:customStyle="1" w:styleId="184">
    <w:name w:val="ca-5"/>
    <w:basedOn w:val="50"/>
    <w:autoRedefine/>
    <w:qFormat/>
    <w:uiPriority w:val="0"/>
  </w:style>
  <w:style w:type="paragraph" w:customStyle="1" w:styleId="185">
    <w:name w:val="正文缩进1"/>
    <w:basedOn w:val="1"/>
    <w:autoRedefine/>
    <w:qFormat/>
    <w:uiPriority w:val="0"/>
    <w:pPr>
      <w:autoSpaceDE w:val="0"/>
      <w:autoSpaceDN w:val="0"/>
      <w:adjustRightInd w:val="0"/>
      <w:spacing w:after="80" w:line="300" w:lineRule="atLeast"/>
      <w:ind w:firstLine="482"/>
      <w:textAlignment w:val="baseline"/>
    </w:pPr>
    <w:rPr>
      <w:rFonts w:ascii="Arial" w:hAnsi="Arial" w:cs="Arial"/>
      <w:sz w:val="24"/>
    </w:rPr>
  </w:style>
  <w:style w:type="paragraph" w:customStyle="1" w:styleId="186">
    <w:name w:val="font6"/>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187">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88">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9">
    <w:name w:val="xl32"/>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90">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1">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2">
    <w:name w:val="xl36"/>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93">
    <w:name w:val="xl37"/>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w:hAnsi="Arial" w:cs="Arial"/>
      <w:kern w:val="0"/>
      <w:sz w:val="20"/>
      <w:szCs w:val="20"/>
    </w:rPr>
  </w:style>
  <w:style w:type="paragraph" w:customStyle="1" w:styleId="194">
    <w:name w:val="xl38"/>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195">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6">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7">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8">
    <w:name w:val="xl42"/>
    <w:basedOn w:val="1"/>
    <w:autoRedefine/>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199">
    <w:name w:val="xl4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00">
    <w:name w:val="xl44"/>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201">
    <w:name w:val="xl4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2">
    <w:name w:val="xl46"/>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3">
    <w:name w:val="xl47"/>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4">
    <w:name w:val="xl48"/>
    <w:basedOn w:val="1"/>
    <w:autoRedefine/>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05">
    <w:name w:val="xl4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06">
    <w:name w:val="xl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7">
    <w:name w:val="xl51"/>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8">
    <w:name w:val="xl52"/>
    <w:basedOn w:val="1"/>
    <w:autoRedefine/>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9">
    <w:name w:val="xl53"/>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0">
    <w:name w:val="xl54"/>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1">
    <w:name w:val="xl55"/>
    <w:basedOn w:val="1"/>
    <w:autoRedefine/>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2">
    <w:name w:val="xl56"/>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3">
    <w:name w:val="xl5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4">
    <w:name w:val="xl58"/>
    <w:basedOn w:val="1"/>
    <w:autoRedefine/>
    <w:qFormat/>
    <w:uiPriority w:val="0"/>
    <w:pPr>
      <w:widowControl/>
      <w:pBdr>
        <w:bottom w:val="single" w:color="auto" w:sz="4" w:space="0"/>
      </w:pBdr>
      <w:spacing w:before="100" w:beforeAutospacing="1" w:after="100" w:afterAutospacing="1"/>
      <w:jc w:val="center"/>
    </w:pPr>
    <w:rPr>
      <w:rFonts w:ascii="宋体" w:hAnsi="宋体" w:cs="宋体"/>
      <w:kern w:val="0"/>
      <w:sz w:val="24"/>
    </w:rPr>
  </w:style>
  <w:style w:type="paragraph" w:customStyle="1" w:styleId="215">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216">
    <w:name w:val="xl6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7">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8">
    <w:name w:val="xl69"/>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9">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20">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FF0000"/>
      <w:kern w:val="0"/>
      <w:szCs w:val="21"/>
    </w:rPr>
  </w:style>
  <w:style w:type="paragraph" w:customStyle="1" w:styleId="221">
    <w:name w:val="xl72"/>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22">
    <w:name w:val="xl73"/>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23">
    <w:name w:val="xl74"/>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24">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2"/>
      <w:szCs w:val="22"/>
    </w:rPr>
  </w:style>
  <w:style w:type="paragraph" w:customStyle="1" w:styleId="225">
    <w:name w:val="xl76"/>
    <w:basedOn w:val="1"/>
    <w:autoRedefine/>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color w:val="FF0000"/>
      <w:kern w:val="0"/>
      <w:szCs w:val="21"/>
    </w:rPr>
  </w:style>
  <w:style w:type="paragraph" w:customStyle="1" w:styleId="226">
    <w:name w:val="xl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27">
    <w:name w:val="xl78"/>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28">
    <w:name w:val="xl79"/>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29">
    <w:name w:val="xl80"/>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0">
    <w:name w:val="xl81"/>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31">
    <w:name w:val="xl82"/>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32">
    <w:name w:val="xl83"/>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3">
    <w:name w:val="xl8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4">
    <w:name w:val="xl8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5">
    <w:name w:val="xl86"/>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36">
    <w:name w:val="xl87"/>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37">
    <w:name w:val="xl88"/>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8">
    <w:name w:val="xl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9">
    <w:name w:val="xl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40">
    <w:name w:val="Char Char2 Char Char Char Char"/>
    <w:basedOn w:val="1"/>
    <w:autoRedefine/>
    <w:qFormat/>
    <w:uiPriority w:val="0"/>
    <w:rPr>
      <w:rFonts w:ascii="Tahoma" w:hAnsi="Tahoma"/>
      <w:sz w:val="24"/>
      <w:u w:val="single"/>
    </w:rPr>
  </w:style>
  <w:style w:type="paragraph" w:customStyle="1" w:styleId="241">
    <w:name w:val="Char Char1 Char Char1"/>
    <w:basedOn w:val="1"/>
    <w:autoRedefine/>
    <w:qFormat/>
    <w:uiPriority w:val="0"/>
    <w:rPr>
      <w:rFonts w:ascii="Tahoma" w:hAnsi="Tahoma"/>
      <w:sz w:val="24"/>
      <w:szCs w:val="20"/>
    </w:rPr>
  </w:style>
  <w:style w:type="paragraph" w:customStyle="1" w:styleId="242">
    <w:name w:val="Char Char13"/>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43">
    <w:name w:val="7"/>
    <w:basedOn w:val="1"/>
    <w:autoRedefine/>
    <w:qFormat/>
    <w:uiPriority w:val="0"/>
    <w:rPr>
      <w:rFonts w:ascii="Tahoma" w:hAnsi="Tahoma"/>
      <w:sz w:val="24"/>
      <w:u w:val="single"/>
    </w:rPr>
  </w:style>
  <w:style w:type="paragraph" w:customStyle="1" w:styleId="244">
    <w:name w:val="_Style 52"/>
    <w:basedOn w:val="1"/>
    <w:autoRedefine/>
    <w:qFormat/>
    <w:uiPriority w:val="0"/>
    <w:pPr>
      <w:widowControl/>
      <w:spacing w:after="160" w:line="240" w:lineRule="exact"/>
      <w:jc w:val="left"/>
    </w:pPr>
  </w:style>
  <w:style w:type="character" w:customStyle="1" w:styleId="245">
    <w:name w:val="纯文本 Char"/>
    <w:link w:val="25"/>
    <w:autoRedefine/>
    <w:qFormat/>
    <w:uiPriority w:val="0"/>
    <w:rPr>
      <w:rFonts w:ascii="宋体" w:hAnsi="Courier New"/>
      <w:kern w:val="2"/>
      <w:sz w:val="21"/>
    </w:rPr>
  </w:style>
  <w:style w:type="character" w:customStyle="1" w:styleId="246">
    <w:name w:val="批注文字 Char1"/>
    <w:autoRedefine/>
    <w:qFormat/>
    <w:uiPriority w:val="99"/>
    <w:rPr>
      <w:rFonts w:eastAsia="宋体"/>
      <w:kern w:val="2"/>
      <w:sz w:val="21"/>
      <w:szCs w:val="24"/>
      <w:lang w:val="en-US" w:eastAsia="zh-CN" w:bidi="ar-SA"/>
    </w:rPr>
  </w:style>
  <w:style w:type="paragraph" w:customStyle="1" w:styleId="247">
    <w:name w:val="大目录"/>
    <w:basedOn w:val="1"/>
    <w:autoRedefine/>
    <w:qFormat/>
    <w:uiPriority w:val="0"/>
    <w:pPr>
      <w:spacing w:line="540" w:lineRule="exact"/>
      <w:jc w:val="center"/>
    </w:pPr>
    <w:rPr>
      <w:rFonts w:ascii="宋体" w:hAnsi="宋体" w:cs="Arial"/>
      <w:b/>
      <w:szCs w:val="21"/>
    </w:rPr>
  </w:style>
  <w:style w:type="paragraph" w:customStyle="1" w:styleId="248">
    <w:name w:val="标题 71"/>
    <w:basedOn w:val="1"/>
    <w:autoRedefine/>
    <w:qFormat/>
    <w:uiPriority w:val="1"/>
    <w:pPr>
      <w:ind w:left="362"/>
      <w:jc w:val="left"/>
      <w:outlineLvl w:val="7"/>
    </w:pPr>
    <w:rPr>
      <w:rFonts w:ascii="宋体" w:hAnsi="宋体"/>
      <w:kern w:val="0"/>
      <w:sz w:val="20"/>
      <w:szCs w:val="20"/>
      <w:lang w:eastAsia="en-US"/>
    </w:rPr>
  </w:style>
  <w:style w:type="paragraph" w:customStyle="1" w:styleId="249">
    <w:name w:val="标题 41"/>
    <w:basedOn w:val="1"/>
    <w:autoRedefine/>
    <w:qFormat/>
    <w:uiPriority w:val="1"/>
    <w:pPr>
      <w:ind w:left="105"/>
      <w:jc w:val="left"/>
      <w:outlineLvl w:val="4"/>
    </w:pPr>
    <w:rPr>
      <w:rFonts w:ascii="宋体" w:hAnsi="宋体"/>
      <w:kern w:val="0"/>
      <w:sz w:val="27"/>
      <w:szCs w:val="27"/>
      <w:lang w:eastAsia="en-US"/>
    </w:rPr>
  </w:style>
  <w:style w:type="paragraph" w:customStyle="1" w:styleId="250">
    <w:name w:val="标题 51"/>
    <w:basedOn w:val="1"/>
    <w:autoRedefine/>
    <w:qFormat/>
    <w:uiPriority w:val="1"/>
    <w:pPr>
      <w:ind w:left="734" w:hanging="5"/>
      <w:jc w:val="left"/>
      <w:outlineLvl w:val="5"/>
    </w:pPr>
    <w:rPr>
      <w:rFonts w:ascii="宋体" w:hAnsi="宋体"/>
      <w:kern w:val="0"/>
      <w:sz w:val="23"/>
      <w:szCs w:val="23"/>
      <w:lang w:eastAsia="en-US"/>
    </w:rPr>
  </w:style>
  <w:style w:type="paragraph" w:customStyle="1" w:styleId="251">
    <w:name w:val="_Style 1"/>
    <w:basedOn w:val="1"/>
    <w:autoRedefine/>
    <w:qFormat/>
    <w:uiPriority w:val="0"/>
    <w:pPr>
      <w:ind w:firstLine="420" w:firstLineChars="200"/>
    </w:pPr>
  </w:style>
  <w:style w:type="character" w:customStyle="1" w:styleId="252">
    <w:name w:val="纯文本 Char2"/>
    <w:autoRedefine/>
    <w:qFormat/>
    <w:locked/>
    <w:uiPriority w:val="0"/>
    <w:rPr>
      <w:rFonts w:ascii="宋体" w:hAnsi="Courier New"/>
    </w:rPr>
  </w:style>
  <w:style w:type="paragraph" w:customStyle="1" w:styleId="253">
    <w:name w:val="正文1"/>
    <w:autoRedefine/>
    <w:qFormat/>
    <w:uiPriority w:val="0"/>
    <w:pPr>
      <w:jc w:val="both"/>
    </w:pPr>
    <w:rPr>
      <w:rFonts w:ascii="Calibri" w:hAnsi="Calibri" w:eastAsia="宋体" w:cs="宋体"/>
      <w:kern w:val="2"/>
      <w:sz w:val="21"/>
      <w:szCs w:val="21"/>
      <w:lang w:val="en-US" w:eastAsia="zh-CN" w:bidi="ar-SA"/>
    </w:rPr>
  </w:style>
  <w:style w:type="paragraph" w:customStyle="1" w:styleId="254">
    <w:name w:val="Normal_63"/>
    <w:basedOn w:val="1"/>
    <w:autoRedefine/>
    <w:qFormat/>
    <w:uiPriority w:val="0"/>
    <w:pPr>
      <w:widowControl/>
      <w:spacing w:before="120" w:after="240"/>
    </w:pPr>
    <w:rPr>
      <w:rFonts w:ascii="Calibri" w:hAnsi="Calibri"/>
      <w:kern w:val="0"/>
      <w:sz w:val="22"/>
      <w:szCs w:val="22"/>
    </w:rPr>
  </w:style>
  <w:style w:type="character" w:customStyle="1" w:styleId="255">
    <w:name w:val="10"/>
    <w:basedOn w:val="50"/>
    <w:autoRedefine/>
    <w:qFormat/>
    <w:uiPriority w:val="0"/>
    <w:rPr>
      <w:rFonts w:hint="default" w:ascii="Calibri" w:hAnsi="Calibri"/>
    </w:rPr>
  </w:style>
  <w:style w:type="character" w:customStyle="1" w:styleId="256">
    <w:name w:val="纯文本 字符"/>
    <w:autoRedefine/>
    <w:qFormat/>
    <w:uiPriority w:val="0"/>
    <w:rPr>
      <w:rFonts w:ascii="宋体" w:hAnsi="Courier New" w:eastAsia="宋体" w:cs="Courier New"/>
      <w:szCs w:val="21"/>
    </w:rPr>
  </w:style>
  <w:style w:type="paragraph" w:customStyle="1" w:styleId="257">
    <w:name w:val="方案正文"/>
    <w:basedOn w:val="1"/>
    <w:link w:val="258"/>
    <w:autoRedefine/>
    <w:qFormat/>
    <w:uiPriority w:val="99"/>
    <w:pPr>
      <w:spacing w:before="120"/>
      <w:ind w:firstLine="425" w:firstLineChars="177"/>
    </w:pPr>
    <w:rPr>
      <w:rFonts w:ascii="华文细黑" w:hAnsi="华文细黑" w:eastAsia="华文细黑"/>
      <w:szCs w:val="20"/>
    </w:rPr>
  </w:style>
  <w:style w:type="character" w:customStyle="1" w:styleId="258">
    <w:name w:val="方案正文 Char"/>
    <w:link w:val="257"/>
    <w:autoRedefine/>
    <w:qFormat/>
    <w:locked/>
    <w:uiPriority w:val="99"/>
    <w:rPr>
      <w:rFonts w:ascii="华文细黑" w:hAnsi="华文细黑" w:eastAsia="华文细黑"/>
      <w:kern w:val="2"/>
      <w:sz w:val="21"/>
    </w:rPr>
  </w:style>
  <w:style w:type="paragraph" w:customStyle="1" w:styleId="259">
    <w:name w:val="Table Paragraph"/>
    <w:basedOn w:val="1"/>
    <w:autoRedefine/>
    <w:qFormat/>
    <w:uiPriority w:val="1"/>
    <w:pPr>
      <w:autoSpaceDE w:val="0"/>
      <w:autoSpaceDN w:val="0"/>
      <w:jc w:val="left"/>
    </w:pPr>
    <w:rPr>
      <w:rFonts w:ascii="宋体" w:hAnsi="宋体" w:cs="宋体"/>
      <w:kern w:val="0"/>
      <w:sz w:val="22"/>
      <w:szCs w:val="22"/>
      <w:lang w:val="zh-CN" w:bidi="zh-CN"/>
    </w:rPr>
  </w:style>
  <w:style w:type="table" w:customStyle="1" w:styleId="260">
    <w:name w:val="Table Normal"/>
    <w:autoRedefine/>
    <w:semiHidden/>
    <w:unhideWhenUsed/>
    <w:qFormat/>
    <w:uiPriority w:val="2"/>
    <w:pPr>
      <w:widowControl w:val="0"/>
      <w:autoSpaceDE w:val="0"/>
      <w:autoSpaceDN w:val="0"/>
    </w:pPr>
    <w:rPr>
      <w:rFonts w:asciiTheme="minorHAnsi" w:hAnsiTheme="minorHAnsi" w:eastAsiaTheme="minorEastAsia" w:cstheme="minorBidi"/>
      <w:sz w:val="22"/>
      <w:lang w:eastAsia="en-US"/>
    </w:rPr>
    <w:tblPr>
      <w:tblCellMar>
        <w:top w:w="0" w:type="dxa"/>
        <w:left w:w="0" w:type="dxa"/>
        <w:bottom w:w="0" w:type="dxa"/>
        <w:right w:w="0" w:type="dxa"/>
      </w:tblCellMar>
    </w:tblPr>
  </w:style>
  <w:style w:type="paragraph" w:customStyle="1" w:styleId="261">
    <w:name w:val="List Paragraph_40b67d30-6b8b-4697-8f49-97c11e174001"/>
    <w:basedOn w:val="1"/>
    <w:autoRedefine/>
    <w:qFormat/>
    <w:uiPriority w:val="34"/>
    <w:pPr>
      <w:ind w:firstLine="420" w:firstLineChars="200"/>
    </w:pPr>
    <w:rPr>
      <w:rFonts w:ascii="Calibri" w:hAnsi="Calibri" w:cs="宋体"/>
      <w:szCs w:val="22"/>
    </w:rPr>
  </w:style>
  <w:style w:type="paragraph" w:styleId="262">
    <w:name w:val="List Paragraph"/>
    <w:basedOn w:val="1"/>
    <w:autoRedefine/>
    <w:qFormat/>
    <w:uiPriority w:val="34"/>
    <w:pPr>
      <w:ind w:firstLine="420" w:firstLineChars="200"/>
    </w:pPr>
  </w:style>
  <w:style w:type="character" w:customStyle="1" w:styleId="263">
    <w:name w:val="四级标题 Char"/>
    <w:link w:val="264"/>
    <w:autoRedefine/>
    <w:qFormat/>
    <w:uiPriority w:val="0"/>
    <w:rPr>
      <w:rFonts w:eastAsia="黑体"/>
      <w:b/>
      <w:kern w:val="2"/>
      <w:sz w:val="28"/>
    </w:rPr>
  </w:style>
  <w:style w:type="paragraph" w:customStyle="1" w:styleId="264">
    <w:name w:val="四级标题"/>
    <w:basedOn w:val="1"/>
    <w:link w:val="263"/>
    <w:autoRedefine/>
    <w:qFormat/>
    <w:uiPriority w:val="0"/>
    <w:pPr>
      <w:numPr>
        <w:ilvl w:val="0"/>
        <w:numId w:val="3"/>
      </w:numPr>
      <w:spacing w:line="360" w:lineRule="auto"/>
      <w:outlineLvl w:val="3"/>
    </w:pPr>
    <w:rPr>
      <w:rFonts w:eastAsia="黑体"/>
      <w:b/>
      <w:sz w:val="28"/>
      <w:szCs w:val="20"/>
    </w:rPr>
  </w:style>
  <w:style w:type="paragraph" w:customStyle="1" w:styleId="265">
    <w:name w:val="_Style 3"/>
    <w:autoRedefine/>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266">
    <w:name w:val="WPSOffice手动目录 1"/>
    <w:autoRedefine/>
    <w:qFormat/>
    <w:uiPriority w:val="0"/>
    <w:pPr>
      <w:ind w:leftChars="0"/>
    </w:pPr>
    <w:rPr>
      <w:rFonts w:ascii="Times New Roman" w:hAnsi="Times New Roman" w:eastAsia="宋体" w:cs="Times New Roman"/>
      <w:sz w:val="20"/>
      <w:szCs w:val="20"/>
    </w:rPr>
  </w:style>
  <w:style w:type="paragraph" w:customStyle="1" w:styleId="267">
    <w:name w:val="Table Text"/>
    <w:basedOn w:val="1"/>
    <w:autoRedefine/>
    <w:semiHidden/>
    <w:qFormat/>
    <w:uiPriority w:val="0"/>
    <w:rPr>
      <w:rFonts w:ascii="宋体" w:hAnsi="宋体" w:eastAsia="宋体" w:cs="宋体"/>
      <w:sz w:val="13"/>
      <w:szCs w:val="13"/>
      <w:lang w:val="en-US" w:eastAsia="en-US" w:bidi="ar-SA"/>
    </w:rPr>
  </w:style>
  <w:style w:type="character" w:customStyle="1" w:styleId="268">
    <w:name w:val="NormalCharacter"/>
    <w:autoRedefine/>
    <w:qFormat/>
    <w:uiPriority w:val="0"/>
  </w:style>
  <w:style w:type="paragraph" w:customStyle="1" w:styleId="269">
    <w:name w:val="表格文字"/>
    <w:basedOn w:val="1"/>
    <w:autoRedefine/>
    <w:qFormat/>
    <w:uiPriority w:val="99"/>
    <w:pPr>
      <w:spacing w:before="25" w:after="25"/>
      <w:jc w:val="left"/>
    </w:pPr>
    <w:rPr>
      <w:bCs/>
      <w:spacing w:val="10"/>
      <w:kern w:val="0"/>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kwzb</Company>
  <Pages>29</Pages>
  <Words>107</Words>
  <Characters>399</Characters>
  <Lines>1</Lines>
  <Paragraphs>1</Paragraphs>
  <TotalTime>7</TotalTime>
  <ScaleCrop>false</ScaleCrop>
  <LinksUpToDate>false</LinksUpToDate>
  <CharactersWithSpaces>417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2020-08-05T17:22:00Z</dcterms:created>
  <dc:creator>GT</dc:creator>
  <cp:lastModifiedBy>Lee</cp:lastModifiedBy>
  <cp:lastPrinted>2025-08-13T07:12:00Z</cp:lastPrinted>
  <dcterms:modified xsi:type="dcterms:W3CDTF">2025-12-03T03:45:03Z</dcterms:modified>
  <dc:title>广西国泰招标咨询有限公司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AD0D7D88D7C84C9797C8FF0BB96A7B34_13</vt:lpwstr>
  </property>
  <property fmtid="{D5CDD505-2E9C-101B-9397-08002B2CF9AE}" pid="4" name="KSOTemplateDocerSaveRecord">
    <vt:lpwstr>eyJoZGlkIjoiMTRhNTg1ZDRjODM4NmRjOTU4NGI1MmNjY2I0ZjlmZDUiLCJ1c2VySWQiOiIyOTM3OTAwMjUifQ==</vt:lpwstr>
  </property>
</Properties>
</file>