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3E3EF66">
      <w:pPr>
        <w:spacing w:before="312" w:beforeLines="100" w:line="600" w:lineRule="exact"/>
        <w:jc w:val="center"/>
        <w:rPr>
          <w:rFonts w:ascii="方正小标宋简体" w:hAnsi="宋体" w:eastAsia="方正小标宋简体" w:cs="Times New Roman"/>
          <w:b/>
          <w:sz w:val="72"/>
          <w:szCs w:val="72"/>
          <w:highlight w:val="none"/>
        </w:rPr>
      </w:pPr>
      <w:r>
        <w:rPr>
          <w:rFonts w:hint="eastAsia" w:ascii="方正小标宋简体" w:hAnsi="宋体" w:eastAsia="方正小标宋简体" w:cs="Times New Roman"/>
          <w:b/>
          <w:sz w:val="72"/>
          <w:szCs w:val="72"/>
          <w:highlight w:val="none"/>
        </w:rPr>
        <w:t>竞争性磋商文件</w:t>
      </w:r>
    </w:p>
    <w:p w14:paraId="481178D7">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3C7FA945">
      <w:pPr>
        <w:snapToGrid w:val="0"/>
        <w:spacing w:before="156" w:beforeLines="50" w:line="360" w:lineRule="auto"/>
        <w:jc w:val="center"/>
        <w:rPr>
          <w:rFonts w:ascii="仿宋_GB2312" w:hAnsi="宋体" w:eastAsia="仿宋_GB2312" w:cs="Times New Roman"/>
          <w:color w:val="000000"/>
          <w:sz w:val="30"/>
          <w:szCs w:val="72"/>
          <w:highlight w:val="none"/>
        </w:rPr>
      </w:pPr>
    </w:p>
    <w:p w14:paraId="55FDD015">
      <w:pPr>
        <w:spacing w:line="400" w:lineRule="exact"/>
        <w:rPr>
          <w:rFonts w:ascii="宋体" w:hAnsi="宋体" w:eastAsia="宋体" w:cs="Times New Roman"/>
          <w:b/>
          <w:color w:val="000000"/>
          <w:sz w:val="32"/>
          <w:szCs w:val="32"/>
          <w:highlight w:val="none"/>
        </w:rPr>
      </w:pPr>
    </w:p>
    <w:p w14:paraId="1ED6BDC3">
      <w:pPr>
        <w:spacing w:line="400" w:lineRule="exact"/>
        <w:jc w:val="center"/>
        <w:rPr>
          <w:rFonts w:ascii="宋体" w:hAnsi="宋体" w:eastAsia="宋体" w:cs="Times New Roman"/>
          <w:b/>
          <w:color w:val="000000"/>
          <w:sz w:val="32"/>
          <w:szCs w:val="32"/>
          <w:highlight w:val="none"/>
        </w:rPr>
      </w:pPr>
    </w:p>
    <w:p w14:paraId="4D069836">
      <w:pPr>
        <w:spacing w:line="400" w:lineRule="exact"/>
        <w:jc w:val="center"/>
        <w:rPr>
          <w:rFonts w:ascii="宋体" w:hAnsi="宋体" w:eastAsia="宋体" w:cs="Times New Roman"/>
          <w:b/>
          <w:color w:val="000000"/>
          <w:sz w:val="32"/>
          <w:szCs w:val="32"/>
          <w:highlight w:val="none"/>
        </w:rPr>
      </w:pPr>
    </w:p>
    <w:p w14:paraId="6B30DE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项目名称：广西骨伤医院《桂派中医正骨术》书籍出版服务</w:t>
      </w:r>
    </w:p>
    <w:p w14:paraId="5E9E4062">
      <w:pPr>
        <w:keepNext w:val="0"/>
        <w:keepLines w:val="0"/>
        <w:pageBreakBefore w:val="0"/>
        <w:widowControl w:val="0"/>
        <w:kinsoku/>
        <w:wordWrap/>
        <w:overflowPunct/>
        <w:topLinePunct w:val="0"/>
        <w:autoSpaceDE/>
        <w:autoSpaceDN/>
        <w:bidi w:val="0"/>
        <w:adjustRightInd/>
        <w:snapToGrid/>
        <w:spacing w:line="560" w:lineRule="exact"/>
        <w:ind w:firstLine="1606" w:firstLineChars="500"/>
        <w:textAlignment w:val="auto"/>
        <w:rPr>
          <w:rFonts w:hint="eastAsia" w:ascii="仿宋_GB2312" w:hAnsi="宋体" w:eastAsia="仿宋_GB2312" w:cs="Times New Roman"/>
          <w:b/>
          <w:color w:val="000000"/>
          <w:sz w:val="32"/>
          <w:szCs w:val="32"/>
          <w:highlight w:val="none"/>
          <w:lang w:eastAsia="zh-CN"/>
        </w:rPr>
      </w:pPr>
      <w:r>
        <w:rPr>
          <w:rFonts w:hint="eastAsia" w:ascii="仿宋_GB2312" w:hAnsi="宋体" w:eastAsia="仿宋_GB2312" w:cs="Times New Roman"/>
          <w:b/>
          <w:color w:val="000000"/>
          <w:sz w:val="32"/>
          <w:szCs w:val="32"/>
          <w:highlight w:val="none"/>
        </w:rPr>
        <w:t>项目</w:t>
      </w:r>
      <w:r>
        <w:rPr>
          <w:rFonts w:hint="eastAsia" w:ascii="仿宋_GB2312" w:hAnsi="宋体" w:eastAsia="仿宋_GB2312" w:cs="Times New Roman"/>
          <w:b/>
          <w:color w:val="000000"/>
          <w:sz w:val="32"/>
          <w:szCs w:val="32"/>
          <w:highlight w:val="none"/>
          <w:lang w:eastAsia="zh-CN"/>
        </w:rPr>
        <w:t>（</w:t>
      </w:r>
      <w:r>
        <w:rPr>
          <w:rFonts w:hint="eastAsia" w:ascii="仿宋_GB2312" w:hAnsi="宋体" w:eastAsia="仿宋_GB2312" w:cs="Times New Roman"/>
          <w:b/>
          <w:color w:val="000000"/>
          <w:sz w:val="32"/>
          <w:szCs w:val="32"/>
          <w:highlight w:val="none"/>
          <w:lang w:val="en-US" w:eastAsia="zh-CN"/>
        </w:rPr>
        <w:t>重</w:t>
      </w:r>
      <w:r>
        <w:rPr>
          <w:rFonts w:hint="eastAsia" w:ascii="仿宋_GB2312" w:hAnsi="宋体" w:eastAsia="仿宋_GB2312" w:cs="Times New Roman"/>
          <w:b/>
          <w:color w:val="000000"/>
          <w:sz w:val="32"/>
          <w:szCs w:val="32"/>
          <w:highlight w:val="none"/>
          <w:lang w:eastAsia="zh-CN"/>
        </w:rPr>
        <w:t>）</w:t>
      </w:r>
    </w:p>
    <w:p w14:paraId="44D5AB6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ascii="仿宋_GB2312" w:hAnsi="宋体" w:eastAsia="仿宋_GB2312" w:cs="Times New Roman"/>
          <w:b/>
          <w:color w:val="000000"/>
          <w:sz w:val="32"/>
          <w:szCs w:val="32"/>
          <w:highlight w:val="none"/>
        </w:rPr>
      </w:pPr>
    </w:p>
    <w:p w14:paraId="14F8E07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宋体" w:eastAsia="仿宋_GB2312" w:cs="Times New Roman"/>
          <w:b w:val="0"/>
          <w:bCs/>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项目编号：</w:t>
      </w:r>
      <w:r>
        <w:rPr>
          <w:rFonts w:hint="eastAsia" w:ascii="仿宋_GB2312" w:hAnsi="宋体" w:eastAsia="仿宋_GB2312" w:cs="Times New Roman"/>
          <w:b w:val="0"/>
          <w:bCs/>
          <w:color w:val="000000"/>
          <w:sz w:val="32"/>
          <w:szCs w:val="32"/>
          <w:highlight w:val="none"/>
        </w:rPr>
        <w:t>GXGSYY-CGB-</w:t>
      </w:r>
      <w:r>
        <w:rPr>
          <w:rFonts w:hint="eastAsia" w:ascii="仿宋_GB2312" w:hAnsi="宋体" w:eastAsia="仿宋_GB2312" w:cs="Times New Roman"/>
          <w:b w:val="0"/>
          <w:bCs/>
          <w:color w:val="000000"/>
          <w:sz w:val="32"/>
          <w:szCs w:val="32"/>
          <w:highlight w:val="none"/>
          <w:lang w:val="en-US" w:eastAsia="zh-CN"/>
        </w:rPr>
        <w:t>KJB</w:t>
      </w:r>
      <w:r>
        <w:rPr>
          <w:rFonts w:hint="eastAsia" w:ascii="仿宋_GB2312" w:hAnsi="宋体" w:eastAsia="仿宋_GB2312" w:cs="Times New Roman"/>
          <w:b w:val="0"/>
          <w:bCs/>
          <w:color w:val="000000"/>
          <w:sz w:val="32"/>
          <w:szCs w:val="32"/>
          <w:highlight w:val="none"/>
        </w:rPr>
        <w:t>-2025-</w:t>
      </w:r>
      <w:r>
        <w:rPr>
          <w:rFonts w:hint="eastAsia" w:ascii="仿宋_GB2312" w:hAnsi="宋体" w:eastAsia="仿宋_GB2312" w:cs="Times New Roman"/>
          <w:b w:val="0"/>
          <w:bCs/>
          <w:color w:val="000000"/>
          <w:sz w:val="32"/>
          <w:szCs w:val="32"/>
          <w:highlight w:val="none"/>
          <w:lang w:val="en-US" w:eastAsia="zh-CN"/>
        </w:rPr>
        <w:t xml:space="preserve">01  </w:t>
      </w:r>
    </w:p>
    <w:p w14:paraId="65F8F5B1">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ascii="仿宋_GB2312" w:hAnsi="宋体" w:eastAsia="仿宋_GB2312" w:cs="Times New Roman"/>
          <w:b/>
          <w:color w:val="000000"/>
          <w:sz w:val="32"/>
          <w:szCs w:val="32"/>
          <w:highlight w:val="none"/>
        </w:rPr>
      </w:pPr>
    </w:p>
    <w:p w14:paraId="46A1608F">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14:paraId="6A7F3B09">
      <w:pPr>
        <w:spacing w:line="400" w:lineRule="exact"/>
        <w:jc w:val="center"/>
        <w:rPr>
          <w:rFonts w:ascii="仿宋_GB2312" w:hAnsi="宋体" w:eastAsia="仿宋_GB2312" w:cs="Times New Roman"/>
          <w:b/>
          <w:color w:val="000000"/>
          <w:sz w:val="32"/>
          <w:szCs w:val="32"/>
          <w:highlight w:val="none"/>
        </w:rPr>
      </w:pPr>
    </w:p>
    <w:p w14:paraId="4AD1B7D6">
      <w:pPr>
        <w:spacing w:line="400" w:lineRule="exact"/>
        <w:jc w:val="center"/>
        <w:rPr>
          <w:rFonts w:ascii="仿宋_GB2312" w:hAnsi="宋体" w:eastAsia="仿宋_GB2312" w:cs="Times New Roman"/>
          <w:b/>
          <w:color w:val="000000"/>
          <w:sz w:val="32"/>
          <w:szCs w:val="32"/>
          <w:highlight w:val="none"/>
        </w:rPr>
      </w:pPr>
    </w:p>
    <w:p w14:paraId="24ABDB62">
      <w:pPr>
        <w:spacing w:line="400" w:lineRule="exact"/>
        <w:jc w:val="center"/>
        <w:rPr>
          <w:rFonts w:ascii="仿宋_GB2312" w:hAnsi="宋体" w:eastAsia="仿宋_GB2312" w:cs="Times New Roman"/>
          <w:b/>
          <w:color w:val="000000"/>
          <w:sz w:val="32"/>
          <w:szCs w:val="32"/>
          <w:highlight w:val="none"/>
        </w:rPr>
      </w:pPr>
    </w:p>
    <w:p w14:paraId="0ABEE70F">
      <w:pPr>
        <w:spacing w:line="400" w:lineRule="exact"/>
        <w:jc w:val="center"/>
        <w:rPr>
          <w:rFonts w:ascii="仿宋_GB2312" w:hAnsi="宋体" w:eastAsia="仿宋_GB2312" w:cs="Times New Roman"/>
          <w:b/>
          <w:color w:val="000000"/>
          <w:sz w:val="32"/>
          <w:szCs w:val="32"/>
          <w:highlight w:val="none"/>
        </w:rPr>
      </w:pPr>
    </w:p>
    <w:p w14:paraId="30E3D730">
      <w:pPr>
        <w:spacing w:line="400" w:lineRule="exact"/>
        <w:jc w:val="center"/>
        <w:rPr>
          <w:rFonts w:ascii="仿宋_GB2312" w:hAnsi="宋体" w:eastAsia="仿宋_GB2312" w:cs="Times New Roman"/>
          <w:b/>
          <w:color w:val="000000"/>
          <w:sz w:val="32"/>
          <w:szCs w:val="32"/>
          <w:highlight w:val="none"/>
        </w:rPr>
      </w:pPr>
    </w:p>
    <w:p w14:paraId="20983888">
      <w:pPr>
        <w:spacing w:line="400" w:lineRule="exact"/>
        <w:jc w:val="center"/>
        <w:rPr>
          <w:rFonts w:ascii="仿宋_GB2312" w:hAnsi="宋体" w:eastAsia="仿宋_GB2312" w:cs="Times New Roman"/>
          <w:b/>
          <w:color w:val="000000"/>
          <w:sz w:val="32"/>
          <w:szCs w:val="32"/>
          <w:highlight w:val="none"/>
        </w:rPr>
      </w:pPr>
    </w:p>
    <w:p w14:paraId="6BFA48D3">
      <w:pPr>
        <w:spacing w:line="400" w:lineRule="exact"/>
        <w:jc w:val="center"/>
        <w:rPr>
          <w:rFonts w:ascii="仿宋_GB2312" w:hAnsi="宋体" w:eastAsia="仿宋_GB2312" w:cs="Times New Roman"/>
          <w:b/>
          <w:color w:val="000000"/>
          <w:sz w:val="32"/>
          <w:szCs w:val="32"/>
          <w:highlight w:val="none"/>
        </w:rPr>
      </w:pPr>
    </w:p>
    <w:p w14:paraId="3BB35CFD">
      <w:pPr>
        <w:spacing w:line="400" w:lineRule="exact"/>
        <w:jc w:val="center"/>
        <w:rPr>
          <w:rFonts w:ascii="仿宋_GB2312" w:hAnsi="宋体" w:eastAsia="仿宋_GB2312" w:cs="Times New Roman"/>
          <w:b/>
          <w:color w:val="000000"/>
          <w:sz w:val="32"/>
          <w:szCs w:val="32"/>
          <w:highlight w:val="none"/>
        </w:rPr>
      </w:pPr>
    </w:p>
    <w:p w14:paraId="1050CE12">
      <w:pPr>
        <w:spacing w:line="400" w:lineRule="exact"/>
        <w:jc w:val="center"/>
        <w:rPr>
          <w:rFonts w:ascii="仿宋_GB2312" w:hAnsi="宋体" w:eastAsia="仿宋_GB2312" w:cs="Times New Roman"/>
          <w:b/>
          <w:color w:val="000000"/>
          <w:sz w:val="32"/>
          <w:szCs w:val="32"/>
          <w:highlight w:val="none"/>
        </w:rPr>
      </w:pPr>
    </w:p>
    <w:p w14:paraId="5E43634D">
      <w:pPr>
        <w:spacing w:line="400" w:lineRule="exact"/>
        <w:jc w:val="center"/>
        <w:rPr>
          <w:rFonts w:ascii="仿宋_GB2312" w:hAnsi="宋体" w:eastAsia="仿宋_GB2312" w:cs="Times New Roman"/>
          <w:b/>
          <w:color w:val="000000"/>
          <w:sz w:val="32"/>
          <w:szCs w:val="32"/>
          <w:highlight w:val="none"/>
        </w:rPr>
      </w:pPr>
    </w:p>
    <w:p w14:paraId="14DE920C">
      <w:pPr>
        <w:spacing w:line="400" w:lineRule="exact"/>
        <w:jc w:val="center"/>
        <w:rPr>
          <w:rFonts w:ascii="仿宋_GB2312" w:hAnsi="宋体" w:eastAsia="仿宋_GB2312" w:cs="Times New Roman"/>
          <w:b/>
          <w:color w:val="000000"/>
          <w:sz w:val="32"/>
          <w:szCs w:val="32"/>
          <w:highlight w:val="none"/>
        </w:rPr>
      </w:pPr>
    </w:p>
    <w:p w14:paraId="24557EE8">
      <w:pPr>
        <w:spacing w:line="400" w:lineRule="exact"/>
        <w:jc w:val="center"/>
        <w:rPr>
          <w:rFonts w:ascii="仿宋_GB2312" w:hAnsi="宋体" w:eastAsia="仿宋_GB2312" w:cs="Times New Roman"/>
          <w:b/>
          <w:color w:val="000000"/>
          <w:sz w:val="32"/>
          <w:szCs w:val="32"/>
          <w:highlight w:val="none"/>
        </w:rPr>
      </w:pPr>
    </w:p>
    <w:p w14:paraId="184BB0D1">
      <w:pPr>
        <w:spacing w:line="400" w:lineRule="exact"/>
        <w:jc w:val="center"/>
        <w:rPr>
          <w:rFonts w:ascii="仿宋_GB2312" w:hAnsi="宋体" w:eastAsia="仿宋_GB2312" w:cs="Times New Roman"/>
          <w:b/>
          <w:color w:val="000000"/>
          <w:sz w:val="32"/>
          <w:szCs w:val="32"/>
          <w:highlight w:val="none"/>
        </w:rPr>
      </w:pPr>
    </w:p>
    <w:p w14:paraId="290D0F56">
      <w:pPr>
        <w:spacing w:line="400" w:lineRule="exact"/>
        <w:rPr>
          <w:rFonts w:ascii="仿宋_GB2312" w:hAnsi="宋体" w:eastAsia="仿宋_GB2312" w:cs="Times New Roman"/>
          <w:b/>
          <w:color w:val="000000"/>
          <w:sz w:val="32"/>
          <w:szCs w:val="32"/>
          <w:highlight w:val="none"/>
        </w:rPr>
      </w:pPr>
    </w:p>
    <w:p w14:paraId="2D67840C">
      <w:pPr>
        <w:spacing w:line="400" w:lineRule="exact"/>
        <w:jc w:val="center"/>
        <w:rPr>
          <w:rFonts w:ascii="仿宋_GB2312" w:hAnsi="宋体" w:eastAsia="仿宋_GB2312" w:cs="Times New Roman"/>
          <w:b/>
          <w:color w:val="000000"/>
          <w:sz w:val="32"/>
          <w:szCs w:val="32"/>
          <w:highlight w:val="none"/>
        </w:rPr>
      </w:pPr>
    </w:p>
    <w:p w14:paraId="4E2669EA">
      <w:pPr>
        <w:spacing w:line="400" w:lineRule="exact"/>
        <w:rPr>
          <w:rFonts w:ascii="仿宋_GB2312" w:hAnsi="宋体" w:eastAsia="仿宋_GB2312" w:cs="Times New Roman"/>
          <w:b/>
          <w:color w:val="000000"/>
          <w:sz w:val="32"/>
          <w:szCs w:val="32"/>
          <w:highlight w:val="none"/>
        </w:rPr>
      </w:pPr>
    </w:p>
    <w:p w14:paraId="1C0238B6">
      <w:pPr>
        <w:spacing w:line="400" w:lineRule="exact"/>
        <w:jc w:val="center"/>
        <w:rPr>
          <w:rFonts w:hint="eastAsia"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5</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11</w:t>
      </w:r>
      <w:r>
        <w:rPr>
          <w:rFonts w:hint="eastAsia" w:ascii="仿宋_GB2312" w:hAnsi="宋体" w:eastAsia="仿宋_GB2312" w:cs="Times New Roman"/>
          <w:b/>
          <w:color w:val="000000"/>
          <w:sz w:val="32"/>
          <w:szCs w:val="32"/>
          <w:highlight w:val="none"/>
        </w:rPr>
        <w:t>月</w:t>
      </w:r>
    </w:p>
    <w:p w14:paraId="197A35DB">
      <w:pPr>
        <w:pStyle w:val="25"/>
        <w:keepNext w:val="0"/>
        <w:keepLines w:val="0"/>
        <w:pageBreakBefore w:val="0"/>
        <w:kinsoku/>
        <w:overflowPunct/>
        <w:topLinePunct w:val="0"/>
        <w:bidi w:val="0"/>
        <w:snapToGrid w:val="0"/>
        <w:spacing w:line="360" w:lineRule="auto"/>
        <w:jc w:val="center"/>
        <w:textAlignment w:val="auto"/>
        <w:rPr>
          <w:rFonts w:hAnsi="宋体"/>
          <w:color w:val="auto"/>
          <w:sz w:val="21"/>
          <w:szCs w:val="21"/>
          <w:highlight w:val="none"/>
        </w:rPr>
      </w:pPr>
    </w:p>
    <w:p w14:paraId="7E56FDC3">
      <w:pPr>
        <w:pStyle w:val="25"/>
        <w:keepNext w:val="0"/>
        <w:keepLines w:val="0"/>
        <w:pageBreakBefore w:val="0"/>
        <w:kinsoku/>
        <w:overflowPunct/>
        <w:topLinePunct w:val="0"/>
        <w:bidi w:val="0"/>
        <w:snapToGrid w:val="0"/>
        <w:spacing w:line="360" w:lineRule="auto"/>
        <w:jc w:val="both"/>
        <w:textAlignment w:val="auto"/>
        <w:rPr>
          <w:rFonts w:hint="eastAsia" w:hAnsi="宋体"/>
          <w:color w:val="auto"/>
          <w:sz w:val="21"/>
          <w:szCs w:val="21"/>
          <w:highlight w:val="none"/>
        </w:rPr>
      </w:pPr>
    </w:p>
    <w:sdt>
      <w:sdtPr>
        <w:rPr>
          <w:rFonts w:ascii="宋体" w:hAnsi="宋体" w:eastAsia="宋体" w:cs="Times New Roman"/>
          <w:kern w:val="2"/>
          <w:sz w:val="44"/>
          <w:szCs w:val="44"/>
          <w:highlight w:val="none"/>
          <w:lang w:val="en-US" w:eastAsia="zh-CN" w:bidi="ar-SA"/>
        </w:rPr>
        <w:id w:val="147458409"/>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sdt>
          <w:sdtPr>
            <w:rPr>
              <w:rFonts w:ascii="宋体" w:hAnsi="宋体" w:eastAsia="宋体" w:cs="Times New Roman"/>
              <w:kern w:val="2"/>
              <w:sz w:val="44"/>
              <w:szCs w:val="44"/>
              <w:highlight w:val="none"/>
              <w:lang w:val="en-US" w:eastAsia="zh-CN" w:bidi="ar-SA"/>
            </w:rPr>
            <w:id w:val="147466283"/>
            <w15:color w:val="DBDBDB"/>
            <w:docPartObj>
              <w:docPartGallery w:val="Table of Contents"/>
              <w:docPartUnique/>
            </w:docPartObj>
          </w:sdtPr>
          <w:sdtEndPr>
            <w:rPr>
              <w:rFonts w:hint="eastAsia" w:ascii="宋体" w:hAnsi="宋体" w:eastAsia="宋体" w:cs="Times New Roman"/>
              <w:color w:val="auto"/>
              <w:kern w:val="2"/>
              <w:sz w:val="28"/>
              <w:szCs w:val="28"/>
              <w:highlight w:val="none"/>
              <w:lang w:val="en-US" w:eastAsia="zh-CN" w:bidi="ar-SA"/>
            </w:rPr>
          </w:sdtEndPr>
          <w:sdtContent>
            <w:p w14:paraId="5211BB23">
              <w:pPr>
                <w:keepNext w:val="0"/>
                <w:keepLines w:val="0"/>
                <w:pageBreakBefore w:val="0"/>
                <w:kinsoku/>
                <w:overflowPunct/>
                <w:topLinePunct w:val="0"/>
                <w:bidi w:val="0"/>
                <w:spacing w:before="0" w:beforeLines="0" w:after="0" w:afterLines="0" w:line="360" w:lineRule="auto"/>
                <w:ind w:left="0" w:leftChars="0" w:right="0" w:rightChars="0" w:firstLine="0" w:firstLineChars="0"/>
                <w:jc w:val="center"/>
                <w:textAlignment w:val="auto"/>
                <w:rPr>
                  <w:sz w:val="44"/>
                  <w:szCs w:val="44"/>
                  <w:highlight w:val="none"/>
                </w:rPr>
              </w:pPr>
              <w:r>
                <w:rPr>
                  <w:rFonts w:ascii="宋体" w:hAnsi="宋体" w:eastAsia="宋体"/>
                  <w:b/>
                  <w:bCs/>
                  <w:sz w:val="44"/>
                  <w:szCs w:val="44"/>
                  <w:highlight w:val="none"/>
                </w:rPr>
                <w:t>目</w:t>
              </w:r>
              <w:r>
                <w:rPr>
                  <w:rFonts w:hint="eastAsia" w:ascii="宋体" w:hAnsi="宋体" w:eastAsia="宋体"/>
                  <w:b/>
                  <w:bCs/>
                  <w:sz w:val="44"/>
                  <w:szCs w:val="44"/>
                  <w:highlight w:val="none"/>
                  <w:lang w:val="en-US" w:eastAsia="zh-CN"/>
                </w:rPr>
                <w:t xml:space="preserve"> </w:t>
              </w:r>
              <w:r>
                <w:rPr>
                  <w:rFonts w:ascii="宋体" w:hAnsi="宋体" w:eastAsia="宋体"/>
                  <w:b/>
                  <w:bCs/>
                  <w:sz w:val="44"/>
                  <w:szCs w:val="44"/>
                  <w:highlight w:val="none"/>
                </w:rPr>
                <w:t>录</w:t>
              </w:r>
            </w:p>
            <w:p w14:paraId="08A46CFA">
              <w:pPr>
                <w:pStyle w:val="32"/>
                <w:tabs>
                  <w:tab w:val="right" w:leader="dot" w:pos="9638"/>
                  <w:tab w:val="clear" w:pos="8398"/>
                </w:tabs>
                <w:rPr>
                  <w:highlight w:val="none"/>
                </w:rPr>
              </w:pPr>
              <w:r>
                <w:rPr>
                  <w:rFonts w:hint="eastAsia" w:hAnsi="宋体"/>
                  <w:color w:val="auto"/>
                  <w:sz w:val="28"/>
                  <w:szCs w:val="28"/>
                  <w:highlight w:val="none"/>
                </w:rPr>
                <w:fldChar w:fldCharType="begin"/>
              </w:r>
              <w:r>
                <w:rPr>
                  <w:rFonts w:hint="eastAsia" w:hAnsi="宋体"/>
                  <w:color w:val="auto"/>
                  <w:sz w:val="28"/>
                  <w:szCs w:val="28"/>
                  <w:highlight w:val="none"/>
                </w:rPr>
                <w:instrText xml:space="preserve">TOC \o "1-1" \h \u </w:instrText>
              </w:r>
              <w:r>
                <w:rPr>
                  <w:rFonts w:hint="eastAsia" w:hAnsi="宋体"/>
                  <w:color w:val="auto"/>
                  <w:sz w:val="28"/>
                  <w:szCs w:val="28"/>
                  <w:highlight w:val="none"/>
                </w:rPr>
                <w:fldChar w:fldCharType="separate"/>
              </w:r>
            </w:p>
            <w:p w14:paraId="55315F7F">
              <w:pPr>
                <w:pStyle w:val="32"/>
                <w:tabs>
                  <w:tab w:val="right" w:leader="dot" w:pos="9638"/>
                  <w:tab w:val="clear" w:pos="8398"/>
                </w:tabs>
                <w:rPr>
                  <w:rFonts w:hint="eastAsia" w:ascii="黑体" w:hAnsi="黑体" w:eastAsia="黑体" w:cs="黑体"/>
                  <w:b w:val="0"/>
                  <w:bCs w:val="0"/>
                  <w:color w:val="auto"/>
                  <w:sz w:val="30"/>
                  <w:szCs w:val="30"/>
                  <w:highlight w:val="none"/>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sz w:val="30"/>
                  <w:szCs w:val="30"/>
                  <w:highlight w:val="none"/>
                </w:rPr>
                <w:instrText xml:space="preserve"> HYPERLINK \l _Toc16882 </w:instrText>
              </w:r>
              <w:r>
                <w:rPr>
                  <w:rFonts w:hint="eastAsia" w:ascii="黑体" w:hAnsi="黑体" w:eastAsia="黑体" w:cs="黑体"/>
                  <w:b w:val="0"/>
                  <w:bCs w:val="0"/>
                  <w:sz w:val="30"/>
                  <w:szCs w:val="30"/>
                  <w:highlight w:val="none"/>
                </w:rPr>
                <w:fldChar w:fldCharType="separate"/>
              </w:r>
              <w:r>
                <w:rPr>
                  <w:rFonts w:hint="eastAsia" w:ascii="黑体" w:hAnsi="黑体" w:eastAsia="黑体" w:cs="黑体"/>
                  <w:b w:val="0"/>
                  <w:bCs w:val="0"/>
                  <w:color w:val="auto"/>
                  <w:sz w:val="30"/>
                  <w:szCs w:val="30"/>
                  <w:highlight w:val="none"/>
                </w:rPr>
                <w:t xml:space="preserve">第一章  </w:t>
              </w:r>
              <w:r>
                <w:rPr>
                  <w:rFonts w:hint="eastAsia" w:ascii="黑体" w:hAnsi="黑体" w:eastAsia="黑体" w:cs="黑体"/>
                  <w:b w:val="0"/>
                  <w:bCs w:val="0"/>
                  <w:color w:val="auto"/>
                  <w:sz w:val="30"/>
                  <w:szCs w:val="30"/>
                  <w:highlight w:val="none"/>
                  <w:lang w:val="en-US" w:eastAsia="zh-CN"/>
                </w:rPr>
                <w:t>磋商</w:t>
              </w:r>
              <w:r>
                <w:rPr>
                  <w:rFonts w:hint="eastAsia" w:ascii="黑体" w:hAnsi="黑体" w:eastAsia="黑体" w:cs="黑体"/>
                  <w:b w:val="0"/>
                  <w:bCs w:val="0"/>
                  <w:color w:val="auto"/>
                  <w:sz w:val="30"/>
                  <w:szCs w:val="30"/>
                  <w:highlight w:val="none"/>
                </w:rPr>
                <w:t>公告</w:t>
              </w:r>
              <w:r>
                <w:rPr>
                  <w:rFonts w:hint="eastAsia" w:ascii="黑体" w:hAnsi="黑体" w:eastAsia="黑体" w:cs="黑体"/>
                  <w:b w:val="0"/>
                  <w:bCs w:val="0"/>
                  <w:color w:val="auto"/>
                  <w:sz w:val="30"/>
                  <w:szCs w:val="30"/>
                  <w:highlight w:val="none"/>
                </w:rPr>
                <w:fldChar w:fldCharType="end"/>
              </w:r>
            </w:p>
            <w:p w14:paraId="69461528">
              <w:pPr>
                <w:pStyle w:val="32"/>
                <w:tabs>
                  <w:tab w:val="right" w:leader="dot" w:pos="9638"/>
                  <w:tab w:val="clear" w:pos="8398"/>
                </w:tabs>
                <w:rPr>
                  <w:rFonts w:hint="default" w:ascii="宋体" w:hAnsi="宋体" w:eastAsia="宋体" w:cs="宋体"/>
                  <w:b w:val="0"/>
                  <w:bCs w:val="0"/>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_Toc11927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 xml:space="preserve">第二章  </w:t>
              </w:r>
              <w:r>
                <w:rPr>
                  <w:rFonts w:hint="eastAsia" w:ascii="黑体" w:hAnsi="黑体" w:eastAsia="黑体" w:cs="黑体"/>
                  <w:b w:val="0"/>
                  <w:bCs w:val="0"/>
                  <w:color w:val="auto"/>
                  <w:sz w:val="30"/>
                  <w:szCs w:val="30"/>
                  <w:highlight w:val="none"/>
                  <w:lang w:val="en-US" w:eastAsia="zh-CN"/>
                </w:rPr>
                <w:t>投标人</w:t>
              </w:r>
              <w:r>
                <w:rPr>
                  <w:rFonts w:hint="eastAsia" w:ascii="黑体" w:hAnsi="黑体" w:eastAsia="黑体" w:cs="黑体"/>
                  <w:b w:val="0"/>
                  <w:bCs w:val="0"/>
                  <w:color w:val="auto"/>
                  <w:sz w:val="30"/>
                  <w:szCs w:val="30"/>
                  <w:highlight w:val="none"/>
                </w:rPr>
                <w:t>须知</w:t>
              </w:r>
              <w:r>
                <w:rPr>
                  <w:rFonts w:hint="eastAsia" w:ascii="黑体" w:hAnsi="黑体" w:eastAsia="黑体" w:cs="黑体"/>
                  <w:b w:val="0"/>
                  <w:bCs w:val="0"/>
                  <w:color w:val="auto"/>
                  <w:sz w:val="30"/>
                  <w:szCs w:val="30"/>
                  <w:highlight w:val="none"/>
                </w:rPr>
                <w:fldChar w:fldCharType="end"/>
              </w:r>
            </w:p>
            <w:p w14:paraId="7627EAB0">
              <w:pPr>
                <w:pStyle w:val="32"/>
                <w:tabs>
                  <w:tab w:val="right" w:leader="dot" w:pos="9638"/>
                  <w:tab w:val="clear" w:pos="8398"/>
                </w:tabs>
                <w:rPr>
                  <w:rFonts w:hint="default" w:ascii="宋体" w:hAnsi="宋体" w:eastAsia="宋体" w:cs="宋体"/>
                  <w:b w:val="0"/>
                  <w:bCs w:val="0"/>
                  <w:color w:val="auto"/>
                  <w:sz w:val="30"/>
                  <w:szCs w:val="30"/>
                  <w:highlight w:val="none"/>
                  <w:lang w:val="en-US" w:eastAsia="zh-CN"/>
                </w:rPr>
              </w:pPr>
              <w:r>
                <w:rPr>
                  <w:rFonts w:hint="eastAsia" w:ascii="黑体" w:hAnsi="黑体" w:eastAsia="黑体" w:cs="黑体"/>
                  <w:b w:val="0"/>
                  <w:bCs w:val="0"/>
                  <w:color w:val="auto"/>
                  <w:sz w:val="30"/>
                  <w:szCs w:val="30"/>
                  <w:highlight w:val="none"/>
                </w:rPr>
                <w:fldChar w:fldCharType="begin"/>
              </w:r>
              <w:r>
                <w:rPr>
                  <w:rFonts w:hint="eastAsia" w:ascii="黑体" w:hAnsi="黑体" w:eastAsia="黑体" w:cs="黑体"/>
                  <w:b w:val="0"/>
                  <w:bCs w:val="0"/>
                  <w:color w:val="auto"/>
                  <w:sz w:val="30"/>
                  <w:szCs w:val="30"/>
                  <w:highlight w:val="none"/>
                </w:rPr>
                <w:instrText xml:space="preserve"> HYPERLINK \l _Toc9309 </w:instrText>
              </w:r>
              <w:r>
                <w:rPr>
                  <w:rFonts w:hint="eastAsia" w:ascii="黑体" w:hAnsi="黑体" w:eastAsia="黑体" w:cs="黑体"/>
                  <w:b w:val="0"/>
                  <w:bCs w:val="0"/>
                  <w:color w:val="auto"/>
                  <w:sz w:val="30"/>
                  <w:szCs w:val="30"/>
                  <w:highlight w:val="none"/>
                </w:rPr>
                <w:fldChar w:fldCharType="separate"/>
              </w:r>
              <w:r>
                <w:rPr>
                  <w:rFonts w:hint="eastAsia" w:ascii="黑体" w:hAnsi="黑体" w:eastAsia="黑体" w:cs="黑体"/>
                  <w:b w:val="0"/>
                  <w:bCs w:val="0"/>
                  <w:color w:val="auto"/>
                  <w:sz w:val="30"/>
                  <w:szCs w:val="30"/>
                  <w:highlight w:val="none"/>
                </w:rPr>
                <w:t xml:space="preserve">第三章  </w:t>
              </w:r>
              <w:r>
                <w:rPr>
                  <w:rFonts w:hint="eastAsia" w:ascii="黑体" w:hAnsi="黑体" w:eastAsia="黑体" w:cs="黑体"/>
                  <w:b w:val="0"/>
                  <w:bCs w:val="0"/>
                  <w:color w:val="auto"/>
                  <w:sz w:val="30"/>
                  <w:szCs w:val="30"/>
                  <w:highlight w:val="none"/>
                  <w:lang w:eastAsia="zh-CN"/>
                </w:rPr>
                <w:t>项目需求</w:t>
              </w:r>
              <w:r>
                <w:rPr>
                  <w:rFonts w:hint="eastAsia" w:ascii="黑体" w:hAnsi="黑体" w:eastAsia="黑体" w:cs="黑体"/>
                  <w:b w:val="0"/>
                  <w:bCs w:val="0"/>
                  <w:color w:val="auto"/>
                  <w:sz w:val="30"/>
                  <w:szCs w:val="30"/>
                  <w:highlight w:val="none"/>
                  <w:lang w:val="en-US" w:eastAsia="zh-CN"/>
                </w:rPr>
                <w:t>参数</w:t>
              </w:r>
              <w:r>
                <w:rPr>
                  <w:rFonts w:hint="eastAsia" w:ascii="黑体" w:hAnsi="黑体" w:eastAsia="黑体" w:cs="黑体"/>
                  <w:b w:val="0"/>
                  <w:bCs w:val="0"/>
                  <w:color w:val="auto"/>
                  <w:sz w:val="30"/>
                  <w:szCs w:val="30"/>
                  <w:highlight w:val="none"/>
                </w:rPr>
                <w:fldChar w:fldCharType="end"/>
              </w:r>
            </w:p>
            <w:p w14:paraId="31FDFC59">
              <w:pPr>
                <w:ind w:firstLine="300" w:firstLineChars="100"/>
                <w:rPr>
                  <w:rFonts w:hint="default" w:ascii="宋体" w:hAnsi="宋体" w:eastAsia="宋体" w:cs="宋体"/>
                  <w:b w:val="0"/>
                  <w:bCs w:val="0"/>
                  <w:caps/>
                  <w:color w:val="auto"/>
                  <w:kern w:val="2"/>
                  <w:sz w:val="21"/>
                  <w:szCs w:val="21"/>
                  <w:highlight w:val="none"/>
                  <w:lang w:val="en-US" w:eastAsia="zh-CN" w:bidi="ar-SA"/>
                </w:rPr>
              </w:pPr>
              <w:r>
                <w:rPr>
                  <w:rFonts w:hint="eastAsia" w:ascii="黑体" w:hAnsi="黑体" w:eastAsia="黑体" w:cs="黑体"/>
                  <w:b w:val="0"/>
                  <w:bCs w:val="0"/>
                  <w:caps/>
                  <w:color w:val="auto"/>
                  <w:kern w:val="2"/>
                  <w:sz w:val="30"/>
                  <w:szCs w:val="30"/>
                  <w:highlight w:val="none"/>
                  <w:lang w:val="en-US" w:eastAsia="zh-CN" w:bidi="ar-SA"/>
                </w:rPr>
                <w:t>第五章  拟签订合同文本</w:t>
              </w:r>
            </w:p>
            <w:p w14:paraId="76CE2965">
              <w:pPr>
                <w:pStyle w:val="32"/>
                <w:tabs>
                  <w:tab w:val="right" w:leader="dot" w:pos="9638"/>
                  <w:tab w:val="clear" w:pos="8398"/>
                </w:tabs>
                <w:rPr>
                  <w:rFonts w:hint="default" w:ascii="宋体" w:hAnsi="宋体" w:eastAsia="宋体" w:cs="宋体"/>
                  <w:b w:val="0"/>
                  <w:bCs w:val="0"/>
                  <w:sz w:val="30"/>
                  <w:szCs w:val="30"/>
                  <w:highlight w:val="none"/>
                  <w:lang w:val="en-US" w:eastAsia="zh-CN"/>
                </w:rPr>
              </w:pPr>
              <w:r>
                <w:rPr>
                  <w:rFonts w:hint="eastAsia" w:ascii="黑体" w:hAnsi="黑体" w:eastAsia="黑体" w:cs="黑体"/>
                  <w:b w:val="0"/>
                  <w:bCs w:val="0"/>
                  <w:caps/>
                  <w:color w:val="auto"/>
                  <w:kern w:val="2"/>
                  <w:sz w:val="30"/>
                  <w:szCs w:val="30"/>
                  <w:highlight w:val="none"/>
                  <w:lang w:val="en-US" w:eastAsia="zh-CN" w:bidi="ar-SA"/>
                </w:rPr>
                <w:fldChar w:fldCharType="begin"/>
              </w:r>
              <w:r>
                <w:rPr>
                  <w:rFonts w:hint="eastAsia" w:ascii="黑体" w:hAnsi="黑体" w:eastAsia="黑体" w:cs="黑体"/>
                  <w:b w:val="0"/>
                  <w:bCs w:val="0"/>
                  <w:caps/>
                  <w:color w:val="auto"/>
                  <w:kern w:val="2"/>
                  <w:sz w:val="30"/>
                  <w:szCs w:val="30"/>
                  <w:highlight w:val="none"/>
                  <w:lang w:val="en-US" w:eastAsia="zh-CN" w:bidi="ar-SA"/>
                </w:rPr>
                <w:instrText xml:space="preserve"> HYPERLINK \l _Toc26063 </w:instrText>
              </w:r>
              <w:r>
                <w:rPr>
                  <w:rFonts w:hint="eastAsia" w:ascii="黑体" w:hAnsi="黑体" w:eastAsia="黑体" w:cs="黑体"/>
                  <w:b w:val="0"/>
                  <w:bCs w:val="0"/>
                  <w:caps/>
                  <w:color w:val="auto"/>
                  <w:kern w:val="2"/>
                  <w:sz w:val="30"/>
                  <w:szCs w:val="30"/>
                  <w:highlight w:val="none"/>
                  <w:lang w:val="en-US" w:eastAsia="zh-CN" w:bidi="ar-SA"/>
                </w:rPr>
                <w:fldChar w:fldCharType="separate"/>
              </w:r>
              <w:r>
                <w:rPr>
                  <w:rFonts w:hint="eastAsia" w:ascii="黑体" w:hAnsi="黑体" w:eastAsia="黑体" w:cs="黑体"/>
                  <w:b w:val="0"/>
                  <w:bCs w:val="0"/>
                  <w:caps/>
                  <w:color w:val="auto"/>
                  <w:kern w:val="2"/>
                  <w:sz w:val="30"/>
                  <w:szCs w:val="30"/>
                  <w:highlight w:val="none"/>
                  <w:lang w:val="en-US" w:eastAsia="zh-CN" w:bidi="ar-SA"/>
                </w:rPr>
                <w:t>第六章  响应文件格式</w:t>
              </w:r>
              <w:r>
                <w:rPr>
                  <w:rFonts w:hint="eastAsia" w:ascii="黑体" w:hAnsi="黑体" w:eastAsia="黑体" w:cs="黑体"/>
                  <w:b w:val="0"/>
                  <w:bCs w:val="0"/>
                  <w:caps/>
                  <w:color w:val="auto"/>
                  <w:kern w:val="2"/>
                  <w:sz w:val="30"/>
                  <w:szCs w:val="30"/>
                  <w:highlight w:val="none"/>
                  <w:lang w:val="en-US" w:eastAsia="zh-CN" w:bidi="ar-SA"/>
                </w:rPr>
                <w:fldChar w:fldCharType="end"/>
              </w:r>
            </w:p>
            <w:p w14:paraId="0E2ADADB">
              <w:pPr>
                <w:rPr>
                  <w:rFonts w:hint="eastAsia" w:ascii="宋体" w:hAnsi="宋体" w:eastAsia="宋体" w:cs="Times New Roman"/>
                  <w:color w:val="auto"/>
                  <w:kern w:val="2"/>
                  <w:sz w:val="28"/>
                  <w:szCs w:val="28"/>
                  <w:highlight w:val="none"/>
                  <w:lang w:val="en-US" w:eastAsia="zh-CN" w:bidi="ar-SA"/>
                </w:rPr>
              </w:pPr>
              <w:r>
                <w:rPr>
                  <w:rFonts w:hint="eastAsia" w:hAnsi="宋体"/>
                  <w:color w:val="auto"/>
                  <w:szCs w:val="28"/>
                  <w:highlight w:val="none"/>
                </w:rPr>
                <w:fldChar w:fldCharType="end"/>
              </w:r>
            </w:p>
          </w:sdtContent>
        </w:sdt>
        <w:p w14:paraId="280FC9D1">
          <w:pPr>
            <w:rPr>
              <w:rFonts w:hint="eastAsia" w:ascii="Cambria" w:hAnsi="Cambria" w:eastAsia="宋体" w:cs="Times New Roman"/>
              <w:b/>
              <w:bCs/>
              <w:color w:val="000000"/>
              <w:sz w:val="32"/>
              <w:szCs w:val="32"/>
              <w:highlight w:val="none"/>
              <w:lang w:val="zh-CN" w:eastAsia="zh-CN"/>
            </w:rPr>
          </w:pPr>
          <w:r>
            <w:rPr>
              <w:rFonts w:hint="eastAsia" w:ascii="Cambria" w:hAnsi="Cambria" w:eastAsia="宋体" w:cs="Times New Roman"/>
              <w:b/>
              <w:bCs/>
              <w:color w:val="000000"/>
              <w:sz w:val="32"/>
              <w:szCs w:val="32"/>
              <w:highlight w:val="none"/>
              <w:lang w:val="zh-CN" w:eastAsia="zh-CN"/>
            </w:rPr>
            <w:br w:type="page"/>
          </w:r>
        </w:p>
        <w:p w14:paraId="6BFA718E">
          <w:pPr>
            <w:keepNext/>
            <w:keepLines/>
            <w:spacing w:before="260" w:after="260" w:line="416" w:lineRule="auto"/>
            <w:jc w:val="center"/>
            <w:outlineLvl w:val="1"/>
            <w:rPr>
              <w:rFonts w:ascii="Cambria" w:hAnsi="Cambria" w:eastAsia="宋体" w:cs="Times New Roman"/>
              <w:b/>
              <w:bCs/>
              <w:color w:val="000000"/>
              <w:sz w:val="32"/>
              <w:szCs w:val="32"/>
              <w:highlight w:val="none"/>
              <w:lang w:val="zh-CN" w:eastAsia="zh-CN"/>
            </w:rPr>
          </w:pPr>
          <w:r>
            <w:rPr>
              <w:rFonts w:hint="eastAsia" w:ascii="Cambria" w:hAnsi="Cambria" w:eastAsia="宋体" w:cs="Times New Roman"/>
              <w:b/>
              <w:bCs/>
              <w:color w:val="000000"/>
              <w:sz w:val="32"/>
              <w:szCs w:val="32"/>
              <w:highlight w:val="none"/>
              <w:lang w:val="zh-CN" w:eastAsia="zh-CN"/>
            </w:rPr>
            <w:t>第一章 竞争性磋商公告</w:t>
          </w:r>
        </w:p>
        <w:p w14:paraId="2EFFD9E5">
          <w:pPr>
            <w:keepNext/>
            <w:keepLines/>
            <w:spacing w:line="320" w:lineRule="exact"/>
            <w:ind w:firstLine="420" w:firstLineChars="200"/>
            <w:outlineLvl w:val="1"/>
            <w:rPr>
              <w:rFonts w:hint="eastAsia" w:ascii="宋体" w:hAnsi="宋体" w:eastAsia="宋体" w:cs="宋体"/>
              <w:b w:val="0"/>
              <w:bCs/>
              <w:color w:val="000000"/>
              <w:szCs w:val="21"/>
              <w:highlight w:val="none"/>
              <w:lang w:val="zh-CN" w:eastAsia="zh-CN"/>
            </w:rPr>
          </w:pPr>
          <w:bookmarkStart w:id="0" w:name="_Toc28359089"/>
          <w:bookmarkStart w:id="1" w:name="_Toc47452205"/>
          <w:bookmarkStart w:id="2" w:name="_Toc35393629"/>
          <w:bookmarkStart w:id="3" w:name="_Toc44229878"/>
          <w:bookmarkStart w:id="4" w:name="_Toc28359012"/>
          <w:bookmarkStart w:id="5" w:name="_Toc35393798"/>
          <w:r>
            <w:rPr>
              <w:rFonts w:hint="eastAsia" w:ascii="宋体" w:hAnsi="宋体" w:eastAsia="宋体" w:cs="宋体"/>
              <w:b w:val="0"/>
              <w:bCs/>
              <w:color w:val="000000"/>
              <w:szCs w:val="21"/>
              <w:highlight w:val="none"/>
              <w:lang w:val="zh-CN" w:eastAsia="zh-CN"/>
            </w:rPr>
            <w:t>根据医院业务需要，拟</w:t>
          </w:r>
          <w:r>
            <w:rPr>
              <w:rFonts w:hint="eastAsia" w:ascii="宋体" w:hAnsi="宋体" w:eastAsia="宋体" w:cs="宋体"/>
              <w:b w:val="0"/>
              <w:bCs/>
              <w:color w:val="000000"/>
              <w:szCs w:val="21"/>
              <w:highlight w:val="none"/>
              <w:lang w:val="en-US" w:eastAsia="zh-CN"/>
            </w:rPr>
            <w:t>进行</w:t>
          </w:r>
          <w:r>
            <w:rPr>
              <w:rFonts w:hint="eastAsia" w:ascii="宋体" w:hAnsi="宋体" w:eastAsia="宋体" w:cs="Times New Roman"/>
              <w:color w:val="000000"/>
              <w:szCs w:val="21"/>
              <w:highlight w:val="none"/>
            </w:rPr>
            <w:t>《桂派中医正骨术》书籍出版服务</w:t>
          </w:r>
          <w:r>
            <w:rPr>
              <w:rFonts w:hint="eastAsia" w:ascii="宋体" w:hAnsi="宋体" w:cs="宋体"/>
              <w:b w:val="0"/>
              <w:bCs/>
              <w:color w:val="000000"/>
              <w:szCs w:val="21"/>
              <w:highlight w:val="none"/>
              <w:lang w:val="zh-CN" w:eastAsia="zh-CN"/>
            </w:rPr>
            <w:t>项目</w:t>
          </w:r>
          <w:r>
            <w:rPr>
              <w:rFonts w:hint="eastAsia" w:ascii="宋体" w:hAnsi="宋体" w:eastAsia="宋体" w:cs="宋体"/>
              <w:b w:val="0"/>
              <w:bCs/>
              <w:color w:val="000000"/>
              <w:szCs w:val="21"/>
              <w:highlight w:val="none"/>
              <w:lang w:val="en-US" w:eastAsia="zh-CN"/>
            </w:rPr>
            <w:t>院内竞争性磋商</w:t>
          </w:r>
          <w:r>
            <w:rPr>
              <w:rFonts w:hint="eastAsia" w:ascii="宋体" w:hAnsi="宋体" w:cs="宋体"/>
              <w:b w:val="0"/>
              <w:bCs/>
              <w:color w:val="000000"/>
              <w:szCs w:val="21"/>
              <w:highlight w:val="none"/>
              <w:lang w:val="en-US" w:eastAsia="zh-CN"/>
            </w:rPr>
            <w:t>采购</w:t>
          </w:r>
          <w:r>
            <w:rPr>
              <w:rFonts w:hint="eastAsia" w:ascii="宋体" w:hAnsi="宋体" w:eastAsia="宋体" w:cs="宋体"/>
              <w:b w:val="0"/>
              <w:bCs/>
              <w:color w:val="000000"/>
              <w:szCs w:val="21"/>
              <w:highlight w:val="none"/>
              <w:lang w:val="zh-CN" w:eastAsia="zh-CN"/>
            </w:rPr>
            <w:t>，</w:t>
          </w:r>
          <w:r>
            <w:rPr>
              <w:rFonts w:hint="eastAsia" w:ascii="宋体" w:hAnsi="宋体" w:eastAsia="宋体" w:cs="宋体"/>
              <w:b w:val="0"/>
              <w:bCs/>
              <w:color w:val="000000"/>
              <w:szCs w:val="21"/>
              <w:highlight w:val="none"/>
              <w:lang w:val="en-US" w:eastAsia="zh-CN"/>
            </w:rPr>
            <w:t>请符合条件的供应商在规定时间内获取磋商文件，并按要求提交响应文件</w:t>
          </w:r>
          <w:r>
            <w:rPr>
              <w:rFonts w:hint="eastAsia" w:ascii="宋体" w:hAnsi="宋体" w:eastAsia="宋体" w:cs="宋体"/>
              <w:b w:val="0"/>
              <w:bCs/>
              <w:color w:val="000000"/>
              <w:szCs w:val="21"/>
              <w:highlight w:val="none"/>
              <w:lang w:val="zh-CN" w:eastAsia="zh-CN"/>
            </w:rPr>
            <w:t>。</w:t>
          </w:r>
        </w:p>
        <w:p w14:paraId="3C634C29">
          <w:pPr>
            <w:keepNext/>
            <w:keepLines/>
            <w:spacing w:line="320" w:lineRule="exact"/>
            <w:ind w:firstLine="422" w:firstLineChars="200"/>
            <w:outlineLvl w:val="1"/>
            <w:rPr>
              <w:rFonts w:ascii="宋体" w:hAnsi="宋体" w:eastAsia="宋体" w:cs="宋体"/>
              <w:b/>
              <w:color w:val="000000"/>
              <w:szCs w:val="21"/>
              <w:highlight w:val="none"/>
              <w:lang w:val="zh-CN" w:eastAsia="zh-CN"/>
            </w:rPr>
          </w:pPr>
          <w:r>
            <w:rPr>
              <w:rFonts w:hint="eastAsia" w:ascii="宋体" w:hAnsi="宋体" w:eastAsia="宋体" w:cs="宋体"/>
              <w:b/>
              <w:color w:val="000000"/>
              <w:szCs w:val="21"/>
              <w:highlight w:val="none"/>
              <w:lang w:val="zh-CN" w:eastAsia="zh-CN"/>
            </w:rPr>
            <w:t>一、项目基本情况</w:t>
          </w:r>
          <w:bookmarkEnd w:id="0"/>
          <w:bookmarkEnd w:id="1"/>
          <w:bookmarkEnd w:id="2"/>
          <w:bookmarkEnd w:id="3"/>
          <w:bookmarkEnd w:id="4"/>
          <w:bookmarkEnd w:id="5"/>
        </w:p>
        <w:p w14:paraId="381E8374">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项目编号：GXGSYY-CGB-</w:t>
          </w:r>
          <w:r>
            <w:rPr>
              <w:rFonts w:hint="eastAsia" w:ascii="宋体" w:hAnsi="宋体" w:cs="Times New Roman"/>
              <w:color w:val="000000"/>
              <w:szCs w:val="21"/>
              <w:highlight w:val="none"/>
              <w:lang w:val="en-US" w:eastAsia="zh-CN"/>
            </w:rPr>
            <w:t>KJB</w:t>
          </w:r>
          <w:r>
            <w:rPr>
              <w:rFonts w:hint="eastAsia" w:ascii="宋体" w:hAnsi="宋体" w:eastAsia="宋体" w:cs="Times New Roman"/>
              <w:color w:val="000000"/>
              <w:szCs w:val="21"/>
              <w:highlight w:val="none"/>
            </w:rPr>
            <w:t>-202</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 xml:space="preserve">01  </w:t>
          </w:r>
        </w:p>
        <w:p w14:paraId="1C627181">
          <w:pPr>
            <w:spacing w:line="320" w:lineRule="exact"/>
            <w:ind w:firstLine="420" w:firstLineChars="200"/>
            <w:rPr>
              <w:rFonts w:hint="eastAsia" w:ascii="宋体" w:hAnsi="宋体" w:eastAsia="宋体" w:cs="Times New Roman"/>
              <w:color w:val="000000"/>
              <w:szCs w:val="21"/>
              <w:highlight w:val="none"/>
              <w:u w:val="single"/>
              <w:lang w:eastAsia="zh-CN"/>
            </w:rPr>
          </w:pPr>
          <w:r>
            <w:rPr>
              <w:rFonts w:hint="eastAsia" w:ascii="宋体" w:hAnsi="宋体" w:eastAsia="宋体" w:cs="Times New Roman"/>
              <w:color w:val="000000"/>
              <w:szCs w:val="21"/>
              <w:highlight w:val="none"/>
            </w:rPr>
            <w:t>2</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项目名称：广西骨伤医院《桂派中医正骨术》书籍出版服务项目</w:t>
          </w:r>
          <w:r>
            <w:rPr>
              <w:rFonts w:hint="eastAsia" w:ascii="宋体" w:hAnsi="宋体" w:cs="Times New Roman"/>
              <w:color w:val="000000"/>
              <w:szCs w:val="21"/>
              <w:highlight w:val="none"/>
              <w:lang w:eastAsia="zh-CN"/>
            </w:rPr>
            <w:t>（</w:t>
          </w:r>
          <w:r>
            <w:rPr>
              <w:rFonts w:hint="eastAsia" w:ascii="宋体" w:hAnsi="宋体" w:cs="Times New Roman"/>
              <w:color w:val="000000"/>
              <w:szCs w:val="21"/>
              <w:highlight w:val="none"/>
              <w:lang w:val="en-US" w:eastAsia="zh-CN"/>
            </w:rPr>
            <w:t>重</w:t>
          </w:r>
          <w:r>
            <w:rPr>
              <w:rFonts w:hint="eastAsia" w:ascii="宋体" w:hAnsi="宋体" w:cs="Times New Roman"/>
              <w:color w:val="000000"/>
              <w:szCs w:val="21"/>
              <w:highlight w:val="none"/>
              <w:lang w:eastAsia="zh-CN"/>
            </w:rPr>
            <w:t>）</w:t>
          </w:r>
        </w:p>
        <w:p w14:paraId="7131245A">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3</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采购方式：竞争性磋商</w:t>
          </w:r>
        </w:p>
        <w:p w14:paraId="7AAB111C">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eastAsia="宋体" w:cs="Times New Roman"/>
              <w:color w:val="000000"/>
              <w:szCs w:val="21"/>
              <w:highlight w:val="none"/>
              <w:lang w:val="en-US" w:eastAsia="zh-CN"/>
            </w:rPr>
            <w:t>4</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lang w:val="en-US" w:eastAsia="zh-CN"/>
            </w:rPr>
            <w:t>采购上控价</w:t>
          </w:r>
          <w:r>
            <w:rPr>
              <w:rFonts w:hint="eastAsia" w:ascii="宋体" w:hAnsi="宋体" w:eastAsia="宋体" w:cs="Times New Roman"/>
              <w:color w:val="000000"/>
              <w:szCs w:val="21"/>
              <w:highlight w:val="none"/>
            </w:rPr>
            <w:t>：</w:t>
          </w:r>
          <w:r>
            <w:rPr>
              <w:rFonts w:hint="eastAsia" w:ascii="宋体" w:hAnsi="宋体" w:cs="Times New Roman"/>
              <w:color w:val="000000"/>
              <w:szCs w:val="21"/>
              <w:highlight w:val="none"/>
              <w:lang w:val="en-US" w:eastAsia="zh-CN"/>
            </w:rPr>
            <w:t>8.9</w:t>
          </w:r>
          <w:r>
            <w:rPr>
              <w:rFonts w:hint="eastAsia" w:ascii="宋体" w:hAnsi="宋体" w:eastAsia="宋体" w:cs="Times New Roman"/>
              <w:color w:val="000000"/>
              <w:szCs w:val="21"/>
              <w:highlight w:val="none"/>
              <w:lang w:val="en-US" w:eastAsia="zh-CN"/>
            </w:rPr>
            <w:t>万元</w:t>
          </w:r>
          <w:bookmarkStart w:id="6" w:name="_Toc35393799"/>
          <w:bookmarkStart w:id="7" w:name="_Toc35393630"/>
          <w:bookmarkStart w:id="8" w:name="_Toc28359013"/>
          <w:bookmarkStart w:id="9" w:name="_Toc28359090"/>
          <w:bookmarkStart w:id="10" w:name="_Toc44229879"/>
          <w:bookmarkStart w:id="11" w:name="_Toc47452206"/>
        </w:p>
        <w:p w14:paraId="6401FC8B">
          <w:pPr>
            <w:spacing w:line="320" w:lineRule="exact"/>
            <w:ind w:firstLine="420" w:firstLineChars="200"/>
            <w:rPr>
              <w:rFonts w:hint="default"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5.交付期限：自合同签订之日起6个月内</w:t>
          </w:r>
        </w:p>
        <w:p w14:paraId="1AD90E9D">
          <w:pPr>
            <w:spacing w:line="320" w:lineRule="exact"/>
            <w:ind w:firstLine="420" w:firstLineChars="200"/>
            <w:rPr>
              <w:rFonts w:hint="eastAsia" w:ascii="宋体" w:hAnsi="宋体" w:cs="Times New Roman"/>
              <w:color w:val="000000"/>
              <w:szCs w:val="21"/>
              <w:highlight w:val="none"/>
              <w:lang w:val="en-US" w:eastAsia="zh-CN"/>
            </w:rPr>
          </w:pPr>
          <w:r>
            <w:rPr>
              <w:rFonts w:hint="eastAsia" w:ascii="宋体" w:hAnsi="宋体" w:cs="Times New Roman"/>
              <w:color w:val="000000"/>
              <w:szCs w:val="21"/>
              <w:highlight w:val="none"/>
              <w:lang w:val="en-US" w:eastAsia="zh-CN"/>
            </w:rPr>
            <w:t>6</w:t>
          </w:r>
          <w:r>
            <w:rPr>
              <w:rFonts w:ascii="宋体" w:hAnsi="宋体" w:eastAsia="宋体" w:cs="Times New Roman"/>
              <w:color w:val="000000"/>
              <w:szCs w:val="21"/>
              <w:highlight w:val="none"/>
            </w:rPr>
            <w:t>.</w:t>
          </w:r>
          <w:r>
            <w:rPr>
              <w:rFonts w:hint="eastAsia" w:ascii="宋体" w:hAnsi="宋体" w:eastAsia="宋体" w:cs="Times New Roman"/>
              <w:color w:val="000000"/>
              <w:szCs w:val="21"/>
              <w:highlight w:val="none"/>
            </w:rPr>
            <w:t>采购需求</w:t>
          </w:r>
          <w:r>
            <w:rPr>
              <w:rFonts w:hint="eastAsia" w:ascii="宋体" w:hAnsi="宋体" w:cs="Times New Roman"/>
              <w:color w:val="000000"/>
              <w:szCs w:val="21"/>
              <w:highlight w:val="none"/>
              <w:lang w:val="en-US" w:eastAsia="zh-CN"/>
            </w:rPr>
            <w:t>一览：</w:t>
          </w:r>
        </w:p>
        <w:p w14:paraId="7DECBE05">
          <w:pPr>
            <w:spacing w:line="320" w:lineRule="exact"/>
            <w:ind w:firstLine="420" w:firstLineChars="200"/>
            <w:rPr>
              <w:rFonts w:hint="default" w:ascii="宋体" w:hAnsi="宋体" w:cs="Times New Roman"/>
              <w:color w:val="000000"/>
              <w:szCs w:val="21"/>
              <w:highlight w:val="none"/>
              <w:lang w:val="en-US" w:eastAsia="zh-CN"/>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742"/>
          </w:tblGrid>
          <w:tr w14:paraId="06A89E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14:paraId="67ECAA64">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标的名称</w:t>
                </w:r>
              </w:p>
            </w:tc>
            <w:tc>
              <w:tcPr>
                <w:tcW w:w="992" w:type="dxa"/>
                <w:tcBorders>
                  <w:top w:val="single" w:color="auto" w:sz="4" w:space="0"/>
                  <w:left w:val="nil"/>
                  <w:bottom w:val="single" w:color="auto" w:sz="4" w:space="0"/>
                  <w:right w:val="single" w:color="auto" w:sz="4" w:space="0"/>
                </w:tcBorders>
                <w:vAlign w:val="center"/>
              </w:tcPr>
              <w:p w14:paraId="6D6094DD">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数量及单位</w:t>
                </w:r>
              </w:p>
            </w:tc>
            <w:tc>
              <w:tcPr>
                <w:tcW w:w="5742" w:type="dxa"/>
                <w:tcBorders>
                  <w:top w:val="single" w:color="auto" w:sz="4" w:space="0"/>
                  <w:left w:val="nil"/>
                  <w:bottom w:val="single" w:color="auto" w:sz="4" w:space="0"/>
                  <w:right w:val="single" w:color="auto" w:sz="4" w:space="0"/>
                </w:tcBorders>
                <w:vAlign w:val="center"/>
              </w:tcPr>
              <w:p w14:paraId="67B5BE7E">
                <w:pPr>
                  <w:snapToGrid w:val="0"/>
                  <w:spacing w:line="320" w:lineRule="exact"/>
                  <w:jc w:val="center"/>
                  <w:rPr>
                    <w:rFonts w:ascii="宋体" w:hAnsi="宋体" w:eastAsia="宋体" w:cs="Calibri"/>
                    <w:color w:val="000000"/>
                    <w:szCs w:val="21"/>
                    <w:highlight w:val="none"/>
                  </w:rPr>
                </w:pPr>
                <w:r>
                  <w:rPr>
                    <w:rFonts w:hint="eastAsia" w:ascii="宋体" w:hAnsi="宋体" w:eastAsia="宋体" w:cs="Calibri"/>
                    <w:color w:val="000000"/>
                    <w:szCs w:val="21"/>
                    <w:highlight w:val="none"/>
                  </w:rPr>
                  <w:t>简要技术需求或服务要求</w:t>
                </w:r>
              </w:p>
            </w:tc>
          </w:tr>
          <w:tr w14:paraId="02B6BB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tcPr>
              <w:p w14:paraId="577B86D1">
                <w:pPr>
                  <w:spacing w:line="440" w:lineRule="exact"/>
                  <w:rPr>
                    <w:rFonts w:ascii="宋体" w:hAnsi="宋体" w:eastAsia="宋体" w:cs="Calibri"/>
                    <w:color w:val="000000"/>
                    <w:szCs w:val="21"/>
                    <w:highlight w:val="none"/>
                  </w:rPr>
                </w:pPr>
                <w:r>
                  <w:rPr>
                    <w:rFonts w:hint="eastAsia" w:ascii="宋体" w:hAnsi="宋体" w:eastAsia="宋体" w:cs="Times New Roman"/>
                    <w:color w:val="000000"/>
                    <w:szCs w:val="21"/>
                    <w:highlight w:val="none"/>
                  </w:rPr>
                  <w:t>《桂派中医正骨术》书籍出版服务</w:t>
                </w:r>
              </w:p>
            </w:tc>
            <w:tc>
              <w:tcPr>
                <w:tcW w:w="992" w:type="dxa"/>
                <w:tcBorders>
                  <w:top w:val="single" w:color="auto" w:sz="4" w:space="0"/>
                  <w:left w:val="nil"/>
                  <w:bottom w:val="single" w:color="auto" w:sz="4" w:space="0"/>
                  <w:right w:val="single" w:color="auto" w:sz="4" w:space="0"/>
                </w:tcBorders>
                <w:vAlign w:val="center"/>
              </w:tcPr>
              <w:p w14:paraId="1650A818">
                <w:pPr>
                  <w:spacing w:line="440" w:lineRule="exact"/>
                  <w:jc w:val="center"/>
                  <w:rPr>
                    <w:rFonts w:hint="eastAsia" w:ascii="宋体" w:hAnsi="宋体" w:eastAsia="宋体" w:cs="Calibri"/>
                    <w:color w:val="000000"/>
                    <w:szCs w:val="21"/>
                    <w:highlight w:val="none"/>
                    <w:lang w:val="en-US" w:eastAsia="zh-CN"/>
                  </w:rPr>
                </w:pPr>
                <w:r>
                  <w:rPr>
                    <w:rFonts w:hint="eastAsia" w:ascii="宋体" w:hAnsi="宋体" w:cs="Calibri"/>
                    <w:color w:val="000000"/>
                    <w:szCs w:val="21"/>
                    <w:highlight w:val="none"/>
                    <w:lang w:val="en-US" w:eastAsia="zh-CN"/>
                  </w:rPr>
                  <w:t>1项</w:t>
                </w:r>
              </w:p>
            </w:tc>
            <w:tc>
              <w:tcPr>
                <w:tcW w:w="5742" w:type="dxa"/>
                <w:tcBorders>
                  <w:top w:val="single" w:color="auto" w:sz="4" w:space="0"/>
                  <w:left w:val="nil"/>
                  <w:bottom w:val="single" w:color="auto" w:sz="4" w:space="0"/>
                  <w:right w:val="single" w:color="auto" w:sz="4" w:space="0"/>
                </w:tcBorders>
              </w:tcPr>
              <w:p w14:paraId="79EF576D">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1.书名：《桂派中医正骨术》（暂名）</w:t>
                </w:r>
              </w:p>
              <w:p w14:paraId="76B2018E">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2.开本：1/16，787mm*1092mm</w:t>
                </w:r>
              </w:p>
              <w:p w14:paraId="37CE2D1D">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3.印张：12.5</w:t>
                </w:r>
              </w:p>
              <w:p w14:paraId="0E535691">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 xml:space="preserve">4.内文：全彩印刷，80g纯质纸       </w:t>
                </w:r>
              </w:p>
              <w:p w14:paraId="25119A23">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5.封面：250克铜版纸，彩色印刷，局部UV或激凸，有勒口</w:t>
                </w:r>
              </w:p>
              <w:p w14:paraId="5CB9632B">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6.环衬：120g特种纸，前后各1P，不印色</w:t>
                </w:r>
              </w:p>
              <w:p w14:paraId="27341582">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7.装订：锁线平装</w:t>
                </w:r>
              </w:p>
              <w:p w14:paraId="6841CC46">
                <w:pPr>
                  <w:spacing w:line="440" w:lineRule="exact"/>
                  <w:rPr>
                    <w:rFonts w:hint="default" w:ascii="宋体" w:hAnsi="宋体" w:eastAsia="宋体" w:cs="Calibri"/>
                    <w:color w:val="000000"/>
                    <w:szCs w:val="21"/>
                    <w:highlight w:val="none"/>
                    <w:lang w:val="en-US" w:eastAsia="zh-CN"/>
                  </w:rPr>
                </w:pPr>
                <w:r>
                  <w:rPr>
                    <w:rFonts w:hint="default" w:ascii="宋体" w:hAnsi="宋体" w:eastAsia="宋体" w:cs="Calibri"/>
                    <w:color w:val="000000"/>
                    <w:szCs w:val="21"/>
                    <w:highlight w:val="none"/>
                    <w:lang w:val="en-US" w:eastAsia="zh-CN"/>
                  </w:rPr>
                  <w:t>8.册数：800册</w:t>
                </w:r>
              </w:p>
              <w:p w14:paraId="61DDD937">
                <w:pPr>
                  <w:spacing w:line="440" w:lineRule="exact"/>
                  <w:rPr>
                    <w:rFonts w:hint="default" w:ascii="宋体" w:hAnsi="宋体" w:eastAsia="宋体" w:cs="Calibri"/>
                    <w:color w:val="000000"/>
                    <w:szCs w:val="21"/>
                    <w:highlight w:val="none"/>
                    <w:lang w:val="en-US"/>
                  </w:rPr>
                </w:pPr>
                <w:r>
                  <w:rPr>
                    <w:rFonts w:hint="default" w:ascii="宋体" w:hAnsi="宋体" w:eastAsia="宋体" w:cs="Calibri"/>
                    <w:color w:val="000000"/>
                    <w:szCs w:val="21"/>
                    <w:highlight w:val="none"/>
                    <w:lang w:val="en-US" w:eastAsia="zh-CN"/>
                  </w:rPr>
                  <w:t>9.其他：书号和CIP申请、审稿、编辑校对、设计排版、印刷、配送等服务均由出版社提供，报价包含以上所有与出版相关的费用。</w:t>
                </w:r>
              </w:p>
            </w:tc>
          </w:tr>
        </w:tbl>
        <w:p w14:paraId="4F0BB83B">
          <w:pPr>
            <w:pStyle w:val="30"/>
            <w:rPr>
              <w:rFonts w:hint="default" w:ascii="宋体" w:hAnsi="宋体" w:eastAsia="宋体" w:cs="Times New Roman"/>
              <w:b/>
              <w:bCs/>
              <w:color w:val="000000"/>
              <w:szCs w:val="21"/>
              <w:highlight w:val="none"/>
              <w:lang w:val="en-US" w:eastAsia="zh-CN"/>
            </w:rPr>
          </w:pPr>
        </w:p>
        <w:p w14:paraId="40607073">
          <w:pPr>
            <w:keepNext/>
            <w:keepLines/>
            <w:spacing w:line="320" w:lineRule="exact"/>
            <w:ind w:firstLine="422" w:firstLineChars="200"/>
            <w:outlineLvl w:val="1"/>
            <w:rPr>
              <w:rFonts w:ascii="宋体" w:hAnsi="宋体" w:eastAsia="宋体" w:cs="宋体"/>
              <w:b/>
              <w:color w:val="000000"/>
              <w:szCs w:val="21"/>
              <w:highlight w:val="none"/>
              <w:lang w:val="zh-CN" w:eastAsia="zh-CN"/>
            </w:rPr>
          </w:pPr>
          <w:r>
            <w:rPr>
              <w:rFonts w:hint="eastAsia" w:ascii="宋体" w:hAnsi="宋体" w:eastAsia="宋体" w:cs="宋体"/>
              <w:b/>
              <w:color w:val="000000"/>
              <w:szCs w:val="21"/>
              <w:highlight w:val="none"/>
              <w:lang w:val="zh-CN"/>
            </w:rPr>
            <w:t>二</w:t>
          </w:r>
          <w:r>
            <w:rPr>
              <w:rFonts w:hint="eastAsia" w:ascii="宋体" w:hAnsi="宋体" w:eastAsia="宋体" w:cs="宋体"/>
              <w:b/>
              <w:color w:val="000000"/>
              <w:szCs w:val="21"/>
              <w:highlight w:val="none"/>
              <w:lang w:val="zh-CN" w:eastAsia="zh-CN"/>
            </w:rPr>
            <w:t>、供应商的</w:t>
          </w:r>
          <w:bookmarkEnd w:id="6"/>
          <w:bookmarkEnd w:id="7"/>
          <w:bookmarkEnd w:id="8"/>
          <w:bookmarkEnd w:id="9"/>
          <w:bookmarkEnd w:id="10"/>
          <w:bookmarkEnd w:id="11"/>
          <w:r>
            <w:rPr>
              <w:rFonts w:hint="eastAsia" w:ascii="宋体" w:hAnsi="宋体" w:eastAsia="宋体" w:cs="宋体"/>
              <w:b/>
              <w:color w:val="000000"/>
              <w:szCs w:val="21"/>
              <w:highlight w:val="none"/>
              <w:lang w:val="zh-CN"/>
            </w:rPr>
            <w:t>资格条件</w:t>
          </w:r>
        </w:p>
        <w:p w14:paraId="34FC786C">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rPr>
          </w:pPr>
          <w:bookmarkStart w:id="12" w:name="_Toc28359014"/>
          <w:bookmarkStart w:id="13" w:name="_Toc28359091"/>
          <w:r>
            <w:rPr>
              <w:rFonts w:hint="eastAsia" w:ascii="宋体" w:hAnsi="宋体" w:eastAsia="宋体" w:cs="宋体"/>
              <w:b w:val="0"/>
              <w:bCs w:val="0"/>
              <w:kern w:val="2"/>
              <w:sz w:val="21"/>
              <w:szCs w:val="21"/>
              <w:highlight w:val="none"/>
              <w:lang w:val="en-US" w:eastAsia="zh-CN" w:bidi="ar-SA"/>
            </w:rPr>
            <w:t>1.符合《中华人民共和国政府采购法》第二十二条规定的供应商资格条件</w:t>
          </w:r>
          <w:r>
            <w:rPr>
              <w:rFonts w:hint="eastAsia" w:ascii="宋体" w:hAnsi="宋体" w:eastAsia="宋体" w:cs="宋体"/>
              <w:b w:val="0"/>
              <w:bCs w:val="0"/>
              <w:sz w:val="21"/>
              <w:szCs w:val="21"/>
              <w:highlight w:val="none"/>
            </w:rPr>
            <w:t>:</w:t>
          </w:r>
        </w:p>
        <w:p w14:paraId="2768B373">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2.国内注册（指按国家有关规定要求注册的）生产或经营本次采购货物和服务，具备法人资格的供应商；</w:t>
          </w:r>
        </w:p>
        <w:p w14:paraId="17010AF8">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2546CE1E">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p>
        <w:p w14:paraId="5CFBDEB2">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0" w:firstLineChars="200"/>
            <w:textAlignment w:val="auto"/>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5.本项目的特定资格要求：</w:t>
          </w:r>
          <w:r>
            <w:rPr>
              <w:rFonts w:hint="eastAsia" w:ascii="宋体" w:hAnsi="宋体" w:cs="宋体"/>
              <w:b w:val="0"/>
              <w:bCs w:val="0"/>
              <w:sz w:val="21"/>
              <w:szCs w:val="21"/>
              <w:highlight w:val="none"/>
              <w:lang w:val="en-US" w:eastAsia="zh-CN"/>
            </w:rPr>
            <w:t>无</w:t>
          </w:r>
        </w:p>
        <w:p w14:paraId="4A75DA17">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lang w:val="en-US" w:eastAsia="zh-CN"/>
            </w:rPr>
            <w:t>.是否接收联合体投标：</w:t>
          </w:r>
          <w:r>
            <w:rPr>
              <w:rFonts w:hint="eastAsia" w:ascii="宋体" w:hAnsi="宋体" w:eastAsia="宋体" w:cs="宋体"/>
              <w:sz w:val="21"/>
              <w:szCs w:val="21"/>
              <w:highlight w:val="none"/>
              <w:lang w:val="en-US" w:eastAsia="zh-CN"/>
            </w:rPr>
            <w:t>□是   ☑否</w:t>
          </w:r>
        </w:p>
        <w:p w14:paraId="2527BEB3">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7</w:t>
          </w:r>
          <w:r>
            <w:rPr>
              <w:rFonts w:hint="eastAsia" w:ascii="宋体" w:hAnsi="宋体" w:eastAsia="宋体" w:cs="宋体"/>
              <w:b/>
              <w:bCs/>
              <w:sz w:val="21"/>
              <w:szCs w:val="21"/>
              <w:highlight w:val="none"/>
              <w:lang w:val="en-US" w:eastAsia="zh-CN"/>
            </w:rPr>
            <w:t>.是否面向中小微企业预留份额</w:t>
          </w:r>
          <w:r>
            <w:rPr>
              <w:rFonts w:hint="eastAsia" w:ascii="宋体" w:hAnsi="宋体" w:eastAsia="宋体" w:cs="宋体"/>
              <w:sz w:val="21"/>
              <w:szCs w:val="21"/>
              <w:highlight w:val="none"/>
              <w:lang w:val="en-US" w:eastAsia="zh-CN"/>
            </w:rPr>
            <w:t>：</w:t>
          </w:r>
          <w:r>
            <w:rPr>
              <w:rFonts w:hint="eastAsia" w:ascii="宋体" w:hAnsi="宋体" w:cs="宋体"/>
              <w:sz w:val="21"/>
              <w:szCs w:val="21"/>
              <w:highlight w:val="none"/>
              <w:lang w:val="en-US" w:eastAsia="zh-CN"/>
            </w:rPr>
            <w:t>☑</w:t>
          </w:r>
          <w:r>
            <w:rPr>
              <w:rFonts w:hint="eastAsia" w:ascii="宋体" w:hAnsi="宋体" w:eastAsia="宋体" w:cs="宋体"/>
              <w:sz w:val="21"/>
              <w:szCs w:val="21"/>
              <w:highlight w:val="none"/>
              <w:lang w:val="en-US" w:eastAsia="zh-CN"/>
            </w:rPr>
            <w:t>是   □否</w:t>
          </w:r>
        </w:p>
        <w:p w14:paraId="6B1DB0B4">
          <w:pPr>
            <w:keepNext w:val="0"/>
            <w:keepLines w:val="0"/>
            <w:pageBreakBefore w:val="0"/>
            <w:kinsoku/>
            <w:wordWrap/>
            <w:overflowPunct/>
            <w:topLinePunct w:val="0"/>
            <w:autoSpaceDE/>
            <w:autoSpaceDN/>
            <w:bidi w:val="0"/>
            <w:spacing w:line="320" w:lineRule="exact"/>
            <w:ind w:firstLine="420" w:firstLineChars="200"/>
            <w:textAlignment w:val="auto"/>
            <w:rPr>
              <w:rFonts w:hint="eastAsia" w:ascii="宋体" w:hAnsi="宋体" w:eastAsia="宋体" w:cs="宋体"/>
              <w:b/>
              <w:color w:val="000000"/>
              <w:sz w:val="21"/>
              <w:szCs w:val="21"/>
              <w:highlight w:val="none"/>
              <w:lang w:val="en-US" w:eastAsia="zh-CN"/>
            </w:rPr>
          </w:pP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w:t>
          </w:r>
          <w:r>
            <w:rPr>
              <w:rFonts w:hint="eastAsia" w:ascii="宋体" w:hAnsi="宋体" w:eastAsia="宋体" w:cs="宋体"/>
              <w:b/>
              <w:bCs/>
              <w:sz w:val="21"/>
              <w:szCs w:val="21"/>
              <w:highlight w:val="none"/>
              <w:lang w:val="en-US" w:eastAsia="zh-CN"/>
            </w:rPr>
            <w:t>是否允许分包/转包</w:t>
          </w:r>
          <w:r>
            <w:rPr>
              <w:rFonts w:hint="eastAsia" w:ascii="宋体" w:hAnsi="宋体" w:eastAsia="宋体" w:cs="宋体"/>
              <w:sz w:val="21"/>
              <w:szCs w:val="21"/>
              <w:highlight w:val="none"/>
              <w:lang w:val="en-US" w:eastAsia="zh-CN"/>
            </w:rPr>
            <w:t>：□是   ☑否</w:t>
          </w:r>
          <w:r>
            <w:rPr>
              <w:rFonts w:hint="eastAsia" w:ascii="宋体" w:hAnsi="宋体" w:eastAsia="宋体" w:cs="宋体"/>
              <w:b/>
              <w:color w:val="000000"/>
              <w:sz w:val="21"/>
              <w:szCs w:val="21"/>
              <w:highlight w:val="none"/>
              <w:lang w:val="en-US" w:eastAsia="zh-CN"/>
            </w:rPr>
            <w:t xml:space="preserve"> </w:t>
          </w:r>
        </w:p>
        <w:p w14:paraId="32AD68FD">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三、获取竞争性磋商文件</w:t>
          </w:r>
        </w:p>
        <w:p w14:paraId="242FABC9">
          <w:pPr>
            <w:spacing w:line="320" w:lineRule="exact"/>
            <w:ind w:firstLine="420" w:firstLineChars="200"/>
            <w:rPr>
              <w:rFonts w:ascii="宋体" w:hAnsi="宋体" w:eastAsia="宋体" w:cs="Times New Roman"/>
              <w:color w:val="000000"/>
              <w:szCs w:val="21"/>
              <w:highlight w:val="none"/>
            </w:rPr>
          </w:pPr>
          <w:r>
            <w:rPr>
              <w:rFonts w:hint="eastAsia" w:ascii="宋体" w:hAnsi="宋体" w:eastAsia="宋体" w:cs="Times New Roman"/>
              <w:color w:val="000000"/>
              <w:szCs w:val="21"/>
              <w:highlight w:val="none"/>
            </w:rPr>
            <w:t>1</w:t>
          </w:r>
          <w:r>
            <w:rPr>
              <w:rFonts w:ascii="宋体" w:hAnsi="宋体" w:eastAsia="宋体" w:cs="Times New Roman"/>
              <w:color w:val="000000"/>
              <w:szCs w:val="21"/>
              <w:highlight w:val="none"/>
            </w:rPr>
            <w:t>.</w:t>
          </w:r>
          <w:r>
            <w:rPr>
              <w:rFonts w:ascii="宋体" w:hAnsi="宋体" w:eastAsia="宋体" w:cs="Times New Roman"/>
              <w:b/>
              <w:bCs/>
              <w:color w:val="000000"/>
              <w:szCs w:val="21"/>
              <w:highlight w:val="none"/>
            </w:rPr>
            <w:t>获取时间</w:t>
          </w:r>
          <w:r>
            <w:rPr>
              <w:rFonts w:ascii="宋体" w:hAnsi="宋体" w:eastAsia="宋体" w:cs="Times New Roman"/>
              <w:color w:val="000000"/>
              <w:szCs w:val="21"/>
              <w:highlight w:val="none"/>
            </w:rPr>
            <w:t>：</w:t>
          </w:r>
        </w:p>
        <w:p w14:paraId="53964DD4">
          <w:pPr>
            <w:spacing w:line="320" w:lineRule="exact"/>
            <w:ind w:firstLine="420" w:firstLineChars="200"/>
            <w:rPr>
              <w:rFonts w:ascii="宋体" w:hAnsi="宋体" w:eastAsia="宋体" w:cs="Times New Roman"/>
              <w:color w:val="000000"/>
              <w:szCs w:val="21"/>
              <w:highlight w:val="none"/>
            </w:rPr>
          </w:pPr>
          <w:r>
            <w:rPr>
              <w:rFonts w:ascii="宋体" w:hAnsi="宋体" w:eastAsia="宋体" w:cs="Times New Roman"/>
              <w:color w:val="000000"/>
              <w:szCs w:val="21"/>
              <w:highlight w:val="none"/>
            </w:rPr>
            <w:t>自本公告发布之时起至202</w:t>
          </w:r>
          <w:r>
            <w:rPr>
              <w:rFonts w:hint="eastAsia" w:ascii="宋体" w:hAnsi="宋体" w:eastAsia="宋体" w:cs="Times New Roman"/>
              <w:color w:val="000000"/>
              <w:szCs w:val="21"/>
              <w:highlight w:val="none"/>
              <w:lang w:val="en-US" w:eastAsia="zh-CN"/>
            </w:rPr>
            <w:t>5</w:t>
          </w:r>
          <w:r>
            <w:rPr>
              <w:rFonts w:ascii="宋体" w:hAnsi="宋体" w:eastAsia="宋体" w:cs="Times New Roman"/>
              <w:color w:val="000000"/>
              <w:szCs w:val="21"/>
              <w:highlight w:val="none"/>
            </w:rPr>
            <w:t>年</w:t>
          </w:r>
          <w:r>
            <w:rPr>
              <w:rFonts w:hint="eastAsia" w:ascii="宋体" w:hAnsi="宋体" w:cs="Times New Roman"/>
              <w:color w:val="000000"/>
              <w:szCs w:val="21"/>
              <w:highlight w:val="none"/>
              <w:lang w:val="en-US" w:eastAsia="zh-CN"/>
            </w:rPr>
            <w:t>11</w:t>
          </w:r>
          <w:r>
            <w:rPr>
              <w:rFonts w:ascii="宋体" w:hAnsi="宋体" w:eastAsia="宋体" w:cs="Times New Roman"/>
              <w:color w:val="000000"/>
              <w:szCs w:val="21"/>
              <w:highlight w:val="none"/>
            </w:rPr>
            <w:t>月</w:t>
          </w:r>
          <w:r>
            <w:rPr>
              <w:rFonts w:hint="eastAsia" w:ascii="宋体" w:hAnsi="宋体" w:cs="Times New Roman"/>
              <w:color w:val="000000"/>
              <w:szCs w:val="21"/>
              <w:highlight w:val="none"/>
              <w:lang w:val="en-US" w:eastAsia="zh-CN"/>
            </w:rPr>
            <w:t>13</w:t>
          </w:r>
          <w:r>
            <w:rPr>
              <w:rFonts w:ascii="宋体" w:hAnsi="宋体" w:eastAsia="宋体" w:cs="Times New Roman"/>
              <w:color w:val="000000"/>
              <w:szCs w:val="21"/>
              <w:highlight w:val="none"/>
            </w:rPr>
            <w:t>日</w:t>
          </w:r>
          <w:r>
            <w:rPr>
              <w:rFonts w:hint="eastAsia" w:ascii="宋体" w:hAnsi="宋体" w:cs="Times New Roman"/>
              <w:color w:val="000000"/>
              <w:szCs w:val="21"/>
              <w:highlight w:val="none"/>
              <w:lang w:val="en-US" w:eastAsia="zh-CN"/>
            </w:rPr>
            <w:t>09</w:t>
          </w:r>
          <w:r>
            <w:rPr>
              <w:rFonts w:ascii="宋体" w:hAnsi="宋体" w:eastAsia="宋体" w:cs="Times New Roman"/>
              <w:color w:val="000000"/>
              <w:szCs w:val="21"/>
              <w:highlight w:val="none"/>
            </w:rPr>
            <w:t>时00分。</w:t>
          </w:r>
        </w:p>
        <w:p w14:paraId="1E4955BA">
          <w:pPr>
            <w:spacing w:line="320" w:lineRule="exact"/>
            <w:ind w:firstLine="420" w:firstLineChars="200"/>
            <w:rPr>
              <w:rFonts w:hint="eastAsia" w:ascii="宋体" w:hAnsi="宋体" w:eastAsia="宋体" w:cs="Times New Roman"/>
              <w:color w:val="000000"/>
              <w:szCs w:val="21"/>
              <w:highlight w:val="none"/>
            </w:rPr>
          </w:pPr>
          <w:r>
            <w:rPr>
              <w:rFonts w:ascii="宋体" w:hAnsi="宋体" w:eastAsia="宋体" w:cs="Times New Roman"/>
              <w:color w:val="000000"/>
              <w:szCs w:val="21"/>
              <w:highlight w:val="none"/>
            </w:rPr>
            <w:t>2.</w:t>
          </w:r>
          <w:r>
            <w:rPr>
              <w:rFonts w:hint="eastAsia" w:ascii="宋体" w:hAnsi="宋体" w:eastAsia="宋体" w:cs="Times New Roman"/>
              <w:b/>
              <w:bCs/>
              <w:color w:val="000000"/>
              <w:szCs w:val="21"/>
              <w:highlight w:val="none"/>
            </w:rPr>
            <w:t>获取方式</w:t>
          </w:r>
          <w:r>
            <w:rPr>
              <w:rFonts w:hint="eastAsia" w:ascii="宋体" w:hAnsi="宋体" w:eastAsia="宋体" w:cs="Times New Roman"/>
              <w:color w:val="000000"/>
              <w:szCs w:val="21"/>
              <w:highlight w:val="none"/>
            </w:rPr>
            <w:t>：</w:t>
          </w:r>
        </w:p>
        <w:p w14:paraId="5C5F3FB7">
          <w:pPr>
            <w:spacing w:line="320" w:lineRule="exact"/>
            <w:ind w:firstLine="420" w:firstLineChars="200"/>
            <w:rPr>
              <w:rFonts w:hint="eastAsia" w:ascii="宋体" w:hAnsi="宋体" w:eastAsia="宋体" w:cs="Times New Roman"/>
              <w:color w:val="000000"/>
              <w:szCs w:val="21"/>
              <w:highlight w:val="none"/>
              <w:lang w:val="en-US" w:eastAsia="zh-CN"/>
            </w:rPr>
          </w:pPr>
          <w:r>
            <w:rPr>
              <w:rFonts w:hint="eastAsia" w:ascii="宋体" w:hAnsi="宋体" w:cs="Times New Roman"/>
              <w:color w:val="000000"/>
              <w:szCs w:val="21"/>
              <w:highlight w:val="none"/>
              <w:lang w:val="en-US" w:eastAsia="zh-CN"/>
            </w:rPr>
            <w:t>本公告附件获取</w:t>
          </w:r>
          <w:r>
            <w:rPr>
              <w:rFonts w:hint="eastAsia" w:ascii="宋体" w:hAnsi="宋体" w:eastAsia="宋体" w:cs="Times New Roman"/>
              <w:color w:val="000000"/>
              <w:szCs w:val="21"/>
              <w:highlight w:val="none"/>
              <w:lang w:val="en-US" w:eastAsia="zh-CN"/>
            </w:rPr>
            <w:t>；</w:t>
          </w:r>
        </w:p>
        <w:bookmarkEnd w:id="12"/>
        <w:bookmarkEnd w:id="13"/>
        <w:p w14:paraId="4234F127">
          <w:pPr>
            <w:spacing w:line="320" w:lineRule="exact"/>
            <w:ind w:firstLine="422" w:firstLineChars="200"/>
            <w:rPr>
              <w:rFonts w:ascii="宋体" w:hAnsi="宋体" w:eastAsia="宋体" w:cs="Times New Roman"/>
              <w:b/>
              <w:bCs/>
              <w:color w:val="000000"/>
              <w:szCs w:val="21"/>
              <w:highlight w:val="none"/>
            </w:rPr>
          </w:pPr>
          <w:r>
            <w:rPr>
              <w:rFonts w:hint="eastAsia" w:ascii="宋体" w:hAnsi="宋体" w:eastAsia="宋体" w:cs="Times New Roman"/>
              <w:b/>
              <w:bCs/>
              <w:color w:val="000000"/>
              <w:szCs w:val="21"/>
              <w:highlight w:val="none"/>
            </w:rPr>
            <w:t>四</w:t>
          </w:r>
          <w:r>
            <w:rPr>
              <w:rFonts w:hint="eastAsia" w:ascii="宋体" w:hAnsi="宋体" w:eastAsia="宋体" w:cs="宋体"/>
              <w:b/>
              <w:bCs/>
              <w:color w:val="000000"/>
              <w:szCs w:val="21"/>
              <w:highlight w:val="none"/>
            </w:rPr>
            <w:t>、响应文件提交</w:t>
          </w:r>
        </w:p>
        <w:p w14:paraId="0FBD8F8D">
          <w:pPr>
            <w:spacing w:line="320" w:lineRule="exact"/>
            <w:ind w:firstLine="420" w:firstLineChars="200"/>
            <w:rPr>
              <w:rFonts w:hint="eastAsia" w:ascii="宋体" w:hAnsi="宋体" w:eastAsia="宋体" w:cs="Times New Roman"/>
              <w:color w:val="000000"/>
              <w:szCs w:val="21"/>
              <w:highlight w:val="none"/>
            </w:rPr>
          </w:pPr>
          <w:r>
            <w:rPr>
              <w:rFonts w:hint="eastAsia" w:ascii="宋体" w:hAnsi="宋体" w:eastAsia="宋体" w:cs="Times New Roman"/>
              <w:color w:val="000000"/>
              <w:szCs w:val="21"/>
              <w:highlight w:val="none"/>
              <w:lang w:val="en-US" w:eastAsia="zh-CN"/>
            </w:rPr>
            <w:t>1</w:t>
          </w:r>
          <w:r>
            <w:rPr>
              <w:rFonts w:hint="eastAsia" w:ascii="宋体" w:hAnsi="宋体" w:eastAsia="宋体" w:cs="Times New Roman"/>
              <w:color w:val="000000"/>
              <w:szCs w:val="21"/>
              <w:highlight w:val="none"/>
            </w:rPr>
            <w:t>.响应文件提交截止时间：202</w:t>
          </w:r>
          <w:r>
            <w:rPr>
              <w:rFonts w:hint="eastAsia" w:ascii="宋体" w:hAnsi="宋体" w:eastAsia="宋体" w:cs="Times New Roman"/>
              <w:color w:val="000000"/>
              <w:szCs w:val="21"/>
              <w:highlight w:val="none"/>
              <w:lang w:val="en-US" w:eastAsia="zh-CN"/>
            </w:rPr>
            <w:t>5</w:t>
          </w:r>
          <w:r>
            <w:rPr>
              <w:rFonts w:hint="eastAsia" w:ascii="宋体" w:hAnsi="宋体" w:eastAsia="宋体" w:cs="Times New Roman"/>
              <w:color w:val="000000"/>
              <w:szCs w:val="21"/>
              <w:highlight w:val="none"/>
            </w:rPr>
            <w:t>年</w:t>
          </w:r>
          <w:r>
            <w:rPr>
              <w:rFonts w:hint="eastAsia" w:ascii="宋体" w:hAnsi="宋体" w:cs="Times New Roman"/>
              <w:color w:val="000000"/>
              <w:szCs w:val="21"/>
              <w:highlight w:val="none"/>
              <w:lang w:val="en-US" w:eastAsia="zh-CN"/>
            </w:rPr>
            <w:t>11</w:t>
          </w:r>
          <w:r>
            <w:rPr>
              <w:rFonts w:hint="eastAsia" w:ascii="宋体" w:hAnsi="宋体" w:eastAsia="宋体" w:cs="Times New Roman"/>
              <w:color w:val="000000"/>
              <w:szCs w:val="21"/>
              <w:highlight w:val="none"/>
            </w:rPr>
            <w:t>月</w:t>
          </w:r>
          <w:r>
            <w:rPr>
              <w:rFonts w:hint="eastAsia" w:ascii="宋体" w:hAnsi="宋体" w:cs="Times New Roman"/>
              <w:color w:val="000000"/>
              <w:szCs w:val="21"/>
              <w:highlight w:val="none"/>
              <w:lang w:val="en-US" w:eastAsia="zh-CN"/>
            </w:rPr>
            <w:t>13</w:t>
          </w:r>
          <w:r>
            <w:rPr>
              <w:rFonts w:hint="eastAsia" w:ascii="宋体" w:hAnsi="宋体" w:eastAsia="宋体" w:cs="Times New Roman"/>
              <w:color w:val="000000"/>
              <w:szCs w:val="21"/>
              <w:highlight w:val="none"/>
            </w:rPr>
            <w:t>日</w:t>
          </w:r>
          <w:r>
            <w:rPr>
              <w:rFonts w:hint="eastAsia" w:ascii="宋体" w:hAnsi="宋体" w:cs="Times New Roman"/>
              <w:color w:val="000000"/>
              <w:szCs w:val="21"/>
              <w:highlight w:val="none"/>
              <w:lang w:val="en-US" w:eastAsia="zh-CN"/>
            </w:rPr>
            <w:t>10</w:t>
          </w:r>
          <w:r>
            <w:rPr>
              <w:rFonts w:hint="eastAsia" w:ascii="宋体" w:hAnsi="宋体" w:eastAsia="宋体" w:cs="Times New Roman"/>
              <w:color w:val="000000"/>
              <w:szCs w:val="21"/>
              <w:highlight w:val="none"/>
            </w:rPr>
            <w:t>时</w:t>
          </w:r>
          <w:r>
            <w:rPr>
              <w:rFonts w:hint="eastAsia" w:ascii="宋体" w:hAnsi="宋体" w:cs="Times New Roman"/>
              <w:color w:val="000000"/>
              <w:szCs w:val="21"/>
              <w:highlight w:val="none"/>
              <w:lang w:val="en-US" w:eastAsia="zh-CN"/>
            </w:rPr>
            <w:t>3</w:t>
          </w:r>
          <w:r>
            <w:rPr>
              <w:rFonts w:hint="eastAsia" w:ascii="宋体" w:hAnsi="宋体" w:eastAsia="宋体" w:cs="Times New Roman"/>
              <w:color w:val="000000"/>
              <w:szCs w:val="21"/>
              <w:highlight w:val="none"/>
            </w:rPr>
            <w:t>0分（北京时间）</w:t>
          </w:r>
        </w:p>
        <w:p w14:paraId="5B3B4B17">
          <w:pPr>
            <w:spacing w:line="320" w:lineRule="exact"/>
            <w:ind w:firstLine="420" w:firstLineChars="200"/>
            <w:rPr>
              <w:rFonts w:ascii="宋体" w:hAnsi="宋体" w:eastAsia="宋体" w:cs="Calibri"/>
              <w:bCs/>
              <w:color w:val="000000"/>
              <w:szCs w:val="21"/>
              <w:highlight w:val="none"/>
            </w:rPr>
          </w:pPr>
          <w:r>
            <w:rPr>
              <w:rFonts w:hint="eastAsia" w:ascii="宋体" w:hAnsi="宋体" w:eastAsia="宋体" w:cs="Calibri"/>
              <w:color w:val="000000"/>
              <w:szCs w:val="21"/>
              <w:highlight w:val="none"/>
              <w:lang w:val="en-US" w:eastAsia="zh-CN"/>
            </w:rPr>
            <w:t>2</w:t>
          </w:r>
          <w:r>
            <w:rPr>
              <w:rFonts w:hint="eastAsia" w:ascii="宋体" w:hAnsi="宋体" w:eastAsia="宋体" w:cs="Calibri"/>
              <w:color w:val="000000"/>
              <w:szCs w:val="21"/>
              <w:highlight w:val="none"/>
            </w:rPr>
            <w:t>.首次响应文件提交地点：广西骨伤医院采购办（广西南宁市东葛路1号锦华大酒店副楼4楼4</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号）</w:t>
          </w:r>
          <w:r>
            <w:rPr>
              <w:rFonts w:hint="eastAsia" w:ascii="宋体" w:hAnsi="宋体" w:eastAsia="宋体" w:cs="Calibri"/>
              <w:bCs/>
              <w:color w:val="000000"/>
              <w:szCs w:val="21"/>
              <w:highlight w:val="none"/>
            </w:rPr>
            <w:t>注：供应商应当在首次响应文件提交截止时间前，将响应文件密封送达首次响应文件提交地点。在首次响应文件提交截止时间后送达的响应文件为无效文件，将被拒收。</w:t>
          </w:r>
        </w:p>
        <w:p w14:paraId="7EA40526">
          <w:pPr>
            <w:spacing w:line="320" w:lineRule="exact"/>
            <w:ind w:firstLine="422" w:firstLineChars="200"/>
            <w:rPr>
              <w:rFonts w:hint="default" w:ascii="宋体" w:hAnsi="宋体" w:eastAsia="宋体" w:cs="宋体"/>
              <w:b/>
              <w:bCs/>
              <w:color w:val="000000"/>
              <w:szCs w:val="21"/>
              <w:highlight w:val="none"/>
              <w:lang w:val="en-US" w:eastAsia="zh-CN"/>
            </w:rPr>
          </w:pPr>
          <w:r>
            <w:rPr>
              <w:rFonts w:hint="eastAsia" w:ascii="宋体" w:hAnsi="宋体" w:eastAsia="宋体" w:cs="Times New Roman"/>
              <w:b/>
              <w:bCs/>
              <w:color w:val="000000"/>
              <w:szCs w:val="21"/>
              <w:highlight w:val="none"/>
              <w:lang w:val="en-US" w:eastAsia="zh-CN"/>
            </w:rPr>
            <w:t>五</w:t>
          </w:r>
          <w:r>
            <w:rPr>
              <w:rFonts w:hint="eastAsia" w:ascii="宋体" w:hAnsi="宋体" w:eastAsia="宋体" w:cs="宋体"/>
              <w:b/>
              <w:bCs/>
              <w:color w:val="000000"/>
              <w:szCs w:val="21"/>
              <w:highlight w:val="none"/>
            </w:rPr>
            <w:t>、</w:t>
          </w:r>
          <w:r>
            <w:rPr>
              <w:rFonts w:hint="eastAsia" w:ascii="宋体" w:hAnsi="宋体" w:eastAsia="宋体" w:cs="宋体"/>
              <w:b/>
              <w:bCs/>
              <w:color w:val="000000"/>
              <w:szCs w:val="21"/>
              <w:highlight w:val="none"/>
              <w:lang w:val="en-US" w:eastAsia="zh-CN"/>
            </w:rPr>
            <w:t>评标时间及地点</w:t>
          </w:r>
        </w:p>
        <w:p w14:paraId="2ABB72AC">
          <w:pPr>
            <w:spacing w:line="320" w:lineRule="exact"/>
            <w:ind w:firstLine="420" w:firstLineChars="200"/>
            <w:rPr>
              <w:rFonts w:hint="eastAsia" w:ascii="宋体" w:hAnsi="宋体" w:eastAsia="宋体" w:cs="Calibri"/>
              <w:b/>
              <w:bCs/>
              <w:color w:val="000000"/>
              <w:szCs w:val="21"/>
              <w:highlight w:val="none"/>
              <w:lang w:eastAsia="zh-CN"/>
            </w:rPr>
          </w:pPr>
          <w:r>
            <w:rPr>
              <w:rFonts w:hint="eastAsia" w:ascii="宋体" w:hAnsi="宋体" w:eastAsia="宋体" w:cs="Calibri"/>
              <w:color w:val="000000"/>
              <w:szCs w:val="21"/>
              <w:highlight w:val="none"/>
            </w:rPr>
            <w:t>另行通知</w:t>
          </w:r>
          <w:r>
            <w:rPr>
              <w:rFonts w:hint="eastAsia" w:ascii="宋体" w:hAnsi="宋体" w:eastAsia="宋体" w:cs="Calibri"/>
              <w:color w:val="000000"/>
              <w:szCs w:val="21"/>
              <w:highlight w:val="none"/>
              <w:lang w:eastAsia="zh-CN"/>
            </w:rPr>
            <w:t>，</w:t>
          </w:r>
          <w:r>
            <w:rPr>
              <w:rFonts w:hint="eastAsia" w:ascii="宋体" w:hAnsi="宋体" w:eastAsia="宋体" w:cs="Calibri"/>
              <w:color w:val="000000"/>
              <w:szCs w:val="21"/>
              <w:highlight w:val="none"/>
              <w:lang w:val="en-US" w:eastAsia="zh-CN"/>
            </w:rPr>
            <w:t>请投标人注意接收电话和信息</w:t>
          </w:r>
          <w:r>
            <w:rPr>
              <w:rFonts w:hint="eastAsia" w:ascii="宋体" w:hAnsi="宋体" w:eastAsia="宋体" w:cs="Calibri"/>
              <w:color w:val="000000"/>
              <w:szCs w:val="21"/>
              <w:highlight w:val="none"/>
            </w:rPr>
            <w:t>。</w:t>
          </w:r>
          <w:r>
            <w:rPr>
              <w:rFonts w:hint="eastAsia" w:ascii="宋体" w:hAnsi="宋体" w:cs="Calibri"/>
              <w:b/>
              <w:bCs/>
              <w:color w:val="000000"/>
              <w:szCs w:val="21"/>
              <w:highlight w:val="none"/>
              <w:lang w:eastAsia="zh-CN"/>
            </w:rPr>
            <w:t>（</w:t>
          </w:r>
          <w:r>
            <w:rPr>
              <w:rFonts w:hint="eastAsia" w:ascii="宋体" w:hAnsi="宋体" w:cs="Calibri"/>
              <w:b/>
              <w:bCs/>
              <w:color w:val="000000"/>
              <w:szCs w:val="21"/>
              <w:highlight w:val="none"/>
              <w:lang w:val="en-US" w:eastAsia="zh-CN"/>
            </w:rPr>
            <w:t>注：评标时请携带专著类出版物样刊1-2本</w:t>
          </w:r>
          <w:r>
            <w:rPr>
              <w:rFonts w:hint="eastAsia" w:ascii="宋体" w:hAnsi="宋体" w:cs="Calibri"/>
              <w:b/>
              <w:bCs/>
              <w:color w:val="000000"/>
              <w:szCs w:val="21"/>
              <w:highlight w:val="none"/>
              <w:lang w:eastAsia="zh-CN"/>
            </w:rPr>
            <w:t>）</w:t>
          </w:r>
        </w:p>
        <w:p w14:paraId="07EF1337">
          <w:pPr>
            <w:spacing w:line="320" w:lineRule="exact"/>
            <w:ind w:firstLine="422" w:firstLineChars="200"/>
            <w:rPr>
              <w:rFonts w:hint="default" w:ascii="宋体" w:hAnsi="宋体" w:eastAsia="宋体" w:cs="Calibri"/>
              <w:b/>
              <w:bCs/>
              <w:color w:val="000000"/>
              <w:szCs w:val="21"/>
              <w:highlight w:val="none"/>
              <w:lang w:val="en-US" w:eastAsia="zh-CN"/>
            </w:rPr>
          </w:pPr>
          <w:r>
            <w:rPr>
              <w:rFonts w:hint="eastAsia" w:ascii="宋体" w:hAnsi="宋体" w:eastAsia="宋体" w:cs="Calibri"/>
              <w:b/>
              <w:bCs/>
              <w:color w:val="000000"/>
              <w:szCs w:val="21"/>
              <w:highlight w:val="none"/>
              <w:lang w:val="en-US" w:eastAsia="zh-CN"/>
            </w:rPr>
            <w:t>注：</w:t>
          </w:r>
          <w:r>
            <w:rPr>
              <w:rFonts w:hint="eastAsia" w:ascii="宋体" w:hAnsi="宋体" w:eastAsia="宋体" w:cs="Calibri"/>
              <w:b w:val="0"/>
              <w:bCs w:val="0"/>
              <w:color w:val="000000"/>
              <w:szCs w:val="21"/>
              <w:highlight w:val="none"/>
              <w:lang w:val="en-US" w:eastAsia="zh-CN"/>
            </w:rPr>
            <w:t>参与现场评标的人员须为项目负责人或熟悉项目的授权代理人，以确保评标的准确性。如参与评标人员不能现场阐明或澄清投标文件内容和评委质疑的，按投标文件无效响应处理。</w:t>
          </w:r>
        </w:p>
        <w:p w14:paraId="7C10A0A9">
          <w:pPr>
            <w:keepNext/>
            <w:keepLines/>
            <w:spacing w:line="320" w:lineRule="exact"/>
            <w:ind w:firstLine="422" w:firstLineChars="200"/>
            <w:outlineLvl w:val="1"/>
            <w:rPr>
              <w:rFonts w:ascii="宋体" w:hAnsi="宋体" w:eastAsia="宋体" w:cs="宋体"/>
              <w:b/>
              <w:color w:val="000000"/>
              <w:szCs w:val="21"/>
              <w:highlight w:val="none"/>
            </w:rPr>
          </w:pPr>
          <w:r>
            <w:rPr>
              <w:rFonts w:hint="eastAsia" w:ascii="宋体" w:hAnsi="宋体" w:cs="宋体"/>
              <w:b/>
              <w:color w:val="000000"/>
              <w:szCs w:val="21"/>
              <w:highlight w:val="none"/>
              <w:lang w:val="en-US" w:eastAsia="zh-CN"/>
            </w:rPr>
            <w:t>六</w:t>
          </w:r>
          <w:r>
            <w:rPr>
              <w:rFonts w:hint="eastAsia" w:ascii="宋体" w:hAnsi="宋体" w:eastAsia="宋体" w:cs="宋体"/>
              <w:b/>
              <w:color w:val="000000"/>
              <w:szCs w:val="21"/>
              <w:highlight w:val="none"/>
            </w:rPr>
            <w:t>、公告期限</w:t>
          </w:r>
        </w:p>
        <w:p w14:paraId="196168F3">
          <w:pPr>
            <w:spacing w:line="320" w:lineRule="exact"/>
            <w:ind w:firstLine="420" w:firstLineChars="200"/>
            <w:rPr>
              <w:rFonts w:ascii="宋体" w:hAnsi="宋体" w:eastAsia="宋体" w:cs="Calibri"/>
              <w:color w:val="000000"/>
              <w:kern w:val="0"/>
              <w:szCs w:val="21"/>
              <w:highlight w:val="none"/>
            </w:rPr>
          </w:pPr>
          <w:r>
            <w:rPr>
              <w:rFonts w:hint="eastAsia" w:ascii="宋体" w:hAnsi="宋体" w:eastAsia="宋体" w:cs="Calibri"/>
              <w:color w:val="000000"/>
              <w:kern w:val="0"/>
              <w:szCs w:val="21"/>
              <w:highlight w:val="none"/>
            </w:rPr>
            <w:t>自本公告发布之日起</w:t>
          </w:r>
          <w:r>
            <w:rPr>
              <w:rFonts w:hint="eastAsia" w:ascii="宋体" w:hAnsi="宋体" w:cs="Calibri"/>
              <w:color w:val="000000"/>
              <w:kern w:val="0"/>
              <w:szCs w:val="21"/>
              <w:highlight w:val="none"/>
              <w:lang w:val="en-US" w:eastAsia="zh-CN"/>
            </w:rPr>
            <w:t>5</w:t>
          </w:r>
          <w:r>
            <w:rPr>
              <w:rFonts w:hint="eastAsia" w:ascii="宋体" w:hAnsi="宋体" w:eastAsia="宋体" w:cs="Calibri"/>
              <w:color w:val="000000"/>
              <w:kern w:val="0"/>
              <w:szCs w:val="21"/>
              <w:highlight w:val="none"/>
            </w:rPr>
            <w:t>个工作日。</w:t>
          </w:r>
        </w:p>
        <w:p w14:paraId="2FA5FA24">
          <w:pPr>
            <w:widowControl/>
            <w:ind w:firstLine="422" w:firstLineChars="200"/>
            <w:rPr>
              <w:rFonts w:ascii="Calibri" w:hAnsi="Calibri" w:eastAsia="宋体" w:cs="Times New Roman"/>
              <w:b/>
              <w:szCs w:val="24"/>
              <w:highlight w:val="none"/>
            </w:rPr>
          </w:pPr>
          <w:r>
            <w:rPr>
              <w:rFonts w:hint="eastAsia" w:ascii="Calibri" w:hAnsi="Calibri" w:cs="Times New Roman"/>
              <w:b/>
              <w:bCs/>
              <w:szCs w:val="24"/>
              <w:highlight w:val="none"/>
              <w:lang w:val="en-US" w:eastAsia="zh-CN"/>
            </w:rPr>
            <w:t>七</w:t>
          </w:r>
          <w:r>
            <w:rPr>
              <w:rFonts w:hint="eastAsia" w:ascii="Calibri" w:hAnsi="Calibri" w:eastAsia="宋体" w:cs="Times New Roman"/>
              <w:b/>
              <w:bCs/>
              <w:szCs w:val="24"/>
              <w:highlight w:val="none"/>
            </w:rPr>
            <w:t>、</w:t>
          </w:r>
          <w:r>
            <w:rPr>
              <w:rFonts w:hint="eastAsia" w:ascii="Calibri" w:hAnsi="Calibri" w:eastAsia="宋体" w:cs="Times New Roman"/>
              <w:b/>
              <w:szCs w:val="24"/>
              <w:highlight w:val="none"/>
            </w:rPr>
            <w:t>凡对本次采购提出询问，请按以下方式联系。</w:t>
          </w:r>
        </w:p>
        <w:p w14:paraId="7F2C6230">
          <w:pPr>
            <w:spacing w:line="320" w:lineRule="exact"/>
            <w:ind w:firstLine="420" w:firstLineChars="200"/>
            <w:rPr>
              <w:rFonts w:hint="default" w:ascii="Calibri" w:hAnsi="Calibri" w:eastAsia="宋体" w:cs="Times New Roman"/>
              <w:szCs w:val="24"/>
              <w:highlight w:val="none"/>
              <w:lang w:val="en-US" w:eastAsia="zh-CN"/>
            </w:rPr>
          </w:pPr>
          <w:r>
            <w:rPr>
              <w:rFonts w:hint="eastAsia" w:ascii="Calibri" w:hAnsi="Calibri" w:cs="Times New Roman"/>
              <w:szCs w:val="24"/>
              <w:highlight w:val="none"/>
              <w:lang w:val="en-US" w:eastAsia="zh-CN"/>
            </w:rPr>
            <w:t>联 系 人</w:t>
          </w:r>
          <w:r>
            <w:rPr>
              <w:rFonts w:hint="eastAsia" w:ascii="Calibri" w:hAnsi="Calibri" w:eastAsia="宋体" w:cs="Times New Roman"/>
              <w:szCs w:val="24"/>
              <w:highlight w:val="none"/>
            </w:rPr>
            <w:t>：</w:t>
          </w:r>
          <w:r>
            <w:rPr>
              <w:rFonts w:hint="eastAsia" w:ascii="Calibri" w:hAnsi="Calibri" w:cs="Times New Roman"/>
              <w:szCs w:val="24"/>
              <w:highlight w:val="none"/>
              <w:u w:val="single"/>
              <w:lang w:val="en-US" w:eastAsia="zh-CN"/>
            </w:rPr>
            <w:t xml:space="preserve">李老师                   </w:t>
          </w:r>
        </w:p>
        <w:p w14:paraId="66847A13">
          <w:pPr>
            <w:spacing w:line="320" w:lineRule="exact"/>
            <w:ind w:firstLine="420" w:firstLineChars="200"/>
            <w:rPr>
              <w:rFonts w:hint="default" w:ascii="Calibri" w:hAnsi="Calibri" w:eastAsia="宋体" w:cs="Times New Roman"/>
              <w:szCs w:val="24"/>
              <w:highlight w:val="none"/>
              <w:u w:val="single"/>
              <w:lang w:val="en-US" w:eastAsia="zh-CN"/>
            </w:rPr>
          </w:pPr>
          <w:r>
            <w:rPr>
              <w:rFonts w:hint="eastAsia" w:ascii="Calibri" w:hAnsi="Calibri" w:eastAsia="宋体" w:cs="Times New Roman"/>
              <w:szCs w:val="24"/>
              <w:highlight w:val="none"/>
            </w:rPr>
            <w:t>地    址：</w:t>
          </w:r>
          <w:r>
            <w:rPr>
              <w:rFonts w:hint="eastAsia" w:ascii="Calibri" w:hAnsi="Calibri" w:eastAsia="宋体" w:cs="Times New Roman"/>
              <w:szCs w:val="24"/>
              <w:highlight w:val="none"/>
              <w:u w:val="single"/>
            </w:rPr>
            <w:t>广西南宁市青秀区</w:t>
          </w:r>
          <w:r>
            <w:rPr>
              <w:rFonts w:hint="eastAsia" w:ascii="Calibri" w:hAnsi="Calibri" w:cs="Times New Roman"/>
              <w:szCs w:val="24"/>
              <w:highlight w:val="none"/>
              <w:u w:val="single"/>
              <w:lang w:val="en-US" w:eastAsia="zh-CN"/>
            </w:rPr>
            <w:t>东葛路锦华前楼401采购办</w:t>
          </w:r>
        </w:p>
        <w:p w14:paraId="565ADC2B">
          <w:pPr>
            <w:spacing w:line="320" w:lineRule="exact"/>
            <w:ind w:firstLine="420" w:firstLineChars="200"/>
            <w:rPr>
              <w:rFonts w:hint="default" w:ascii="Calibri" w:hAnsi="Calibri" w:eastAsia="宋体" w:cs="Times New Roman"/>
              <w:szCs w:val="24"/>
              <w:highlight w:val="none"/>
              <w:lang w:val="en-US" w:eastAsia="zh-CN"/>
            </w:rPr>
          </w:pPr>
          <w:r>
            <w:rPr>
              <w:rFonts w:hint="eastAsia" w:ascii="Calibri" w:hAnsi="Calibri" w:eastAsia="宋体" w:cs="Times New Roman"/>
              <w:szCs w:val="24"/>
              <w:highlight w:val="none"/>
            </w:rPr>
            <w:t>联系方式：</w:t>
          </w:r>
          <w:r>
            <w:rPr>
              <w:rFonts w:hint="eastAsia" w:ascii="Calibri" w:hAnsi="Calibri" w:eastAsia="宋体" w:cs="Times New Roman"/>
              <w:szCs w:val="24"/>
              <w:highlight w:val="none"/>
              <w:u w:val="single"/>
              <w:lang w:val="en-US" w:eastAsia="zh-CN"/>
            </w:rPr>
            <w:t>0771-2622251</w:t>
          </w:r>
        </w:p>
        <w:p w14:paraId="6A93164A">
          <w:pPr>
            <w:spacing w:line="320" w:lineRule="exact"/>
            <w:ind w:firstLine="560" w:firstLineChars="200"/>
            <w:rPr>
              <w:rFonts w:hint="default" w:ascii="Calibri" w:hAnsi="Calibri" w:eastAsia="宋体" w:cs="Times New Roman"/>
              <w:szCs w:val="24"/>
              <w:highlight w:val="none"/>
              <w:lang w:val="en-US" w:eastAsia="zh-CN"/>
            </w:rPr>
          </w:pPr>
        </w:p>
      </w:sdtContent>
    </w:sdt>
    <w:p w14:paraId="79778109">
      <w:pPr>
        <w:rPr>
          <w:rFonts w:ascii="宋体" w:hAnsi="宋体"/>
          <w:b/>
          <w:color w:val="auto"/>
          <w:sz w:val="21"/>
          <w:szCs w:val="21"/>
          <w:highlight w:val="none"/>
        </w:rPr>
      </w:pPr>
      <w:r>
        <w:rPr>
          <w:rFonts w:ascii="宋体" w:hAnsi="宋体"/>
          <w:b/>
          <w:color w:val="auto"/>
          <w:sz w:val="21"/>
          <w:szCs w:val="21"/>
          <w:highlight w:val="none"/>
        </w:rPr>
        <w:br w:type="page"/>
      </w:r>
    </w:p>
    <w:p w14:paraId="1977B52C">
      <w:pPr>
        <w:pStyle w:val="47"/>
        <w:rPr>
          <w:highlight w:val="none"/>
        </w:rPr>
      </w:pPr>
    </w:p>
    <w:p w14:paraId="5EFCA9D0">
      <w:pPr>
        <w:keepNext w:val="0"/>
        <w:keepLines w:val="0"/>
        <w:pageBreakBefore w:val="0"/>
        <w:kinsoku/>
        <w:overflowPunct/>
        <w:topLinePunct w:val="0"/>
        <w:bidi w:val="0"/>
        <w:spacing w:line="360" w:lineRule="auto"/>
        <w:jc w:val="center"/>
        <w:textAlignment w:val="auto"/>
        <w:outlineLvl w:val="0"/>
        <w:rPr>
          <w:rFonts w:ascii="宋体" w:hAnsi="宋体"/>
          <w:b/>
          <w:color w:val="auto"/>
          <w:sz w:val="32"/>
          <w:szCs w:val="32"/>
          <w:highlight w:val="none"/>
        </w:rPr>
      </w:pPr>
      <w:bookmarkStart w:id="14" w:name="_Toc11927"/>
      <w:r>
        <w:rPr>
          <w:rFonts w:hint="eastAsia" w:ascii="宋体" w:hAnsi="宋体"/>
          <w:b/>
          <w:color w:val="auto"/>
          <w:sz w:val="32"/>
          <w:szCs w:val="32"/>
          <w:highlight w:val="none"/>
        </w:rPr>
        <w:t xml:space="preserve">第二章  </w:t>
      </w:r>
      <w:r>
        <w:rPr>
          <w:rFonts w:hint="eastAsia" w:ascii="宋体" w:hAnsi="宋体"/>
          <w:b/>
          <w:color w:val="auto"/>
          <w:sz w:val="32"/>
          <w:szCs w:val="32"/>
          <w:highlight w:val="none"/>
          <w:lang w:val="en-US" w:eastAsia="zh-CN"/>
        </w:rPr>
        <w:t>投标人</w:t>
      </w:r>
      <w:r>
        <w:rPr>
          <w:rFonts w:hint="eastAsia" w:ascii="宋体" w:hAnsi="宋体"/>
          <w:b/>
          <w:color w:val="auto"/>
          <w:sz w:val="32"/>
          <w:szCs w:val="32"/>
          <w:highlight w:val="none"/>
        </w:rPr>
        <w:t>须知</w:t>
      </w:r>
      <w:bookmarkEnd w:id="14"/>
    </w:p>
    <w:p w14:paraId="495F653E">
      <w:pPr>
        <w:keepNext w:val="0"/>
        <w:keepLines w:val="0"/>
        <w:pageBreakBefore w:val="0"/>
        <w:kinsoku/>
        <w:overflowPunct/>
        <w:topLinePunct w:val="0"/>
        <w:bidi w:val="0"/>
        <w:spacing w:line="360" w:lineRule="auto"/>
        <w:jc w:val="center"/>
        <w:textAlignment w:val="auto"/>
        <w:rPr>
          <w:rFonts w:ascii="宋体" w:hAnsi="宋体"/>
          <w:b/>
          <w:color w:val="auto"/>
          <w:sz w:val="21"/>
          <w:szCs w:val="21"/>
          <w:highlight w:val="none"/>
        </w:rPr>
      </w:pPr>
      <w:r>
        <w:rPr>
          <w:rFonts w:hint="eastAsia" w:ascii="宋体" w:hAnsi="宋体"/>
          <w:b/>
          <w:color w:val="auto"/>
          <w:sz w:val="30"/>
          <w:szCs w:val="30"/>
          <w:highlight w:val="none"/>
        </w:rPr>
        <w:t>前附表</w:t>
      </w:r>
    </w:p>
    <w:tbl>
      <w:tblPr>
        <w:tblStyle w:val="48"/>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
        <w:gridCol w:w="947"/>
        <w:gridCol w:w="7884"/>
      </w:tblGrid>
      <w:tr w14:paraId="1F0A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947" w:type="dxa"/>
            <w:vAlign w:val="center"/>
          </w:tcPr>
          <w:p w14:paraId="010FF86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b/>
                <w:color w:val="auto"/>
                <w:sz w:val="21"/>
                <w:szCs w:val="21"/>
                <w:highlight w:val="none"/>
                <w:lang w:val="en-US" w:eastAsia="zh-CN"/>
              </w:rPr>
            </w:pPr>
            <w:r>
              <w:rPr>
                <w:rFonts w:hint="eastAsia" w:ascii="宋体" w:hAnsi="宋体"/>
                <w:b/>
                <w:color w:val="auto"/>
                <w:sz w:val="21"/>
                <w:szCs w:val="21"/>
                <w:highlight w:val="none"/>
                <w:lang w:val="en-US" w:eastAsia="zh-CN"/>
              </w:rPr>
              <w:t>序号</w:t>
            </w:r>
          </w:p>
        </w:tc>
        <w:tc>
          <w:tcPr>
            <w:tcW w:w="947" w:type="dxa"/>
            <w:vAlign w:val="center"/>
          </w:tcPr>
          <w:p w14:paraId="5D2588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sz w:val="21"/>
                <w:szCs w:val="21"/>
                <w:highlight w:val="none"/>
              </w:rPr>
            </w:pPr>
            <w:r>
              <w:rPr>
                <w:rFonts w:hint="eastAsia" w:ascii="宋体" w:hAnsi="宋体"/>
                <w:b/>
                <w:color w:val="auto"/>
                <w:sz w:val="21"/>
                <w:szCs w:val="21"/>
                <w:highlight w:val="none"/>
              </w:rPr>
              <w:t>条款号</w:t>
            </w:r>
          </w:p>
        </w:tc>
        <w:tc>
          <w:tcPr>
            <w:tcW w:w="7884" w:type="dxa"/>
            <w:vAlign w:val="center"/>
          </w:tcPr>
          <w:p w14:paraId="697F32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b/>
                <w:color w:val="auto"/>
                <w:sz w:val="21"/>
                <w:szCs w:val="21"/>
                <w:highlight w:val="none"/>
              </w:rPr>
            </w:pPr>
            <w:r>
              <w:rPr>
                <w:rFonts w:hint="eastAsia" w:ascii="宋体" w:hAnsi="宋体"/>
                <w:b/>
                <w:color w:val="auto"/>
                <w:sz w:val="21"/>
                <w:szCs w:val="21"/>
                <w:highlight w:val="none"/>
              </w:rPr>
              <w:t>内    容</w:t>
            </w:r>
          </w:p>
        </w:tc>
      </w:tr>
      <w:tr w14:paraId="4D089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47" w:type="dxa"/>
            <w:vAlign w:val="center"/>
          </w:tcPr>
          <w:p w14:paraId="608805FA">
            <w:pPr>
              <w:keepNext w:val="0"/>
              <w:keepLines w:val="0"/>
              <w:pageBreakBefore w:val="0"/>
              <w:kinsoku/>
              <w:overflowPunct/>
              <w:topLinePunct w:val="0"/>
              <w:bidi w:val="0"/>
              <w:spacing w:line="24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w:t>
            </w:r>
          </w:p>
        </w:tc>
        <w:tc>
          <w:tcPr>
            <w:tcW w:w="947" w:type="dxa"/>
            <w:vAlign w:val="center"/>
          </w:tcPr>
          <w:p w14:paraId="4010FFC6">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1.1</w:t>
            </w:r>
          </w:p>
        </w:tc>
        <w:tc>
          <w:tcPr>
            <w:tcW w:w="7884" w:type="dxa"/>
            <w:vAlign w:val="center"/>
          </w:tcPr>
          <w:p w14:paraId="02A582D3">
            <w:pPr>
              <w:spacing w:line="240" w:lineRule="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项目名称：</w:t>
            </w:r>
            <w:r>
              <w:rPr>
                <w:rFonts w:hint="eastAsia" w:ascii="宋体" w:hAnsi="宋体"/>
                <w:color w:val="auto"/>
                <w:sz w:val="21"/>
                <w:szCs w:val="21"/>
                <w:highlight w:val="none"/>
                <w:lang w:val="en-US" w:eastAsia="zh-CN"/>
              </w:rPr>
              <w:t>广西骨伤医院《桂派中医正骨术》书籍出版服务项目（重）</w:t>
            </w:r>
            <w:r>
              <w:rPr>
                <w:rFonts w:hint="default" w:ascii="宋体" w:hAnsi="宋体" w:eastAsia="宋体"/>
                <w:color w:val="auto"/>
                <w:sz w:val="21"/>
                <w:szCs w:val="21"/>
                <w:highlight w:val="none"/>
                <w:lang w:val="en-US" w:eastAsia="zh-CN"/>
              </w:rPr>
              <w:t xml:space="preserve"> </w:t>
            </w:r>
          </w:p>
          <w:p w14:paraId="35477A2E">
            <w:pPr>
              <w:spacing w:line="240" w:lineRule="auto"/>
              <w:rPr>
                <w:rFonts w:hint="default" w:ascii="宋体" w:hAnsi="宋体" w:eastAsia="宋体"/>
                <w:color w:val="auto"/>
                <w:sz w:val="21"/>
                <w:szCs w:val="21"/>
                <w:highlight w:val="none"/>
                <w:lang w:val="en-US" w:eastAsia="zh-CN"/>
              </w:rPr>
            </w:pPr>
            <w:r>
              <w:rPr>
                <w:rFonts w:hint="default" w:ascii="宋体" w:hAnsi="宋体" w:eastAsia="宋体"/>
                <w:color w:val="auto"/>
                <w:sz w:val="21"/>
                <w:szCs w:val="21"/>
                <w:highlight w:val="none"/>
                <w:lang w:val="en-US" w:eastAsia="zh-CN"/>
              </w:rPr>
              <w:t>项目编号：</w:t>
            </w:r>
            <w:r>
              <w:rPr>
                <w:rFonts w:hint="eastAsia" w:ascii="宋体" w:hAnsi="宋体"/>
                <w:color w:val="auto"/>
                <w:sz w:val="21"/>
                <w:szCs w:val="21"/>
                <w:highlight w:val="none"/>
                <w:lang w:val="en-US" w:eastAsia="zh-CN"/>
              </w:rPr>
              <w:t>GXGSYY-CGB-KJB-2025-01</w:t>
            </w:r>
          </w:p>
        </w:tc>
      </w:tr>
      <w:tr w14:paraId="31DF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947" w:type="dxa"/>
            <w:vAlign w:val="center"/>
          </w:tcPr>
          <w:p w14:paraId="7A54A738">
            <w:pPr>
              <w:keepNext w:val="0"/>
              <w:keepLines w:val="0"/>
              <w:pageBreakBefore w:val="0"/>
              <w:kinsoku/>
              <w:overflowPunct/>
              <w:topLinePunct w:val="0"/>
              <w:bidi w:val="0"/>
              <w:spacing w:line="240" w:lineRule="auto"/>
              <w:jc w:val="center"/>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w:t>
            </w:r>
          </w:p>
        </w:tc>
        <w:tc>
          <w:tcPr>
            <w:tcW w:w="947" w:type="dxa"/>
            <w:vAlign w:val="center"/>
          </w:tcPr>
          <w:p w14:paraId="67D7575D">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2.1</w:t>
            </w:r>
          </w:p>
        </w:tc>
        <w:tc>
          <w:tcPr>
            <w:tcW w:w="7884" w:type="dxa"/>
            <w:vAlign w:val="center"/>
          </w:tcPr>
          <w:p w14:paraId="2D600385">
            <w:pPr>
              <w:adjustRightInd w:val="0"/>
              <w:spacing w:line="240" w:lineRule="auto"/>
              <w:rPr>
                <w:rFonts w:hint="default" w:ascii="宋体" w:hAnsi="宋体"/>
                <w:b/>
                <w:color w:val="auto"/>
                <w:sz w:val="21"/>
                <w:szCs w:val="21"/>
                <w:highlight w:val="none"/>
                <w:lang w:val="en-US"/>
              </w:rPr>
            </w:pPr>
            <w:r>
              <w:rPr>
                <w:rFonts w:hint="eastAsia" w:ascii="宋体" w:hAnsi="宋体" w:cs="宋体"/>
                <w:b/>
                <w:szCs w:val="21"/>
                <w:highlight w:val="none"/>
              </w:rPr>
              <w:t>项目</w:t>
            </w:r>
            <w:r>
              <w:rPr>
                <w:rFonts w:hint="eastAsia" w:ascii="宋体" w:hAnsi="宋体" w:cs="宋体"/>
                <w:b/>
                <w:szCs w:val="21"/>
                <w:highlight w:val="none"/>
                <w:lang w:val="en-US" w:eastAsia="zh-CN"/>
              </w:rPr>
              <w:t>预算</w:t>
            </w:r>
            <w:r>
              <w:rPr>
                <w:rFonts w:hint="eastAsia" w:ascii="宋体" w:hAnsi="宋体" w:cs="宋体"/>
                <w:b/>
                <w:szCs w:val="21"/>
                <w:highlight w:val="none"/>
              </w:rPr>
              <w:t>：</w:t>
            </w:r>
            <w:r>
              <w:rPr>
                <w:rFonts w:hint="eastAsia" w:ascii="宋体" w:hAnsi="宋体"/>
                <w:b w:val="0"/>
                <w:bCs/>
                <w:color w:val="auto"/>
                <w:sz w:val="21"/>
                <w:szCs w:val="21"/>
                <w:highlight w:val="none"/>
                <w:lang w:val="en-US" w:eastAsia="zh-CN"/>
              </w:rPr>
              <w:t>8.9万元</w:t>
            </w:r>
          </w:p>
        </w:tc>
      </w:tr>
      <w:tr w14:paraId="7CD1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947" w:type="dxa"/>
            <w:vAlign w:val="center"/>
          </w:tcPr>
          <w:p w14:paraId="662115EF">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3</w:t>
            </w:r>
          </w:p>
        </w:tc>
        <w:tc>
          <w:tcPr>
            <w:tcW w:w="947" w:type="dxa"/>
            <w:shd w:val="clear" w:color="auto" w:fill="auto"/>
            <w:vAlign w:val="center"/>
          </w:tcPr>
          <w:p w14:paraId="0F32817B">
            <w:pPr>
              <w:keepNext w:val="0"/>
              <w:keepLines w:val="0"/>
              <w:pageBreakBefore w:val="0"/>
              <w:kinsoku/>
              <w:overflowPunct/>
              <w:topLinePunct w:val="0"/>
              <w:bidi w:val="0"/>
              <w:spacing w:line="240" w:lineRule="auto"/>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olor w:val="auto"/>
                <w:sz w:val="21"/>
                <w:szCs w:val="21"/>
                <w:highlight w:val="none"/>
              </w:rPr>
              <w:t>3.1</w:t>
            </w:r>
          </w:p>
        </w:tc>
        <w:tc>
          <w:tcPr>
            <w:tcW w:w="7884" w:type="dxa"/>
            <w:shd w:val="clear" w:color="auto" w:fill="auto"/>
            <w:vAlign w:val="center"/>
          </w:tcPr>
          <w:p w14:paraId="033CAAE8">
            <w:pPr>
              <w:keepNext w:val="0"/>
              <w:keepLines w:val="0"/>
              <w:pageBreakBefore w:val="0"/>
              <w:kinsoku/>
              <w:overflowPunct/>
              <w:topLinePunct w:val="0"/>
              <w:bidi w:val="0"/>
              <w:adjustRightInd w:val="0"/>
              <w:spacing w:line="240" w:lineRule="auto"/>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b/>
                <w:color w:val="auto"/>
                <w:sz w:val="21"/>
                <w:szCs w:val="21"/>
                <w:highlight w:val="none"/>
              </w:rPr>
              <w:t>供应商资格</w:t>
            </w:r>
            <w:r>
              <w:rPr>
                <w:rFonts w:hint="eastAsia" w:ascii="宋体" w:hAnsi="宋体"/>
                <w:b/>
                <w:color w:val="auto"/>
                <w:sz w:val="21"/>
                <w:szCs w:val="21"/>
                <w:highlight w:val="none"/>
                <w:lang w:val="en-US" w:eastAsia="zh-CN"/>
              </w:rPr>
              <w:t>要求</w:t>
            </w:r>
            <w:r>
              <w:rPr>
                <w:rFonts w:hint="eastAsia" w:ascii="宋体" w:hAnsi="宋体"/>
                <w:b w:val="0"/>
                <w:bCs/>
                <w:color w:val="auto"/>
                <w:sz w:val="21"/>
                <w:szCs w:val="21"/>
                <w:highlight w:val="none"/>
              </w:rPr>
              <w:t>：</w:t>
            </w:r>
            <w:r>
              <w:rPr>
                <w:rFonts w:hint="eastAsia" w:ascii="宋体" w:hAnsi="宋体"/>
                <w:b w:val="0"/>
                <w:bCs/>
                <w:color w:val="auto"/>
                <w:sz w:val="21"/>
                <w:szCs w:val="21"/>
                <w:highlight w:val="none"/>
                <w:lang w:val="en-US" w:eastAsia="zh-CN"/>
              </w:rPr>
              <w:t>详见磋商公告</w:t>
            </w:r>
          </w:p>
        </w:tc>
      </w:tr>
      <w:tr w14:paraId="361BA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5" w:hRule="atLeast"/>
          <w:jc w:val="center"/>
        </w:trPr>
        <w:tc>
          <w:tcPr>
            <w:tcW w:w="947" w:type="dxa"/>
            <w:vAlign w:val="center"/>
          </w:tcPr>
          <w:p w14:paraId="0C2817AB">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4</w:t>
            </w:r>
          </w:p>
        </w:tc>
        <w:tc>
          <w:tcPr>
            <w:tcW w:w="947" w:type="dxa"/>
            <w:vAlign w:val="center"/>
          </w:tcPr>
          <w:p w14:paraId="7A48027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4.1</w:t>
            </w:r>
          </w:p>
        </w:tc>
        <w:tc>
          <w:tcPr>
            <w:tcW w:w="7884" w:type="dxa"/>
            <w:vAlign w:val="center"/>
          </w:tcPr>
          <w:p w14:paraId="04E23E2B">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p>
          <w:p w14:paraId="086A9807">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价格文件</w:t>
            </w:r>
          </w:p>
          <w:p w14:paraId="40B89A13">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121A3426">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2</w:t>
            </w:r>
            <w:r>
              <w:rPr>
                <w:rFonts w:hint="eastAsia" w:ascii="宋体" w:hAnsi="宋体"/>
                <w:b/>
                <w:bCs/>
                <w:color w:val="auto"/>
                <w:sz w:val="21"/>
                <w:szCs w:val="21"/>
                <w:highlight w:val="none"/>
                <w:lang w:val="en-US" w:eastAsia="zh-CN"/>
              </w:rPr>
              <w:t>.</w:t>
            </w:r>
            <w:r>
              <w:rPr>
                <w:rFonts w:hint="eastAsia" w:ascii="宋体" w:hAnsi="宋体"/>
                <w:b/>
                <w:bCs/>
                <w:color w:val="auto"/>
                <w:sz w:val="21"/>
                <w:szCs w:val="21"/>
                <w:highlight w:val="none"/>
              </w:rPr>
              <w:t>商务技术文件</w:t>
            </w:r>
          </w:p>
          <w:p w14:paraId="7E6F316B">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投标函</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5F8C7CE">
            <w:pPr>
              <w:pStyle w:val="57"/>
              <w:keepNext w:val="0"/>
              <w:keepLines w:val="0"/>
              <w:pageBreakBefore w:val="0"/>
              <w:kinsoku/>
              <w:wordWrap/>
              <w:overflowPunct/>
              <w:topLinePunct w:val="0"/>
              <w:autoSpaceDE/>
              <w:autoSpaceDN/>
              <w:bidi w:val="0"/>
              <w:adjustRightInd/>
              <w:snapToGrid/>
              <w:spacing w:beforeLines="0" w:afterLines="0" w:line="240" w:lineRule="auto"/>
              <w:textAlignment w:val="auto"/>
              <w:rPr>
                <w:rFonts w:hint="eastAsia" w:ascii="宋体" w:hAnsi="宋体" w:eastAsia="宋体" w:cs="Times New Roman"/>
                <w:b/>
                <w:color w:val="auto"/>
                <w:kern w:val="2"/>
                <w:sz w:val="21"/>
                <w:szCs w:val="21"/>
                <w:highlight w:val="none"/>
                <w:lang w:val="en-US" w:eastAsia="zh-CN" w:bidi="ar-SA"/>
              </w:rPr>
            </w:pPr>
            <w:r>
              <w:rPr>
                <w:rFonts w:hint="eastAsia" w:ascii="宋体" w:hAnsi="宋体" w:eastAsia="宋体" w:cs="Times New Roman"/>
                <w:color w:val="auto"/>
                <w:kern w:val="2"/>
                <w:sz w:val="21"/>
                <w:szCs w:val="21"/>
                <w:highlight w:val="none"/>
                <w:lang w:val="en-US" w:eastAsia="zh-CN" w:bidi="ar-SA"/>
              </w:rPr>
              <w:t>2）授权委托书及受委托人身份证复印件；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p>
          <w:p w14:paraId="325500D0">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z w:val="21"/>
                <w:szCs w:val="21"/>
                <w:highlight w:val="none"/>
              </w:rPr>
            </w:pPr>
            <w:r>
              <w:rPr>
                <w:rFonts w:hint="eastAsia" w:ascii="宋体" w:hAnsi="宋体" w:cs="Times New Roman"/>
                <w:b w:val="0"/>
                <w:bCs/>
                <w:color w:val="auto"/>
                <w:kern w:val="2"/>
                <w:sz w:val="21"/>
                <w:szCs w:val="21"/>
                <w:highlight w:val="none"/>
                <w:lang w:val="en-US" w:eastAsia="zh-CN" w:bidi="ar-SA"/>
              </w:rPr>
              <w:t>3）</w:t>
            </w:r>
            <w:r>
              <w:rPr>
                <w:rFonts w:hint="eastAsia" w:ascii="宋体" w:hAnsi="宋体"/>
                <w:color w:val="auto"/>
                <w:sz w:val="21"/>
                <w:szCs w:val="21"/>
                <w:highlight w:val="none"/>
              </w:rPr>
              <w:t>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2230528C">
            <w:pPr>
              <w:keepNext w:val="0"/>
              <w:keepLines w:val="0"/>
              <w:pageBreakBefore w:val="0"/>
              <w:kinsoku/>
              <w:wordWrap/>
              <w:overflowPunct/>
              <w:topLinePunct w:val="0"/>
              <w:autoSpaceDE/>
              <w:autoSpaceDN/>
              <w:bidi w:val="0"/>
              <w:adjustRightInd/>
              <w:snapToGrid/>
              <w:spacing w:line="240" w:lineRule="auto"/>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36B6AC59">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资质证明文件：</w:t>
            </w:r>
          </w:p>
          <w:p w14:paraId="76480304">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①供应商为法人或者其他组织的，证明文件为其营业执照复印件（如营业执照或者事业单位法人证书、团体组织法人证书或者执业许可证等）；供应商为自然人的，证明文件为其身份证复印件；</w:t>
            </w:r>
          </w:p>
          <w:p w14:paraId="2FD57012">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70305140">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②供应商依法缴纳税收的相关材料（2025年1月至7月内任意连续3个月的依法缴纳税收的凭据复印件；依法免税的，必须提供相应文件证明其依法免税。从成立之日起到响应文件提交截止时间止不足要求月数的，只需提供从成立之日起的依法缴纳税收相应证明文件）；</w:t>
            </w:r>
          </w:p>
          <w:p w14:paraId="7ABEA22E">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627344ED">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③供应商依法缴纳社会保障资金的相关材料[2025年1月至7月内任意连续3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p>
          <w:p w14:paraId="0F20EA1C">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val="en-US" w:eastAsia="zh-CN"/>
              </w:rPr>
            </w:pPr>
          </w:p>
          <w:p w14:paraId="4BC83286">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项目实施方案（提供详细的实施本项目的实施方案，如日期规划、应急处置、风险预案等方案）</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格式目录自拟</w:t>
            </w:r>
            <w:r>
              <w:rPr>
                <w:rFonts w:hint="eastAsia" w:ascii="宋体" w:hAnsi="宋体"/>
                <w:color w:val="auto"/>
                <w:sz w:val="21"/>
                <w:szCs w:val="21"/>
                <w:highlight w:val="none"/>
              </w:rPr>
              <w:t>）</w:t>
            </w:r>
            <w:r>
              <w:rPr>
                <w:rFonts w:hint="eastAsia" w:ascii="宋体" w:hAnsi="宋体"/>
                <w:color w:val="auto"/>
                <w:sz w:val="21"/>
                <w:szCs w:val="21"/>
                <w:highlight w:val="none"/>
                <w:lang w:eastAsia="zh-CN"/>
              </w:rPr>
              <w:t>；</w:t>
            </w:r>
          </w:p>
          <w:p w14:paraId="4F287F9A">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bCs/>
                <w:color w:val="auto"/>
                <w:sz w:val="21"/>
                <w:szCs w:val="21"/>
                <w:highlight w:val="none"/>
              </w:rPr>
              <w:t>售后服务方案，</w:t>
            </w:r>
            <w:r>
              <w:rPr>
                <w:rFonts w:hint="eastAsia" w:ascii="宋体" w:hAnsi="宋体"/>
                <w:color w:val="auto"/>
                <w:sz w:val="21"/>
                <w:szCs w:val="21"/>
                <w:highlight w:val="none"/>
              </w:rPr>
              <w:t>提供的切实可行的售后服务承诺</w:t>
            </w:r>
            <w:r>
              <w:rPr>
                <w:rFonts w:hint="eastAsia" w:ascii="宋体" w:hAnsi="宋体"/>
                <w:b/>
                <w:bCs/>
                <w:color w:val="auto"/>
                <w:sz w:val="21"/>
                <w:szCs w:val="21"/>
                <w:highlight w:val="none"/>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rPr>
              <w:t>自拟）</w:t>
            </w:r>
          </w:p>
          <w:p w14:paraId="1FDC129F">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出版物质量控制方案</w:t>
            </w:r>
            <w:r>
              <w:rPr>
                <w:rFonts w:hint="eastAsia" w:ascii="宋体" w:hAnsi="宋体"/>
                <w:b/>
                <w:bCs/>
                <w:color w:val="auto"/>
                <w:sz w:val="21"/>
                <w:szCs w:val="21"/>
                <w:highlight w:val="none"/>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rPr>
              <w:t>自拟）</w:t>
            </w:r>
            <w:r>
              <w:rPr>
                <w:rFonts w:hint="eastAsia" w:ascii="宋体" w:hAnsi="宋体"/>
                <w:color w:val="auto"/>
                <w:sz w:val="21"/>
                <w:szCs w:val="21"/>
                <w:highlight w:val="none"/>
                <w:lang w:eastAsia="zh-CN"/>
              </w:rPr>
              <w:t>；</w:t>
            </w:r>
          </w:p>
          <w:p w14:paraId="7D7B59F4">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rPr>
              <w:t>。</w:t>
            </w:r>
          </w:p>
          <w:p w14:paraId="5EEEE507">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rPr>
            </w:pPr>
            <w:r>
              <w:rPr>
                <w:rFonts w:hint="eastAsia" w:ascii="宋体" w:hAnsi="宋体"/>
                <w:color w:val="auto"/>
                <w:sz w:val="21"/>
                <w:szCs w:val="21"/>
                <w:highlight w:val="none"/>
                <w:lang w:val="en-US" w:eastAsia="zh-CN"/>
              </w:rPr>
              <w:t>10）业绩材料</w:t>
            </w:r>
            <w:r>
              <w:rPr>
                <w:rFonts w:hint="eastAsia" w:ascii="宋体" w:hAnsi="宋体"/>
                <w:color w:val="auto"/>
                <w:sz w:val="21"/>
                <w:szCs w:val="21"/>
                <w:highlight w:val="none"/>
              </w:rPr>
              <w:t>。</w:t>
            </w:r>
          </w:p>
          <w:p w14:paraId="4AB9086D">
            <w:pPr>
              <w:keepNext w:val="0"/>
              <w:keepLines w:val="0"/>
              <w:pageBreakBefore w:val="0"/>
              <w:kinsoku/>
              <w:overflowPunct/>
              <w:topLinePunct w:val="0"/>
              <w:bidi w:val="0"/>
              <w:spacing w:line="240" w:lineRule="auto"/>
              <w:textAlignment w:val="auto"/>
              <w:rPr>
                <w:rFonts w:hint="eastAsia" w:ascii="宋体" w:hAnsi="宋体" w:eastAsia="宋体"/>
                <w:b/>
                <w:bCs/>
                <w:color w:val="auto"/>
                <w:sz w:val="21"/>
                <w:szCs w:val="21"/>
                <w:highlight w:val="none"/>
                <w:lang w:val="en-US" w:eastAsia="zh-CN"/>
              </w:rPr>
            </w:pPr>
            <w:r>
              <w:rPr>
                <w:rFonts w:hint="eastAsia" w:ascii="宋体" w:hAnsi="宋体"/>
                <w:color w:val="auto"/>
                <w:sz w:val="21"/>
                <w:szCs w:val="21"/>
                <w:highlight w:val="none"/>
                <w:lang w:val="en-US" w:eastAsia="zh-CN"/>
              </w:rPr>
              <w:t>11</w:t>
            </w:r>
            <w:r>
              <w:rPr>
                <w:rFonts w:hint="eastAsia" w:ascii="宋体" w:hAnsi="宋体" w:eastAsia="宋体"/>
                <w:color w:val="auto"/>
                <w:sz w:val="21"/>
                <w:szCs w:val="21"/>
                <w:highlight w:val="none"/>
                <w:lang w:val="en-US" w:eastAsia="zh-CN"/>
              </w:rPr>
              <w:t>）</w:t>
            </w:r>
            <w:r>
              <w:rPr>
                <w:rFonts w:hint="eastAsia" w:ascii="宋体" w:hAnsi="宋体"/>
                <w:color w:val="auto"/>
                <w:sz w:val="21"/>
                <w:szCs w:val="21"/>
                <w:highlight w:val="none"/>
                <w:lang w:val="en-US" w:eastAsia="zh-CN"/>
              </w:rPr>
              <w:t>所获荣誉</w:t>
            </w:r>
            <w:r>
              <w:rPr>
                <w:rFonts w:hint="eastAsia" w:ascii="宋体" w:hAnsi="宋体" w:eastAsia="宋体"/>
                <w:color w:val="auto"/>
                <w:sz w:val="21"/>
                <w:szCs w:val="21"/>
                <w:highlight w:val="none"/>
                <w:lang w:val="en-US" w:eastAsia="zh-CN"/>
              </w:rPr>
              <w:t>相应证明材料</w:t>
            </w:r>
            <w:r>
              <w:rPr>
                <w:rFonts w:hint="eastAsia" w:ascii="宋体" w:hAnsi="宋体" w:eastAsia="宋体"/>
                <w:b/>
                <w:bCs/>
                <w:color w:val="auto"/>
                <w:sz w:val="21"/>
                <w:szCs w:val="21"/>
                <w:highlight w:val="none"/>
                <w:lang w:val="en-US" w:eastAsia="zh-CN"/>
              </w:rPr>
              <w:t>（格式目录自拟）</w:t>
            </w:r>
          </w:p>
          <w:p w14:paraId="3108BFAB">
            <w:pPr>
              <w:keepNext w:val="0"/>
              <w:keepLines w:val="0"/>
              <w:pageBreakBefore w:val="0"/>
              <w:kinsoku/>
              <w:overflowPunct/>
              <w:topLinePunct w:val="0"/>
              <w:bidi w:val="0"/>
              <w:spacing w:line="240" w:lineRule="auto"/>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12）供应商认为其他需要提供的证明其履约能力和满足“采购需求”的相关材料。</w:t>
            </w:r>
          </w:p>
          <w:p w14:paraId="00986855">
            <w:pPr>
              <w:keepNext w:val="0"/>
              <w:keepLines w:val="0"/>
              <w:pageBreakBefore w:val="0"/>
              <w:kinsoku/>
              <w:overflowPunct/>
              <w:topLinePunct w:val="0"/>
              <w:bidi w:val="0"/>
              <w:spacing w:line="240" w:lineRule="auto"/>
              <w:textAlignment w:val="auto"/>
              <w:rPr>
                <w:rFonts w:hint="eastAsia" w:ascii="宋体" w:hAnsi="宋体" w:eastAsia="宋体"/>
                <w:b/>
                <w:color w:val="auto"/>
                <w:sz w:val="21"/>
                <w:szCs w:val="21"/>
                <w:highlight w:val="none"/>
                <w:lang w:eastAsia="zh-CN"/>
              </w:rPr>
            </w:pP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投标函</w:t>
            </w:r>
            <w:r>
              <w:rPr>
                <w:rFonts w:hint="eastAsia" w:ascii="宋体" w:hAnsi="宋体"/>
                <w:b/>
                <w:bCs/>
                <w:color w:val="auto"/>
                <w:sz w:val="21"/>
                <w:szCs w:val="21"/>
                <w:highlight w:val="none"/>
              </w:rPr>
              <w:t>、法定代表人授权委托书、技术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响应及偏离情况说明表、商务</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响应及偏离情况说明表必须按格式要求由法定代表人或委托代理人签名并加盖单位公章</w:t>
            </w:r>
            <w:r>
              <w:rPr>
                <w:rFonts w:hint="eastAsia" w:ascii="宋体" w:hAnsi="宋体"/>
                <w:b/>
                <w:color w:val="auto"/>
                <w:sz w:val="21"/>
                <w:szCs w:val="21"/>
                <w:highlight w:val="none"/>
              </w:rPr>
              <w:t>，否则</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响应无效。</w:t>
            </w:r>
          </w:p>
        </w:tc>
      </w:tr>
      <w:tr w14:paraId="6AE24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7" w:hRule="atLeast"/>
          <w:jc w:val="center"/>
        </w:trPr>
        <w:tc>
          <w:tcPr>
            <w:tcW w:w="947" w:type="dxa"/>
            <w:vAlign w:val="center"/>
          </w:tcPr>
          <w:p w14:paraId="3CB280C8">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p>
        </w:tc>
        <w:tc>
          <w:tcPr>
            <w:tcW w:w="947" w:type="dxa"/>
            <w:vAlign w:val="center"/>
          </w:tcPr>
          <w:p w14:paraId="1A8F987D">
            <w:pPr>
              <w:keepNext w:val="0"/>
              <w:keepLines w:val="0"/>
              <w:pageBreakBefore w:val="0"/>
              <w:kinsoku/>
              <w:overflowPunct/>
              <w:topLinePunct w:val="0"/>
              <w:bidi w:val="0"/>
              <w:spacing w:line="24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.1</w:t>
            </w:r>
          </w:p>
        </w:tc>
        <w:tc>
          <w:tcPr>
            <w:tcW w:w="7884" w:type="dxa"/>
            <w:vAlign w:val="center"/>
          </w:tcPr>
          <w:p w14:paraId="761EFD87">
            <w:pPr>
              <w:wordWrap w:val="0"/>
              <w:topLinePunct/>
              <w:snapToGrid w:val="0"/>
              <w:spacing w:line="400" w:lineRule="exact"/>
              <w:rPr>
                <w:rFonts w:hint="eastAsia" w:ascii="宋体" w:hAnsi="宋体"/>
                <w:b/>
                <w:bCs/>
                <w:color w:val="auto"/>
                <w:sz w:val="21"/>
                <w:szCs w:val="21"/>
                <w:highlight w:val="none"/>
              </w:rPr>
            </w:pPr>
            <w:r>
              <w:rPr>
                <w:rFonts w:hint="eastAsia" w:ascii="宋体" w:hAnsi="宋体"/>
                <w:b/>
                <w:bCs/>
                <w:color w:val="auto"/>
                <w:sz w:val="21"/>
                <w:szCs w:val="21"/>
                <w:highlight w:val="none"/>
                <w:lang w:val="en-US" w:eastAsia="zh-CN"/>
              </w:rPr>
              <w:t>投标</w:t>
            </w:r>
            <w:r>
              <w:rPr>
                <w:rFonts w:hint="eastAsia" w:ascii="宋体" w:hAnsi="宋体"/>
                <w:b/>
                <w:bCs/>
                <w:color w:val="auto"/>
                <w:sz w:val="21"/>
                <w:szCs w:val="21"/>
                <w:highlight w:val="none"/>
              </w:rPr>
              <w:t>报价：</w:t>
            </w:r>
          </w:p>
          <w:p w14:paraId="7B8F8652">
            <w:pPr>
              <w:pStyle w:val="18"/>
              <w:numPr>
                <w:ilvl w:val="-1"/>
                <w:numId w:val="0"/>
              </w:numPr>
              <w:tabs>
                <w:tab w:val="left" w:pos="312"/>
              </w:tabs>
              <w:rPr>
                <w:rFonts w:hAnsi="宋体"/>
                <w:color w:val="auto"/>
                <w:sz w:val="21"/>
                <w:szCs w:val="21"/>
                <w:highlight w:val="none"/>
              </w:rPr>
            </w:pPr>
            <w:r>
              <w:rPr>
                <w:rFonts w:hint="eastAsia"/>
                <w:color w:val="000000"/>
                <w:sz w:val="21"/>
                <w:szCs w:val="21"/>
                <w:highlight w:val="none"/>
                <w:lang w:val="en-US" w:eastAsia="zh-CN"/>
              </w:rPr>
              <w:t>1.本项目实行全包价报价，投标报价中已包含满足采购货物、服务以及保证项目顺利实施的各项费用，包括采购、运输、劳务、管理、利润、税金、保险、协调、培训、售后服务、配送产品以及所有的不定因素的风险等，其他未明确列明的费用采购人将不再予以支付。</w:t>
            </w:r>
          </w:p>
        </w:tc>
      </w:tr>
      <w:tr w14:paraId="27A6E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9" w:hRule="atLeast"/>
          <w:jc w:val="center"/>
        </w:trPr>
        <w:tc>
          <w:tcPr>
            <w:tcW w:w="947" w:type="dxa"/>
            <w:vAlign w:val="center"/>
          </w:tcPr>
          <w:p w14:paraId="2A5F5BDF">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w:t>
            </w:r>
          </w:p>
        </w:tc>
        <w:tc>
          <w:tcPr>
            <w:tcW w:w="947" w:type="dxa"/>
            <w:vAlign w:val="center"/>
          </w:tcPr>
          <w:p w14:paraId="3D145786">
            <w:pPr>
              <w:keepNext w:val="0"/>
              <w:keepLines w:val="0"/>
              <w:pageBreakBefore w:val="0"/>
              <w:kinsoku/>
              <w:overflowPunct/>
              <w:topLinePunct w:val="0"/>
              <w:bidi w:val="0"/>
              <w:spacing w:line="240" w:lineRule="auto"/>
              <w:jc w:val="center"/>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w:t>
            </w:r>
          </w:p>
        </w:tc>
        <w:tc>
          <w:tcPr>
            <w:tcW w:w="7884" w:type="dxa"/>
            <w:vAlign w:val="center"/>
          </w:tcPr>
          <w:p w14:paraId="4BE12B44">
            <w:pPr>
              <w:keepNext w:val="0"/>
              <w:keepLines w:val="0"/>
              <w:pageBreakBefore w:val="0"/>
              <w:kinsoku/>
              <w:overflowPunct/>
              <w:topLinePunct w:val="0"/>
              <w:bidi w:val="0"/>
              <w:spacing w:line="240" w:lineRule="auto"/>
              <w:textAlignment w:val="auto"/>
              <w:rPr>
                <w:rFonts w:hint="default" w:ascii="宋体" w:hAnsi="宋体" w:eastAsia="宋体"/>
                <w:b/>
                <w:bCs/>
                <w:color w:val="auto"/>
                <w:sz w:val="21"/>
                <w:szCs w:val="21"/>
                <w:highlight w:val="none"/>
                <w:lang w:val="en-US" w:eastAsia="zh-CN"/>
              </w:rPr>
            </w:pPr>
            <w:r>
              <w:rPr>
                <w:rFonts w:hint="eastAsia" w:ascii="宋体" w:hAnsi="宋体"/>
                <w:b/>
                <w:bCs/>
                <w:color w:val="auto"/>
                <w:sz w:val="21"/>
                <w:szCs w:val="21"/>
                <w:highlight w:val="none"/>
                <w:lang w:val="en-US" w:eastAsia="zh-CN"/>
              </w:rPr>
              <w:t>磋商响应文件份数及封装：</w:t>
            </w:r>
          </w:p>
          <w:p w14:paraId="3834B2C1">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供应商应将所有</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按第</w:t>
            </w:r>
            <w:r>
              <w:rPr>
                <w:rFonts w:hint="eastAsia" w:ascii="宋体" w:hAnsi="宋体"/>
                <w:color w:val="auto"/>
                <w:sz w:val="21"/>
                <w:szCs w:val="21"/>
                <w:highlight w:val="none"/>
                <w:lang w:val="en-US" w:eastAsia="zh-CN"/>
              </w:rPr>
              <w:t>六</w:t>
            </w:r>
            <w:r>
              <w:rPr>
                <w:rFonts w:hint="eastAsia" w:ascii="宋体" w:hAnsi="宋体"/>
                <w:color w:val="auto"/>
                <w:sz w:val="21"/>
                <w:szCs w:val="21"/>
                <w:highlight w:val="none"/>
              </w:rPr>
              <w:t>章“响应文件格式”的要求和顺序合并装订成一册</w:t>
            </w:r>
            <w:r>
              <w:rPr>
                <w:rFonts w:hint="eastAsia" w:ascii="宋体" w:hAnsi="宋体"/>
                <w:color w:val="auto"/>
                <w:sz w:val="21"/>
                <w:szCs w:val="21"/>
                <w:highlight w:val="none"/>
                <w:lang w:eastAsia="zh-CN"/>
              </w:rPr>
              <w:t>；</w:t>
            </w:r>
          </w:p>
          <w:p w14:paraId="47E093CF">
            <w:pPr>
              <w:keepNext w:val="0"/>
              <w:keepLines w:val="0"/>
              <w:pageBreakBefore w:val="0"/>
              <w:kinsoku/>
              <w:overflowPunct/>
              <w:topLinePunct w:val="0"/>
              <w:bidi w:val="0"/>
              <w:spacing w:line="240" w:lineRule="auto"/>
              <w:textAlignment w:val="auto"/>
              <w:rPr>
                <w:rFonts w:hint="eastAsia" w:ascii="宋体" w:hAnsi="宋体"/>
                <w:color w:val="auto"/>
                <w:sz w:val="21"/>
                <w:szCs w:val="21"/>
                <w:highlight w:val="none"/>
                <w:lang w:eastAsia="zh-CN"/>
              </w:rPr>
            </w:pPr>
            <w:r>
              <w:rPr>
                <w:rFonts w:hint="eastAsia" w:ascii="宋体" w:hAnsi="宋体"/>
                <w:color w:val="auto"/>
                <w:sz w:val="21"/>
                <w:szCs w:val="21"/>
                <w:highlight w:val="none"/>
                <w:lang w:val="en-US" w:eastAsia="zh-CN"/>
              </w:rPr>
              <w:t>2.</w:t>
            </w:r>
            <w:r>
              <w:rPr>
                <w:rFonts w:hint="eastAsia" w:ascii="宋体" w:hAnsi="宋体"/>
                <w:b/>
                <w:bCs/>
                <w:color w:val="auto"/>
                <w:sz w:val="21"/>
                <w:szCs w:val="21"/>
                <w:highlight w:val="none"/>
              </w:rPr>
              <w:t>正本一份，副本</w:t>
            </w:r>
            <w:r>
              <w:rPr>
                <w:rFonts w:hint="eastAsia" w:ascii="宋体" w:hAnsi="宋体"/>
                <w:b/>
                <w:bCs/>
                <w:color w:val="auto"/>
                <w:sz w:val="21"/>
                <w:szCs w:val="21"/>
                <w:highlight w:val="none"/>
                <w:lang w:val="en-US" w:eastAsia="zh-CN"/>
              </w:rPr>
              <w:t>4</w:t>
            </w:r>
            <w:r>
              <w:rPr>
                <w:rFonts w:hint="eastAsia" w:ascii="宋体" w:hAnsi="宋体"/>
                <w:b/>
                <w:bCs/>
                <w:color w:val="auto"/>
                <w:sz w:val="21"/>
                <w:szCs w:val="21"/>
                <w:highlight w:val="none"/>
              </w:rPr>
              <w:t>份</w:t>
            </w:r>
            <w:r>
              <w:rPr>
                <w:rFonts w:hint="eastAsia" w:ascii="宋体" w:hAnsi="宋体"/>
                <w:color w:val="auto"/>
                <w:sz w:val="21"/>
                <w:szCs w:val="21"/>
                <w:highlight w:val="none"/>
              </w:rPr>
              <w:t>，并</w:t>
            </w:r>
            <w:r>
              <w:rPr>
                <w:rFonts w:ascii="宋体" w:hAnsi="宋体"/>
                <w:color w:val="auto"/>
                <w:sz w:val="21"/>
                <w:szCs w:val="21"/>
                <w:highlight w:val="none"/>
              </w:rPr>
              <w:t>在每个文本封面上标明“正本”或“副本”</w:t>
            </w:r>
            <w:r>
              <w:rPr>
                <w:rFonts w:hint="eastAsia" w:ascii="宋体" w:hAnsi="宋体"/>
                <w:color w:val="auto"/>
                <w:sz w:val="21"/>
                <w:szCs w:val="21"/>
                <w:highlight w:val="none"/>
                <w:lang w:eastAsia="zh-CN"/>
              </w:rPr>
              <w:t>；</w:t>
            </w:r>
          </w:p>
          <w:p w14:paraId="15CCED42">
            <w:pPr>
              <w:keepNext w:val="0"/>
              <w:keepLines w:val="0"/>
              <w:pageBreakBefore w:val="0"/>
              <w:kinsoku/>
              <w:overflowPunct/>
              <w:topLinePunct w:val="0"/>
              <w:bidi w:val="0"/>
              <w:spacing w:line="240" w:lineRule="auto"/>
              <w:textAlignment w:val="auto"/>
              <w:rPr>
                <w:rFonts w:hint="default" w:ascii="宋体" w:hAnsi="宋体" w:cs="Times New Roman"/>
                <w:color w:val="auto"/>
                <w:sz w:val="21"/>
                <w:szCs w:val="21"/>
                <w:highlight w:val="none"/>
                <w:lang w:val="en-US" w:eastAsia="zh-CN"/>
              </w:rPr>
            </w:pPr>
            <w:r>
              <w:rPr>
                <w:rFonts w:hint="eastAsia" w:ascii="宋体" w:hAnsi="宋体" w:cs="Times New Roman"/>
                <w:color w:val="auto"/>
                <w:sz w:val="21"/>
                <w:szCs w:val="21"/>
                <w:highlight w:val="none"/>
                <w:lang w:val="en-US" w:eastAsia="zh-CN"/>
              </w:rPr>
              <w:t>3.副本可以为正本签字盖章后的复印件，如正副本不一致以正本为准；</w:t>
            </w:r>
          </w:p>
          <w:p w14:paraId="12E76226">
            <w:pPr>
              <w:keepNext w:val="0"/>
              <w:keepLines w:val="0"/>
              <w:pageBreakBefore w:val="0"/>
              <w:kinsoku/>
              <w:overflowPunct/>
              <w:topLinePunct w:val="0"/>
              <w:bidi w:val="0"/>
              <w:spacing w:line="240" w:lineRule="auto"/>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供应商</w:t>
            </w:r>
            <w:r>
              <w:rPr>
                <w:rFonts w:ascii="宋体" w:hAnsi="宋体"/>
                <w:color w:val="auto"/>
                <w:sz w:val="21"/>
                <w:szCs w:val="21"/>
                <w:highlight w:val="none"/>
              </w:rPr>
              <w:t>应</w:t>
            </w:r>
            <w:r>
              <w:rPr>
                <w:rFonts w:hint="eastAsia" w:ascii="宋体" w:hAnsi="宋体"/>
                <w:color w:val="auto"/>
                <w:sz w:val="21"/>
                <w:szCs w:val="21"/>
                <w:highlight w:val="none"/>
              </w:rPr>
              <w:t>尽量</w:t>
            </w:r>
            <w:r>
              <w:rPr>
                <w:rFonts w:ascii="宋体" w:hAnsi="宋体"/>
                <w:color w:val="auto"/>
                <w:sz w:val="21"/>
                <w:szCs w:val="21"/>
                <w:highlight w:val="none"/>
              </w:rPr>
              <w:t>将正、副本一并装入一个文件袋中进行包装，</w:t>
            </w:r>
            <w:r>
              <w:rPr>
                <w:rFonts w:hint="eastAsia" w:ascii="宋体" w:hAnsi="宋体"/>
                <w:color w:val="auto"/>
                <w:sz w:val="21"/>
                <w:szCs w:val="21"/>
                <w:highlight w:val="none"/>
              </w:rPr>
              <w:t>同时</w:t>
            </w:r>
            <w:r>
              <w:rPr>
                <w:rFonts w:ascii="宋体" w:hAnsi="宋体"/>
                <w:color w:val="auto"/>
                <w:sz w:val="21"/>
                <w:szCs w:val="21"/>
                <w:highlight w:val="none"/>
              </w:rPr>
              <w:t>加以密封，并在封贴处密封签章（公章、密封章、法定代表人或</w:t>
            </w:r>
            <w:r>
              <w:rPr>
                <w:rFonts w:hint="eastAsia" w:ascii="宋体" w:hAnsi="宋体"/>
                <w:color w:val="auto"/>
                <w:sz w:val="21"/>
                <w:szCs w:val="21"/>
                <w:highlight w:val="none"/>
              </w:rPr>
              <w:t>委托代理人</w:t>
            </w:r>
            <w:r>
              <w:rPr>
                <w:rFonts w:ascii="宋体" w:hAnsi="宋体"/>
                <w:color w:val="auto"/>
                <w:sz w:val="21"/>
                <w:szCs w:val="21"/>
                <w:highlight w:val="none"/>
              </w:rPr>
              <w:t>签字均可</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文件袋无明显缝隙露出袋内文件</w:t>
            </w:r>
            <w:r>
              <w:rPr>
                <w:rFonts w:hint="eastAsia" w:ascii="宋体" w:hAnsi="宋体"/>
                <w:color w:val="auto"/>
                <w:sz w:val="21"/>
                <w:szCs w:val="21"/>
                <w:highlight w:val="none"/>
                <w:lang w:val="en-US" w:eastAsia="zh-CN"/>
              </w:rPr>
              <w:t>内容</w:t>
            </w:r>
            <w:r>
              <w:rPr>
                <w:rFonts w:ascii="宋体" w:hAnsi="宋体"/>
                <w:color w:val="auto"/>
                <w:sz w:val="21"/>
                <w:szCs w:val="21"/>
                <w:highlight w:val="none"/>
              </w:rPr>
              <w:t>）</w:t>
            </w:r>
            <w:r>
              <w:rPr>
                <w:rFonts w:hint="eastAsia" w:ascii="宋体" w:hAnsi="宋体"/>
                <w:color w:val="auto"/>
                <w:sz w:val="21"/>
                <w:szCs w:val="21"/>
                <w:highlight w:val="none"/>
                <w:lang w:eastAsia="zh-CN"/>
              </w:rPr>
              <w:t>；</w:t>
            </w:r>
          </w:p>
          <w:p w14:paraId="0F5D3455">
            <w:pPr>
              <w:keepNext w:val="0"/>
              <w:keepLines w:val="0"/>
              <w:pageBreakBefore w:val="0"/>
              <w:kinsoku/>
              <w:overflowPunct/>
              <w:topLinePunct w:val="0"/>
              <w:bidi w:val="0"/>
              <w:snapToGrid w:val="0"/>
              <w:spacing w:line="240" w:lineRule="auto"/>
              <w:jc w:val="left"/>
              <w:textAlignment w:val="auto"/>
              <w:rPr>
                <w:rFonts w:hint="eastAsia" w:ascii="宋体" w:hAnsi="宋体" w:eastAsia="宋体" w:cs="Courier New"/>
                <w:color w:val="auto"/>
                <w:sz w:val="21"/>
                <w:szCs w:val="21"/>
                <w:highlight w:val="none"/>
                <w:lang w:eastAsia="zh-CN"/>
              </w:rPr>
            </w:pPr>
            <w:r>
              <w:rPr>
                <w:rFonts w:hint="eastAsia" w:ascii="宋体" w:hAnsi="宋体" w:cs="Courier New"/>
                <w:color w:val="auto"/>
                <w:sz w:val="21"/>
                <w:szCs w:val="21"/>
                <w:highlight w:val="none"/>
                <w:lang w:val="en-US" w:eastAsia="zh-CN"/>
              </w:rPr>
              <w:t>5.响应供应商</w:t>
            </w:r>
            <w:r>
              <w:rPr>
                <w:rFonts w:hint="eastAsia" w:ascii="宋体" w:hAnsi="宋体" w:cs="Courier New"/>
                <w:color w:val="auto"/>
                <w:sz w:val="21"/>
                <w:szCs w:val="21"/>
                <w:highlight w:val="none"/>
              </w:rPr>
              <w:t>在递交</w:t>
            </w:r>
            <w:r>
              <w:rPr>
                <w:rFonts w:hint="eastAsia" w:ascii="宋体" w:hAnsi="宋体" w:cs="Courier New"/>
                <w:color w:val="auto"/>
                <w:sz w:val="21"/>
                <w:szCs w:val="21"/>
                <w:highlight w:val="none"/>
                <w:lang w:val="en-US" w:eastAsia="zh-CN"/>
              </w:rPr>
              <w:t>响应</w:t>
            </w:r>
            <w:r>
              <w:rPr>
                <w:rFonts w:hint="eastAsia" w:ascii="宋体" w:hAnsi="宋体" w:cs="Courier New"/>
                <w:color w:val="auto"/>
                <w:sz w:val="21"/>
                <w:szCs w:val="21"/>
                <w:highlight w:val="none"/>
              </w:rPr>
              <w:t>文件时，</w:t>
            </w:r>
            <w:r>
              <w:rPr>
                <w:rFonts w:hint="eastAsia" w:ascii="宋体" w:hAnsi="宋体" w:cs="Courier New"/>
                <w:b/>
                <w:bCs/>
                <w:color w:val="auto"/>
                <w:sz w:val="21"/>
                <w:szCs w:val="21"/>
                <w:highlight w:val="none"/>
              </w:rPr>
              <w:t>同时递交</w:t>
            </w:r>
            <w:r>
              <w:rPr>
                <w:rFonts w:hint="eastAsia" w:ascii="宋体" w:hAnsi="宋体" w:cs="Courier New"/>
                <w:b/>
                <w:bCs/>
                <w:color w:val="auto"/>
                <w:sz w:val="21"/>
                <w:szCs w:val="21"/>
                <w:highlight w:val="none"/>
                <w:lang w:val="en-US" w:eastAsia="zh-CN"/>
              </w:rPr>
              <w:t>响应</w:t>
            </w:r>
            <w:r>
              <w:rPr>
                <w:rFonts w:hint="eastAsia" w:ascii="宋体" w:hAnsi="宋体" w:cs="Courier New"/>
                <w:b/>
                <w:bCs/>
                <w:color w:val="auto"/>
                <w:sz w:val="21"/>
                <w:szCs w:val="21"/>
                <w:highlight w:val="none"/>
              </w:rPr>
              <w:t>文件</w:t>
            </w:r>
            <w:r>
              <w:rPr>
                <w:rFonts w:hint="eastAsia" w:ascii="宋体" w:hAnsi="宋体" w:cs="Courier New"/>
                <w:b/>
                <w:bCs/>
                <w:color w:val="auto"/>
                <w:sz w:val="21"/>
                <w:szCs w:val="21"/>
                <w:highlight w:val="none"/>
                <w:lang w:val="en-US" w:eastAsia="zh-CN"/>
              </w:rPr>
              <w:t>盖章扫描件</w:t>
            </w:r>
            <w:r>
              <w:rPr>
                <w:rFonts w:hint="eastAsia" w:ascii="宋体" w:hAnsi="宋体" w:cs="Courier New"/>
                <w:b/>
                <w:bCs/>
                <w:color w:val="auto"/>
                <w:sz w:val="21"/>
                <w:szCs w:val="21"/>
                <w:highlight w:val="none"/>
              </w:rPr>
              <w:t>电子版1份</w:t>
            </w:r>
            <w:r>
              <w:rPr>
                <w:rFonts w:hint="eastAsia" w:ascii="宋体" w:hAnsi="宋体" w:cs="Courier New"/>
                <w:b/>
                <w:bCs/>
                <w:color w:val="auto"/>
                <w:sz w:val="21"/>
                <w:szCs w:val="21"/>
                <w:highlight w:val="none"/>
                <w:lang w:eastAsia="zh-CN"/>
              </w:rPr>
              <w:t>，</w:t>
            </w:r>
            <w:r>
              <w:rPr>
                <w:rFonts w:hint="eastAsia" w:ascii="宋体" w:hAnsi="宋体" w:cs="Courier New"/>
                <w:b/>
                <w:bCs/>
                <w:color w:val="auto"/>
                <w:sz w:val="21"/>
                <w:szCs w:val="21"/>
                <w:highlight w:val="none"/>
                <w:lang w:val="en-US" w:eastAsia="zh-CN"/>
              </w:rPr>
              <w:t>并以</w:t>
            </w:r>
            <w:r>
              <w:rPr>
                <w:rFonts w:hint="eastAsia" w:ascii="宋体" w:hAnsi="宋体" w:cs="Courier New"/>
                <w:b/>
                <w:bCs/>
                <w:color w:val="auto"/>
                <w:sz w:val="21"/>
                <w:szCs w:val="21"/>
                <w:highlight w:val="none"/>
              </w:rPr>
              <w:t>光盘或U盘</w:t>
            </w:r>
            <w:r>
              <w:rPr>
                <w:rFonts w:hint="eastAsia" w:ascii="宋体" w:hAnsi="宋体" w:cs="Courier New"/>
                <w:b/>
                <w:bCs/>
                <w:color w:val="auto"/>
                <w:sz w:val="21"/>
                <w:szCs w:val="21"/>
                <w:highlight w:val="none"/>
                <w:lang w:val="en-US" w:eastAsia="zh-CN"/>
              </w:rPr>
              <w:t>形式</w:t>
            </w:r>
            <w:r>
              <w:rPr>
                <w:rFonts w:hint="eastAsia" w:ascii="宋体" w:hAnsi="宋体" w:cs="Courier New"/>
                <w:b/>
                <w:bCs/>
                <w:color w:val="auto"/>
                <w:sz w:val="21"/>
                <w:szCs w:val="21"/>
                <w:highlight w:val="none"/>
              </w:rPr>
              <w:t>与纸质版</w:t>
            </w:r>
            <w:r>
              <w:rPr>
                <w:rFonts w:hint="eastAsia" w:ascii="宋体" w:hAnsi="宋体" w:cs="Courier New"/>
                <w:b/>
                <w:bCs/>
                <w:color w:val="auto"/>
                <w:sz w:val="21"/>
                <w:szCs w:val="21"/>
                <w:highlight w:val="none"/>
                <w:lang w:val="en-US" w:eastAsia="zh-CN"/>
              </w:rPr>
              <w:t>响应</w:t>
            </w:r>
            <w:r>
              <w:rPr>
                <w:rFonts w:hint="eastAsia" w:ascii="宋体" w:hAnsi="宋体" w:cs="Courier New"/>
                <w:b/>
                <w:bCs/>
                <w:color w:val="auto"/>
                <w:sz w:val="21"/>
                <w:szCs w:val="21"/>
                <w:highlight w:val="none"/>
              </w:rPr>
              <w:t>文件一并装入文件袋中</w:t>
            </w:r>
            <w:r>
              <w:rPr>
                <w:rFonts w:hint="eastAsia" w:ascii="宋体" w:hAnsi="宋体" w:cs="Courier New"/>
                <w:b/>
                <w:bCs/>
                <w:color w:val="auto"/>
                <w:sz w:val="21"/>
                <w:szCs w:val="21"/>
                <w:highlight w:val="none"/>
                <w:lang w:eastAsia="zh-CN"/>
              </w:rPr>
              <w:t>；</w:t>
            </w:r>
          </w:p>
          <w:p w14:paraId="7ED1AD39">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Courier New" w:cs="Courier New"/>
                <w:b/>
                <w:bCs/>
                <w:color w:val="auto"/>
                <w:sz w:val="21"/>
                <w:szCs w:val="21"/>
                <w:highlight w:val="none"/>
                <w:lang w:val="en-US" w:eastAsia="zh-CN"/>
              </w:rPr>
              <w:t>6.</w:t>
            </w:r>
            <w:r>
              <w:rPr>
                <w:rFonts w:hint="eastAsia" w:ascii="宋体" w:hAnsi="Courier New" w:cs="Courier New"/>
                <w:b/>
                <w:bCs/>
                <w:color w:val="auto"/>
                <w:sz w:val="21"/>
                <w:szCs w:val="21"/>
                <w:highlight w:val="none"/>
              </w:rPr>
              <w:t>不按</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文件份数要求提交</w:t>
            </w:r>
            <w:r>
              <w:rPr>
                <w:rFonts w:hint="eastAsia" w:ascii="宋体" w:hAnsi="Courier New" w:cs="Courier New"/>
                <w:b/>
                <w:bCs/>
                <w:color w:val="auto"/>
                <w:sz w:val="21"/>
                <w:szCs w:val="21"/>
                <w:highlight w:val="none"/>
                <w:lang w:val="en-US" w:eastAsia="zh-CN"/>
              </w:rPr>
              <w:t>磋商</w:t>
            </w:r>
            <w:r>
              <w:rPr>
                <w:rFonts w:hint="eastAsia" w:ascii="宋体" w:hAnsi="Courier New" w:cs="Courier New"/>
                <w:b/>
                <w:bCs/>
                <w:color w:val="auto"/>
                <w:sz w:val="21"/>
                <w:szCs w:val="21"/>
                <w:highlight w:val="none"/>
              </w:rPr>
              <w:t>文件的，视为无效</w:t>
            </w:r>
            <w:r>
              <w:rPr>
                <w:rFonts w:hint="eastAsia" w:ascii="宋体" w:hAnsi="Courier New" w:cs="Courier New"/>
                <w:b/>
                <w:bCs/>
                <w:color w:val="auto"/>
                <w:sz w:val="21"/>
                <w:szCs w:val="21"/>
                <w:highlight w:val="none"/>
                <w:lang w:val="en-US" w:eastAsia="zh-CN"/>
              </w:rPr>
              <w:t>响应</w:t>
            </w:r>
            <w:r>
              <w:rPr>
                <w:rFonts w:hint="eastAsia" w:ascii="宋体" w:hAnsi="Courier New" w:cs="Courier New"/>
                <w:b/>
                <w:bCs/>
                <w:color w:val="auto"/>
                <w:sz w:val="21"/>
                <w:szCs w:val="21"/>
                <w:highlight w:val="none"/>
              </w:rPr>
              <w:t>。</w:t>
            </w:r>
          </w:p>
        </w:tc>
      </w:tr>
      <w:tr w14:paraId="1A81F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947" w:type="dxa"/>
            <w:vAlign w:val="center"/>
          </w:tcPr>
          <w:p w14:paraId="1AD43654">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7</w:t>
            </w:r>
          </w:p>
        </w:tc>
        <w:tc>
          <w:tcPr>
            <w:tcW w:w="947" w:type="dxa"/>
            <w:vAlign w:val="center"/>
          </w:tcPr>
          <w:p w14:paraId="0613D4B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7.1</w:t>
            </w:r>
          </w:p>
        </w:tc>
        <w:tc>
          <w:tcPr>
            <w:tcW w:w="7884" w:type="dxa"/>
            <w:vAlign w:val="center"/>
          </w:tcPr>
          <w:p w14:paraId="1D036CD2">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有效期：</w:t>
            </w:r>
            <w:r>
              <w:rPr>
                <w:rFonts w:hint="eastAsia" w:ascii="宋体" w:hAnsi="宋体" w:cs="宋体"/>
                <w:color w:val="auto"/>
                <w:kern w:val="2"/>
                <w:sz w:val="21"/>
                <w:szCs w:val="21"/>
                <w:highlight w:val="none"/>
              </w:rPr>
              <w:t>自响应文件</w:t>
            </w:r>
            <w:r>
              <w:rPr>
                <w:rFonts w:hint="eastAsia" w:ascii="宋体" w:hAnsi="宋体" w:cs="宋体"/>
                <w:color w:val="auto"/>
                <w:kern w:val="2"/>
                <w:sz w:val="21"/>
                <w:szCs w:val="21"/>
                <w:highlight w:val="none"/>
                <w:lang w:val="en-US" w:eastAsia="zh-CN"/>
              </w:rPr>
              <w:t>递</w:t>
            </w:r>
            <w:r>
              <w:rPr>
                <w:rFonts w:hint="eastAsia" w:ascii="宋体" w:hAnsi="宋体" w:cs="宋体"/>
                <w:color w:val="auto"/>
                <w:kern w:val="2"/>
                <w:sz w:val="21"/>
                <w:szCs w:val="21"/>
                <w:highlight w:val="none"/>
              </w:rPr>
              <w:t>交截止之日起</w:t>
            </w:r>
            <w:r>
              <w:rPr>
                <w:rFonts w:hint="eastAsia" w:ascii="宋体" w:hAnsi="宋体" w:cs="宋体"/>
                <w:color w:val="auto"/>
                <w:kern w:val="2"/>
                <w:sz w:val="21"/>
                <w:szCs w:val="21"/>
                <w:highlight w:val="none"/>
                <w:u w:val="single"/>
              </w:rPr>
              <w:t>60</w:t>
            </w:r>
            <w:r>
              <w:rPr>
                <w:rFonts w:hint="eastAsia" w:ascii="宋体" w:hAnsi="宋体" w:cs="宋体"/>
                <w:color w:val="auto"/>
                <w:kern w:val="2"/>
                <w:sz w:val="21"/>
                <w:szCs w:val="21"/>
                <w:highlight w:val="none"/>
              </w:rPr>
              <w:t>日</w:t>
            </w:r>
            <w:r>
              <w:rPr>
                <w:rFonts w:hint="eastAsia" w:ascii="宋体" w:hAnsi="宋体"/>
                <w:color w:val="auto"/>
                <w:sz w:val="21"/>
                <w:szCs w:val="21"/>
                <w:highlight w:val="none"/>
              </w:rPr>
              <w:t>。</w:t>
            </w:r>
          </w:p>
        </w:tc>
      </w:tr>
      <w:tr w14:paraId="4B52F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947" w:type="dxa"/>
            <w:vAlign w:val="center"/>
          </w:tcPr>
          <w:p w14:paraId="19AF3AB2">
            <w:pPr>
              <w:keepNext w:val="0"/>
              <w:keepLines w:val="0"/>
              <w:pageBreakBefore w:val="0"/>
              <w:kinsoku/>
              <w:overflowPunct/>
              <w:topLinePunct w:val="0"/>
              <w:bidi w:val="0"/>
              <w:spacing w:line="240" w:lineRule="auto"/>
              <w:jc w:val="center"/>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8</w:t>
            </w:r>
          </w:p>
        </w:tc>
        <w:tc>
          <w:tcPr>
            <w:tcW w:w="947" w:type="dxa"/>
            <w:vAlign w:val="center"/>
          </w:tcPr>
          <w:p w14:paraId="6D48875A">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8.1</w:t>
            </w:r>
          </w:p>
        </w:tc>
        <w:tc>
          <w:tcPr>
            <w:tcW w:w="7884" w:type="dxa"/>
            <w:vAlign w:val="center"/>
          </w:tcPr>
          <w:p w14:paraId="41858018">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递交截止时间：</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p w14:paraId="29078CE9">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磋商响应文件</w:t>
            </w:r>
            <w:r>
              <w:rPr>
                <w:rFonts w:hint="eastAsia" w:hAnsi="宋体"/>
                <w:b/>
                <w:color w:val="auto"/>
                <w:sz w:val="21"/>
                <w:szCs w:val="21"/>
                <w:highlight w:val="none"/>
              </w:rPr>
              <w:t>递交地址：</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r>
              <w:rPr>
                <w:rFonts w:hint="eastAsia" w:hAnsi="宋体"/>
                <w:color w:val="auto"/>
                <w:sz w:val="21"/>
                <w:szCs w:val="21"/>
                <w:highlight w:val="none"/>
              </w:rPr>
              <w:t>。</w:t>
            </w:r>
          </w:p>
        </w:tc>
      </w:tr>
      <w:tr w14:paraId="443F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947" w:type="dxa"/>
            <w:vAlign w:val="center"/>
          </w:tcPr>
          <w:p w14:paraId="0A7EAD50">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9</w:t>
            </w:r>
          </w:p>
        </w:tc>
        <w:tc>
          <w:tcPr>
            <w:tcW w:w="947" w:type="dxa"/>
            <w:vAlign w:val="center"/>
          </w:tcPr>
          <w:p w14:paraId="1DAD441B">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9.1</w:t>
            </w:r>
          </w:p>
        </w:tc>
        <w:tc>
          <w:tcPr>
            <w:tcW w:w="7884" w:type="dxa"/>
            <w:vAlign w:val="center"/>
          </w:tcPr>
          <w:p w14:paraId="3C46C029">
            <w:pPr>
              <w:keepNext w:val="0"/>
              <w:keepLines w:val="0"/>
              <w:pageBreakBefore w:val="0"/>
              <w:kinsoku/>
              <w:overflowPunct/>
              <w:topLinePunct w:val="0"/>
              <w:bidi w:val="0"/>
              <w:spacing w:line="240" w:lineRule="auto"/>
              <w:textAlignment w:val="auto"/>
              <w:rPr>
                <w:rFonts w:ascii="宋体" w:hAnsi="宋体"/>
                <w:color w:val="auto"/>
                <w:sz w:val="21"/>
                <w:szCs w:val="21"/>
                <w:highlight w:val="none"/>
              </w:rPr>
            </w:pP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时间</w:t>
            </w:r>
            <w:r>
              <w:rPr>
                <w:rFonts w:hint="eastAsia" w:ascii="宋体" w:hAnsi="宋体"/>
                <w:color w:val="auto"/>
                <w:sz w:val="21"/>
                <w:szCs w:val="21"/>
                <w:highlight w:val="none"/>
              </w:rPr>
              <w:t>：</w:t>
            </w:r>
            <w:r>
              <w:rPr>
                <w:rFonts w:hint="eastAsia" w:ascii="宋体" w:hAnsi="宋体"/>
                <w:b w:val="0"/>
                <w:bCs/>
                <w:color w:val="auto"/>
                <w:sz w:val="21"/>
                <w:szCs w:val="21"/>
                <w:highlight w:val="none"/>
                <w:lang w:val="en-US" w:eastAsia="zh-CN"/>
              </w:rPr>
              <w:t>详见磋商公告</w:t>
            </w:r>
            <w:r>
              <w:rPr>
                <w:rFonts w:hint="eastAsia" w:ascii="宋体" w:hAnsi="宋体"/>
                <w:color w:val="auto"/>
                <w:sz w:val="21"/>
                <w:szCs w:val="21"/>
                <w:highlight w:val="none"/>
              </w:rPr>
              <w:t>。</w:t>
            </w:r>
          </w:p>
          <w:p w14:paraId="1663DF5C">
            <w:pPr>
              <w:pStyle w:val="25"/>
              <w:keepNext w:val="0"/>
              <w:keepLines w:val="0"/>
              <w:pageBreakBefore w:val="0"/>
              <w:kinsoku/>
              <w:overflowPunct/>
              <w:topLinePunct w:val="0"/>
              <w:bidi w:val="0"/>
              <w:spacing w:line="240" w:lineRule="auto"/>
              <w:textAlignment w:val="auto"/>
              <w:rPr>
                <w:rFonts w:hAnsi="宋体"/>
                <w:color w:val="auto"/>
                <w:sz w:val="21"/>
                <w:szCs w:val="21"/>
                <w:highlight w:val="none"/>
              </w:rPr>
            </w:pPr>
            <w:r>
              <w:rPr>
                <w:rFonts w:hint="eastAsia" w:hAnsi="宋体"/>
                <w:b/>
                <w:color w:val="auto"/>
                <w:sz w:val="21"/>
                <w:szCs w:val="21"/>
                <w:highlight w:val="none"/>
                <w:lang w:eastAsia="zh-CN"/>
              </w:rPr>
              <w:t>磋商</w:t>
            </w:r>
            <w:r>
              <w:rPr>
                <w:rFonts w:hint="eastAsia" w:hAnsi="宋体"/>
                <w:b/>
                <w:color w:val="auto"/>
                <w:sz w:val="21"/>
                <w:szCs w:val="21"/>
                <w:highlight w:val="none"/>
              </w:rPr>
              <w:t>地点：</w:t>
            </w:r>
            <w:r>
              <w:rPr>
                <w:rFonts w:hint="eastAsia" w:ascii="宋体" w:hAnsi="宋体"/>
                <w:b w:val="0"/>
                <w:bCs/>
                <w:color w:val="auto"/>
                <w:sz w:val="21"/>
                <w:szCs w:val="21"/>
                <w:highlight w:val="none"/>
                <w:lang w:val="en-US" w:eastAsia="zh-CN"/>
              </w:rPr>
              <w:t>详见</w:t>
            </w:r>
            <w:r>
              <w:rPr>
                <w:rFonts w:hint="eastAsia" w:hAnsi="宋体"/>
                <w:b w:val="0"/>
                <w:bCs/>
                <w:color w:val="auto"/>
                <w:sz w:val="21"/>
                <w:szCs w:val="21"/>
                <w:highlight w:val="none"/>
                <w:lang w:val="en-US" w:eastAsia="zh-CN"/>
              </w:rPr>
              <w:t>磋商</w:t>
            </w:r>
            <w:r>
              <w:rPr>
                <w:rFonts w:hint="eastAsia" w:ascii="宋体" w:hAnsi="宋体"/>
                <w:b w:val="0"/>
                <w:bCs/>
                <w:color w:val="auto"/>
                <w:sz w:val="21"/>
                <w:szCs w:val="21"/>
                <w:highlight w:val="none"/>
                <w:lang w:val="en-US" w:eastAsia="zh-CN"/>
              </w:rPr>
              <w:t>公告。</w:t>
            </w:r>
          </w:p>
        </w:tc>
      </w:tr>
      <w:tr w14:paraId="585B6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7" w:hRule="atLeast"/>
          <w:jc w:val="center"/>
        </w:trPr>
        <w:tc>
          <w:tcPr>
            <w:tcW w:w="947" w:type="dxa"/>
            <w:vAlign w:val="center"/>
          </w:tcPr>
          <w:p w14:paraId="7495564A">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10</w:t>
            </w:r>
          </w:p>
        </w:tc>
        <w:tc>
          <w:tcPr>
            <w:tcW w:w="947" w:type="dxa"/>
            <w:vAlign w:val="center"/>
          </w:tcPr>
          <w:p w14:paraId="615FED15">
            <w:pPr>
              <w:keepNext w:val="0"/>
              <w:keepLines w:val="0"/>
              <w:pageBreakBefore w:val="0"/>
              <w:kinsoku/>
              <w:overflowPunct/>
              <w:topLinePunct w:val="0"/>
              <w:bidi w:val="0"/>
              <w:spacing w:line="240" w:lineRule="auto"/>
              <w:jc w:val="center"/>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10.1</w:t>
            </w:r>
          </w:p>
        </w:tc>
        <w:tc>
          <w:tcPr>
            <w:tcW w:w="7884" w:type="dxa"/>
            <w:vAlign w:val="center"/>
          </w:tcPr>
          <w:p w14:paraId="48BA2FC2">
            <w:pPr>
              <w:keepNext w:val="0"/>
              <w:keepLines w:val="0"/>
              <w:pageBreakBefore w:val="0"/>
              <w:kinsoku/>
              <w:overflowPunct/>
              <w:topLinePunct w:val="0"/>
              <w:bidi w:val="0"/>
              <w:spacing w:line="240" w:lineRule="auto"/>
              <w:textAlignment w:val="auto"/>
              <w:rPr>
                <w:rFonts w:hint="eastAsia"/>
                <w:sz w:val="21"/>
                <w:szCs w:val="21"/>
                <w:highlight w:val="none"/>
                <w:lang w:val="en-US" w:eastAsia="zh-CN"/>
              </w:rPr>
            </w:pPr>
            <w:r>
              <w:rPr>
                <w:rFonts w:hint="eastAsia"/>
                <w:sz w:val="21"/>
                <w:szCs w:val="21"/>
                <w:highlight w:val="none"/>
                <w:lang w:val="en-US" w:eastAsia="zh-CN"/>
              </w:rPr>
              <w:t>1、接收质疑的方式：以纸质书面形式</w:t>
            </w:r>
          </w:p>
          <w:p w14:paraId="1DED68E0">
            <w:pPr>
              <w:keepNext w:val="0"/>
              <w:keepLines w:val="0"/>
              <w:pageBreakBefore w:val="0"/>
              <w:kinsoku/>
              <w:overflowPunct/>
              <w:topLinePunct w:val="0"/>
              <w:bidi w:val="0"/>
              <w:spacing w:line="240" w:lineRule="auto"/>
              <w:textAlignment w:val="auto"/>
              <w:rPr>
                <w:rFonts w:hint="default"/>
                <w:sz w:val="21"/>
                <w:szCs w:val="21"/>
                <w:highlight w:val="none"/>
                <w:lang w:val="en-US" w:eastAsia="zh-CN"/>
              </w:rPr>
            </w:pPr>
            <w:r>
              <w:rPr>
                <w:rFonts w:hint="eastAsia"/>
                <w:sz w:val="21"/>
                <w:szCs w:val="21"/>
                <w:highlight w:val="none"/>
                <w:lang w:val="en-US" w:eastAsia="zh-CN"/>
              </w:rPr>
              <w:t>2、质疑联系部门及联系方式：广西骨伤医院采购办公室，联系电话：0771-2622251，通讯地址：</w:t>
            </w:r>
            <w:r>
              <w:rPr>
                <w:rFonts w:hint="eastAsia" w:ascii="宋体" w:hAnsi="宋体"/>
                <w:color w:val="auto"/>
                <w:sz w:val="21"/>
                <w:szCs w:val="21"/>
                <w:highlight w:val="none"/>
              </w:rPr>
              <w:t>广西骨伤医院行政办公区（南宁市青秀区东葛路一号锦华副楼401号房）</w:t>
            </w:r>
            <w:r>
              <w:rPr>
                <w:rFonts w:hint="eastAsia"/>
                <w:sz w:val="21"/>
                <w:szCs w:val="21"/>
                <w:highlight w:val="none"/>
                <w:lang w:val="en-US" w:eastAsia="zh-CN"/>
              </w:rPr>
              <w:t>。</w:t>
            </w:r>
          </w:p>
          <w:p w14:paraId="3B8AA9A7">
            <w:pPr>
              <w:keepNext w:val="0"/>
              <w:keepLines w:val="0"/>
              <w:pageBreakBefore w:val="0"/>
              <w:kinsoku/>
              <w:overflowPunct/>
              <w:topLinePunct w:val="0"/>
              <w:bidi w:val="0"/>
              <w:spacing w:line="240" w:lineRule="auto"/>
              <w:textAlignment w:val="auto"/>
              <w:rPr>
                <w:rFonts w:hint="eastAsia"/>
                <w:sz w:val="21"/>
                <w:szCs w:val="21"/>
                <w:highlight w:val="none"/>
                <w:lang w:val="en-US" w:eastAsia="zh-CN"/>
              </w:rPr>
            </w:pPr>
            <w:r>
              <w:rPr>
                <w:rFonts w:hint="eastAsia"/>
                <w:sz w:val="21"/>
                <w:szCs w:val="21"/>
                <w:highlight w:val="none"/>
                <w:lang w:val="en-US" w:eastAsia="zh-CN"/>
              </w:rPr>
              <w:t>3、现场提交质疑时间：于规定期限内，每天8时00分到12时00分，15时00分到18时00分（北京时间），双休日及法定节假日除外。</w:t>
            </w:r>
          </w:p>
          <w:p w14:paraId="5AE8B71E">
            <w:pPr>
              <w:keepNext w:val="0"/>
              <w:keepLines w:val="0"/>
              <w:pageBreakBefore w:val="0"/>
              <w:kinsoku/>
              <w:overflowPunct/>
              <w:topLinePunct w:val="0"/>
              <w:bidi w:val="0"/>
              <w:spacing w:line="240" w:lineRule="auto"/>
              <w:textAlignment w:val="auto"/>
              <w:rPr>
                <w:rFonts w:hint="default"/>
                <w:sz w:val="21"/>
                <w:szCs w:val="21"/>
                <w:highlight w:val="none"/>
                <w:lang w:val="en-US" w:eastAsia="zh-CN"/>
              </w:rPr>
            </w:pPr>
            <w:r>
              <w:rPr>
                <w:rFonts w:hint="eastAsia" w:ascii="Times New Roman" w:hAnsi="Times New Roman" w:cs="Times New Roman"/>
                <w:sz w:val="21"/>
                <w:szCs w:val="21"/>
                <w:highlight w:val="none"/>
                <w:lang w:val="en-US" w:eastAsia="zh-CN"/>
              </w:rPr>
              <w:t>4</w:t>
            </w:r>
            <w:r>
              <w:rPr>
                <w:rFonts w:hint="eastAsia" w:ascii="宋体" w:hAnsi="Courier New" w:eastAsia="宋体" w:cs="宋体"/>
                <w:sz w:val="21"/>
                <w:szCs w:val="21"/>
                <w:highlight w:val="none"/>
                <w:lang w:val="en-US" w:eastAsia="zh-CN"/>
              </w:rPr>
              <w:t>、供应商不按程序进行投诉质疑的，将按规定列入招投标不良行为记录。</w:t>
            </w:r>
          </w:p>
        </w:tc>
      </w:tr>
    </w:tbl>
    <w:p w14:paraId="6D511C5C">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bookmarkStart w:id="97" w:name="_GoBack"/>
      <w:bookmarkEnd w:id="97"/>
      <w:r>
        <w:rPr>
          <w:rFonts w:ascii="宋体" w:hAnsi="宋体"/>
          <w:b/>
          <w:color w:val="auto"/>
          <w:sz w:val="21"/>
          <w:szCs w:val="21"/>
          <w:highlight w:val="none"/>
        </w:rPr>
        <w:br w:type="page"/>
      </w:r>
      <w:r>
        <w:rPr>
          <w:rFonts w:hint="eastAsia" w:ascii="宋体" w:hAnsi="宋体"/>
          <w:b/>
          <w:color w:val="auto"/>
          <w:sz w:val="30"/>
          <w:szCs w:val="30"/>
          <w:highlight w:val="none"/>
          <w:lang w:val="en-US" w:eastAsia="zh-CN"/>
        </w:rPr>
        <w:t>正 文</w:t>
      </w:r>
    </w:p>
    <w:p w14:paraId="3AF55124">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一、总　则</w:t>
      </w:r>
    </w:p>
    <w:p w14:paraId="0D9AFA0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1.适用范围</w:t>
      </w:r>
    </w:p>
    <w:p w14:paraId="6B35D1E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1.1本文件仅适用于本文件中所叙述的</w:t>
      </w:r>
      <w:r>
        <w:rPr>
          <w:rFonts w:hint="eastAsia" w:ascii="宋体" w:hAnsi="宋体"/>
          <w:b w:val="0"/>
          <w:bCs w:val="0"/>
          <w:color w:val="auto"/>
          <w:sz w:val="21"/>
          <w:szCs w:val="21"/>
          <w:highlight w:val="none"/>
          <w:u w:val="single"/>
          <w:lang w:eastAsia="zh-CN"/>
        </w:rPr>
        <w:t>广西骨伤医院《桂派中医正骨术》书籍出版服务项目（</w:t>
      </w:r>
      <w:r>
        <w:rPr>
          <w:rFonts w:hint="eastAsia" w:ascii="宋体" w:hAnsi="宋体"/>
          <w:b w:val="0"/>
          <w:bCs w:val="0"/>
          <w:color w:val="auto"/>
          <w:sz w:val="21"/>
          <w:szCs w:val="21"/>
          <w:highlight w:val="none"/>
          <w:u w:val="single"/>
          <w:lang w:val="en-US" w:eastAsia="zh-CN"/>
        </w:rPr>
        <w:t>重</w:t>
      </w:r>
      <w:r>
        <w:rPr>
          <w:rFonts w:hint="eastAsia" w:ascii="宋体" w:hAnsi="宋体"/>
          <w:b w:val="0"/>
          <w:bCs w:val="0"/>
          <w:color w:val="auto"/>
          <w:sz w:val="21"/>
          <w:szCs w:val="21"/>
          <w:highlight w:val="none"/>
          <w:u w:val="single"/>
          <w:lang w:eastAsia="zh-CN"/>
        </w:rPr>
        <w:t>）</w:t>
      </w:r>
      <w:r>
        <w:rPr>
          <w:rFonts w:hint="eastAsia" w:ascii="宋体" w:hAnsi="宋体"/>
          <w:b w:val="0"/>
          <w:bCs w:val="0"/>
          <w:color w:val="auto"/>
          <w:sz w:val="21"/>
          <w:szCs w:val="21"/>
          <w:highlight w:val="none"/>
        </w:rPr>
        <w:t>。</w:t>
      </w:r>
    </w:p>
    <w:p w14:paraId="4FEFFD2B">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1.</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文件（以下简称</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文件）适用于本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项目的</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评审</w:t>
      </w:r>
      <w:r>
        <w:rPr>
          <w:rFonts w:hint="eastAsia" w:ascii="宋体" w:hAnsi="宋体"/>
          <w:b w:val="0"/>
          <w:bCs w:val="0"/>
          <w:color w:val="auto"/>
          <w:sz w:val="21"/>
          <w:szCs w:val="21"/>
          <w:highlight w:val="none"/>
        </w:rPr>
        <w:t>、合同履约、验收、付款等行为（法律、法规另有规定的，从其规定）。</w:t>
      </w:r>
    </w:p>
    <w:p w14:paraId="5DCEF122">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2.定义</w:t>
      </w:r>
    </w:p>
    <w:p w14:paraId="14E35B7E">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2.1“采购人”是指：</w:t>
      </w:r>
      <w:r>
        <w:rPr>
          <w:rFonts w:hint="eastAsia" w:ascii="宋体" w:hAnsi="宋体"/>
          <w:b w:val="0"/>
          <w:bCs w:val="0"/>
          <w:color w:val="auto"/>
          <w:sz w:val="21"/>
          <w:szCs w:val="21"/>
          <w:highlight w:val="none"/>
          <w:lang w:eastAsia="zh-CN"/>
        </w:rPr>
        <w:t>广西骨伤医院</w:t>
      </w:r>
      <w:r>
        <w:rPr>
          <w:rFonts w:hint="eastAsia" w:ascii="宋体" w:hAnsi="宋体"/>
          <w:b w:val="0"/>
          <w:bCs w:val="0"/>
          <w:color w:val="auto"/>
          <w:sz w:val="21"/>
          <w:szCs w:val="21"/>
          <w:highlight w:val="none"/>
        </w:rPr>
        <w:t>。</w:t>
      </w:r>
    </w:p>
    <w:p w14:paraId="7334006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2</w:t>
      </w:r>
      <w:r>
        <w:rPr>
          <w:rFonts w:hint="eastAsia" w:ascii="宋体" w:hAnsi="宋体"/>
          <w:b w:val="0"/>
          <w:bCs w:val="0"/>
          <w:color w:val="auto"/>
          <w:sz w:val="21"/>
          <w:szCs w:val="21"/>
          <w:highlight w:val="none"/>
        </w:rPr>
        <w:t>“供应商”是指响应本文件要求，</w:t>
      </w:r>
      <w:r>
        <w:rPr>
          <w:rFonts w:hint="eastAsia" w:ascii="宋体" w:hAnsi="宋体"/>
          <w:b w:val="0"/>
          <w:bCs w:val="0"/>
          <w:color w:val="auto"/>
          <w:sz w:val="21"/>
          <w:szCs w:val="21"/>
          <w:highlight w:val="none"/>
          <w:lang w:val="en-US" w:eastAsia="zh-CN"/>
        </w:rPr>
        <w:t>提交响应文件、</w:t>
      </w:r>
      <w:r>
        <w:rPr>
          <w:rFonts w:hint="eastAsia" w:ascii="宋体" w:hAnsi="宋体"/>
          <w:b w:val="0"/>
          <w:bCs w:val="0"/>
          <w:color w:val="auto"/>
          <w:sz w:val="21"/>
          <w:szCs w:val="21"/>
          <w:highlight w:val="none"/>
        </w:rPr>
        <w:t>参加</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的法人或者其他组织。如果该供应商在本次</w:t>
      </w:r>
      <w:r>
        <w:rPr>
          <w:rFonts w:hint="eastAsia" w:ascii="宋体" w:hAnsi="宋体"/>
          <w:b w:val="0"/>
          <w:bCs w:val="0"/>
          <w:color w:val="auto"/>
          <w:sz w:val="21"/>
          <w:szCs w:val="21"/>
          <w:highlight w:val="none"/>
          <w:lang w:eastAsia="zh-CN"/>
        </w:rPr>
        <w:t>磋商</w:t>
      </w:r>
      <w:r>
        <w:rPr>
          <w:rFonts w:hint="eastAsia" w:ascii="宋体" w:hAnsi="宋体"/>
          <w:b w:val="0"/>
          <w:bCs w:val="0"/>
          <w:color w:val="auto"/>
          <w:sz w:val="21"/>
          <w:szCs w:val="21"/>
          <w:highlight w:val="none"/>
        </w:rPr>
        <w:t>中成交，即成为“成交供应商”</w:t>
      </w:r>
      <w:r>
        <w:rPr>
          <w:rFonts w:hint="eastAsia" w:ascii="宋体" w:hAnsi="宋体"/>
          <w:b w:val="0"/>
          <w:bCs w:val="0"/>
          <w:color w:val="auto"/>
          <w:sz w:val="21"/>
          <w:szCs w:val="21"/>
          <w:highlight w:val="none"/>
          <w:lang w:val="en-US" w:eastAsia="zh-CN"/>
        </w:rPr>
        <w:t>、“中标人”、“成交人”</w:t>
      </w:r>
      <w:r>
        <w:rPr>
          <w:rFonts w:hint="eastAsia" w:ascii="宋体" w:hAnsi="宋体"/>
          <w:b w:val="0"/>
          <w:bCs w:val="0"/>
          <w:color w:val="auto"/>
          <w:sz w:val="21"/>
          <w:szCs w:val="21"/>
          <w:highlight w:val="none"/>
        </w:rPr>
        <w:t>。</w:t>
      </w:r>
    </w:p>
    <w:p w14:paraId="6325270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3</w:t>
      </w:r>
      <w:r>
        <w:rPr>
          <w:rFonts w:hint="eastAsia" w:ascii="宋体" w:hAnsi="宋体"/>
          <w:b w:val="0"/>
          <w:bCs w:val="0"/>
          <w:color w:val="auto"/>
          <w:sz w:val="21"/>
          <w:szCs w:val="21"/>
          <w:highlight w:val="none"/>
        </w:rPr>
        <w:t>“货物”是指各种形态和种类的物品，包括原材料、燃料、设备、产品等。</w:t>
      </w:r>
    </w:p>
    <w:p w14:paraId="43232246">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4</w:t>
      </w:r>
      <w:r>
        <w:rPr>
          <w:rFonts w:hint="eastAsia" w:ascii="宋体" w:hAnsi="宋体"/>
          <w:b w:val="0"/>
          <w:bCs w:val="0"/>
          <w:color w:val="auto"/>
          <w:sz w:val="21"/>
          <w:szCs w:val="21"/>
          <w:highlight w:val="none"/>
        </w:rPr>
        <w:t>“工程”按照招标投标法及其实施条例必须进行招标的工程建设项目以外的工程建设项目。</w:t>
      </w:r>
    </w:p>
    <w:p w14:paraId="5D8BF77C">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5</w:t>
      </w:r>
      <w:r>
        <w:rPr>
          <w:rFonts w:hint="eastAsia" w:ascii="宋体" w:hAnsi="宋体"/>
          <w:b w:val="0"/>
          <w:bCs w:val="0"/>
          <w:color w:val="auto"/>
          <w:sz w:val="21"/>
          <w:szCs w:val="21"/>
          <w:highlight w:val="none"/>
        </w:rPr>
        <w:t>“服务”是指除货物和工程以外的其他采购对象。</w:t>
      </w:r>
    </w:p>
    <w:p w14:paraId="2C584723">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6</w:t>
      </w:r>
      <w:r>
        <w:rPr>
          <w:rFonts w:hint="eastAsia" w:ascii="宋体" w:hAnsi="宋体"/>
          <w:b w:val="0"/>
          <w:bCs w:val="0"/>
          <w:color w:val="auto"/>
          <w:sz w:val="21"/>
          <w:szCs w:val="21"/>
          <w:highlight w:val="none"/>
        </w:rPr>
        <w:t>“</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lang w:eastAsia="zh-CN"/>
        </w:rPr>
        <w:t>响应文件</w:t>
      </w:r>
      <w:r>
        <w:rPr>
          <w:rFonts w:hint="eastAsia" w:ascii="宋体" w:hAnsi="宋体"/>
          <w:b w:val="0"/>
          <w:bCs w:val="0"/>
          <w:color w:val="auto"/>
          <w:sz w:val="21"/>
          <w:szCs w:val="21"/>
          <w:highlight w:val="none"/>
        </w:rPr>
        <w:t>” 简称“响应文件”，是指供应商根据本</w:t>
      </w:r>
      <w:r>
        <w:rPr>
          <w:rFonts w:hint="eastAsia" w:ascii="宋体" w:hAnsi="宋体"/>
          <w:b w:val="0"/>
          <w:bCs w:val="0"/>
          <w:color w:val="auto"/>
          <w:sz w:val="21"/>
          <w:szCs w:val="21"/>
          <w:highlight w:val="none"/>
          <w:lang w:val="en-US" w:eastAsia="zh-CN"/>
        </w:rPr>
        <w:t>磋商</w:t>
      </w:r>
      <w:r>
        <w:rPr>
          <w:rFonts w:hint="eastAsia" w:ascii="宋体" w:hAnsi="宋体"/>
          <w:b w:val="0"/>
          <w:bCs w:val="0"/>
          <w:color w:val="auto"/>
          <w:sz w:val="21"/>
          <w:szCs w:val="21"/>
          <w:highlight w:val="none"/>
        </w:rPr>
        <w:t>文件要求，编制包含</w:t>
      </w:r>
      <w:r>
        <w:rPr>
          <w:rFonts w:hint="eastAsia" w:ascii="宋体" w:hAnsi="宋体"/>
          <w:b w:val="0"/>
          <w:bCs w:val="0"/>
          <w:color w:val="auto"/>
          <w:sz w:val="21"/>
          <w:szCs w:val="21"/>
          <w:highlight w:val="none"/>
          <w:lang w:val="en-US" w:eastAsia="zh-CN"/>
        </w:rPr>
        <w:t>资格证明、</w:t>
      </w:r>
      <w:r>
        <w:rPr>
          <w:rFonts w:hint="eastAsia" w:ascii="宋体" w:hAnsi="宋体"/>
          <w:b w:val="0"/>
          <w:bCs w:val="0"/>
          <w:color w:val="auto"/>
          <w:sz w:val="21"/>
          <w:szCs w:val="21"/>
          <w:highlight w:val="none"/>
        </w:rPr>
        <w:t>报价、技术和服务等所有内容的文件。</w:t>
      </w:r>
    </w:p>
    <w:p w14:paraId="3EEDED36">
      <w:pPr>
        <w:keepNext w:val="0"/>
        <w:keepLines w:val="0"/>
        <w:pageBreakBefore w:val="0"/>
        <w:kinsoku/>
        <w:overflowPunct/>
        <w:topLinePunct w:val="0"/>
        <w:bidi w:val="0"/>
        <w:spacing w:line="240" w:lineRule="auto"/>
        <w:ind w:firstLine="420" w:firstLineChars="200"/>
        <w:textAlignment w:val="auto"/>
        <w:rPr>
          <w:rFonts w:hint="eastAsia" w:ascii="宋体" w:hAnsi="宋体"/>
          <w:b w:val="0"/>
          <w:bCs w:val="0"/>
          <w:color w:val="auto"/>
          <w:sz w:val="21"/>
          <w:szCs w:val="21"/>
          <w:highlight w:val="none"/>
        </w:rPr>
      </w:pPr>
      <w:r>
        <w:rPr>
          <w:rFonts w:hint="eastAsia" w:ascii="宋体" w:hAnsi="宋体"/>
          <w:b w:val="0"/>
          <w:bCs w:val="0"/>
          <w:color w:val="auto"/>
          <w:sz w:val="21"/>
          <w:szCs w:val="21"/>
          <w:highlight w:val="none"/>
        </w:rPr>
        <w:t>2.</w:t>
      </w:r>
      <w:r>
        <w:rPr>
          <w:rFonts w:hint="eastAsia" w:ascii="宋体" w:hAnsi="宋体"/>
          <w:b w:val="0"/>
          <w:bCs w:val="0"/>
          <w:color w:val="auto"/>
          <w:sz w:val="21"/>
          <w:szCs w:val="21"/>
          <w:highlight w:val="none"/>
          <w:lang w:val="en-US" w:eastAsia="zh-CN"/>
        </w:rPr>
        <w:t>7</w:t>
      </w:r>
      <w:r>
        <w:rPr>
          <w:rFonts w:hint="eastAsia" w:ascii="宋体" w:hAnsi="宋体" w:cs="宋体"/>
          <w:b w:val="0"/>
          <w:bCs w:val="0"/>
          <w:color w:val="auto"/>
          <w:sz w:val="21"/>
          <w:szCs w:val="21"/>
          <w:highlight w:val="none"/>
        </w:rPr>
        <w:t>“实质性要求”是指</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文件中已经指明不满足则响应文件按无效响应处理的条款，或者不能负偏离的条款，或者采购需求中带“▲”的条款</w:t>
      </w:r>
      <w:r>
        <w:rPr>
          <w:rFonts w:hint="eastAsia" w:ascii="宋体" w:hAnsi="宋体"/>
          <w:b w:val="0"/>
          <w:bCs w:val="0"/>
          <w:color w:val="auto"/>
          <w:sz w:val="21"/>
          <w:szCs w:val="21"/>
          <w:highlight w:val="none"/>
        </w:rPr>
        <w:t>。</w:t>
      </w:r>
    </w:p>
    <w:p w14:paraId="12B59C04">
      <w:pPr>
        <w:keepNext w:val="0"/>
        <w:keepLines w:val="0"/>
        <w:pageBreakBefore w:val="0"/>
        <w:kinsoku/>
        <w:overflowPunct/>
        <w:topLinePunct w:val="0"/>
        <w:bidi w:val="0"/>
        <w:spacing w:line="240" w:lineRule="auto"/>
        <w:ind w:firstLine="420" w:firstLineChars="200"/>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rPr>
        <w:t>2.</w:t>
      </w:r>
      <w:r>
        <w:rPr>
          <w:rFonts w:ascii="宋体" w:hAnsi="宋体" w:cs="宋体"/>
          <w:b w:val="0"/>
          <w:bCs w:val="0"/>
          <w:color w:val="auto"/>
          <w:sz w:val="21"/>
          <w:szCs w:val="21"/>
          <w:highlight w:val="none"/>
        </w:rPr>
        <w:t>8</w:t>
      </w:r>
      <w:r>
        <w:rPr>
          <w:rFonts w:hint="eastAsia" w:ascii="宋体" w:hAnsi="宋体" w:cs="宋体"/>
          <w:b w:val="0"/>
          <w:bCs w:val="0"/>
          <w:color w:val="auto"/>
          <w:sz w:val="21"/>
          <w:szCs w:val="21"/>
          <w:highlight w:val="none"/>
        </w:rPr>
        <w:t>“正偏离”，是指响应文件对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文件“采购需求”中有关条款作出的响应优于条款要求并有利于采购人的情形。</w:t>
      </w:r>
    </w:p>
    <w:p w14:paraId="49D421A1">
      <w:pPr>
        <w:keepNext w:val="0"/>
        <w:keepLines w:val="0"/>
        <w:pageBreakBefore w:val="0"/>
        <w:kinsoku/>
        <w:overflowPunct/>
        <w:topLinePunct w:val="0"/>
        <w:bidi w:val="0"/>
        <w:spacing w:line="240" w:lineRule="auto"/>
        <w:ind w:firstLine="420" w:firstLineChars="200"/>
        <w:textAlignment w:val="auto"/>
        <w:rPr>
          <w:rFonts w:hint="default" w:eastAsia="宋体"/>
          <w:b w:val="0"/>
          <w:bCs w:val="0"/>
          <w:sz w:val="21"/>
          <w:szCs w:val="21"/>
          <w:highlight w:val="none"/>
          <w:lang w:val="en-US" w:eastAsia="zh-CN"/>
        </w:rPr>
      </w:pPr>
      <w:r>
        <w:rPr>
          <w:rFonts w:ascii="宋体" w:hAnsi="宋体" w:cs="宋体"/>
          <w:b w:val="0"/>
          <w:bCs w:val="0"/>
          <w:color w:val="auto"/>
          <w:sz w:val="21"/>
          <w:szCs w:val="21"/>
          <w:highlight w:val="none"/>
        </w:rPr>
        <w:t>2.9</w:t>
      </w:r>
      <w:r>
        <w:rPr>
          <w:rFonts w:hint="eastAsia" w:ascii="宋体" w:hAnsi="宋体" w:cs="宋体"/>
          <w:b w:val="0"/>
          <w:bCs w:val="0"/>
          <w:color w:val="auto"/>
          <w:sz w:val="21"/>
          <w:szCs w:val="21"/>
          <w:highlight w:val="none"/>
        </w:rPr>
        <w:t>“负偏离”，是指响应文件对</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文件“采购需求”中有关条款作出的响应不满足条款要求，导致采购人要求不能得到满足的情形。</w:t>
      </w:r>
      <w:r>
        <w:rPr>
          <w:rFonts w:hint="eastAsia" w:ascii="宋体" w:hAnsi="宋体" w:cs="宋体"/>
          <w:b w:val="0"/>
          <w:bCs w:val="0"/>
          <w:color w:val="auto"/>
          <w:sz w:val="21"/>
          <w:szCs w:val="21"/>
          <w:highlight w:val="none"/>
          <w:lang w:val="en-US" w:eastAsia="zh-CN"/>
        </w:rPr>
        <w:t>本项目允许负偏离条款为</w:t>
      </w:r>
      <w:r>
        <w:rPr>
          <w:rFonts w:hint="eastAsia" w:ascii="宋体" w:hAnsi="宋体" w:cs="宋体"/>
          <w:b w:val="0"/>
          <w:bCs w:val="0"/>
          <w:color w:val="auto"/>
          <w:sz w:val="21"/>
          <w:szCs w:val="21"/>
          <w:highlight w:val="none"/>
          <w:u w:val="single"/>
          <w:lang w:val="en-US" w:eastAsia="zh-CN"/>
        </w:rPr>
        <w:t xml:space="preserve"> 除实质性参数外 </w:t>
      </w:r>
      <w:r>
        <w:rPr>
          <w:rFonts w:hint="eastAsia" w:ascii="宋体" w:hAnsi="宋体" w:cs="宋体"/>
          <w:b w:val="0"/>
          <w:bCs w:val="0"/>
          <w:color w:val="auto"/>
          <w:sz w:val="21"/>
          <w:szCs w:val="21"/>
          <w:highlight w:val="none"/>
          <w:lang w:val="en-US" w:eastAsia="zh-CN"/>
        </w:rPr>
        <w:t>项。</w:t>
      </w:r>
    </w:p>
    <w:p w14:paraId="62831F46">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b w:val="0"/>
          <w:bCs w:val="0"/>
          <w:color w:val="auto"/>
          <w:sz w:val="21"/>
          <w:szCs w:val="21"/>
          <w:highlight w:val="none"/>
          <w:lang w:val="en-US" w:eastAsia="zh-CN"/>
        </w:rPr>
      </w:pPr>
      <w:r>
        <w:rPr>
          <w:rFonts w:hint="eastAsia" w:ascii="宋体" w:hAnsi="宋体"/>
          <w:b w:val="0"/>
          <w:bCs w:val="0"/>
          <w:color w:val="auto"/>
          <w:sz w:val="21"/>
          <w:szCs w:val="21"/>
          <w:highlight w:val="none"/>
        </w:rPr>
        <w:t>3.供应商资格</w:t>
      </w:r>
      <w:r>
        <w:rPr>
          <w:rFonts w:hint="eastAsia" w:ascii="宋体" w:hAnsi="宋体"/>
          <w:b w:val="0"/>
          <w:bCs w:val="0"/>
          <w:color w:val="auto"/>
          <w:sz w:val="21"/>
          <w:szCs w:val="21"/>
          <w:highlight w:val="none"/>
          <w:lang w:val="en-US" w:eastAsia="zh-CN"/>
        </w:rPr>
        <w:t>要求</w:t>
      </w:r>
    </w:p>
    <w:p w14:paraId="4C3A31CC">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b w:val="0"/>
          <w:bCs w:val="0"/>
          <w:color w:val="auto"/>
          <w:sz w:val="21"/>
          <w:szCs w:val="21"/>
          <w:highlight w:val="none"/>
          <w:lang w:eastAsia="zh-CN"/>
        </w:rPr>
      </w:pPr>
      <w:r>
        <w:rPr>
          <w:rFonts w:hint="eastAsia" w:ascii="宋体" w:hAnsi="宋体" w:cs="宋体"/>
          <w:b w:val="0"/>
          <w:bCs w:val="0"/>
          <w:color w:val="auto"/>
          <w:sz w:val="21"/>
          <w:szCs w:val="21"/>
          <w:highlight w:val="none"/>
          <w:lang w:val="en-US" w:eastAsia="zh-CN"/>
        </w:rPr>
        <w:t>3.1</w:t>
      </w:r>
      <w:r>
        <w:rPr>
          <w:rFonts w:hint="eastAsia" w:ascii="宋体" w:hAnsi="宋体" w:cs="宋体"/>
          <w:b w:val="0"/>
          <w:bCs w:val="0"/>
          <w:color w:val="auto"/>
          <w:sz w:val="21"/>
          <w:szCs w:val="21"/>
          <w:highlight w:val="none"/>
        </w:rPr>
        <w:t>供应商资格</w:t>
      </w:r>
      <w:r>
        <w:rPr>
          <w:rFonts w:hint="eastAsia" w:ascii="宋体" w:hAnsi="宋体" w:cs="宋体"/>
          <w:b w:val="0"/>
          <w:bCs w:val="0"/>
          <w:color w:val="auto"/>
          <w:sz w:val="21"/>
          <w:szCs w:val="21"/>
          <w:highlight w:val="none"/>
          <w:lang w:val="en-US" w:eastAsia="zh-CN"/>
        </w:rPr>
        <w:t>要求</w:t>
      </w:r>
      <w:r>
        <w:rPr>
          <w:rFonts w:hint="eastAsia" w:ascii="宋体" w:hAnsi="宋体" w:cs="宋体"/>
          <w:b w:val="0"/>
          <w:bCs w:val="0"/>
          <w:color w:val="auto"/>
          <w:sz w:val="21"/>
          <w:szCs w:val="21"/>
          <w:highlight w:val="none"/>
        </w:rPr>
        <w:t>详见“</w:t>
      </w:r>
      <w:r>
        <w:rPr>
          <w:rFonts w:hint="eastAsia" w:ascii="宋体" w:hAnsi="宋体" w:cs="宋体"/>
          <w:b w:val="0"/>
          <w:bCs w:val="0"/>
          <w:color w:val="auto"/>
          <w:sz w:val="21"/>
          <w:szCs w:val="21"/>
          <w:highlight w:val="none"/>
          <w:lang w:val="en-US" w:eastAsia="zh-CN"/>
        </w:rPr>
        <w:t>磋商</w:t>
      </w:r>
      <w:r>
        <w:rPr>
          <w:rFonts w:hint="eastAsia" w:ascii="宋体" w:hAnsi="宋体" w:cs="宋体"/>
          <w:b w:val="0"/>
          <w:bCs w:val="0"/>
          <w:color w:val="auto"/>
          <w:sz w:val="21"/>
          <w:szCs w:val="21"/>
          <w:highlight w:val="none"/>
        </w:rPr>
        <w:t>须知前附表”</w:t>
      </w:r>
      <w:r>
        <w:rPr>
          <w:rFonts w:hint="eastAsia" w:ascii="宋体" w:hAnsi="宋体" w:cs="宋体"/>
          <w:b w:val="0"/>
          <w:bCs w:val="0"/>
          <w:color w:val="auto"/>
          <w:sz w:val="21"/>
          <w:szCs w:val="21"/>
          <w:highlight w:val="none"/>
          <w:lang w:val="en-US" w:eastAsia="zh-CN"/>
        </w:rPr>
        <w:t>或“磋商公告”</w:t>
      </w:r>
      <w:r>
        <w:rPr>
          <w:rFonts w:hint="eastAsia" w:ascii="宋体" w:hAnsi="宋体" w:cs="宋体"/>
          <w:b w:val="0"/>
          <w:bCs w:val="0"/>
          <w:color w:val="auto"/>
          <w:sz w:val="21"/>
          <w:szCs w:val="21"/>
          <w:highlight w:val="none"/>
          <w:lang w:eastAsia="zh-CN"/>
        </w:rPr>
        <w:t>。</w:t>
      </w:r>
    </w:p>
    <w:p w14:paraId="26F3C0F0">
      <w:pPr>
        <w:keepNext w:val="0"/>
        <w:keepLines w:val="0"/>
        <w:pageBreakBefore w:val="0"/>
        <w:kinsoku/>
        <w:overflowPunct/>
        <w:topLinePunct w:val="0"/>
        <w:bidi w:val="0"/>
        <w:spacing w:line="240" w:lineRule="auto"/>
        <w:ind w:firstLine="420" w:firstLineChars="200"/>
        <w:textAlignment w:val="auto"/>
        <w:rPr>
          <w:rFonts w:ascii="宋体" w:hAnsi="宋体"/>
          <w:b w:val="0"/>
          <w:bCs w:val="0"/>
          <w:color w:val="auto"/>
          <w:sz w:val="21"/>
          <w:szCs w:val="21"/>
          <w:highlight w:val="none"/>
        </w:rPr>
      </w:pPr>
      <w:r>
        <w:rPr>
          <w:rFonts w:hint="eastAsia" w:ascii="宋体" w:hAnsi="宋体"/>
          <w:b w:val="0"/>
          <w:bCs w:val="0"/>
          <w:color w:val="auto"/>
          <w:sz w:val="21"/>
          <w:szCs w:val="21"/>
          <w:highlight w:val="none"/>
        </w:rPr>
        <w:t>4.</w:t>
      </w:r>
      <w:r>
        <w:rPr>
          <w:rFonts w:hint="eastAsia" w:ascii="宋体" w:hAnsi="宋体"/>
          <w:b w:val="0"/>
          <w:bCs w:val="0"/>
          <w:color w:val="auto"/>
          <w:sz w:val="21"/>
          <w:szCs w:val="21"/>
          <w:highlight w:val="none"/>
          <w:lang w:val="en-US" w:eastAsia="zh-CN"/>
        </w:rPr>
        <w:t>参与磋商的</w:t>
      </w:r>
      <w:r>
        <w:rPr>
          <w:rFonts w:hint="eastAsia" w:ascii="宋体" w:hAnsi="宋体"/>
          <w:b w:val="0"/>
          <w:bCs w:val="0"/>
          <w:color w:val="auto"/>
          <w:sz w:val="21"/>
          <w:szCs w:val="21"/>
          <w:highlight w:val="none"/>
        </w:rPr>
        <w:t>费用</w:t>
      </w:r>
    </w:p>
    <w:p w14:paraId="4F11398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 xml:space="preserve">4.1 </w:t>
      </w:r>
      <w:r>
        <w:rPr>
          <w:rFonts w:hint="eastAsia" w:ascii="宋体" w:hAnsi="宋体" w:cs="宋体"/>
          <w:color w:val="auto"/>
          <w:sz w:val="21"/>
          <w:szCs w:val="21"/>
          <w:highlight w:val="none"/>
        </w:rPr>
        <w:t>供应商应</w:t>
      </w:r>
      <w:r>
        <w:rPr>
          <w:rFonts w:hint="eastAsia" w:ascii="宋体" w:hAnsi="宋体" w:cs="宋体"/>
          <w:color w:val="auto"/>
          <w:sz w:val="21"/>
          <w:szCs w:val="21"/>
          <w:highlight w:val="none"/>
          <w:lang w:val="en-US" w:eastAsia="zh-CN"/>
        </w:rPr>
        <w:t>自行</w:t>
      </w:r>
      <w:r>
        <w:rPr>
          <w:rFonts w:hint="eastAsia" w:ascii="宋体" w:hAnsi="宋体" w:cs="宋体"/>
          <w:color w:val="auto"/>
          <w:sz w:val="21"/>
          <w:szCs w:val="21"/>
          <w:highlight w:val="none"/>
        </w:rPr>
        <w:t>承担参与本次采购活动有关的所有费用，包括但不限于编制和提交响应文件、参加</w:t>
      </w:r>
      <w:r>
        <w:rPr>
          <w:rFonts w:hint="eastAsia" w:ascii="宋体" w:hAnsi="宋体" w:cs="宋体"/>
          <w:color w:val="auto"/>
          <w:sz w:val="21"/>
          <w:szCs w:val="21"/>
          <w:highlight w:val="none"/>
          <w:lang w:val="en-US" w:eastAsia="zh-CN"/>
        </w:rPr>
        <w:t>评审会</w:t>
      </w:r>
      <w:r>
        <w:rPr>
          <w:rFonts w:hint="eastAsia" w:ascii="宋体" w:hAnsi="宋体" w:cs="宋体"/>
          <w:color w:val="auto"/>
          <w:sz w:val="21"/>
          <w:szCs w:val="21"/>
          <w:highlight w:val="none"/>
        </w:rPr>
        <w:t>、签订合同等，</w:t>
      </w:r>
      <w:r>
        <w:rPr>
          <w:rFonts w:hint="eastAsia" w:ascii="宋体" w:hAnsi="宋体"/>
          <w:color w:val="auto"/>
          <w:sz w:val="21"/>
          <w:szCs w:val="21"/>
          <w:highlight w:val="none"/>
        </w:rPr>
        <w:t>不论</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结果如何，采购人在任何情况下无义务和责任承担此类费用。</w:t>
      </w:r>
    </w:p>
    <w:p w14:paraId="289235B6">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二、</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的编制</w:t>
      </w:r>
    </w:p>
    <w:p w14:paraId="7CBA72DF">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w:t>
      </w:r>
      <w:r>
        <w:rPr>
          <w:rFonts w:hint="eastAsia" w:ascii="宋体" w:hAnsi="宋体"/>
          <w:color w:val="auto"/>
          <w:sz w:val="21"/>
          <w:szCs w:val="21"/>
          <w:highlight w:val="none"/>
          <w:lang w:val="en-US" w:eastAsia="zh-CN"/>
        </w:rPr>
        <w:t>原则</w:t>
      </w:r>
    </w:p>
    <w:p w14:paraId="729D9D7B">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5.1</w:t>
      </w:r>
      <w:r>
        <w:rPr>
          <w:rFonts w:hint="eastAsia" w:ascii="宋体" w:hAnsi="宋体" w:eastAsia="宋体" w:cs="Times New Roman"/>
          <w:color w:val="auto"/>
          <w:sz w:val="21"/>
          <w:szCs w:val="21"/>
          <w:highlight w:val="none"/>
        </w:rPr>
        <w:t>供应商必须按照</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文件的要求编制响应文件，并对其提交的响应文件的真实性、合法性承担法律责任。响应文件必须对</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文件作出实质性响应。</w:t>
      </w:r>
    </w:p>
    <w:p w14:paraId="4DDE536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编制基本要求</w:t>
      </w:r>
    </w:p>
    <w:p w14:paraId="650FF70F">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.1供应商应按</w:t>
      </w:r>
      <w:r>
        <w:rPr>
          <w:rFonts w:hint="eastAsia" w:ascii="宋体" w:hAnsi="宋体"/>
          <w:color w:val="auto"/>
          <w:sz w:val="21"/>
          <w:szCs w:val="21"/>
          <w:highlight w:val="none"/>
          <w:lang w:val="en-US" w:eastAsia="zh-CN"/>
        </w:rPr>
        <w:t>磋商文件</w:t>
      </w:r>
      <w:r>
        <w:rPr>
          <w:rFonts w:hint="eastAsia" w:ascii="宋体" w:hAnsi="宋体"/>
          <w:color w:val="auto"/>
          <w:sz w:val="21"/>
          <w:szCs w:val="21"/>
          <w:highlight w:val="none"/>
        </w:rPr>
        <w:t>要求</w:t>
      </w:r>
      <w:r>
        <w:rPr>
          <w:rFonts w:hint="eastAsia" w:ascii="宋体" w:hAnsi="宋体"/>
          <w:color w:val="auto"/>
          <w:sz w:val="21"/>
          <w:szCs w:val="21"/>
          <w:highlight w:val="none"/>
          <w:lang w:val="en-US" w:eastAsia="zh-CN"/>
        </w:rPr>
        <w:t>对响应文件进行</w:t>
      </w:r>
      <w:r>
        <w:rPr>
          <w:rFonts w:hint="eastAsia" w:ascii="宋体" w:hAnsi="宋体"/>
          <w:color w:val="auto"/>
          <w:sz w:val="21"/>
          <w:szCs w:val="21"/>
          <w:highlight w:val="none"/>
        </w:rPr>
        <w:t>装订和封装。</w:t>
      </w:r>
    </w:p>
    <w:p w14:paraId="7DE0517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.2供应商提交的</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以及供应商与采购人就有关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的所有来往函电均应使用中文。供应商提交的支持文件和印刷的文献可以使用别的语言，但其相应内容必须附有中文翻译文本，在解释</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时以翻译文本为准。</w:t>
      </w:r>
    </w:p>
    <w:p w14:paraId="06A3CB1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.3供应商应认真阅读、并充分理解本文件的全部内容（包括所有的补充、修改内容），承诺并履行本文件中各项条款规定及要求。</w:t>
      </w:r>
    </w:p>
    <w:p w14:paraId="584D46B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6.4</w:t>
      </w:r>
      <w:r>
        <w:rPr>
          <w:rFonts w:hint="eastAsia" w:ascii="宋体" w:hAnsi="宋体"/>
          <w:color w:val="auto"/>
          <w:sz w:val="21"/>
          <w:szCs w:val="21"/>
          <w:highlight w:val="none"/>
          <w:lang w:eastAsia="zh-CN"/>
        </w:rPr>
        <w:t>响应文件</w:t>
      </w:r>
      <w:r>
        <w:rPr>
          <w:rFonts w:hint="eastAsia" w:ascii="宋体" w:hAnsi="宋体"/>
          <w:color w:val="auto"/>
          <w:sz w:val="21"/>
          <w:szCs w:val="21"/>
          <w:highlight w:val="none"/>
        </w:rPr>
        <w:t>必须按本文件的全部内容，包括所有的补充通知及附件进行编制。</w:t>
      </w:r>
    </w:p>
    <w:p w14:paraId="678CC194">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6.5如因供应商只填写和提供了本文件要求的部分内容和附件，而给评审造成困难，其可能导致的结果和责任由供应商自行承担。</w:t>
      </w:r>
    </w:p>
    <w:p w14:paraId="5DBB9B48">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6.6</w:t>
      </w:r>
      <w:r>
        <w:rPr>
          <w:rFonts w:hint="eastAsia" w:ascii="宋体" w:hAnsi="宋体"/>
          <w:b/>
          <w:bCs/>
          <w:color w:val="auto"/>
          <w:sz w:val="21"/>
          <w:szCs w:val="21"/>
          <w:highlight w:val="none"/>
          <w:lang w:eastAsia="zh-CN"/>
        </w:rPr>
        <w:t>磋商响应文件</w:t>
      </w:r>
      <w:r>
        <w:rPr>
          <w:rFonts w:hint="eastAsia" w:ascii="宋体" w:hAnsi="宋体"/>
          <w:b/>
          <w:bCs/>
          <w:color w:val="auto"/>
          <w:sz w:val="21"/>
          <w:szCs w:val="21"/>
          <w:highlight w:val="none"/>
        </w:rPr>
        <w:t>的组成</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应分为价格文件和商务技术文件两个部分组成</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olor w:val="auto"/>
          <w:sz w:val="21"/>
          <w:szCs w:val="21"/>
          <w:highlight w:val="none"/>
        </w:rPr>
        <w:t>。</w:t>
      </w:r>
    </w:p>
    <w:p w14:paraId="7D2863F0">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6.7 响应文件的文字、图片必须清晰准确，有利于评标委会进行精准判断评标，对于响应文件字迹模糊不清导致评标委员会无法进行评标的，可要求投标人做出说明及在规定期限内补充有效材料，否则按无效响应文件处理。</w:t>
      </w:r>
    </w:p>
    <w:p w14:paraId="1307753C">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7.计量单位</w:t>
      </w:r>
    </w:p>
    <w:p w14:paraId="788EE36E">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7.1</w:t>
      </w:r>
      <w:r>
        <w:rPr>
          <w:rFonts w:hint="eastAsia" w:ascii="宋体" w:hAnsi="宋体"/>
          <w:color w:val="auto"/>
          <w:sz w:val="21"/>
          <w:szCs w:val="21"/>
          <w:highlight w:val="none"/>
          <w:lang w:val="en-US" w:eastAsia="zh-CN"/>
        </w:rPr>
        <w:t>磋商</w:t>
      </w:r>
      <w:r>
        <w:rPr>
          <w:rFonts w:hint="eastAsia" w:ascii="宋体" w:hAnsi="宋体" w:cs="宋体"/>
          <w:color w:val="auto"/>
          <w:sz w:val="21"/>
          <w:szCs w:val="21"/>
          <w:highlight w:val="none"/>
        </w:rPr>
        <w:t>文件已有明确规定的，使用</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文件规定的计量单位；</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文件没有规定的</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应采用中华人民共和国法定计量单位</w:t>
      </w:r>
      <w:r>
        <w:rPr>
          <w:rFonts w:hint="eastAsia" w:ascii="宋体" w:hAnsi="宋体"/>
          <w:color w:val="auto"/>
          <w:sz w:val="21"/>
          <w:szCs w:val="21"/>
          <w:highlight w:val="none"/>
          <w:lang w:eastAsia="zh-CN"/>
        </w:rPr>
        <w:t>，</w:t>
      </w:r>
      <w:r>
        <w:rPr>
          <w:rFonts w:hint="eastAsia" w:ascii="宋体" w:hAnsi="宋体" w:cs="宋体"/>
          <w:color w:val="auto"/>
          <w:sz w:val="21"/>
          <w:szCs w:val="21"/>
          <w:highlight w:val="none"/>
        </w:rPr>
        <w:t>货币种类为人民币</w:t>
      </w:r>
      <w:r>
        <w:rPr>
          <w:rFonts w:hint="eastAsia" w:ascii="宋体" w:hAnsi="宋体"/>
          <w:color w:val="auto"/>
          <w:sz w:val="21"/>
          <w:szCs w:val="21"/>
          <w:highlight w:val="none"/>
        </w:rPr>
        <w:t>。</w:t>
      </w:r>
    </w:p>
    <w:p w14:paraId="5902F8F7">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lang w:val="en-US" w:eastAsia="zh-CN"/>
        </w:rPr>
        <w:t>有效期</w:t>
      </w:r>
    </w:p>
    <w:p w14:paraId="23EB8DAF">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.1</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有效期是指为保证采购人有足够的时间在提交响应文件后完成评审、确定成交供应商、合同签订等工作而要求供应商提交的响应文件在一定时间内保持有效的期限。</w:t>
      </w:r>
    </w:p>
    <w:p w14:paraId="795E9B59">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.2</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有效期应由供应商按“</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须知前附表”规定的期限作出响应。</w:t>
      </w:r>
    </w:p>
    <w:p w14:paraId="639E3C56">
      <w:pPr>
        <w:keepNext w:val="0"/>
        <w:keepLines w:val="0"/>
        <w:pageBreakBefore w:val="0"/>
        <w:kinsoku/>
        <w:overflowPunct/>
        <w:topLinePunct w:val="0"/>
        <w:bidi w:val="0"/>
        <w:spacing w:line="240" w:lineRule="auto"/>
        <w:ind w:firstLine="420" w:firstLineChars="200"/>
        <w:textAlignment w:val="auto"/>
        <w:rPr>
          <w:rFonts w:hint="default" w:hAnsi="宋体"/>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8</w:t>
      </w:r>
      <w:r>
        <w:rPr>
          <w:rFonts w:hint="eastAsia" w:ascii="宋体" w:hAnsi="宋体" w:eastAsia="宋体" w:cs="Times New Roman"/>
          <w:color w:val="auto"/>
          <w:sz w:val="21"/>
          <w:szCs w:val="21"/>
          <w:highlight w:val="none"/>
        </w:rPr>
        <w:t>.3供应商的响应文件在</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有效期内均保持有效。</w:t>
      </w:r>
    </w:p>
    <w:p w14:paraId="53AB7FC1">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三、</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报价要求</w:t>
      </w:r>
    </w:p>
    <w:p w14:paraId="65A0CF18">
      <w:pPr>
        <w:keepNext w:val="0"/>
        <w:keepLines w:val="0"/>
        <w:pageBreakBefore w:val="0"/>
        <w:kinsoku/>
        <w:overflowPunct/>
        <w:topLinePunct w:val="0"/>
        <w:bidi w:val="0"/>
        <w:spacing w:line="240" w:lineRule="auto"/>
        <w:ind w:firstLine="420" w:firstLineChars="200"/>
        <w:textAlignment w:val="auto"/>
        <w:rPr>
          <w:rFonts w:hint="eastAsia" w:ascii="宋体" w:hAnsi="宋体"/>
          <w:b/>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w:t>
      </w:r>
      <w:r>
        <w:rPr>
          <w:rFonts w:hint="eastAsia" w:ascii="宋体" w:hAnsi="宋体"/>
          <w:b/>
          <w:bCs/>
          <w:color w:val="auto"/>
          <w:sz w:val="21"/>
          <w:szCs w:val="21"/>
          <w:highlight w:val="none"/>
          <w:lang w:val="en-US" w:eastAsia="zh-CN"/>
        </w:rPr>
        <w:t>供应商所递交的</w:t>
      </w:r>
      <w:r>
        <w:rPr>
          <w:rFonts w:hint="eastAsia" w:ascii="宋体" w:hAnsi="宋体"/>
          <w:b/>
          <w:color w:val="auto"/>
          <w:sz w:val="21"/>
          <w:szCs w:val="21"/>
          <w:highlight w:val="none"/>
          <w:lang w:val="en-US" w:eastAsia="zh-CN"/>
        </w:rPr>
        <w:t>响应文件必须</w:t>
      </w:r>
      <w:r>
        <w:rPr>
          <w:rFonts w:hint="eastAsia" w:ascii="宋体" w:hAnsi="宋体"/>
          <w:b/>
          <w:color w:val="auto"/>
          <w:sz w:val="21"/>
          <w:szCs w:val="21"/>
          <w:highlight w:val="none"/>
        </w:rPr>
        <w:t>就《</w:t>
      </w:r>
      <w:r>
        <w:rPr>
          <w:rFonts w:hint="eastAsia" w:ascii="宋体" w:hAnsi="宋体"/>
          <w:b/>
          <w:color w:val="auto"/>
          <w:sz w:val="21"/>
          <w:szCs w:val="21"/>
          <w:highlight w:val="none"/>
          <w:lang w:eastAsia="zh-CN"/>
        </w:rPr>
        <w:t>项目需求</w:t>
      </w:r>
      <w:r>
        <w:rPr>
          <w:rFonts w:hint="eastAsia" w:ascii="宋体" w:hAnsi="宋体"/>
          <w:b/>
          <w:color w:val="auto"/>
          <w:sz w:val="21"/>
          <w:szCs w:val="21"/>
          <w:highlight w:val="none"/>
          <w:lang w:val="en-US" w:eastAsia="zh-CN"/>
        </w:rPr>
        <w:t>参数</w:t>
      </w:r>
      <w:r>
        <w:rPr>
          <w:rFonts w:hint="eastAsia" w:ascii="宋体" w:hAnsi="宋体"/>
          <w:b/>
          <w:color w:val="auto"/>
          <w:sz w:val="21"/>
          <w:szCs w:val="21"/>
          <w:highlight w:val="none"/>
        </w:rPr>
        <w:t>》中</w:t>
      </w:r>
      <w:r>
        <w:rPr>
          <w:rFonts w:hint="eastAsia" w:ascii="宋体" w:hAnsi="宋体" w:eastAsia="宋体" w:cs="Times New Roman"/>
          <w:b/>
          <w:color w:val="auto"/>
          <w:sz w:val="21"/>
          <w:szCs w:val="21"/>
          <w:highlight w:val="none"/>
        </w:rPr>
        <w:t>的</w:t>
      </w:r>
      <w:r>
        <w:rPr>
          <w:rFonts w:hint="eastAsia" w:ascii="宋体" w:hAnsi="宋体" w:cs="Times New Roman"/>
          <w:b/>
          <w:color w:val="auto"/>
          <w:sz w:val="21"/>
          <w:szCs w:val="21"/>
          <w:highlight w:val="none"/>
          <w:lang w:val="en-US" w:eastAsia="zh-CN"/>
        </w:rPr>
        <w:t>报价</w:t>
      </w:r>
      <w:r>
        <w:rPr>
          <w:rFonts w:hint="eastAsia" w:ascii="宋体" w:hAnsi="宋体" w:eastAsia="宋体" w:cs="Times New Roman"/>
          <w:b/>
          <w:color w:val="auto"/>
          <w:sz w:val="21"/>
          <w:szCs w:val="21"/>
          <w:highlight w:val="none"/>
          <w:lang w:val="en-US" w:eastAsia="zh-CN"/>
        </w:rPr>
        <w:t>内容作唯一</w:t>
      </w:r>
      <w:r>
        <w:rPr>
          <w:rFonts w:hint="eastAsia" w:ascii="宋体" w:hAnsi="宋体" w:cs="Times New Roman"/>
          <w:b/>
          <w:color w:val="auto"/>
          <w:sz w:val="21"/>
          <w:szCs w:val="21"/>
          <w:highlight w:val="none"/>
          <w:lang w:val="en-US" w:eastAsia="zh-CN"/>
        </w:rPr>
        <w:t>总</w:t>
      </w:r>
      <w:r>
        <w:rPr>
          <w:rFonts w:hint="eastAsia" w:ascii="宋体" w:hAnsi="宋体" w:eastAsia="宋体" w:cs="Times New Roman"/>
          <w:b/>
          <w:color w:val="auto"/>
          <w:sz w:val="21"/>
          <w:szCs w:val="21"/>
          <w:highlight w:val="none"/>
          <w:lang w:val="en-US" w:eastAsia="zh-CN"/>
        </w:rPr>
        <w:t>报价，并对</w:t>
      </w:r>
      <w:r>
        <w:rPr>
          <w:rFonts w:hint="eastAsia" w:ascii="宋体" w:hAnsi="宋体" w:eastAsia="宋体" w:cs="Times New Roman"/>
          <w:b/>
          <w:color w:val="auto"/>
          <w:sz w:val="21"/>
          <w:szCs w:val="21"/>
          <w:highlight w:val="none"/>
        </w:rPr>
        <w:t>全部内容作</w:t>
      </w:r>
      <w:r>
        <w:rPr>
          <w:rFonts w:hint="eastAsia" w:ascii="宋体" w:hAnsi="宋体" w:cs="Times New Roman"/>
          <w:b/>
          <w:color w:val="auto"/>
          <w:sz w:val="21"/>
          <w:szCs w:val="21"/>
          <w:highlight w:val="none"/>
          <w:lang w:val="en-US" w:eastAsia="zh-CN"/>
        </w:rPr>
        <w:t>详细</w:t>
      </w:r>
      <w:r>
        <w:rPr>
          <w:rFonts w:hint="eastAsia" w:ascii="宋体" w:hAnsi="宋体" w:eastAsia="宋体" w:cs="Times New Roman"/>
          <w:b/>
          <w:color w:val="auto"/>
          <w:sz w:val="21"/>
          <w:szCs w:val="21"/>
          <w:highlight w:val="none"/>
        </w:rPr>
        <w:t>报价</w:t>
      </w:r>
      <w:r>
        <w:rPr>
          <w:rFonts w:hint="eastAsia" w:ascii="宋体" w:hAnsi="宋体" w:cs="Times New Roman"/>
          <w:b/>
          <w:color w:val="auto"/>
          <w:sz w:val="21"/>
          <w:szCs w:val="21"/>
          <w:highlight w:val="none"/>
          <w:lang w:val="en-US" w:eastAsia="zh-CN"/>
        </w:rPr>
        <w:t>清单</w:t>
      </w:r>
      <w:r>
        <w:rPr>
          <w:rFonts w:hint="eastAsia" w:ascii="宋体" w:hAnsi="宋体"/>
          <w:b/>
          <w:color w:val="auto"/>
          <w:sz w:val="21"/>
          <w:szCs w:val="21"/>
          <w:highlight w:val="none"/>
        </w:rPr>
        <w:t>。</w:t>
      </w:r>
    </w:p>
    <w:p w14:paraId="57E8A716">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9.2</w:t>
      </w:r>
      <w:r>
        <w:rPr>
          <w:rFonts w:hint="eastAsia" w:ascii="宋体" w:hAnsi="宋体" w:eastAsia="宋体" w:cs="Times New Roman"/>
          <w:color w:val="auto"/>
          <w:sz w:val="21"/>
          <w:szCs w:val="21"/>
          <w:highlight w:val="none"/>
        </w:rPr>
        <w:t>响应报价应按“第</w:t>
      </w:r>
      <w:r>
        <w:rPr>
          <w:rFonts w:hint="eastAsia" w:ascii="宋体" w:hAnsi="宋体" w:eastAsia="宋体" w:cs="Times New Roman"/>
          <w:color w:val="auto"/>
          <w:sz w:val="21"/>
          <w:szCs w:val="21"/>
          <w:highlight w:val="none"/>
          <w:lang w:val="en-US" w:eastAsia="zh-CN"/>
        </w:rPr>
        <w:t>四</w:t>
      </w:r>
      <w:r>
        <w:rPr>
          <w:rFonts w:hint="eastAsia" w:ascii="宋体" w:hAnsi="宋体" w:eastAsia="宋体" w:cs="Times New Roman"/>
          <w:color w:val="auto"/>
          <w:sz w:val="21"/>
          <w:szCs w:val="21"/>
          <w:highlight w:val="none"/>
        </w:rPr>
        <w:t xml:space="preserve">章 </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响应文件格式”中“</w:t>
      </w:r>
      <w:r>
        <w:rPr>
          <w:rFonts w:hint="eastAsia" w:ascii="宋体" w:hAnsi="宋体" w:cs="Times New Roman"/>
          <w:color w:val="auto"/>
          <w:sz w:val="21"/>
          <w:szCs w:val="21"/>
          <w:highlight w:val="none"/>
          <w:lang w:val="en-US" w:eastAsia="zh-CN"/>
        </w:rPr>
        <w:t>磋商</w:t>
      </w:r>
      <w:r>
        <w:rPr>
          <w:rFonts w:hint="eastAsia" w:ascii="宋体" w:hAnsi="宋体" w:eastAsia="宋体" w:cs="Times New Roman"/>
          <w:color w:val="auto"/>
          <w:sz w:val="21"/>
          <w:szCs w:val="21"/>
          <w:highlight w:val="none"/>
        </w:rPr>
        <w:t>报价表”格式填写</w:t>
      </w:r>
      <w:r>
        <w:rPr>
          <w:rFonts w:hint="eastAsia" w:ascii="宋体" w:hAnsi="宋体" w:eastAsia="宋体" w:cs="Times New Roman"/>
          <w:color w:val="auto"/>
          <w:sz w:val="21"/>
          <w:szCs w:val="21"/>
          <w:highlight w:val="none"/>
          <w:lang w:eastAsia="zh-CN"/>
        </w:rPr>
        <w:t>。</w:t>
      </w:r>
    </w:p>
    <w:p w14:paraId="43B52101">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对于本文件中未列明，而供应商认为必需的费用也需列入总报价。在合同实施时，采购人将不予支付成交供应商没有列入的项目费用，并认为此项目的费用已包括在总报价中。</w:t>
      </w:r>
    </w:p>
    <w:p w14:paraId="6B623BE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rPr>
        <w:t>成交供应商负责本项目所采购的货物、工程、服务的全部工作。</w:t>
      </w:r>
    </w:p>
    <w:p w14:paraId="7FBEE8A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供应商应在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时被接受，其后果由供应商自负。</w:t>
      </w:r>
    </w:p>
    <w:p w14:paraId="5303726F">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四、</w:t>
      </w:r>
      <w:r>
        <w:rPr>
          <w:rFonts w:hint="eastAsia" w:ascii="宋体" w:hAnsi="宋体"/>
          <w:b/>
          <w:color w:val="auto"/>
          <w:sz w:val="21"/>
          <w:szCs w:val="21"/>
          <w:highlight w:val="none"/>
          <w:lang w:eastAsia="zh-CN"/>
        </w:rPr>
        <w:t>磋商响应文件</w:t>
      </w:r>
      <w:r>
        <w:rPr>
          <w:rFonts w:hint="eastAsia" w:ascii="宋体" w:hAnsi="宋体"/>
          <w:b/>
          <w:color w:val="auto"/>
          <w:sz w:val="21"/>
          <w:szCs w:val="21"/>
          <w:highlight w:val="none"/>
        </w:rPr>
        <w:t>的份数、封装和递交</w:t>
      </w:r>
    </w:p>
    <w:p w14:paraId="05E6C2AA">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p>
    <w:p w14:paraId="5D4B9982">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的份数和封装</w:t>
      </w:r>
      <w:r>
        <w:rPr>
          <w:rFonts w:hint="eastAsia" w:ascii="宋体" w:hAnsi="宋体"/>
          <w:color w:val="auto"/>
          <w:sz w:val="21"/>
          <w:szCs w:val="21"/>
          <w:highlight w:val="none"/>
          <w:lang w:val="en-US" w:eastAsia="zh-CN"/>
        </w:rPr>
        <w:t>方式</w:t>
      </w:r>
      <w:r>
        <w:rPr>
          <w:rFonts w:hint="eastAsia" w:ascii="宋体" w:hAnsi="宋体" w:cs="宋体"/>
          <w:color w:val="auto"/>
          <w:sz w:val="21"/>
          <w:szCs w:val="21"/>
          <w:highlight w:val="none"/>
        </w:rPr>
        <w:t>详见“</w:t>
      </w:r>
      <w:r>
        <w:rPr>
          <w:rFonts w:hint="eastAsia" w:ascii="宋体" w:hAnsi="宋体" w:cs="宋体"/>
          <w:color w:val="auto"/>
          <w:sz w:val="21"/>
          <w:szCs w:val="21"/>
          <w:highlight w:val="none"/>
          <w:lang w:val="en-US" w:eastAsia="zh-CN"/>
        </w:rPr>
        <w:t>磋商</w:t>
      </w:r>
      <w:r>
        <w:rPr>
          <w:rFonts w:hint="eastAsia" w:ascii="宋体" w:hAnsi="宋体" w:cs="宋体"/>
          <w:color w:val="auto"/>
          <w:sz w:val="21"/>
          <w:szCs w:val="21"/>
          <w:highlight w:val="none"/>
        </w:rPr>
        <w:t>须知前附表”</w:t>
      </w:r>
      <w:r>
        <w:rPr>
          <w:rFonts w:hint="eastAsia" w:ascii="宋体" w:hAnsi="宋体" w:cs="宋体"/>
          <w:color w:val="auto"/>
          <w:sz w:val="21"/>
          <w:szCs w:val="21"/>
          <w:highlight w:val="none"/>
          <w:lang w:eastAsia="zh-CN"/>
        </w:rPr>
        <w:t>。</w:t>
      </w:r>
    </w:p>
    <w:p w14:paraId="145E22F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10</w:t>
      </w: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w:t>
      </w:r>
      <w:r>
        <w:rPr>
          <w:rFonts w:ascii="宋体" w:hAnsi="宋体"/>
          <w:color w:val="auto"/>
          <w:sz w:val="21"/>
          <w:szCs w:val="21"/>
          <w:highlight w:val="none"/>
        </w:rPr>
        <w:t>文件袋</w:t>
      </w:r>
      <w:r>
        <w:rPr>
          <w:rFonts w:hint="eastAsia" w:ascii="宋体" w:hAnsi="宋体"/>
          <w:color w:val="auto"/>
          <w:sz w:val="21"/>
          <w:szCs w:val="21"/>
          <w:highlight w:val="none"/>
        </w:rPr>
        <w:t>上应写明：</w:t>
      </w:r>
    </w:p>
    <w:p w14:paraId="46F8789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项目编号；</w:t>
      </w:r>
    </w:p>
    <w:p w14:paraId="05E98A2E">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项目名称；</w:t>
      </w:r>
    </w:p>
    <w:p w14:paraId="0C619445">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）供应商名称</w:t>
      </w:r>
      <w:r>
        <w:rPr>
          <w:rFonts w:hint="eastAsia" w:ascii="宋体" w:hAnsi="宋体"/>
          <w:color w:val="auto"/>
          <w:sz w:val="21"/>
          <w:szCs w:val="21"/>
          <w:highlight w:val="none"/>
          <w:lang w:eastAsia="zh-CN"/>
        </w:rPr>
        <w:t>。</w:t>
      </w:r>
    </w:p>
    <w:p w14:paraId="04347017">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的递交</w:t>
      </w:r>
    </w:p>
    <w:p w14:paraId="6C6A79B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rPr>
        <w:t>.1所有竞争性响应文件应于“</w:t>
      </w:r>
      <w:r>
        <w:rPr>
          <w:rFonts w:hint="eastAsia" w:ascii="宋体" w:hAnsi="宋体"/>
          <w:color w:val="auto"/>
          <w:sz w:val="21"/>
          <w:szCs w:val="21"/>
          <w:highlight w:val="none"/>
          <w:lang w:val="en-US" w:eastAsia="zh-CN"/>
        </w:rPr>
        <w:t>磋商须知前附表</w:t>
      </w:r>
      <w:r>
        <w:rPr>
          <w:rFonts w:hint="eastAsia" w:ascii="宋体" w:hAnsi="宋体"/>
          <w:color w:val="auto"/>
          <w:sz w:val="21"/>
          <w:szCs w:val="21"/>
          <w:highlight w:val="none"/>
        </w:rPr>
        <w:t>”中规定的截止时间前递交到规定地点。</w:t>
      </w:r>
    </w:p>
    <w:p w14:paraId="3944FE04">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.迟交的</w:t>
      </w:r>
      <w:r>
        <w:rPr>
          <w:rFonts w:hint="eastAsia" w:ascii="宋体" w:hAnsi="宋体"/>
          <w:color w:val="auto"/>
          <w:sz w:val="21"/>
          <w:szCs w:val="21"/>
          <w:highlight w:val="none"/>
          <w:lang w:eastAsia="zh-CN"/>
        </w:rPr>
        <w:t>磋商响应文件</w:t>
      </w:r>
    </w:p>
    <w:p w14:paraId="212439B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.1按《中华人民共和国政府采购法》的规定，</w:t>
      </w:r>
      <w:r>
        <w:rPr>
          <w:rFonts w:hint="eastAsia" w:ascii="宋体" w:hAnsi="宋体"/>
          <w:color w:val="auto"/>
          <w:sz w:val="21"/>
          <w:szCs w:val="21"/>
          <w:highlight w:val="none"/>
          <w:lang w:eastAsia="zh-CN"/>
        </w:rPr>
        <w:t>广西骨伤医院</w:t>
      </w:r>
      <w:r>
        <w:rPr>
          <w:rFonts w:hint="eastAsia" w:ascii="宋体" w:hAnsi="宋体"/>
          <w:color w:val="auto"/>
          <w:sz w:val="21"/>
          <w:szCs w:val="21"/>
          <w:highlight w:val="none"/>
        </w:rPr>
        <w:t>将拒绝或原封退回在规定的递交</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截止时间之后收到的任何</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w:t>
      </w:r>
    </w:p>
    <w:p w14:paraId="0A0494C3">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五、</w:t>
      </w:r>
      <w:r>
        <w:rPr>
          <w:rFonts w:hint="eastAsia" w:ascii="宋体" w:hAnsi="宋体"/>
          <w:b/>
          <w:color w:val="auto"/>
          <w:sz w:val="21"/>
          <w:szCs w:val="21"/>
          <w:highlight w:val="none"/>
          <w:lang w:eastAsia="zh-CN"/>
        </w:rPr>
        <w:t>磋商</w:t>
      </w:r>
    </w:p>
    <w:p w14:paraId="27B05791">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资格和符合性审查</w:t>
      </w:r>
    </w:p>
    <w:p w14:paraId="4E2352E4">
      <w:pPr>
        <w:keepNext w:val="0"/>
        <w:keepLines w:val="0"/>
        <w:pageBreakBefore w:val="0"/>
        <w:kinsoku/>
        <w:overflowPunct/>
        <w:topLinePunct w:val="0"/>
        <w:bidi w:val="0"/>
        <w:spacing w:line="240" w:lineRule="auto"/>
        <w:ind w:firstLine="420" w:firstLineChars="200"/>
        <w:textAlignment w:val="auto"/>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13.1磋商小组成员按照磋商文件要求，对响应供应商的响应文件进行资格和符合性审查。</w:t>
      </w:r>
    </w:p>
    <w:p w14:paraId="36A78A43">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13.2</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E14969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13.3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小组要求供应商澄清、说明或者更正响应文件应当以书面形式作出。供应商的澄清、说明或者更正应当由法定代表人或其委托代理人签字或者加盖公章。</w:t>
      </w:r>
    </w:p>
    <w:p w14:paraId="5ADA4EF0">
      <w:pPr>
        <w:keepNext w:val="0"/>
        <w:keepLines w:val="0"/>
        <w:pageBreakBefore w:val="0"/>
        <w:kinsoku/>
        <w:overflowPunct/>
        <w:topLinePunct w:val="0"/>
        <w:bidi w:val="0"/>
        <w:spacing w:line="240" w:lineRule="auto"/>
        <w:ind w:firstLine="420" w:firstLineChars="200"/>
        <w:textAlignment w:val="auto"/>
        <w:rPr>
          <w:rFonts w:hint="eastAsia"/>
          <w:highlight w:val="none"/>
          <w:lang w:eastAsia="zh-CN"/>
        </w:rPr>
      </w:pPr>
      <w:r>
        <w:rPr>
          <w:rFonts w:hint="eastAsia" w:ascii="宋体" w:hAnsi="宋体"/>
          <w:color w:val="auto"/>
          <w:sz w:val="21"/>
          <w:szCs w:val="21"/>
          <w:highlight w:val="none"/>
          <w:lang w:val="en-US" w:eastAsia="zh-CN"/>
        </w:rPr>
        <w:t>13.4</w:t>
      </w:r>
      <w:r>
        <w:rPr>
          <w:rFonts w:hint="eastAsia"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文件的响应文件按无效响应处理，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小组应当告知提交响应文件的供应商</w:t>
      </w:r>
      <w:r>
        <w:rPr>
          <w:rFonts w:hint="eastAsia" w:ascii="宋体" w:hAnsi="宋体"/>
          <w:color w:val="auto"/>
          <w:sz w:val="21"/>
          <w:szCs w:val="21"/>
          <w:highlight w:val="none"/>
          <w:lang w:eastAsia="zh-CN"/>
        </w:rPr>
        <w:t>。</w:t>
      </w:r>
    </w:p>
    <w:p w14:paraId="47948961">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13.5当响应供应商数量仅为1家时，将直接进入磋商环节。</w:t>
      </w:r>
    </w:p>
    <w:p w14:paraId="783802DA">
      <w:pPr>
        <w:keepNext w:val="0"/>
        <w:keepLines w:val="0"/>
        <w:pageBreakBefore w:val="0"/>
        <w:kinsoku/>
        <w:overflowPunct/>
        <w:topLinePunct w:val="0"/>
        <w:bidi w:val="0"/>
        <w:spacing w:line="240" w:lineRule="auto"/>
        <w:ind w:firstLine="420" w:firstLineChars="200"/>
        <w:textAlignment w:val="auto"/>
        <w:rPr>
          <w:rFonts w:hint="default" w:ascii="宋体" w:hAnsi="宋体"/>
          <w:color w:val="auto"/>
          <w:sz w:val="21"/>
          <w:szCs w:val="21"/>
          <w:highlight w:val="none"/>
          <w:lang w:val="en-US"/>
        </w:rPr>
      </w:pPr>
      <w:r>
        <w:rPr>
          <w:rFonts w:hint="eastAsia" w:ascii="宋体" w:hAnsi="宋体"/>
          <w:color w:val="auto"/>
          <w:sz w:val="21"/>
          <w:szCs w:val="21"/>
          <w:highlight w:val="none"/>
          <w:lang w:val="en-US" w:eastAsia="zh-CN"/>
        </w:rPr>
        <w:t>14.</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w:t>
      </w:r>
      <w:r>
        <w:rPr>
          <w:rFonts w:hint="eastAsia" w:ascii="宋体" w:hAnsi="宋体"/>
          <w:color w:val="auto"/>
          <w:sz w:val="21"/>
          <w:szCs w:val="21"/>
          <w:highlight w:val="none"/>
          <w:lang w:val="en-US" w:eastAsia="zh-CN"/>
        </w:rPr>
        <w:t>与</w:t>
      </w:r>
      <w:r>
        <w:rPr>
          <w:rFonts w:hint="eastAsia" w:ascii="宋体" w:hAnsi="宋体"/>
          <w:color w:val="auto"/>
          <w:sz w:val="21"/>
          <w:szCs w:val="21"/>
          <w:highlight w:val="none"/>
        </w:rPr>
        <w:t>单一供应商分别进行</w:t>
      </w:r>
      <w:r>
        <w:rPr>
          <w:rFonts w:hint="eastAsia" w:ascii="宋体" w:hAnsi="宋体"/>
          <w:color w:val="auto"/>
          <w:sz w:val="21"/>
          <w:szCs w:val="21"/>
          <w:highlight w:val="none"/>
          <w:lang w:eastAsia="zh-CN"/>
        </w:rPr>
        <w:t>磋商</w:t>
      </w:r>
      <w:r>
        <w:rPr>
          <w:rFonts w:hint="eastAsia" w:ascii="宋体" w:hAnsi="宋体"/>
          <w:color w:val="auto"/>
          <w:sz w:val="21"/>
          <w:szCs w:val="21"/>
          <w:highlight w:val="none"/>
          <w:lang w:val="en-US" w:eastAsia="zh-CN"/>
        </w:rPr>
        <w:t xml:space="preserve"> </w:t>
      </w:r>
    </w:p>
    <w:p w14:paraId="16A7011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14.1</w:t>
      </w:r>
      <w:r>
        <w:rPr>
          <w:rFonts w:hint="eastAsia" w:ascii="宋体" w:hAnsi="宋体"/>
          <w:color w:val="auto"/>
          <w:sz w:val="21"/>
          <w:szCs w:val="21"/>
          <w:highlight w:val="none"/>
        </w:rPr>
        <w:t>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过程中，</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小组可以根据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情况实质性变动采购需求中的技术、服务要求以及合同草案条款，但不得变动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文件中的其他内容。实质性变动的内容，须经采购人代表确认。</w:t>
      </w:r>
    </w:p>
    <w:p w14:paraId="4F5F161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14.2对</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文件作出的实质性变动是</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文件的有效组成部分，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小组应当及时以书面形式同时通知所有参加</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的供应商。供应商应当按照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文件的变动情况和</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小组的要求重新提交响应文件，并由其法定代表人或委托代理人签字或者加盖公章。</w:t>
      </w:r>
    </w:p>
    <w:p w14:paraId="39002F7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14.3</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结束后，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小组应当要求所有实质性响应的供应商在规定时间内提交最后报价</w:t>
      </w:r>
      <w:r>
        <w:rPr>
          <w:rFonts w:hint="eastAsia" w:ascii="宋体" w:hAnsi="宋体"/>
          <w:color w:val="auto"/>
          <w:sz w:val="21"/>
          <w:szCs w:val="21"/>
          <w:highlight w:val="none"/>
          <w:lang w:eastAsia="zh-CN"/>
        </w:rPr>
        <w:t>，</w:t>
      </w:r>
      <w:r>
        <w:rPr>
          <w:rFonts w:hint="eastAsia" w:ascii="宋体" w:hAnsi="宋体"/>
          <w:color w:val="auto"/>
          <w:sz w:val="21"/>
          <w:szCs w:val="21"/>
          <w:highlight w:val="none"/>
        </w:rPr>
        <w:t>最后报价是供应商响应文件的有效组成部分。</w:t>
      </w:r>
    </w:p>
    <w:p w14:paraId="4146E04C">
      <w:pPr>
        <w:keepNext w:val="0"/>
        <w:keepLines w:val="0"/>
        <w:pageBreakBefore w:val="0"/>
        <w:kinsoku/>
        <w:overflowPunct/>
        <w:topLinePunct w:val="0"/>
        <w:bidi w:val="0"/>
        <w:snapToGrid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14.4</w:t>
      </w:r>
      <w:r>
        <w:rPr>
          <w:rFonts w:hint="eastAsia" w:ascii="宋体" w:hAnsi="宋体"/>
          <w:color w:val="auto"/>
          <w:sz w:val="21"/>
          <w:szCs w:val="21"/>
          <w:highlight w:val="none"/>
        </w:rPr>
        <w:t>供应商的澄清、说明或者更正、重新提交响应文件、最后报价等均为供应商响应文件的有效组成部分，与响应文件同具法律效力。供应商应在规定时间内将上述文件递交至</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小组，逾时不交的，视同放弃</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59D67EA4">
      <w:pPr>
        <w:keepNext w:val="0"/>
        <w:keepLines w:val="0"/>
        <w:pageBreakBefore w:val="0"/>
        <w:tabs>
          <w:tab w:val="left" w:pos="540"/>
        </w:tabs>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14.5</w:t>
      </w:r>
      <w:r>
        <w:rPr>
          <w:rFonts w:hint="eastAsia" w:ascii="宋体" w:hAnsi="宋体"/>
          <w:color w:val="auto"/>
          <w:sz w:val="21"/>
          <w:szCs w:val="21"/>
          <w:highlight w:val="none"/>
        </w:rPr>
        <w:t>响应供应商的最后报价均超过了采购预算，采购人不能支付的，</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活动终止；</w:t>
      </w:r>
    </w:p>
    <w:p w14:paraId="2A067681">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p>
    <w:p w14:paraId="3874AC1B">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5</w:t>
      </w:r>
      <w:r>
        <w:rPr>
          <w:rFonts w:ascii="宋体" w:hAnsi="宋体"/>
          <w:color w:val="auto"/>
          <w:sz w:val="21"/>
          <w:szCs w:val="21"/>
          <w:highlight w:val="none"/>
        </w:rPr>
        <w:t>.1</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如有下列情况之一，</w:t>
      </w:r>
      <w:r>
        <w:rPr>
          <w:rFonts w:hint="eastAsia" w:ascii="宋体" w:hAnsi="宋体"/>
          <w:color w:val="auto"/>
          <w:sz w:val="21"/>
          <w:szCs w:val="21"/>
          <w:highlight w:val="none"/>
        </w:rPr>
        <w:t>将视为</w:t>
      </w:r>
      <w:r>
        <w:rPr>
          <w:rFonts w:ascii="宋体" w:hAnsi="宋体"/>
          <w:color w:val="auto"/>
          <w:sz w:val="21"/>
          <w:szCs w:val="21"/>
          <w:highlight w:val="none"/>
        </w:rPr>
        <w:t>未实质性响应</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w:t>
      </w:r>
      <w:r>
        <w:rPr>
          <w:rFonts w:ascii="宋体" w:hAnsi="宋体"/>
          <w:color w:val="auto"/>
          <w:sz w:val="21"/>
          <w:szCs w:val="21"/>
          <w:highlight w:val="none"/>
        </w:rPr>
        <w:t>按</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w:t>
      </w:r>
      <w:r>
        <w:rPr>
          <w:rFonts w:ascii="宋体" w:hAnsi="宋体"/>
          <w:color w:val="auto"/>
          <w:sz w:val="21"/>
          <w:szCs w:val="21"/>
          <w:highlight w:val="none"/>
        </w:rPr>
        <w:t>处理</w:t>
      </w:r>
      <w:r>
        <w:rPr>
          <w:rFonts w:hint="eastAsia" w:ascii="宋体" w:hAnsi="宋体"/>
          <w:color w:val="auto"/>
          <w:sz w:val="21"/>
          <w:szCs w:val="21"/>
          <w:highlight w:val="none"/>
        </w:rPr>
        <w:t>：</w:t>
      </w:r>
    </w:p>
    <w:p w14:paraId="7E8A5A2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（1）未按</w:t>
      </w:r>
      <w:r>
        <w:rPr>
          <w:rFonts w:hint="eastAsia" w:ascii="宋体" w:hAnsi="宋体"/>
          <w:color w:val="auto"/>
          <w:sz w:val="21"/>
          <w:szCs w:val="21"/>
          <w:highlight w:val="none"/>
          <w:lang w:eastAsia="zh-CN"/>
        </w:rPr>
        <w:t>磋商</w:t>
      </w:r>
      <w:r>
        <w:rPr>
          <w:rFonts w:ascii="宋体" w:hAnsi="宋体"/>
          <w:color w:val="auto"/>
          <w:sz w:val="21"/>
          <w:szCs w:val="21"/>
          <w:highlight w:val="none"/>
        </w:rPr>
        <w:t>文件规定要求密封、签署、盖章的；</w:t>
      </w:r>
    </w:p>
    <w:p w14:paraId="7A4C5972">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2</w:t>
      </w:r>
      <w:r>
        <w:rPr>
          <w:rFonts w:ascii="宋体" w:hAnsi="宋体"/>
          <w:color w:val="auto"/>
          <w:sz w:val="21"/>
          <w:szCs w:val="21"/>
          <w:highlight w:val="none"/>
        </w:rPr>
        <w:t>）不具备</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文件中规定资格要求的；</w:t>
      </w:r>
    </w:p>
    <w:p w14:paraId="293C9998">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3</w:t>
      </w:r>
      <w:r>
        <w:rPr>
          <w:rFonts w:ascii="宋体" w:hAnsi="宋体"/>
          <w:color w:val="auto"/>
          <w:sz w:val="21"/>
          <w:szCs w:val="21"/>
          <w:highlight w:val="none"/>
        </w:rPr>
        <w:t>）采购项目完成期限</w:t>
      </w:r>
      <w:r>
        <w:rPr>
          <w:rFonts w:hint="eastAsia" w:ascii="宋体" w:hAnsi="宋体"/>
          <w:color w:val="auto"/>
          <w:sz w:val="21"/>
          <w:szCs w:val="21"/>
          <w:highlight w:val="none"/>
        </w:rPr>
        <w:t>、质保期、付款方式等不符合</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要求的</w:t>
      </w:r>
      <w:r>
        <w:rPr>
          <w:rFonts w:ascii="宋体" w:hAnsi="宋体"/>
          <w:color w:val="auto"/>
          <w:sz w:val="21"/>
          <w:szCs w:val="21"/>
          <w:highlight w:val="none"/>
        </w:rPr>
        <w:t>；</w:t>
      </w:r>
    </w:p>
    <w:p w14:paraId="5BBA2A4F">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4</w:t>
      </w:r>
      <w:r>
        <w:rPr>
          <w:rFonts w:ascii="宋体" w:hAnsi="宋体"/>
          <w:color w:val="auto"/>
          <w:sz w:val="21"/>
          <w:szCs w:val="21"/>
          <w:highlight w:val="none"/>
        </w:rPr>
        <w:t>）</w:t>
      </w:r>
      <w:r>
        <w:rPr>
          <w:rFonts w:hint="eastAsia" w:ascii="宋体" w:hAnsi="宋体"/>
          <w:color w:val="auto"/>
          <w:sz w:val="21"/>
          <w:szCs w:val="21"/>
          <w:highlight w:val="none"/>
        </w:rPr>
        <w:t>报价产品</w:t>
      </w:r>
      <w:r>
        <w:rPr>
          <w:rFonts w:ascii="宋体" w:hAnsi="宋体"/>
          <w:color w:val="auto"/>
          <w:sz w:val="21"/>
          <w:szCs w:val="21"/>
          <w:highlight w:val="none"/>
        </w:rPr>
        <w:t>明显不符合</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w:t>
      </w:r>
      <w:r>
        <w:rPr>
          <w:rFonts w:ascii="宋体" w:hAnsi="宋体"/>
          <w:color w:val="auto"/>
          <w:sz w:val="21"/>
          <w:szCs w:val="21"/>
          <w:highlight w:val="none"/>
        </w:rPr>
        <w:t>技术规格、技术标准</w:t>
      </w:r>
      <w:r>
        <w:rPr>
          <w:rFonts w:hint="eastAsia" w:ascii="宋体" w:hAnsi="宋体"/>
          <w:color w:val="auto"/>
          <w:sz w:val="21"/>
          <w:szCs w:val="21"/>
          <w:highlight w:val="none"/>
        </w:rPr>
        <w:t>、</w:t>
      </w:r>
      <w:r>
        <w:rPr>
          <w:rFonts w:ascii="宋体" w:hAnsi="宋体"/>
          <w:color w:val="auto"/>
          <w:sz w:val="21"/>
          <w:szCs w:val="21"/>
          <w:highlight w:val="none"/>
        </w:rPr>
        <w:t>检验标准</w:t>
      </w:r>
      <w:r>
        <w:rPr>
          <w:rFonts w:hint="eastAsia" w:ascii="宋体" w:hAnsi="宋体"/>
          <w:color w:val="auto"/>
          <w:sz w:val="21"/>
          <w:szCs w:val="21"/>
          <w:highlight w:val="none"/>
        </w:rPr>
        <w:t>等</w:t>
      </w:r>
      <w:r>
        <w:rPr>
          <w:rFonts w:ascii="宋体" w:hAnsi="宋体"/>
          <w:color w:val="auto"/>
          <w:sz w:val="21"/>
          <w:szCs w:val="21"/>
          <w:highlight w:val="none"/>
        </w:rPr>
        <w:t>要求的；</w:t>
      </w:r>
    </w:p>
    <w:p w14:paraId="353D09B2">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5</w:t>
      </w:r>
      <w:r>
        <w:rPr>
          <w:rFonts w:hint="eastAsia" w:ascii="宋体" w:hAnsi="宋体"/>
          <w:color w:val="auto"/>
          <w:sz w:val="21"/>
          <w:szCs w:val="21"/>
          <w:highlight w:val="none"/>
        </w:rPr>
        <w:t>）最终</w:t>
      </w:r>
      <w:r>
        <w:rPr>
          <w:rFonts w:ascii="宋体" w:hAnsi="宋体"/>
          <w:color w:val="auto"/>
          <w:sz w:val="21"/>
          <w:szCs w:val="21"/>
          <w:highlight w:val="none"/>
        </w:rPr>
        <w:t>报价</w:t>
      </w:r>
      <w:r>
        <w:rPr>
          <w:rFonts w:hint="eastAsia" w:ascii="宋体" w:hAnsi="宋体"/>
          <w:color w:val="auto"/>
          <w:sz w:val="21"/>
          <w:szCs w:val="21"/>
          <w:highlight w:val="none"/>
        </w:rPr>
        <w:t>超过采购预算的；</w:t>
      </w:r>
    </w:p>
    <w:p w14:paraId="3511B790">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6</w:t>
      </w:r>
      <w:r>
        <w:rPr>
          <w:rFonts w:ascii="宋体" w:hAnsi="宋体"/>
          <w:color w:val="auto"/>
          <w:sz w:val="21"/>
          <w:szCs w:val="21"/>
          <w:highlight w:val="none"/>
        </w:rPr>
        <w:t>）</w:t>
      </w:r>
      <w:r>
        <w:rPr>
          <w:rFonts w:hint="eastAsia" w:ascii="宋体" w:hAnsi="宋体"/>
          <w:color w:val="auto"/>
          <w:sz w:val="21"/>
          <w:szCs w:val="21"/>
          <w:highlight w:val="none"/>
          <w:lang w:eastAsia="zh-CN"/>
        </w:rPr>
        <w:t>磋商响应文件</w:t>
      </w:r>
      <w:r>
        <w:rPr>
          <w:rFonts w:ascii="宋体" w:hAnsi="宋体"/>
          <w:color w:val="auto"/>
          <w:sz w:val="21"/>
          <w:szCs w:val="21"/>
          <w:highlight w:val="none"/>
        </w:rPr>
        <w:t>附有采购人不能接受的条件</w:t>
      </w:r>
      <w:r>
        <w:rPr>
          <w:rFonts w:hint="eastAsia" w:ascii="宋体" w:hAnsi="宋体"/>
          <w:color w:val="auto"/>
          <w:sz w:val="21"/>
          <w:szCs w:val="21"/>
          <w:highlight w:val="none"/>
        </w:rPr>
        <w:t>的</w:t>
      </w:r>
      <w:r>
        <w:rPr>
          <w:rFonts w:ascii="宋体" w:hAnsi="宋体"/>
          <w:color w:val="auto"/>
          <w:sz w:val="21"/>
          <w:szCs w:val="21"/>
          <w:highlight w:val="none"/>
        </w:rPr>
        <w:t>；</w:t>
      </w:r>
    </w:p>
    <w:p w14:paraId="37456C49">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ascii="宋体" w:hAnsi="宋体"/>
          <w:color w:val="auto"/>
          <w:sz w:val="21"/>
          <w:szCs w:val="21"/>
          <w:highlight w:val="none"/>
        </w:rPr>
        <w:t>（</w:t>
      </w:r>
      <w:r>
        <w:rPr>
          <w:rFonts w:hint="eastAsia" w:ascii="宋体" w:hAnsi="宋体"/>
          <w:color w:val="auto"/>
          <w:sz w:val="21"/>
          <w:szCs w:val="21"/>
          <w:highlight w:val="none"/>
          <w:lang w:val="en-US" w:eastAsia="zh-CN"/>
        </w:rPr>
        <w:t>7</w:t>
      </w:r>
      <w:r>
        <w:rPr>
          <w:rFonts w:ascii="宋体" w:hAnsi="宋体"/>
          <w:color w:val="auto"/>
          <w:sz w:val="21"/>
          <w:szCs w:val="21"/>
          <w:highlight w:val="none"/>
        </w:rPr>
        <w:t>）不符合法律、法规和</w:t>
      </w:r>
      <w:r>
        <w:rPr>
          <w:rFonts w:hint="eastAsia" w:ascii="宋体" w:hAnsi="宋体"/>
          <w:color w:val="auto"/>
          <w:sz w:val="21"/>
          <w:szCs w:val="21"/>
          <w:highlight w:val="none"/>
          <w:lang w:eastAsia="zh-CN"/>
        </w:rPr>
        <w:t>磋商</w:t>
      </w:r>
      <w:r>
        <w:rPr>
          <w:rFonts w:ascii="宋体" w:hAnsi="宋体"/>
          <w:color w:val="auto"/>
          <w:sz w:val="21"/>
          <w:szCs w:val="21"/>
          <w:highlight w:val="none"/>
        </w:rPr>
        <w:t>文件中规定的其他实质性要求的</w:t>
      </w:r>
      <w:r>
        <w:rPr>
          <w:rFonts w:hint="eastAsia" w:ascii="宋体" w:hAnsi="宋体"/>
          <w:color w:val="auto"/>
          <w:sz w:val="21"/>
          <w:szCs w:val="21"/>
          <w:highlight w:val="none"/>
        </w:rPr>
        <w:t>；</w:t>
      </w:r>
    </w:p>
    <w:p w14:paraId="3B76CD64">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）未按第四章“</w:t>
      </w:r>
      <w:r>
        <w:rPr>
          <w:rFonts w:hint="eastAsia" w:ascii="宋体" w:hAnsi="宋体"/>
          <w:color w:val="auto"/>
          <w:sz w:val="21"/>
          <w:szCs w:val="21"/>
          <w:highlight w:val="none"/>
          <w:lang w:eastAsia="zh-CN"/>
        </w:rPr>
        <w:t>磋商响应文件</w:t>
      </w:r>
      <w:r>
        <w:rPr>
          <w:rFonts w:hint="eastAsia" w:ascii="宋体" w:hAnsi="宋体"/>
          <w:color w:val="auto"/>
          <w:sz w:val="21"/>
          <w:szCs w:val="21"/>
          <w:highlight w:val="none"/>
        </w:rPr>
        <w:t>格式”中</w:t>
      </w:r>
      <w:r>
        <w:rPr>
          <w:rFonts w:ascii="宋体" w:hAnsi="宋体"/>
          <w:color w:val="auto"/>
          <w:sz w:val="21"/>
          <w:szCs w:val="21"/>
          <w:highlight w:val="none"/>
        </w:rPr>
        <w:t>的格式要求填写</w:t>
      </w:r>
      <w:r>
        <w:rPr>
          <w:rFonts w:hint="eastAsia" w:ascii="宋体" w:hAnsi="宋体"/>
          <w:color w:val="auto"/>
          <w:sz w:val="21"/>
          <w:szCs w:val="21"/>
          <w:highlight w:val="none"/>
        </w:rPr>
        <w:t>的；</w:t>
      </w:r>
    </w:p>
    <w:p w14:paraId="51D33AB5">
      <w:pPr>
        <w:keepNext w:val="0"/>
        <w:keepLines w:val="0"/>
        <w:pageBreakBefore w:val="0"/>
        <w:kinsoku/>
        <w:overflowPunct/>
        <w:topLinePunct w:val="0"/>
        <w:bidi w:val="0"/>
        <w:spacing w:line="24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）未按规定购买本项目</w:t>
      </w:r>
      <w:r>
        <w:rPr>
          <w:rFonts w:hint="eastAsia" w:ascii="宋体" w:hAnsi="宋体"/>
          <w:color w:val="auto"/>
          <w:sz w:val="21"/>
          <w:szCs w:val="21"/>
          <w:highlight w:val="none"/>
          <w:lang w:eastAsia="zh-CN"/>
        </w:rPr>
        <w:t>磋商</w:t>
      </w:r>
      <w:r>
        <w:rPr>
          <w:rFonts w:ascii="宋体" w:hAnsi="宋体"/>
          <w:color w:val="auto"/>
          <w:sz w:val="21"/>
          <w:szCs w:val="21"/>
          <w:highlight w:val="none"/>
        </w:rPr>
        <w:t>文件</w:t>
      </w:r>
      <w:r>
        <w:rPr>
          <w:rFonts w:hint="eastAsia" w:ascii="宋体" w:hAnsi="宋体"/>
          <w:color w:val="auto"/>
          <w:sz w:val="21"/>
          <w:szCs w:val="21"/>
          <w:highlight w:val="none"/>
        </w:rPr>
        <w:t>的。</w:t>
      </w:r>
    </w:p>
    <w:p w14:paraId="42324EDE">
      <w:pPr>
        <w:keepNext w:val="0"/>
        <w:keepLines w:val="0"/>
        <w:pageBreakBefore w:val="0"/>
        <w:kinsoku/>
        <w:overflowPunct/>
        <w:topLinePunct w:val="0"/>
        <w:bidi w:val="0"/>
        <w:snapToGrid w:val="0"/>
        <w:spacing w:line="24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.2</w:t>
      </w:r>
      <w:r>
        <w:rPr>
          <w:rFonts w:hint="eastAsia" w:ascii="宋体" w:hAnsi="宋体"/>
          <w:b w:val="0"/>
          <w:bCs/>
          <w:color w:val="auto"/>
          <w:sz w:val="21"/>
          <w:szCs w:val="21"/>
          <w:highlight w:val="none"/>
          <w:lang w:val="en-US" w:eastAsia="zh-CN"/>
        </w:rPr>
        <w:t>响应供应商</w:t>
      </w:r>
      <w:r>
        <w:rPr>
          <w:rFonts w:hint="eastAsia" w:ascii="宋体" w:hAnsi="宋体"/>
          <w:b w:val="0"/>
          <w:bCs/>
          <w:color w:val="auto"/>
          <w:sz w:val="21"/>
          <w:szCs w:val="21"/>
          <w:highlight w:val="none"/>
        </w:rPr>
        <w:t>有下列情形之一的视为</w:t>
      </w:r>
      <w:r>
        <w:rPr>
          <w:rFonts w:hint="eastAsia" w:ascii="宋体" w:hAnsi="宋体"/>
          <w:b w:val="0"/>
          <w:bCs/>
          <w:color w:val="auto"/>
          <w:sz w:val="21"/>
          <w:szCs w:val="21"/>
          <w:highlight w:val="none"/>
          <w:lang w:eastAsia="zh-CN"/>
        </w:rPr>
        <w:t>响应供应商</w:t>
      </w:r>
      <w:r>
        <w:rPr>
          <w:rFonts w:hint="eastAsia" w:ascii="宋体" w:hAnsi="宋体"/>
          <w:b w:val="0"/>
          <w:bCs/>
          <w:color w:val="auto"/>
          <w:sz w:val="21"/>
          <w:szCs w:val="21"/>
          <w:highlight w:val="none"/>
        </w:rPr>
        <w:t>相互串通投标，</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6F5DB6E6">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（1）不同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文件由同一单位或者个人编制；或不同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报名的IP地址一致的；</w:t>
      </w:r>
    </w:p>
    <w:p w14:paraId="23E72C3D">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（2）不同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委托同一单位或者个人办理</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事宜；</w:t>
      </w:r>
    </w:p>
    <w:p w14:paraId="33F0F4A0">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（3）不同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文件载明的项目管理员或项目实施人员为同一个人；</w:t>
      </w:r>
    </w:p>
    <w:p w14:paraId="13675863">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（4）不同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文件异常一致或</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报价呈规律性差异；</w:t>
      </w:r>
    </w:p>
    <w:p w14:paraId="564148C4">
      <w:pPr>
        <w:keepNext w:val="0"/>
        <w:keepLines w:val="0"/>
        <w:pageBreakBefore w:val="0"/>
        <w:kinsoku/>
        <w:overflowPunct/>
        <w:topLinePunct w:val="0"/>
        <w:bidi w:val="0"/>
        <w:snapToGrid w:val="0"/>
        <w:spacing w:line="240" w:lineRule="auto"/>
        <w:ind w:firstLine="420"/>
        <w:jc w:val="left"/>
        <w:textAlignment w:val="auto"/>
        <w:rPr>
          <w:rFonts w:ascii="宋体" w:hAnsi="宋体"/>
          <w:color w:val="auto"/>
          <w:sz w:val="21"/>
          <w:szCs w:val="21"/>
          <w:highlight w:val="none"/>
        </w:rPr>
      </w:pPr>
      <w:r>
        <w:rPr>
          <w:rFonts w:hint="eastAsia" w:ascii="宋体" w:hAnsi="宋体"/>
          <w:color w:val="auto"/>
          <w:sz w:val="21"/>
          <w:szCs w:val="21"/>
          <w:highlight w:val="none"/>
        </w:rPr>
        <w:t>（5）不同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w:t>
      </w:r>
      <w:r>
        <w:rPr>
          <w:rFonts w:hint="eastAsia" w:ascii="宋体" w:hAnsi="宋体"/>
          <w:color w:val="auto"/>
          <w:sz w:val="21"/>
          <w:szCs w:val="21"/>
          <w:highlight w:val="none"/>
          <w:lang w:val="en-US" w:eastAsia="zh-CN"/>
        </w:rPr>
        <w:t>响应</w:t>
      </w:r>
      <w:r>
        <w:rPr>
          <w:rFonts w:hint="eastAsia" w:ascii="宋体" w:hAnsi="宋体"/>
          <w:color w:val="auto"/>
          <w:sz w:val="21"/>
          <w:szCs w:val="21"/>
          <w:highlight w:val="none"/>
        </w:rPr>
        <w:t>文件相互混装；</w:t>
      </w:r>
    </w:p>
    <w:p w14:paraId="4EEC1F93">
      <w:pPr>
        <w:keepNext w:val="0"/>
        <w:keepLines w:val="0"/>
        <w:pageBreakBefore w:val="0"/>
        <w:kinsoku/>
        <w:overflowPunct/>
        <w:topLinePunct w:val="0"/>
        <w:bidi w:val="0"/>
        <w:snapToGrid w:val="0"/>
        <w:spacing w:line="240" w:lineRule="auto"/>
        <w:ind w:firstLine="420"/>
        <w:jc w:val="left"/>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（6）不同</w:t>
      </w:r>
      <w:r>
        <w:rPr>
          <w:rFonts w:hint="eastAsia" w:ascii="宋体" w:hAnsi="宋体"/>
          <w:color w:val="auto"/>
          <w:sz w:val="21"/>
          <w:szCs w:val="21"/>
          <w:highlight w:val="none"/>
          <w:lang w:val="en-US" w:eastAsia="zh-CN"/>
        </w:rPr>
        <w:t>响应供应商</w:t>
      </w:r>
      <w:r>
        <w:rPr>
          <w:rFonts w:hint="eastAsia" w:ascii="宋体" w:hAnsi="宋体"/>
          <w:color w:val="auto"/>
          <w:sz w:val="21"/>
          <w:szCs w:val="21"/>
          <w:highlight w:val="none"/>
        </w:rPr>
        <w:t>的保证金从同一单位或者个人账户转出</w:t>
      </w:r>
      <w:r>
        <w:rPr>
          <w:rFonts w:hint="eastAsia" w:ascii="宋体" w:hAnsi="宋体"/>
          <w:color w:val="auto"/>
          <w:sz w:val="21"/>
          <w:szCs w:val="21"/>
          <w:highlight w:val="none"/>
          <w:lang w:eastAsia="zh-CN"/>
        </w:rPr>
        <w:t>。</w:t>
      </w:r>
    </w:p>
    <w:p w14:paraId="78D0D731">
      <w:pPr>
        <w:keepNext w:val="0"/>
        <w:keepLines w:val="0"/>
        <w:pageBreakBefore w:val="0"/>
        <w:kinsoku/>
        <w:overflowPunct/>
        <w:topLinePunct w:val="0"/>
        <w:bidi w:val="0"/>
        <w:snapToGrid w:val="0"/>
        <w:spacing w:line="240" w:lineRule="auto"/>
        <w:ind w:firstLine="420"/>
        <w:jc w:val="left"/>
        <w:textAlignment w:val="auto"/>
        <w:rPr>
          <w:rFonts w:ascii="宋体" w:hAnsi="宋体"/>
          <w:b w:val="0"/>
          <w:bCs/>
          <w:color w:val="auto"/>
          <w:sz w:val="21"/>
          <w:szCs w:val="21"/>
          <w:highlight w:val="none"/>
        </w:rPr>
      </w:pPr>
      <w:r>
        <w:rPr>
          <w:rFonts w:hint="eastAsia" w:ascii="宋体" w:hAnsi="宋体"/>
          <w:b w:val="0"/>
          <w:bCs/>
          <w:color w:val="auto"/>
          <w:sz w:val="21"/>
          <w:szCs w:val="21"/>
          <w:highlight w:val="none"/>
        </w:rPr>
        <w:t>1</w:t>
      </w:r>
      <w:r>
        <w:rPr>
          <w:rFonts w:hint="eastAsia" w:ascii="宋体" w:hAnsi="宋体"/>
          <w:b w:val="0"/>
          <w:bCs/>
          <w:color w:val="auto"/>
          <w:sz w:val="21"/>
          <w:szCs w:val="21"/>
          <w:highlight w:val="none"/>
          <w:lang w:val="en-US" w:eastAsia="zh-CN"/>
        </w:rPr>
        <w:t>5</w:t>
      </w:r>
      <w:r>
        <w:rPr>
          <w:rFonts w:hint="eastAsia" w:ascii="宋体" w:hAnsi="宋体"/>
          <w:b w:val="0"/>
          <w:bCs/>
          <w:color w:val="auto"/>
          <w:sz w:val="21"/>
          <w:szCs w:val="21"/>
          <w:highlight w:val="none"/>
        </w:rPr>
        <w:t>.3关联供应商不得参加同一合同项下</w:t>
      </w:r>
      <w:r>
        <w:rPr>
          <w:rFonts w:hint="eastAsia" w:ascii="宋体" w:hAnsi="宋体"/>
          <w:b w:val="0"/>
          <w:bCs/>
          <w:color w:val="auto"/>
          <w:sz w:val="21"/>
          <w:szCs w:val="21"/>
          <w:highlight w:val="none"/>
          <w:lang w:eastAsia="zh-CN"/>
        </w:rPr>
        <w:t>院内</w:t>
      </w:r>
      <w:r>
        <w:rPr>
          <w:rFonts w:hint="eastAsia" w:ascii="宋体" w:hAnsi="宋体"/>
          <w:b w:val="0"/>
          <w:bCs/>
          <w:color w:val="auto"/>
          <w:sz w:val="21"/>
          <w:szCs w:val="21"/>
          <w:highlight w:val="none"/>
        </w:rPr>
        <w:t>采购活动，否则</w:t>
      </w:r>
      <w:r>
        <w:rPr>
          <w:rFonts w:hint="eastAsia" w:ascii="宋体" w:hAnsi="宋体"/>
          <w:b w:val="0"/>
          <w:bCs/>
          <w:color w:val="auto"/>
          <w:sz w:val="21"/>
          <w:szCs w:val="21"/>
          <w:highlight w:val="none"/>
          <w:lang w:val="en-US" w:eastAsia="zh-CN"/>
        </w:rPr>
        <w:t>响应</w:t>
      </w:r>
      <w:r>
        <w:rPr>
          <w:rFonts w:hint="eastAsia" w:ascii="宋体" w:hAnsi="宋体"/>
          <w:b w:val="0"/>
          <w:bCs/>
          <w:color w:val="auto"/>
          <w:sz w:val="21"/>
          <w:szCs w:val="21"/>
          <w:highlight w:val="none"/>
        </w:rPr>
        <w:t>文件将被视为无效：</w:t>
      </w:r>
    </w:p>
    <w:p w14:paraId="358F33F3">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（1）单位负责人为同一人或者存在直接控股、管理关系的不同的供应商，不得参加同一合同项下的院内采购活动；</w:t>
      </w:r>
    </w:p>
    <w:p w14:paraId="63CF8C9A">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s="Times New Roman"/>
          <w:color w:val="auto"/>
          <w:sz w:val="21"/>
          <w:szCs w:val="21"/>
          <w:highlight w:val="none"/>
          <w:lang w:val="en-US" w:eastAsia="zh-CN"/>
        </w:rPr>
      </w:pPr>
      <w:r>
        <w:rPr>
          <w:rFonts w:hint="eastAsia" w:ascii="宋体" w:hAnsi="宋体" w:eastAsia="宋体" w:cs="Times New Roman"/>
          <w:color w:val="auto"/>
          <w:sz w:val="21"/>
          <w:szCs w:val="21"/>
          <w:highlight w:val="none"/>
          <w:lang w:val="en-US" w:eastAsia="zh-CN"/>
        </w:rPr>
        <w:t>（2）生产厂商授权给供应商后自己不得参加同一合同项下的院内采购活动。</w:t>
      </w:r>
    </w:p>
    <w:p w14:paraId="063B1BC0">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六、确定成交供应商</w:t>
      </w:r>
    </w:p>
    <w:p w14:paraId="5D6F1EA5">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w:t>
      </w:r>
      <w:r>
        <w:rPr>
          <w:rFonts w:hint="eastAsia" w:ascii="宋体" w:hAnsi="宋体"/>
          <w:b/>
          <w:color w:val="auto"/>
          <w:sz w:val="21"/>
          <w:szCs w:val="21"/>
          <w:highlight w:val="none"/>
        </w:rPr>
        <w:t xml:space="preserve"> </w:t>
      </w:r>
      <w:r>
        <w:rPr>
          <w:rFonts w:hint="eastAsia" w:ascii="宋体" w:hAnsi="宋体"/>
          <w:color w:val="auto"/>
          <w:sz w:val="21"/>
          <w:szCs w:val="21"/>
          <w:highlight w:val="none"/>
        </w:rPr>
        <w:t>确定成交供应商办法</w:t>
      </w:r>
    </w:p>
    <w:p w14:paraId="6C7C61E2">
      <w:pPr>
        <w:keepNext w:val="0"/>
        <w:keepLines w:val="0"/>
        <w:pageBreakBefore w:val="0"/>
        <w:kinsoku/>
        <w:overflowPunct/>
        <w:topLinePunct w:val="0"/>
        <w:bidi w:val="0"/>
        <w:spacing w:line="240" w:lineRule="auto"/>
        <w:ind w:firstLine="420" w:firstLineChars="200"/>
        <w:textAlignment w:val="auto"/>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1经</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确定最终采购需求和提交最后报价的供应商后，</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小组成员将按照客观、公正、审慎的原则，根据</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文件规定的评审程序、评审方法和评审标准</w:t>
      </w:r>
      <w:r>
        <w:rPr>
          <w:rFonts w:hint="eastAsia" w:ascii="宋体" w:hAnsi="宋体"/>
          <w:color w:val="auto"/>
          <w:sz w:val="21"/>
          <w:szCs w:val="21"/>
          <w:highlight w:val="none"/>
          <w:lang w:eastAsia="zh-CN"/>
        </w:rPr>
        <w:t>，</w:t>
      </w:r>
      <w:r>
        <w:rPr>
          <w:rFonts w:hint="eastAsia" w:ascii="宋体" w:hAnsi="宋体"/>
          <w:color w:val="auto"/>
          <w:sz w:val="21"/>
          <w:szCs w:val="21"/>
          <w:highlight w:val="none"/>
        </w:rPr>
        <w:t>对提交最后报价的供应商的响应文件和最后报价进行独立评审</w:t>
      </w:r>
      <w:r>
        <w:rPr>
          <w:rFonts w:hint="eastAsia" w:ascii="宋体" w:hAnsi="宋体"/>
          <w:color w:val="auto"/>
          <w:sz w:val="21"/>
          <w:szCs w:val="21"/>
          <w:highlight w:val="none"/>
          <w:lang w:eastAsia="zh-CN"/>
        </w:rPr>
        <w:t>。</w:t>
      </w:r>
    </w:p>
    <w:p w14:paraId="20A3453C">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.2本项目采用综合评分法</w:t>
      </w:r>
      <w:r>
        <w:rPr>
          <w:rFonts w:hint="eastAsia" w:ascii="宋体" w:hAnsi="宋体"/>
          <w:color w:val="auto"/>
          <w:sz w:val="21"/>
          <w:szCs w:val="21"/>
          <w:highlight w:val="none"/>
          <w:lang w:eastAsia="zh-CN"/>
        </w:rPr>
        <w:t>，</w:t>
      </w:r>
      <w:r>
        <w:rPr>
          <w:rFonts w:hint="eastAsia" w:ascii="宋体" w:hAnsi="宋体"/>
          <w:color w:val="auto"/>
          <w:sz w:val="21"/>
          <w:szCs w:val="21"/>
          <w:highlight w:val="none"/>
        </w:rPr>
        <w:t>评审原则、评审内容、评分标准、成交候选供应商推荐及成交供应商确定原则详见“</w:t>
      </w:r>
      <w:r>
        <w:rPr>
          <w:rFonts w:hint="eastAsia" w:ascii="宋体" w:hAnsi="宋体"/>
          <w:color w:val="auto"/>
          <w:sz w:val="21"/>
          <w:szCs w:val="21"/>
          <w:highlight w:val="none"/>
          <w:lang w:eastAsia="zh-CN"/>
        </w:rPr>
        <w:t>第四章 评审方法</w:t>
      </w:r>
      <w:r>
        <w:rPr>
          <w:rFonts w:hint="eastAsia" w:ascii="宋体" w:hAnsi="宋体"/>
          <w:color w:val="auto"/>
          <w:sz w:val="21"/>
          <w:szCs w:val="21"/>
          <w:highlight w:val="none"/>
        </w:rPr>
        <w:t>”。</w:t>
      </w:r>
    </w:p>
    <w:p w14:paraId="231A2011">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.3</w:t>
      </w:r>
      <w:r>
        <w:rPr>
          <w:rFonts w:ascii="宋体" w:hAnsi="宋体"/>
          <w:color w:val="auto"/>
          <w:sz w:val="21"/>
          <w:szCs w:val="21"/>
          <w:highlight w:val="none"/>
        </w:rPr>
        <w:t>采购人</w:t>
      </w:r>
      <w:r>
        <w:rPr>
          <w:rFonts w:hint="eastAsia" w:ascii="宋体" w:hAnsi="宋体"/>
          <w:color w:val="auto"/>
          <w:sz w:val="21"/>
          <w:szCs w:val="21"/>
          <w:highlight w:val="none"/>
        </w:rPr>
        <w:t>将</w:t>
      </w:r>
      <w:r>
        <w:rPr>
          <w:rFonts w:hint="eastAsia" w:ascii="宋体" w:hAnsi="宋体"/>
          <w:color w:val="auto"/>
          <w:sz w:val="21"/>
          <w:szCs w:val="21"/>
          <w:highlight w:val="none"/>
          <w:lang w:val="en-US" w:eastAsia="zh-CN"/>
        </w:rPr>
        <w:t>根据供应商总分排名</w:t>
      </w:r>
      <w:r>
        <w:rPr>
          <w:rFonts w:ascii="宋体" w:hAnsi="宋体"/>
          <w:color w:val="auto"/>
          <w:sz w:val="21"/>
          <w:szCs w:val="21"/>
          <w:highlight w:val="none"/>
        </w:rPr>
        <w:t>，按照</w:t>
      </w:r>
      <w:r>
        <w:rPr>
          <w:rFonts w:hint="eastAsia" w:ascii="宋体" w:hAnsi="宋体"/>
          <w:color w:val="auto"/>
          <w:sz w:val="21"/>
          <w:szCs w:val="21"/>
          <w:highlight w:val="none"/>
        </w:rPr>
        <w:t>成交</w:t>
      </w:r>
      <w:r>
        <w:rPr>
          <w:rFonts w:hint="eastAsia" w:ascii="宋体" w:hAnsi="宋体"/>
          <w:color w:val="auto"/>
          <w:sz w:val="21"/>
          <w:szCs w:val="21"/>
          <w:highlight w:val="none"/>
          <w:lang w:val="en-US" w:eastAsia="zh-CN"/>
        </w:rPr>
        <w:t>标准</w:t>
      </w:r>
      <w:r>
        <w:rPr>
          <w:rFonts w:hint="eastAsia" w:ascii="宋体" w:hAnsi="宋体"/>
          <w:color w:val="auto"/>
          <w:sz w:val="21"/>
          <w:szCs w:val="21"/>
          <w:highlight w:val="none"/>
        </w:rPr>
        <w:t>确定</w:t>
      </w:r>
      <w:r>
        <w:rPr>
          <w:rFonts w:hint="eastAsia" w:ascii="宋体" w:hAnsi="宋体"/>
          <w:color w:val="auto"/>
          <w:sz w:val="21"/>
          <w:szCs w:val="21"/>
          <w:highlight w:val="none"/>
          <w:lang w:val="en-US" w:eastAsia="zh-CN"/>
        </w:rPr>
        <w:t>最终</w:t>
      </w:r>
      <w:r>
        <w:rPr>
          <w:rFonts w:ascii="宋体" w:hAnsi="宋体"/>
          <w:color w:val="auto"/>
          <w:sz w:val="21"/>
          <w:szCs w:val="21"/>
          <w:highlight w:val="none"/>
        </w:rPr>
        <w:t>成交供应商</w:t>
      </w:r>
      <w:r>
        <w:rPr>
          <w:rFonts w:hint="eastAsia" w:ascii="宋体" w:hAnsi="宋体"/>
          <w:color w:val="auto"/>
          <w:sz w:val="21"/>
          <w:szCs w:val="21"/>
          <w:highlight w:val="none"/>
        </w:rPr>
        <w:t>。</w:t>
      </w:r>
    </w:p>
    <w:p w14:paraId="6805D3B8">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七、签订合同</w:t>
      </w:r>
    </w:p>
    <w:p w14:paraId="410801DE">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发布采购结果公告后</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成交</w:t>
      </w:r>
      <w:r>
        <w:rPr>
          <w:rFonts w:hint="eastAsia" w:ascii="宋体" w:hAnsi="宋体"/>
          <w:color w:val="auto"/>
          <w:sz w:val="21"/>
          <w:szCs w:val="21"/>
          <w:highlight w:val="none"/>
        </w:rPr>
        <w:t>供应商按规定与采购人签订采购合同。</w:t>
      </w:r>
    </w:p>
    <w:p w14:paraId="7D5D1C15">
      <w:pPr>
        <w:keepNext w:val="0"/>
        <w:keepLines w:val="0"/>
        <w:pageBreakBefore w:val="0"/>
        <w:kinsoku/>
        <w:overflowPunct/>
        <w:topLinePunct w:val="0"/>
        <w:bidi w:val="0"/>
        <w:spacing w:line="240" w:lineRule="auto"/>
        <w:ind w:firstLine="422" w:firstLineChars="200"/>
        <w:textAlignment w:val="auto"/>
        <w:rPr>
          <w:rFonts w:ascii="宋体" w:hAnsi="宋体"/>
          <w:b/>
          <w:color w:val="auto"/>
          <w:sz w:val="21"/>
          <w:szCs w:val="21"/>
          <w:highlight w:val="none"/>
        </w:rPr>
      </w:pPr>
      <w:r>
        <w:rPr>
          <w:rFonts w:hint="eastAsia" w:ascii="宋体" w:hAnsi="宋体"/>
          <w:b/>
          <w:color w:val="auto"/>
          <w:sz w:val="21"/>
          <w:szCs w:val="21"/>
          <w:highlight w:val="none"/>
        </w:rPr>
        <w:t>八、适用法律</w:t>
      </w:r>
    </w:p>
    <w:p w14:paraId="77E391F7">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rPr>
        <w:t>.采购当事人的一切活动</w:t>
      </w:r>
      <w:r>
        <w:rPr>
          <w:rFonts w:hint="eastAsia" w:ascii="宋体" w:hAnsi="宋体"/>
          <w:color w:val="auto"/>
          <w:sz w:val="21"/>
          <w:szCs w:val="21"/>
          <w:highlight w:val="none"/>
          <w:lang w:val="en-US" w:eastAsia="zh-CN"/>
        </w:rPr>
        <w:t>符合</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中华人民共和国民法典</w:t>
      </w:r>
      <w:r>
        <w:rPr>
          <w:rFonts w:hint="eastAsia" w:ascii="宋体" w:hAnsi="宋体"/>
          <w:color w:val="auto"/>
          <w:sz w:val="21"/>
          <w:szCs w:val="21"/>
          <w:highlight w:val="none"/>
          <w:lang w:eastAsia="zh-CN"/>
        </w:rPr>
        <w:t>》</w:t>
      </w:r>
      <w:r>
        <w:rPr>
          <w:rFonts w:hint="eastAsia" w:ascii="宋体" w:hAnsi="宋体"/>
          <w:color w:val="auto"/>
          <w:sz w:val="21"/>
          <w:szCs w:val="21"/>
          <w:highlight w:val="none"/>
        </w:rPr>
        <w:t>及相关规定。</w:t>
      </w:r>
    </w:p>
    <w:p w14:paraId="78D4AAC6">
      <w:pPr>
        <w:keepNext w:val="0"/>
        <w:keepLines w:val="0"/>
        <w:pageBreakBefore w:val="0"/>
        <w:kinsoku/>
        <w:overflowPunct/>
        <w:topLinePunct w:val="0"/>
        <w:bidi w:val="0"/>
        <w:snapToGrid w:val="0"/>
        <w:spacing w:line="240" w:lineRule="auto"/>
        <w:ind w:firstLine="413" w:firstLineChars="196"/>
        <w:textAlignment w:val="auto"/>
        <w:outlineLvl w:val="1"/>
        <w:rPr>
          <w:rFonts w:ascii="宋体" w:hAnsi="宋体"/>
          <w:b/>
          <w:color w:val="auto"/>
          <w:sz w:val="21"/>
          <w:szCs w:val="21"/>
          <w:highlight w:val="none"/>
        </w:rPr>
      </w:pPr>
      <w:r>
        <w:rPr>
          <w:rFonts w:hint="eastAsia" w:ascii="宋体" w:hAnsi="宋体"/>
          <w:b/>
          <w:color w:val="auto"/>
          <w:sz w:val="21"/>
          <w:szCs w:val="21"/>
          <w:highlight w:val="none"/>
        </w:rPr>
        <w:t>九、</w:t>
      </w:r>
      <w:bookmarkStart w:id="15" w:name="_Toc254970532"/>
      <w:bookmarkStart w:id="16" w:name="_Toc254970673"/>
      <w:r>
        <w:rPr>
          <w:rFonts w:hint="eastAsia" w:ascii="宋体" w:hAnsi="宋体"/>
          <w:b/>
          <w:color w:val="auto"/>
          <w:sz w:val="21"/>
          <w:szCs w:val="21"/>
          <w:highlight w:val="none"/>
        </w:rPr>
        <w:t>特别说明：</w:t>
      </w:r>
      <w:bookmarkEnd w:id="15"/>
      <w:bookmarkEnd w:id="16"/>
    </w:p>
    <w:p w14:paraId="13B9D1B4">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9</w:t>
      </w:r>
      <w:r>
        <w:rPr>
          <w:rFonts w:hint="eastAsia" w:ascii="宋体" w:hAnsi="宋体"/>
          <w:color w:val="auto"/>
          <w:sz w:val="21"/>
          <w:szCs w:val="21"/>
          <w:highlight w:val="none"/>
        </w:rPr>
        <w:t>.供应商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所使用的资格、信誉、荣誉、业绩与企业认证必须为本法人所拥有。供应商</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所使用的采购项目实施人员必须为本法人或控股公司员工。</w:t>
      </w:r>
    </w:p>
    <w:p w14:paraId="3DE284A1">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20</w:t>
      </w:r>
      <w:r>
        <w:rPr>
          <w:rFonts w:hint="eastAsia" w:ascii="宋体" w:hAnsi="宋体"/>
          <w:color w:val="auto"/>
          <w:sz w:val="21"/>
          <w:szCs w:val="21"/>
          <w:highlight w:val="none"/>
        </w:rPr>
        <w:t>.供应商应仔细阅读</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文件的所有内容，按照</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文件的要求提交响应文件，并对所提供的全部资料的真实性承担法律责任。</w:t>
      </w:r>
    </w:p>
    <w:p w14:paraId="5BC11E5F">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21</w:t>
      </w:r>
      <w:r>
        <w:rPr>
          <w:rFonts w:hint="eastAsia" w:ascii="宋体" w:hAnsi="宋体"/>
          <w:color w:val="auto"/>
          <w:sz w:val="21"/>
          <w:szCs w:val="21"/>
          <w:highlight w:val="none"/>
        </w:rPr>
        <w:t>.供应商在</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活动中提供任何虚假材料，其</w:t>
      </w:r>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响应无效，并报监管部门查处；成交后发现的，成交供应商须依照《中华人民共和国消费者权益保护法》第49条之规定双倍赔偿采购人，且民事赔偿并不免除违法供应商的行政与刑事责任。</w:t>
      </w:r>
    </w:p>
    <w:p w14:paraId="30259444">
      <w:pPr>
        <w:keepNext w:val="0"/>
        <w:keepLines w:val="0"/>
        <w:pageBreakBefore w:val="0"/>
        <w:widowControl/>
        <w:tabs>
          <w:tab w:val="left" w:pos="540"/>
        </w:tabs>
        <w:kinsoku/>
        <w:overflowPunct/>
        <w:topLinePunct w:val="0"/>
        <w:bidi w:val="0"/>
        <w:spacing w:line="24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▲2</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.根据财政部《关于在政府采购活动中查询及使用信用记录有关问题的通知》（财库〔2016〕125号）的规定，在本项目</w:t>
      </w:r>
      <w:r>
        <w:rPr>
          <w:rFonts w:hint="eastAsia" w:ascii="宋体" w:hAnsi="宋体"/>
          <w:b/>
          <w:color w:val="auto"/>
          <w:sz w:val="21"/>
          <w:szCs w:val="21"/>
          <w:highlight w:val="none"/>
          <w:lang w:eastAsia="zh-CN"/>
        </w:rPr>
        <w:t>磋商</w:t>
      </w:r>
      <w:r>
        <w:rPr>
          <w:rFonts w:hint="eastAsia" w:ascii="宋体" w:hAnsi="宋体"/>
          <w:b/>
          <w:color w:val="auto"/>
          <w:sz w:val="21"/>
          <w:szCs w:val="21"/>
          <w:highlight w:val="none"/>
        </w:rPr>
        <w:t>截止时间前</w:t>
      </w:r>
      <w:r>
        <w:rPr>
          <w:rFonts w:hint="eastAsia" w:ascii="宋体" w:hAnsi="宋体"/>
          <w:color w:val="auto"/>
          <w:sz w:val="21"/>
          <w:szCs w:val="21"/>
          <w:highlight w:val="none"/>
        </w:rPr>
        <w:t>，供应商在</w:t>
      </w:r>
      <w:r>
        <w:rPr>
          <w:rFonts w:ascii="宋体" w:hAnsi="宋体"/>
          <w:color w:val="auto"/>
          <w:sz w:val="21"/>
          <w:szCs w:val="21"/>
          <w:highlight w:val="none"/>
        </w:rPr>
        <w:t>“信用中国”网站（www.creditchina.gov.cn）、中国政府采购网（www.ccgp.gov.cn）</w:t>
      </w:r>
      <w:r>
        <w:rPr>
          <w:rFonts w:hint="eastAsia" w:ascii="宋体" w:hAnsi="宋体"/>
          <w:color w:val="auto"/>
          <w:sz w:val="21"/>
          <w:szCs w:val="21"/>
          <w:highlight w:val="none"/>
        </w:rPr>
        <w:t>中被列入失信被执行人、重大税收违法案件当事人名单、政府采购严重违法失信行为记录名单及其他不符合《中华人民共和国政府采购法》第二十二条规定条件的，其响应文件将被拒绝。</w:t>
      </w:r>
    </w:p>
    <w:p w14:paraId="4E171F8C">
      <w:pPr>
        <w:keepNext w:val="0"/>
        <w:keepLines w:val="0"/>
        <w:pageBreakBefore w:val="0"/>
        <w:kinsoku/>
        <w:overflowPunct/>
        <w:topLinePunct w:val="0"/>
        <w:bidi w:val="0"/>
        <w:spacing w:line="240" w:lineRule="auto"/>
        <w:jc w:val="center"/>
        <w:textAlignment w:val="auto"/>
        <w:outlineLvl w:val="0"/>
        <w:rPr>
          <w:rFonts w:hint="eastAsia" w:ascii="宋体" w:hAnsi="宋体" w:eastAsia="宋体"/>
          <w:b/>
          <w:color w:val="auto"/>
          <w:sz w:val="21"/>
          <w:szCs w:val="21"/>
          <w:highlight w:val="none"/>
          <w:lang w:eastAsia="zh-CN"/>
        </w:rPr>
      </w:pPr>
      <w:r>
        <w:rPr>
          <w:rFonts w:ascii="宋体" w:hAnsi="宋体"/>
          <w:color w:val="auto"/>
          <w:sz w:val="21"/>
          <w:szCs w:val="21"/>
          <w:highlight w:val="none"/>
        </w:rPr>
        <w:br w:type="page"/>
      </w:r>
      <w:bookmarkStart w:id="17" w:name="_Toc9309"/>
      <w:r>
        <w:rPr>
          <w:rFonts w:hint="eastAsia" w:ascii="宋体" w:hAnsi="宋体"/>
          <w:b/>
          <w:color w:val="auto"/>
          <w:sz w:val="32"/>
          <w:szCs w:val="32"/>
          <w:highlight w:val="none"/>
        </w:rPr>
        <w:t xml:space="preserve">第三章  </w:t>
      </w:r>
      <w:bookmarkEnd w:id="17"/>
      <w:r>
        <w:rPr>
          <w:rFonts w:hint="eastAsia" w:ascii="宋体" w:hAnsi="宋体"/>
          <w:b/>
          <w:color w:val="auto"/>
          <w:sz w:val="32"/>
          <w:szCs w:val="32"/>
          <w:highlight w:val="none"/>
          <w:lang w:eastAsia="zh-CN"/>
        </w:rPr>
        <w:t>项目需求</w:t>
      </w:r>
      <w:r>
        <w:rPr>
          <w:rFonts w:hint="eastAsia" w:ascii="宋体" w:hAnsi="宋体"/>
          <w:b/>
          <w:color w:val="auto"/>
          <w:sz w:val="32"/>
          <w:szCs w:val="32"/>
          <w:highlight w:val="none"/>
          <w:lang w:val="en-US" w:eastAsia="zh-CN"/>
        </w:rPr>
        <w:t>参数</w:t>
      </w:r>
    </w:p>
    <w:p w14:paraId="7E721824">
      <w:pPr>
        <w:keepNext w:val="0"/>
        <w:keepLines w:val="0"/>
        <w:pageBreakBefore w:val="0"/>
        <w:kinsoku/>
        <w:overflowPunct/>
        <w:topLinePunct w:val="0"/>
        <w:bidi w:val="0"/>
        <w:spacing w:line="240" w:lineRule="auto"/>
        <w:jc w:val="center"/>
        <w:textAlignment w:val="auto"/>
        <w:rPr>
          <w:rFonts w:ascii="宋体" w:hAnsi="宋体"/>
          <w:b/>
          <w:color w:val="auto"/>
          <w:sz w:val="21"/>
          <w:szCs w:val="21"/>
          <w:highlight w:val="none"/>
        </w:rPr>
      </w:pPr>
    </w:p>
    <w:p w14:paraId="6BA0D6F5">
      <w:pPr>
        <w:keepNext w:val="0"/>
        <w:keepLines w:val="0"/>
        <w:pageBreakBefore w:val="0"/>
        <w:kinsoku/>
        <w:overflowPunct/>
        <w:topLinePunct w:val="0"/>
        <w:bidi w:val="0"/>
        <w:spacing w:line="240" w:lineRule="auto"/>
        <w:textAlignment w:val="auto"/>
        <w:rPr>
          <w:rFonts w:ascii="宋体" w:hAnsi="宋体"/>
          <w:b/>
          <w:bCs/>
          <w:color w:val="auto"/>
          <w:sz w:val="21"/>
          <w:szCs w:val="21"/>
          <w:highlight w:val="none"/>
        </w:rPr>
      </w:pPr>
      <w:r>
        <w:rPr>
          <w:rFonts w:hint="eastAsia" w:ascii="宋体" w:hAnsi="宋体"/>
          <w:b/>
          <w:bCs/>
          <w:color w:val="auto"/>
          <w:sz w:val="21"/>
          <w:szCs w:val="21"/>
          <w:highlight w:val="none"/>
        </w:rPr>
        <w:t>说明：</w:t>
      </w:r>
    </w:p>
    <w:p w14:paraId="01A81FF7">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响应供应商</w:t>
      </w:r>
      <w:r>
        <w:rPr>
          <w:rFonts w:hint="eastAsia" w:ascii="宋体" w:hAnsi="宋体"/>
          <w:b/>
          <w:bCs/>
          <w:color w:val="auto"/>
          <w:sz w:val="21"/>
          <w:szCs w:val="21"/>
          <w:highlight w:val="none"/>
        </w:rPr>
        <w:t>所提供的产品</w:t>
      </w:r>
      <w:r>
        <w:rPr>
          <w:rFonts w:hint="eastAsia" w:ascii="宋体" w:hAnsi="宋体"/>
          <w:b/>
          <w:bCs/>
          <w:color w:val="auto"/>
          <w:sz w:val="21"/>
          <w:szCs w:val="21"/>
          <w:highlight w:val="none"/>
          <w:lang w:val="en-US" w:eastAsia="zh-CN"/>
        </w:rPr>
        <w:t>相关功能或参数</w:t>
      </w:r>
      <w:r>
        <w:rPr>
          <w:rFonts w:hint="eastAsia" w:ascii="宋体" w:hAnsi="宋体"/>
          <w:b/>
          <w:bCs/>
          <w:color w:val="auto"/>
          <w:sz w:val="21"/>
          <w:szCs w:val="21"/>
          <w:highlight w:val="none"/>
        </w:rPr>
        <w:t>应实质上相当于或优于本需求表中的</w:t>
      </w:r>
      <w:r>
        <w:rPr>
          <w:rFonts w:ascii="宋体" w:hAnsi="宋体"/>
          <w:b/>
          <w:bCs/>
          <w:color w:val="auto"/>
          <w:sz w:val="21"/>
          <w:szCs w:val="21"/>
          <w:highlight w:val="none"/>
        </w:rPr>
        <w:t>服务内容及技术需求</w:t>
      </w:r>
      <w:r>
        <w:rPr>
          <w:rFonts w:hint="eastAsia" w:ascii="宋体" w:hAnsi="宋体"/>
          <w:b/>
          <w:bCs/>
          <w:color w:val="auto"/>
          <w:sz w:val="21"/>
          <w:szCs w:val="21"/>
          <w:highlight w:val="none"/>
        </w:rPr>
        <w:t>。</w:t>
      </w:r>
    </w:p>
    <w:p w14:paraId="479A7B04">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2、本一览表的</w:t>
      </w:r>
      <w:r>
        <w:rPr>
          <w:rFonts w:ascii="宋体" w:hAnsi="宋体"/>
          <w:b/>
          <w:bCs/>
          <w:color w:val="auto"/>
          <w:sz w:val="21"/>
          <w:szCs w:val="21"/>
          <w:highlight w:val="none"/>
        </w:rPr>
        <w:t>服务内容及技术需求不明确或有误的，</w:t>
      </w:r>
      <w:r>
        <w:rPr>
          <w:rFonts w:hint="eastAsia" w:ascii="宋体" w:hAnsi="宋体"/>
          <w:b/>
          <w:bCs/>
          <w:color w:val="auto"/>
          <w:sz w:val="21"/>
          <w:szCs w:val="21"/>
          <w:highlight w:val="none"/>
          <w:lang w:eastAsia="zh-CN"/>
        </w:rPr>
        <w:t>响应供应商</w:t>
      </w:r>
      <w:r>
        <w:rPr>
          <w:rFonts w:ascii="宋体" w:hAnsi="宋体"/>
          <w:b/>
          <w:bCs/>
          <w:color w:val="auto"/>
          <w:sz w:val="21"/>
          <w:szCs w:val="21"/>
          <w:highlight w:val="none"/>
        </w:rPr>
        <w:t>请以详细、正确的服务内容及技术质量</w:t>
      </w:r>
      <w:r>
        <w:rPr>
          <w:rFonts w:hint="eastAsia" w:ascii="宋体" w:hAnsi="宋体"/>
          <w:b/>
          <w:bCs/>
          <w:color w:val="auto"/>
          <w:sz w:val="21"/>
          <w:szCs w:val="21"/>
          <w:highlight w:val="none"/>
        </w:rPr>
        <w:t>指标</w:t>
      </w:r>
      <w:r>
        <w:rPr>
          <w:rFonts w:ascii="宋体" w:hAnsi="宋体"/>
          <w:b/>
          <w:bCs/>
          <w:color w:val="auto"/>
          <w:sz w:val="21"/>
          <w:szCs w:val="21"/>
          <w:highlight w:val="none"/>
        </w:rPr>
        <w:t>同时填写</w:t>
      </w:r>
      <w:r>
        <w:rPr>
          <w:rFonts w:hint="eastAsia" w:ascii="宋体" w:hAnsi="宋体"/>
          <w:b/>
          <w:bCs/>
          <w:color w:val="auto"/>
          <w:sz w:val="21"/>
          <w:szCs w:val="21"/>
          <w:highlight w:val="none"/>
          <w:lang w:eastAsia="zh-CN"/>
        </w:rPr>
        <w:t>磋商</w:t>
      </w:r>
      <w:r>
        <w:rPr>
          <w:rFonts w:ascii="宋体" w:hAnsi="宋体"/>
          <w:b/>
          <w:bCs/>
          <w:color w:val="auto"/>
          <w:sz w:val="21"/>
          <w:szCs w:val="21"/>
          <w:highlight w:val="none"/>
        </w:rPr>
        <w:t>报价表和</w:t>
      </w:r>
      <w:r>
        <w:rPr>
          <w:rFonts w:hint="eastAsia" w:ascii="宋体" w:hAnsi="宋体"/>
          <w:b/>
          <w:bCs/>
          <w:color w:val="auto"/>
          <w:sz w:val="21"/>
          <w:szCs w:val="21"/>
          <w:highlight w:val="none"/>
        </w:rPr>
        <w:t>技术质量响应及偏离情况说明表</w:t>
      </w:r>
      <w:r>
        <w:rPr>
          <w:rFonts w:ascii="宋体" w:hAnsi="宋体"/>
          <w:b/>
          <w:bCs/>
          <w:color w:val="auto"/>
          <w:sz w:val="21"/>
          <w:szCs w:val="21"/>
          <w:highlight w:val="none"/>
        </w:rPr>
        <w:t>。</w:t>
      </w:r>
    </w:p>
    <w:p w14:paraId="5ED43836">
      <w:pPr>
        <w:keepNext w:val="0"/>
        <w:keepLines w:val="0"/>
        <w:pageBreakBefore w:val="0"/>
        <w:kinsoku/>
        <w:overflowPunct/>
        <w:topLinePunct w:val="0"/>
        <w:bidi w:val="0"/>
        <w:spacing w:line="240" w:lineRule="auto"/>
        <w:ind w:right="2" w:rightChars="1"/>
        <w:textAlignment w:val="auto"/>
        <w:rPr>
          <w:rFonts w:ascii="宋体" w:hAnsi="宋体"/>
          <w:b/>
          <w:bCs/>
          <w:color w:val="auto"/>
          <w:sz w:val="21"/>
          <w:szCs w:val="21"/>
          <w:highlight w:val="none"/>
        </w:rPr>
      </w:pPr>
      <w:r>
        <w:rPr>
          <w:rFonts w:hint="eastAsia" w:ascii="宋体" w:hAnsi="宋体"/>
          <w:b/>
          <w:bCs/>
          <w:color w:val="auto"/>
          <w:sz w:val="21"/>
          <w:szCs w:val="21"/>
          <w:highlight w:val="none"/>
        </w:rPr>
        <w:t>3、本项目中标注“</w:t>
      </w:r>
      <w:r>
        <w:rPr>
          <w:rFonts w:hint="eastAsia"/>
          <w:color w:val="auto"/>
          <w:sz w:val="21"/>
          <w:szCs w:val="21"/>
          <w:highlight w:val="none"/>
        </w:rPr>
        <w:t>▲</w:t>
      </w:r>
      <w:r>
        <w:rPr>
          <w:rFonts w:hint="eastAsia" w:ascii="宋体" w:hAnsi="宋体"/>
          <w:b/>
          <w:bCs/>
          <w:color w:val="auto"/>
          <w:sz w:val="21"/>
          <w:szCs w:val="21"/>
          <w:highlight w:val="none"/>
        </w:rPr>
        <w:t>”号的要求为实质性要求和条件，对这些关键性要求的任何不满足将导致</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响应无效。</w:t>
      </w:r>
    </w:p>
    <w:tbl>
      <w:tblPr>
        <w:tblStyle w:val="48"/>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28"/>
        <w:gridCol w:w="8478"/>
      </w:tblGrid>
      <w:tr w14:paraId="5765A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2"/>
            <w:tcBorders>
              <w:top w:val="single" w:color="auto" w:sz="4" w:space="0"/>
            </w:tcBorders>
            <w:noWrap w:val="0"/>
            <w:vAlign w:val="center"/>
          </w:tcPr>
          <w:p w14:paraId="71B2F49D">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技术需求参数</w:t>
            </w:r>
          </w:p>
          <w:p w14:paraId="1B96BA68">
            <w:pPr>
              <w:keepNext w:val="0"/>
              <w:keepLines w:val="0"/>
              <w:pageBreakBefore w:val="0"/>
              <w:widowControl/>
              <w:kinsoku/>
              <w:wordWrap/>
              <w:overflowPunct/>
              <w:topLinePunct w:val="0"/>
              <w:autoSpaceDE/>
              <w:autoSpaceDN/>
              <w:bidi w:val="0"/>
              <w:adjustRightInd w:val="0"/>
              <w:snapToGrid w:val="0"/>
              <w:spacing w:line="240" w:lineRule="auto"/>
              <w:ind w:firstLine="420" w:firstLineChars="200"/>
              <w:jc w:val="center"/>
              <w:textAlignment w:val="auto"/>
              <w:rPr>
                <w:rFonts w:hint="eastAsia"/>
                <w:highlight w:val="none"/>
              </w:rPr>
            </w:pPr>
            <w:r>
              <w:rPr>
                <w:rFonts w:hint="eastAsia" w:ascii="Times New Roman" w:hAnsi="Times New Roman" w:eastAsia="宋体" w:cs="Times New Roman"/>
                <w:highlight w:val="none"/>
                <w:lang w:val="en-US" w:eastAsia="zh-CN"/>
              </w:rPr>
              <w:t>（对货物</w:t>
            </w:r>
            <w:r>
              <w:rPr>
                <w:rFonts w:hint="eastAsia" w:cs="Times New Roman"/>
                <w:highlight w:val="none"/>
                <w:lang w:val="en-US" w:eastAsia="zh-CN"/>
              </w:rPr>
              <w:t>服务</w:t>
            </w:r>
            <w:r>
              <w:rPr>
                <w:rFonts w:hint="eastAsia" w:ascii="Times New Roman" w:hAnsi="Times New Roman" w:eastAsia="宋体" w:cs="Times New Roman"/>
                <w:highlight w:val="none"/>
                <w:lang w:val="en-US" w:eastAsia="zh-CN"/>
              </w:rPr>
              <w:t>的规格、功能、标准等详细要求）</w:t>
            </w:r>
          </w:p>
        </w:tc>
      </w:tr>
      <w:tr w14:paraId="41937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2"/>
            <w:noWrap w:val="0"/>
            <w:vAlign w:val="center"/>
          </w:tcPr>
          <w:tbl>
            <w:tblPr>
              <w:tblStyle w:val="48"/>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406"/>
            </w:tblGrid>
            <w:tr w14:paraId="4830B4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20" w:hRule="atLeast"/>
                <w:jc w:val="center"/>
              </w:trPr>
              <w:tc>
                <w:tcPr>
                  <w:tcW w:w="10406" w:type="dxa"/>
                  <w:noWrap w:val="0"/>
                  <w:vAlign w:val="center"/>
                </w:tcPr>
                <w:p w14:paraId="7125EEC5">
                  <w:pPr>
                    <w:widowControl/>
                    <w:numPr>
                      <w:ilvl w:val="0"/>
                      <w:numId w:val="0"/>
                    </w:numPr>
                    <w:adjustRightInd w:val="0"/>
                    <w:snapToGrid w:val="0"/>
                    <w:spacing w:line="400" w:lineRule="exact"/>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1.书名：《桂派中医正骨术》（暂名）</w:t>
                  </w:r>
                </w:p>
                <w:p w14:paraId="52256E14">
                  <w:pPr>
                    <w:widowControl/>
                    <w:numPr>
                      <w:ilvl w:val="0"/>
                      <w:numId w:val="0"/>
                    </w:numPr>
                    <w:adjustRightInd w:val="0"/>
                    <w:snapToGrid w:val="0"/>
                    <w:spacing w:line="400" w:lineRule="exact"/>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2.开本：1/16，787mm*1092mm</w:t>
                  </w:r>
                </w:p>
                <w:p w14:paraId="1E185185">
                  <w:pPr>
                    <w:widowControl/>
                    <w:numPr>
                      <w:ilvl w:val="0"/>
                      <w:numId w:val="0"/>
                    </w:numPr>
                    <w:adjustRightInd w:val="0"/>
                    <w:snapToGrid w:val="0"/>
                    <w:spacing w:line="400" w:lineRule="exact"/>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3.印张：12.5</w:t>
                  </w:r>
                </w:p>
                <w:p w14:paraId="279E2203">
                  <w:pPr>
                    <w:widowControl/>
                    <w:numPr>
                      <w:ilvl w:val="0"/>
                      <w:numId w:val="0"/>
                    </w:numPr>
                    <w:adjustRightInd w:val="0"/>
                    <w:snapToGrid w:val="0"/>
                    <w:spacing w:line="400" w:lineRule="exact"/>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 xml:space="preserve">4.内文：全彩印刷，80g纯质纸       </w:t>
                  </w:r>
                </w:p>
                <w:p w14:paraId="59F92AA8">
                  <w:pPr>
                    <w:widowControl/>
                    <w:numPr>
                      <w:ilvl w:val="0"/>
                      <w:numId w:val="0"/>
                    </w:numPr>
                    <w:adjustRightInd w:val="0"/>
                    <w:snapToGrid w:val="0"/>
                    <w:spacing w:line="400" w:lineRule="exact"/>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5.封面：250克铜版纸，彩色印刷，局部UV或激凸，有勒口</w:t>
                  </w:r>
                </w:p>
                <w:p w14:paraId="0F25571A">
                  <w:pPr>
                    <w:widowControl/>
                    <w:numPr>
                      <w:ilvl w:val="0"/>
                      <w:numId w:val="0"/>
                    </w:numPr>
                    <w:adjustRightInd w:val="0"/>
                    <w:snapToGrid w:val="0"/>
                    <w:spacing w:line="400" w:lineRule="exact"/>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6.环衬：120g特种纸，前后各1P，不印色</w:t>
                  </w:r>
                </w:p>
                <w:p w14:paraId="7938493B">
                  <w:pPr>
                    <w:widowControl/>
                    <w:numPr>
                      <w:ilvl w:val="0"/>
                      <w:numId w:val="0"/>
                    </w:numPr>
                    <w:adjustRightInd w:val="0"/>
                    <w:snapToGrid w:val="0"/>
                    <w:spacing w:line="400" w:lineRule="exact"/>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7.装订：锁线平装</w:t>
                  </w:r>
                </w:p>
                <w:p w14:paraId="4397F931">
                  <w:pPr>
                    <w:widowControl/>
                    <w:numPr>
                      <w:ilvl w:val="0"/>
                      <w:numId w:val="0"/>
                    </w:numPr>
                    <w:adjustRightInd w:val="0"/>
                    <w:snapToGrid w:val="0"/>
                    <w:spacing w:line="400" w:lineRule="exact"/>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8.册数：800册</w:t>
                  </w:r>
                </w:p>
                <w:p w14:paraId="0A14D4D1">
                  <w:pPr>
                    <w:widowControl/>
                    <w:numPr>
                      <w:ilvl w:val="0"/>
                      <w:numId w:val="0"/>
                    </w:numPr>
                    <w:adjustRightInd w:val="0"/>
                    <w:snapToGrid w:val="0"/>
                    <w:spacing w:line="400" w:lineRule="exact"/>
                    <w:jc w:val="left"/>
                    <w:rPr>
                      <w:rFonts w:hint="default" w:ascii="宋体" w:hAnsi="宋体" w:eastAsia="宋体" w:cs="宋体"/>
                      <w:b w:val="0"/>
                      <w:bCs w:val="0"/>
                      <w:sz w:val="21"/>
                      <w:szCs w:val="21"/>
                      <w:highlight w:val="none"/>
                      <w:lang w:val="en-US" w:eastAsia="zh-CN"/>
                    </w:rPr>
                  </w:pPr>
                  <w:r>
                    <w:rPr>
                      <w:rFonts w:hint="default" w:ascii="宋体" w:hAnsi="宋体" w:eastAsia="宋体" w:cs="宋体"/>
                      <w:b w:val="0"/>
                      <w:bCs w:val="0"/>
                      <w:sz w:val="21"/>
                      <w:szCs w:val="21"/>
                      <w:highlight w:val="none"/>
                      <w:lang w:val="en-US" w:eastAsia="zh-CN"/>
                    </w:rPr>
                    <w:t>9.其他：书号和CIP申请、审稿、编辑校对、设计排版、印刷、配送等服务均由出版社提供，报价包含以上所有与出版相关的费用。</w:t>
                  </w:r>
                </w:p>
              </w:tc>
            </w:tr>
          </w:tbl>
          <w:p w14:paraId="5454D3D9">
            <w:pPr>
              <w:widowControl/>
              <w:numPr>
                <w:ilvl w:val="0"/>
                <w:numId w:val="0"/>
              </w:numPr>
              <w:adjustRightInd w:val="0"/>
              <w:snapToGrid w:val="0"/>
              <w:spacing w:line="240" w:lineRule="auto"/>
              <w:rPr>
                <w:rFonts w:hint="eastAsia" w:ascii="宋体" w:hAnsi="宋体" w:eastAsia="宋体" w:cs="宋体"/>
                <w:sz w:val="21"/>
                <w:szCs w:val="21"/>
                <w:highlight w:val="none"/>
              </w:rPr>
            </w:pPr>
          </w:p>
        </w:tc>
      </w:tr>
      <w:tr w14:paraId="5ED4D8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2"/>
            <w:tcBorders>
              <w:top w:val="single" w:color="auto" w:sz="4" w:space="0"/>
              <w:left w:val="single" w:color="auto" w:sz="4" w:space="0"/>
              <w:bottom w:val="single" w:color="auto" w:sz="4" w:space="0"/>
              <w:right w:val="single" w:color="auto" w:sz="4" w:space="0"/>
            </w:tcBorders>
            <w:noWrap w:val="0"/>
            <w:vAlign w:val="top"/>
          </w:tcPr>
          <w:p w14:paraId="58017F22">
            <w:pPr>
              <w:tabs>
                <w:tab w:val="left" w:pos="180"/>
                <w:tab w:val="left" w:pos="1620"/>
              </w:tabs>
              <w:spacing w:line="240" w:lineRule="auto"/>
              <w:jc w:val="center"/>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商务要求参数</w:t>
            </w:r>
          </w:p>
          <w:p w14:paraId="72C5FC34">
            <w:pPr>
              <w:widowControl/>
              <w:numPr>
                <w:ilvl w:val="0"/>
                <w:numId w:val="0"/>
              </w:numPr>
              <w:adjustRightInd w:val="0"/>
              <w:snapToGrid w:val="0"/>
              <w:spacing w:line="240" w:lineRule="auto"/>
              <w:ind w:left="0" w:leftChars="0" w:firstLine="0" w:firstLineChars="0"/>
              <w:jc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（对供应商资质、报价、履约、设备调试安装、培训售后、验收等详细要求）</w:t>
            </w:r>
          </w:p>
        </w:tc>
      </w:tr>
      <w:tr w14:paraId="6FD113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7F88BE46">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lang w:val="en-US" w:eastAsia="zh-CN"/>
              </w:rPr>
              <w:t>供应商资质要求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2F5389DD">
            <w:pPr>
              <w:widowControl/>
              <w:numPr>
                <w:ilvl w:val="0"/>
                <w:numId w:val="0"/>
              </w:numPr>
              <w:adjustRightInd w:val="0"/>
              <w:snapToGrid w:val="0"/>
              <w:spacing w:line="400" w:lineRule="exact"/>
              <w:rPr>
                <w:rFonts w:hint="eastAsia" w:ascii="宋体" w:hAnsi="宋体" w:eastAsia="宋体" w:cs="宋体"/>
                <w:b w:val="0"/>
                <w:bCs w:val="0"/>
                <w:sz w:val="21"/>
                <w:szCs w:val="21"/>
                <w:highlight w:val="none"/>
              </w:rPr>
            </w:pPr>
            <w:r>
              <w:rPr>
                <w:rFonts w:hint="eastAsia" w:ascii="宋体" w:hAnsi="宋体" w:eastAsia="宋体" w:cs="宋体"/>
                <w:b w:val="0"/>
                <w:bCs w:val="0"/>
                <w:kern w:val="2"/>
                <w:sz w:val="21"/>
                <w:szCs w:val="21"/>
                <w:highlight w:val="none"/>
                <w:lang w:val="en-US" w:eastAsia="zh-CN" w:bidi="ar-SA"/>
              </w:rPr>
              <w:t>1.符合《中华人民共和国政府采购法》第二十二条规定的供应商资格条件</w:t>
            </w:r>
            <w:r>
              <w:rPr>
                <w:rFonts w:hint="eastAsia" w:ascii="宋体" w:hAnsi="宋体" w:eastAsia="宋体" w:cs="宋体"/>
                <w:b w:val="0"/>
                <w:bCs w:val="0"/>
                <w:sz w:val="21"/>
                <w:szCs w:val="21"/>
                <w:highlight w:val="none"/>
              </w:rPr>
              <w:t>:</w:t>
            </w:r>
          </w:p>
          <w:p w14:paraId="2AB32F07">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2.国内注册（指按国家有关规定要求注册的）生产或经营本次采购货物和服务，具备法人资格的供应商；</w:t>
            </w:r>
          </w:p>
          <w:p w14:paraId="67FE3D99">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3.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48F79D5A">
            <w:pPr>
              <w:widowControl/>
              <w:numPr>
                <w:ilvl w:val="0"/>
                <w:numId w:val="0"/>
              </w:numPr>
              <w:adjustRightInd w:val="0"/>
              <w:snapToGrid w:val="0"/>
              <w:spacing w:line="400" w:lineRule="exact"/>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4.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p>
          <w:p w14:paraId="40F01AB3">
            <w:pPr>
              <w:widowControl/>
              <w:numPr>
                <w:ilvl w:val="0"/>
                <w:numId w:val="0"/>
              </w:numPr>
              <w:adjustRightInd w:val="0"/>
              <w:snapToGrid w:val="0"/>
              <w:spacing w:line="400" w:lineRule="exact"/>
              <w:rPr>
                <w:rFonts w:hint="default"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5.本项目的特定资格要求：</w:t>
            </w:r>
            <w:r>
              <w:rPr>
                <w:rFonts w:hint="eastAsia" w:ascii="宋体" w:hAnsi="宋体" w:cs="宋体"/>
                <w:b w:val="0"/>
                <w:bCs w:val="0"/>
                <w:sz w:val="21"/>
                <w:szCs w:val="21"/>
                <w:highlight w:val="none"/>
                <w:lang w:val="en-US" w:eastAsia="zh-CN"/>
              </w:rPr>
              <w:t>无</w:t>
            </w:r>
          </w:p>
          <w:p w14:paraId="4563A87F">
            <w:pPr>
              <w:widowControl/>
              <w:numPr>
                <w:ilvl w:val="0"/>
                <w:numId w:val="0"/>
              </w:numPr>
              <w:adjustRightInd w:val="0"/>
              <w:snapToGrid w:val="0"/>
              <w:spacing w:line="400" w:lineRule="exact"/>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6</w:t>
            </w:r>
            <w:r>
              <w:rPr>
                <w:rFonts w:hint="eastAsia" w:ascii="宋体" w:hAnsi="宋体" w:eastAsia="宋体" w:cs="宋体"/>
                <w:b/>
                <w:bCs/>
                <w:sz w:val="21"/>
                <w:szCs w:val="21"/>
                <w:highlight w:val="none"/>
                <w:lang w:val="en-US" w:eastAsia="zh-CN"/>
              </w:rPr>
              <w:t>.是否接收联合体投标：</w:t>
            </w:r>
            <w:r>
              <w:rPr>
                <w:rFonts w:hint="eastAsia" w:ascii="宋体" w:hAnsi="宋体" w:eastAsia="宋体" w:cs="宋体"/>
                <w:sz w:val="21"/>
                <w:szCs w:val="21"/>
                <w:highlight w:val="none"/>
                <w:lang w:val="en-US" w:eastAsia="zh-CN"/>
              </w:rPr>
              <w:t>□是   ☑否</w:t>
            </w:r>
          </w:p>
          <w:p w14:paraId="60E65976">
            <w:pPr>
              <w:widowControl/>
              <w:numPr>
                <w:ilvl w:val="0"/>
                <w:numId w:val="0"/>
              </w:numPr>
              <w:adjustRightInd w:val="0"/>
              <w:snapToGrid w:val="0"/>
              <w:spacing w:line="400" w:lineRule="exact"/>
              <w:rPr>
                <w:rFonts w:hint="eastAsia" w:ascii="宋体" w:hAnsi="宋体" w:eastAsia="宋体" w:cs="宋体"/>
                <w:sz w:val="21"/>
                <w:szCs w:val="21"/>
                <w:highlight w:val="none"/>
                <w:lang w:val="en-US" w:eastAsia="zh-CN"/>
              </w:rPr>
            </w:pPr>
            <w:r>
              <w:rPr>
                <w:rFonts w:hint="eastAsia" w:ascii="宋体" w:hAnsi="宋体" w:cs="宋体"/>
                <w:b/>
                <w:bCs/>
                <w:sz w:val="21"/>
                <w:szCs w:val="21"/>
                <w:highlight w:val="none"/>
                <w:lang w:val="en-US" w:eastAsia="zh-CN"/>
              </w:rPr>
              <w:t>7</w:t>
            </w:r>
            <w:r>
              <w:rPr>
                <w:rFonts w:hint="eastAsia" w:ascii="宋体" w:hAnsi="宋体" w:eastAsia="宋体" w:cs="宋体"/>
                <w:b/>
                <w:bCs/>
                <w:sz w:val="21"/>
                <w:szCs w:val="21"/>
                <w:highlight w:val="none"/>
                <w:lang w:val="en-US" w:eastAsia="zh-CN"/>
              </w:rPr>
              <w:t>.是否面向中小微企业预留份额</w:t>
            </w:r>
            <w:r>
              <w:rPr>
                <w:rFonts w:hint="eastAsia" w:ascii="宋体" w:hAnsi="宋体" w:eastAsia="宋体" w:cs="宋体"/>
                <w:sz w:val="21"/>
                <w:szCs w:val="21"/>
                <w:highlight w:val="none"/>
                <w:lang w:val="en-US" w:eastAsia="zh-CN"/>
              </w:rPr>
              <w:t>：☑是   □否</w:t>
            </w:r>
          </w:p>
          <w:p w14:paraId="3DE54D56">
            <w:pPr>
              <w:spacing w:line="320" w:lineRule="exact"/>
              <w:rPr>
                <w:rFonts w:hint="eastAsia" w:ascii="宋体" w:hAnsi="宋体" w:eastAsia="宋体" w:cs="宋体"/>
                <w:b/>
                <w:color w:val="000000"/>
                <w:kern w:val="2"/>
                <w:sz w:val="21"/>
                <w:szCs w:val="21"/>
                <w:highlight w:val="none"/>
                <w:lang w:val="en-US" w:eastAsia="zh-CN" w:bidi="ar-SA"/>
              </w:rPr>
            </w:pPr>
            <w:r>
              <w:rPr>
                <w:rFonts w:hint="eastAsia" w:ascii="宋体" w:hAnsi="宋体" w:cs="宋体"/>
                <w:sz w:val="21"/>
                <w:szCs w:val="21"/>
                <w:highlight w:val="none"/>
                <w:lang w:val="en-US" w:eastAsia="zh-CN"/>
              </w:rPr>
              <w:t>8</w:t>
            </w:r>
            <w:r>
              <w:rPr>
                <w:rFonts w:hint="eastAsia" w:ascii="宋体" w:hAnsi="宋体" w:eastAsia="宋体" w:cs="宋体"/>
                <w:sz w:val="21"/>
                <w:szCs w:val="21"/>
                <w:highlight w:val="none"/>
                <w:lang w:val="en-US" w:eastAsia="zh-CN"/>
              </w:rPr>
              <w:t>.</w:t>
            </w:r>
            <w:r>
              <w:rPr>
                <w:rFonts w:hint="eastAsia" w:ascii="宋体" w:hAnsi="宋体" w:eastAsia="宋体" w:cs="宋体"/>
                <w:b/>
                <w:bCs/>
                <w:sz w:val="21"/>
                <w:szCs w:val="21"/>
                <w:highlight w:val="none"/>
                <w:lang w:val="en-US" w:eastAsia="zh-CN"/>
              </w:rPr>
              <w:t>是否允许分包/转包</w:t>
            </w:r>
            <w:r>
              <w:rPr>
                <w:rFonts w:hint="eastAsia" w:ascii="宋体" w:hAnsi="宋体" w:eastAsia="宋体" w:cs="宋体"/>
                <w:sz w:val="21"/>
                <w:szCs w:val="21"/>
                <w:highlight w:val="none"/>
                <w:lang w:val="en-US" w:eastAsia="zh-CN"/>
              </w:rPr>
              <w:t>：□是   ☑否</w:t>
            </w:r>
            <w:r>
              <w:rPr>
                <w:rFonts w:hint="eastAsia" w:ascii="宋体" w:hAnsi="宋体" w:eastAsia="宋体" w:cs="宋体"/>
                <w:b/>
                <w:color w:val="000000"/>
                <w:sz w:val="21"/>
                <w:szCs w:val="21"/>
                <w:highlight w:val="none"/>
                <w:lang w:val="en-US" w:eastAsia="zh-CN"/>
              </w:rPr>
              <w:t xml:space="preserve">  </w:t>
            </w:r>
          </w:p>
        </w:tc>
      </w:tr>
      <w:tr w14:paraId="066042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5E408390">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2.</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lang w:val="en-US" w:eastAsia="zh-CN"/>
              </w:rPr>
              <w:t>交货</w:t>
            </w:r>
            <w:r>
              <w:rPr>
                <w:rFonts w:hint="eastAsia" w:ascii="宋体" w:hAnsi="宋体" w:eastAsia="宋体" w:cs="宋体"/>
                <w:b/>
                <w:bCs/>
                <w:color w:val="000000"/>
                <w:sz w:val="21"/>
                <w:szCs w:val="21"/>
                <w:highlight w:val="none"/>
              </w:rPr>
              <w:t>地点</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1E5E5297">
            <w:pPr>
              <w:spacing w:line="400" w:lineRule="exact"/>
              <w:rPr>
                <w:rFonts w:hint="default"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 xml:space="preserve"> 采购人指定地点：</w:t>
            </w:r>
            <w:r>
              <w:rPr>
                <w:rFonts w:hint="eastAsia" w:ascii="宋体" w:hAnsi="宋体" w:cs="宋体"/>
                <w:sz w:val="21"/>
                <w:szCs w:val="21"/>
                <w:highlight w:val="none"/>
                <w:u w:val="single"/>
                <w:lang w:val="en-US" w:eastAsia="zh-CN"/>
              </w:rPr>
              <w:t xml:space="preserve"> </w:t>
            </w:r>
            <w:r>
              <w:rPr>
                <w:rFonts w:hint="eastAsia" w:ascii="宋体" w:hAnsi="宋体" w:eastAsia="宋体" w:cs="宋体"/>
                <w:sz w:val="21"/>
                <w:szCs w:val="21"/>
                <w:highlight w:val="none"/>
                <w:u w:val="single"/>
                <w:lang w:val="en-US" w:eastAsia="zh-CN"/>
              </w:rPr>
              <w:t>广西骨伤医院</w:t>
            </w:r>
            <w:r>
              <w:rPr>
                <w:rFonts w:hint="eastAsia" w:ascii="宋体" w:hAnsi="宋体" w:cs="宋体"/>
                <w:sz w:val="21"/>
                <w:szCs w:val="21"/>
                <w:highlight w:val="none"/>
                <w:u w:val="single"/>
                <w:lang w:val="en-US" w:eastAsia="zh-CN"/>
              </w:rPr>
              <w:t xml:space="preserve"> </w:t>
            </w:r>
          </w:p>
        </w:tc>
      </w:tr>
      <w:tr w14:paraId="5BE81E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0B9894DC">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3.合同签订期限</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22DEB7B0">
            <w:pPr>
              <w:spacing w:line="4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自成交通知发出之日起</w:t>
            </w:r>
            <w:r>
              <w:rPr>
                <w:rFonts w:hint="eastAsia" w:ascii="宋体" w:hAnsi="宋体" w:eastAsia="宋体" w:cs="宋体"/>
                <w:sz w:val="21"/>
                <w:szCs w:val="21"/>
                <w:highlight w:val="none"/>
                <w:u w:val="single"/>
                <w:lang w:val="en-US" w:eastAsia="zh-CN"/>
              </w:rPr>
              <w:t xml:space="preserve"> 1</w:t>
            </w:r>
            <w:r>
              <w:rPr>
                <w:rFonts w:hint="eastAsia" w:ascii="宋体" w:hAnsi="宋体" w:cs="宋体"/>
                <w:sz w:val="21"/>
                <w:szCs w:val="21"/>
                <w:highlight w:val="none"/>
                <w:u w:val="single"/>
                <w:lang w:val="en-US" w:eastAsia="zh-CN"/>
              </w:rPr>
              <w:t>0</w:t>
            </w:r>
            <w:r>
              <w:rPr>
                <w:rFonts w:hint="eastAsia" w:ascii="宋体" w:hAnsi="宋体" w:eastAsia="宋体" w:cs="宋体"/>
                <w:sz w:val="21"/>
                <w:szCs w:val="21"/>
                <w:highlight w:val="none"/>
                <w:u w:val="single"/>
                <w:lang w:val="en-US" w:eastAsia="zh-CN"/>
              </w:rPr>
              <w:t xml:space="preserve"> </w:t>
            </w:r>
            <w:r>
              <w:rPr>
                <w:rFonts w:hint="eastAsia" w:ascii="宋体" w:hAnsi="宋体" w:eastAsia="宋体" w:cs="宋体"/>
                <w:sz w:val="21"/>
                <w:szCs w:val="21"/>
                <w:highlight w:val="none"/>
                <w:u w:val="none"/>
                <w:lang w:val="en-US" w:eastAsia="zh-CN"/>
              </w:rPr>
              <w:t>个工作日，逾期未签订合同视为放弃中标资格。</w:t>
            </w:r>
          </w:p>
        </w:tc>
      </w:tr>
      <w:tr w14:paraId="4E4187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3764CB2F">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4.</w:t>
            </w:r>
            <w:r>
              <w:rPr>
                <w:rFonts w:hint="eastAsia" w:ascii="宋体" w:hAnsi="宋体" w:eastAsia="宋体" w:cs="宋体"/>
                <w:sz w:val="21"/>
                <w:szCs w:val="21"/>
                <w:highlight w:val="none"/>
              </w:rPr>
              <w:t>▲</w:t>
            </w:r>
            <w:r>
              <w:rPr>
                <w:rFonts w:hint="eastAsia" w:ascii="宋体" w:hAnsi="宋体" w:cs="宋体"/>
                <w:b/>
                <w:bCs/>
                <w:color w:val="000000"/>
                <w:sz w:val="21"/>
                <w:szCs w:val="21"/>
                <w:highlight w:val="none"/>
                <w:lang w:val="en-US" w:eastAsia="zh-CN"/>
              </w:rPr>
              <w:t>交付</w:t>
            </w:r>
            <w:r>
              <w:rPr>
                <w:rFonts w:hint="eastAsia" w:ascii="宋体" w:hAnsi="宋体" w:eastAsia="宋体" w:cs="宋体"/>
                <w:b/>
                <w:bCs/>
                <w:color w:val="000000"/>
                <w:sz w:val="21"/>
                <w:szCs w:val="21"/>
                <w:highlight w:val="none"/>
                <w:lang w:val="en-US" w:eastAsia="zh-CN"/>
              </w:rPr>
              <w:t>时间</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0A0E790D">
            <w:pPr>
              <w:spacing w:line="400" w:lineRule="exact"/>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合同签订生效后，</w:t>
            </w:r>
            <w:r>
              <w:rPr>
                <w:rFonts w:hint="eastAsia" w:ascii="宋体" w:hAnsi="宋体" w:cs="宋体"/>
                <w:sz w:val="21"/>
                <w:szCs w:val="21"/>
                <w:highlight w:val="none"/>
                <w:lang w:val="en-US" w:eastAsia="zh-CN"/>
              </w:rPr>
              <w:t>6个月</w:t>
            </w:r>
            <w:r>
              <w:rPr>
                <w:rFonts w:hint="eastAsia" w:ascii="宋体" w:hAnsi="宋体" w:eastAsia="宋体" w:cs="宋体"/>
                <w:sz w:val="21"/>
                <w:szCs w:val="21"/>
                <w:highlight w:val="none"/>
                <w:lang w:val="en-US" w:eastAsia="zh-CN"/>
              </w:rPr>
              <w:t>内完成</w:t>
            </w:r>
            <w:r>
              <w:rPr>
                <w:rFonts w:hint="eastAsia" w:ascii="宋体" w:hAnsi="宋体" w:cs="宋体"/>
                <w:sz w:val="21"/>
                <w:szCs w:val="21"/>
                <w:highlight w:val="none"/>
                <w:lang w:val="en-US" w:eastAsia="zh-CN"/>
              </w:rPr>
              <w:t>成果交付</w:t>
            </w:r>
            <w:r>
              <w:rPr>
                <w:rFonts w:hint="eastAsia" w:ascii="宋体" w:hAnsi="宋体" w:eastAsia="宋体" w:cs="宋体"/>
                <w:sz w:val="21"/>
                <w:szCs w:val="21"/>
                <w:highlight w:val="none"/>
                <w:lang w:val="en-US" w:eastAsia="zh-CN"/>
              </w:rPr>
              <w:t>。</w:t>
            </w:r>
          </w:p>
        </w:tc>
      </w:tr>
      <w:tr w14:paraId="4BD365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6AF69686">
            <w:pPr>
              <w:spacing w:line="400" w:lineRule="exact"/>
              <w:jc w:val="center"/>
              <w:rPr>
                <w:rFonts w:hint="eastAsia" w:ascii="宋体" w:hAnsi="宋体" w:eastAsia="宋体" w:cs="宋体"/>
                <w:b/>
                <w:bCs/>
                <w:color w:val="000000"/>
                <w:kern w:val="2"/>
                <w:sz w:val="21"/>
                <w:szCs w:val="21"/>
                <w:highlight w:val="none"/>
                <w:lang w:val="en-US" w:eastAsia="zh-CN" w:bidi="ar-SA"/>
              </w:rPr>
            </w:pPr>
            <w:r>
              <w:rPr>
                <w:rFonts w:hint="eastAsia" w:ascii="宋体" w:hAnsi="宋体" w:eastAsia="宋体" w:cs="宋体"/>
                <w:b/>
                <w:bCs/>
                <w:color w:val="000000"/>
                <w:sz w:val="21"/>
                <w:szCs w:val="21"/>
                <w:highlight w:val="none"/>
                <w:lang w:val="en-US" w:eastAsia="zh-CN"/>
              </w:rPr>
              <w:t>5.</w:t>
            </w:r>
            <w:r>
              <w:rPr>
                <w:rFonts w:hint="eastAsia" w:ascii="宋体" w:hAnsi="宋体" w:eastAsia="宋体" w:cs="宋体"/>
                <w:sz w:val="21"/>
                <w:szCs w:val="21"/>
                <w:highlight w:val="none"/>
              </w:rPr>
              <w:t>▲</w:t>
            </w:r>
            <w:r>
              <w:rPr>
                <w:rFonts w:hint="eastAsia" w:ascii="宋体" w:hAnsi="宋体" w:eastAsia="宋体" w:cs="宋体"/>
                <w:b/>
                <w:bCs/>
                <w:color w:val="000000"/>
                <w:sz w:val="21"/>
                <w:szCs w:val="21"/>
                <w:highlight w:val="none"/>
              </w:rPr>
              <w:t>报价要求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745315D5">
            <w:pPr>
              <w:wordWrap w:val="0"/>
              <w:topLinePunct/>
              <w:snapToGrid w:val="0"/>
              <w:spacing w:line="400" w:lineRule="exact"/>
              <w:rPr>
                <w:rFonts w:hint="eastAsia" w:ascii="宋体" w:hAnsi="宋体" w:eastAsia="宋体" w:cs="宋体"/>
                <w:color w:val="000000"/>
                <w:kern w:val="2"/>
                <w:sz w:val="21"/>
                <w:szCs w:val="21"/>
                <w:highlight w:val="none"/>
                <w:lang w:val="en-US" w:eastAsia="zh-CN" w:bidi="ar-SA"/>
              </w:rPr>
            </w:pPr>
            <w:r>
              <w:rPr>
                <w:rFonts w:hint="eastAsia" w:ascii="宋体" w:hAnsi="宋体" w:eastAsia="宋体" w:cs="宋体"/>
                <w:color w:val="000000"/>
                <w:kern w:val="2"/>
                <w:sz w:val="21"/>
                <w:szCs w:val="21"/>
                <w:highlight w:val="none"/>
                <w:lang w:val="en-US" w:eastAsia="zh-CN" w:bidi="ar-SA"/>
              </w:rPr>
              <w:t>报价必须含以下部分，包括中标后的价格应包括为完成本项目出版任务而须发生的管理、编校、审稿、设计、排版、纸张、印刷、装订、包装、仓储、物流、税金及其他有关的所有费用，招标文件中另有规定的除外。</w:t>
            </w:r>
          </w:p>
        </w:tc>
      </w:tr>
      <w:tr w14:paraId="63DFA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7194CADF">
            <w:pPr>
              <w:spacing w:line="400" w:lineRule="exact"/>
              <w:jc w:val="center"/>
              <w:rPr>
                <w:rFonts w:hint="eastAsia" w:ascii="宋体" w:hAnsi="宋体" w:cs="宋体"/>
                <w:b/>
                <w:kern w:val="2"/>
                <w:sz w:val="21"/>
                <w:szCs w:val="21"/>
                <w:highlight w:val="none"/>
                <w:lang w:val="en-US" w:eastAsia="zh-CN" w:bidi="ar-SA"/>
              </w:rPr>
            </w:pPr>
            <w:r>
              <w:rPr>
                <w:rFonts w:hint="eastAsia" w:ascii="宋体" w:hAnsi="宋体" w:cs="宋体"/>
                <w:b/>
                <w:szCs w:val="21"/>
                <w:highlight w:val="none"/>
                <w:lang w:val="en-US" w:eastAsia="zh-CN"/>
              </w:rPr>
              <w:t>6.</w:t>
            </w:r>
            <w:r>
              <w:rPr>
                <w:rFonts w:hint="eastAsia" w:ascii="宋体" w:hAnsi="宋体" w:eastAsia="宋体" w:cs="宋体"/>
                <w:szCs w:val="21"/>
                <w:highlight w:val="none"/>
              </w:rPr>
              <w:t>▲</w:t>
            </w:r>
            <w:r>
              <w:rPr>
                <w:rFonts w:hint="eastAsia" w:ascii="宋体" w:hAnsi="宋体" w:cs="宋体"/>
                <w:b/>
                <w:szCs w:val="21"/>
                <w:highlight w:val="none"/>
              </w:rPr>
              <w:t>质保期</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20141382">
            <w:pPr>
              <w:spacing w:line="400" w:lineRule="exact"/>
              <w:jc w:val="left"/>
              <w:rPr>
                <w:rFonts w:hint="eastAsia" w:ascii="宋体" w:hAnsi="宋体" w:cs="宋体"/>
                <w:kern w:val="2"/>
                <w:sz w:val="21"/>
                <w:szCs w:val="21"/>
                <w:highlight w:val="none"/>
                <w:lang w:val="en-US" w:eastAsia="zh-CN" w:bidi="ar-SA"/>
              </w:rPr>
            </w:pPr>
            <w:r>
              <w:rPr>
                <w:rFonts w:hint="eastAsia" w:ascii="宋体" w:hAnsi="宋体" w:cs="宋体"/>
                <w:szCs w:val="21"/>
                <w:highlight w:val="none"/>
              </w:rPr>
              <w:t>按国家有关产品“三包”规定执行“三包”，质保期内上门更换有质量问题的货物。相关费用应包含在投标总价中。</w:t>
            </w:r>
          </w:p>
        </w:tc>
      </w:tr>
      <w:tr w14:paraId="254A4B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5FB00B7B">
            <w:pPr>
              <w:spacing w:line="400" w:lineRule="exact"/>
              <w:jc w:val="center"/>
              <w:rPr>
                <w:rFonts w:hint="default" w:ascii="宋体" w:hAnsi="宋体" w:eastAsia="宋体" w:cs="宋体"/>
                <w:b/>
                <w:kern w:val="2"/>
                <w:sz w:val="21"/>
                <w:szCs w:val="21"/>
                <w:highlight w:val="none"/>
                <w:lang w:val="en-US" w:eastAsia="zh-CN" w:bidi="ar-SA"/>
              </w:rPr>
            </w:pPr>
            <w:r>
              <w:rPr>
                <w:rFonts w:hint="eastAsia" w:ascii="宋体" w:hAnsi="宋体" w:cs="宋体"/>
                <w:b/>
                <w:szCs w:val="21"/>
                <w:highlight w:val="none"/>
                <w:lang w:val="en-US" w:eastAsia="zh-CN"/>
              </w:rPr>
              <w:t>7.业绩要求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3D6D06DC">
            <w:pPr>
              <w:spacing w:line="400" w:lineRule="exact"/>
              <w:jc w:val="left"/>
              <w:rPr>
                <w:rFonts w:hint="default"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有近三年完成同类项目业绩（提供项目合同或协议或成交/验收证明材料）</w:t>
            </w:r>
          </w:p>
        </w:tc>
      </w:tr>
      <w:tr w14:paraId="5BD5E7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3AD14A20">
            <w:pPr>
              <w:spacing w:line="400" w:lineRule="exact"/>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8.</w:t>
            </w:r>
            <w:r>
              <w:rPr>
                <w:rFonts w:hint="eastAsia" w:ascii="宋体" w:hAnsi="宋体" w:eastAsia="宋体" w:cs="宋体"/>
                <w:szCs w:val="21"/>
                <w:highlight w:val="none"/>
              </w:rPr>
              <w:t>▲</w:t>
            </w:r>
            <w:r>
              <w:rPr>
                <w:rFonts w:hint="eastAsia" w:ascii="宋体" w:hAnsi="宋体" w:cs="宋体"/>
                <w:b/>
                <w:szCs w:val="21"/>
                <w:highlight w:val="none"/>
              </w:rPr>
              <w:t>售后服务要求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11B35E83">
            <w:pPr>
              <w:spacing w:line="400" w:lineRule="exact"/>
              <w:jc w:val="left"/>
              <w:rPr>
                <w:rFonts w:hint="eastAsia" w:ascii="宋体" w:hAnsi="宋体" w:cs="宋体"/>
                <w:kern w:val="2"/>
                <w:sz w:val="21"/>
                <w:szCs w:val="21"/>
                <w:highlight w:val="none"/>
                <w:lang w:val="en-US" w:eastAsia="zh-CN" w:bidi="ar-SA"/>
              </w:rPr>
            </w:pPr>
            <w:r>
              <w:rPr>
                <w:rFonts w:hint="eastAsia" w:ascii="宋体" w:hAnsi="宋体" w:cs="宋体"/>
                <w:kern w:val="2"/>
                <w:sz w:val="21"/>
                <w:szCs w:val="21"/>
                <w:highlight w:val="none"/>
                <w:lang w:val="en-US" w:eastAsia="zh-CN" w:bidi="ar-SA"/>
              </w:rPr>
              <w:t>若印制品有质量问题，按照采购人要求的时间内进行重印更换。</w:t>
            </w:r>
          </w:p>
        </w:tc>
      </w:tr>
      <w:tr w14:paraId="0A4673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032E9958">
            <w:pPr>
              <w:wordWrap w:val="0"/>
              <w:topLinePunct/>
              <w:snapToGrid w:val="0"/>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9.</w:t>
            </w:r>
            <w:r>
              <w:rPr>
                <w:rFonts w:hint="eastAsia" w:ascii="宋体" w:hAnsi="宋体" w:eastAsia="宋体" w:cs="宋体"/>
                <w:szCs w:val="21"/>
                <w:highlight w:val="none"/>
              </w:rPr>
              <w:t>▲</w:t>
            </w:r>
            <w:r>
              <w:rPr>
                <w:rFonts w:hint="eastAsia" w:ascii="宋体" w:hAnsi="宋体" w:cs="宋体"/>
                <w:b/>
                <w:szCs w:val="21"/>
                <w:highlight w:val="none"/>
              </w:rPr>
              <w:t>验收标准</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275F99AD">
            <w:pPr>
              <w:wordWrap w:val="0"/>
              <w:topLinePunct/>
              <w:snapToGrid w:val="0"/>
              <w:spacing w:line="400" w:lineRule="exact"/>
              <w:rPr>
                <w:rFonts w:hint="eastAsia"/>
                <w:color w:val="000000"/>
                <w:szCs w:val="21"/>
                <w:highlight w:val="none"/>
              </w:rPr>
            </w:pPr>
            <w:r>
              <w:rPr>
                <w:rFonts w:hint="eastAsia" w:ascii="宋体" w:hAnsi="宋体" w:cs="宋体"/>
                <w:szCs w:val="21"/>
                <w:highlight w:val="none"/>
                <w:lang w:val="en-US" w:eastAsia="zh-CN"/>
              </w:rPr>
              <w:t>1.印制出版物满足或优于</w:t>
            </w:r>
            <w:r>
              <w:rPr>
                <w:rFonts w:hint="eastAsia"/>
                <w:color w:val="000000"/>
                <w:szCs w:val="21"/>
                <w:highlight w:val="none"/>
              </w:rPr>
              <w:t>本采购文件的相关要求。</w:t>
            </w:r>
          </w:p>
          <w:p w14:paraId="6265578B">
            <w:pPr>
              <w:wordWrap w:val="0"/>
              <w:topLinePunct/>
              <w:snapToGrid w:val="0"/>
              <w:spacing w:line="400" w:lineRule="exact"/>
              <w:rPr>
                <w:rFonts w:hint="eastAsia"/>
                <w:color w:val="000000"/>
                <w:kern w:val="2"/>
                <w:sz w:val="21"/>
                <w:szCs w:val="21"/>
                <w:highlight w:val="none"/>
                <w:lang w:val="en-US" w:eastAsia="zh-CN" w:bidi="ar-SA"/>
              </w:rPr>
            </w:pPr>
            <w:r>
              <w:rPr>
                <w:rFonts w:hint="eastAsia" w:ascii="宋体" w:hAnsi="宋体" w:cs="宋体"/>
                <w:szCs w:val="21"/>
                <w:highlight w:val="none"/>
                <w:lang w:val="en-US" w:eastAsia="zh-CN"/>
              </w:rPr>
              <w:t>2.符合</w:t>
            </w:r>
            <w:r>
              <w:rPr>
                <w:rFonts w:hint="eastAsia"/>
                <w:color w:val="000000"/>
                <w:szCs w:val="21"/>
                <w:highlight w:val="none"/>
              </w:rPr>
              <w:t>国家相关法律、法规</w:t>
            </w:r>
            <w:r>
              <w:rPr>
                <w:rFonts w:hint="eastAsia"/>
                <w:color w:val="000000"/>
                <w:szCs w:val="21"/>
                <w:highlight w:val="none"/>
                <w:lang w:val="en-US" w:eastAsia="zh-CN"/>
              </w:rPr>
              <w:t>以及行业</w:t>
            </w:r>
            <w:r>
              <w:rPr>
                <w:rFonts w:hint="eastAsia"/>
                <w:color w:val="000000"/>
                <w:szCs w:val="21"/>
                <w:highlight w:val="none"/>
              </w:rPr>
              <w:t>标准和规范等。</w:t>
            </w:r>
          </w:p>
        </w:tc>
      </w:tr>
      <w:tr w14:paraId="7B9548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0946CE8B">
            <w:pPr>
              <w:wordWrap w:val="0"/>
              <w:topLinePunct/>
              <w:snapToGrid w:val="0"/>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10.</w:t>
            </w:r>
            <w:r>
              <w:rPr>
                <w:rFonts w:hint="eastAsia" w:ascii="宋体" w:hAnsi="宋体" w:eastAsia="宋体" w:cs="宋体"/>
                <w:szCs w:val="21"/>
                <w:highlight w:val="none"/>
              </w:rPr>
              <w:t>▲</w:t>
            </w:r>
            <w:r>
              <w:rPr>
                <w:rFonts w:hint="eastAsia" w:ascii="宋体" w:hAnsi="宋体" w:cs="宋体"/>
                <w:b/>
                <w:szCs w:val="21"/>
                <w:highlight w:val="none"/>
              </w:rPr>
              <w:t>付款条件</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56E29486">
            <w:pPr>
              <w:numPr>
                <w:ilvl w:val="0"/>
                <w:numId w:val="0"/>
              </w:numPr>
              <w:spacing w:line="400" w:lineRule="exact"/>
              <w:ind w:left="0" w:leftChars="0" w:firstLine="0" w:firstLineChars="0"/>
              <w:jc w:val="left"/>
              <w:rPr>
                <w:rFonts w:hint="eastAsia"/>
                <w:color w:val="000000"/>
                <w:kern w:val="2"/>
                <w:sz w:val="21"/>
                <w:szCs w:val="21"/>
                <w:highlight w:val="none"/>
                <w:lang w:val="en-US" w:eastAsia="zh-CN" w:bidi="ar-SA"/>
              </w:rPr>
            </w:pPr>
            <w:r>
              <w:rPr>
                <w:rFonts w:hint="eastAsia"/>
                <w:color w:val="000000"/>
                <w:kern w:val="2"/>
                <w:sz w:val="21"/>
                <w:szCs w:val="21"/>
                <w:highlight w:val="none"/>
                <w:lang w:val="en-US" w:eastAsia="zh-CN" w:bidi="ar-SA"/>
              </w:rPr>
              <w:t>合同签订后预付合同金额的90%为预付款，项目完成后，供应商开具合同全额发票，医院支付剩余的10%余款。</w:t>
            </w:r>
          </w:p>
        </w:tc>
      </w:tr>
      <w:tr w14:paraId="6ED344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583A022C">
            <w:pPr>
              <w:snapToGrid w:val="0"/>
              <w:spacing w:line="360" w:lineRule="auto"/>
              <w:jc w:val="center"/>
              <w:rPr>
                <w:color w:val="000000"/>
                <w:kern w:val="2"/>
                <w:sz w:val="21"/>
                <w:szCs w:val="21"/>
                <w:highlight w:val="none"/>
                <w:lang w:val="en-US" w:eastAsia="zh-CN" w:bidi="ar-SA"/>
              </w:rPr>
            </w:pPr>
            <w:r>
              <w:rPr>
                <w:rFonts w:hint="eastAsia" w:ascii="宋体" w:hAnsi="宋体" w:cs="宋体"/>
                <w:b/>
                <w:szCs w:val="21"/>
                <w:highlight w:val="none"/>
                <w:lang w:val="en-US" w:eastAsia="zh-CN"/>
              </w:rPr>
              <w:t>11.</w:t>
            </w:r>
            <w:r>
              <w:rPr>
                <w:rFonts w:hint="eastAsia" w:ascii="宋体" w:hAnsi="宋体" w:eastAsia="宋体" w:cs="宋体"/>
                <w:szCs w:val="21"/>
                <w:highlight w:val="none"/>
              </w:rPr>
              <w:t>▲</w:t>
            </w:r>
            <w:r>
              <w:rPr>
                <w:rFonts w:hint="eastAsia" w:ascii="宋体" w:hAnsi="宋体" w:cs="宋体"/>
                <w:b/>
                <w:szCs w:val="21"/>
                <w:highlight w:val="none"/>
              </w:rPr>
              <w:t>知识产权要求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2FFC71DB">
            <w:pPr>
              <w:spacing w:line="400" w:lineRule="exact"/>
              <w:rPr>
                <w:rFonts w:hint="eastAsia"/>
                <w:color w:val="000000"/>
                <w:kern w:val="2"/>
                <w:sz w:val="21"/>
                <w:szCs w:val="21"/>
                <w:highlight w:val="none"/>
                <w:lang w:val="en-US" w:eastAsia="zh-CN" w:bidi="ar-SA"/>
              </w:rPr>
            </w:pPr>
            <w:r>
              <w:rPr>
                <w:rFonts w:hint="eastAsia" w:ascii="宋体" w:hAnsi="宋体" w:cs="宋体"/>
                <w:szCs w:val="21"/>
                <w:highlight w:val="none"/>
              </w:rPr>
              <w:t>须保证招标人在使用过程中不受到第三方关于侵犯专利权等知识产权的指控。任何第三方如果提出指控，投标人须与第三方交涉并承担可能发生的一切法律责任和费用。</w:t>
            </w:r>
          </w:p>
        </w:tc>
      </w:tr>
      <w:tr w14:paraId="6B98E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928" w:type="dxa"/>
            <w:tcBorders>
              <w:top w:val="single" w:color="auto" w:sz="4" w:space="0"/>
              <w:left w:val="single" w:color="auto" w:sz="4" w:space="0"/>
              <w:bottom w:val="single" w:color="auto" w:sz="4" w:space="0"/>
              <w:right w:val="single" w:color="auto" w:sz="4" w:space="0"/>
            </w:tcBorders>
            <w:noWrap w:val="0"/>
            <w:vAlign w:val="center"/>
          </w:tcPr>
          <w:p w14:paraId="42038E66">
            <w:pPr>
              <w:snapToGrid w:val="0"/>
              <w:spacing w:line="360" w:lineRule="auto"/>
              <w:jc w:val="center"/>
              <w:rPr>
                <w:rFonts w:hint="default" w:ascii="宋体" w:hAnsi="宋体" w:cs="宋体"/>
                <w:b/>
                <w:kern w:val="2"/>
                <w:sz w:val="21"/>
                <w:szCs w:val="21"/>
                <w:highlight w:val="none"/>
                <w:lang w:val="en-US" w:eastAsia="zh-CN" w:bidi="ar-SA"/>
              </w:rPr>
            </w:pPr>
            <w:r>
              <w:rPr>
                <w:rFonts w:hint="eastAsia" w:ascii="宋体" w:hAnsi="宋体" w:cs="宋体"/>
                <w:b/>
                <w:szCs w:val="21"/>
                <w:highlight w:val="none"/>
                <w:lang w:val="en-US" w:eastAsia="zh-CN"/>
              </w:rPr>
              <w:t>12.</w:t>
            </w:r>
            <w:r>
              <w:rPr>
                <w:rFonts w:hint="eastAsia" w:ascii="宋体" w:hAnsi="宋体" w:eastAsia="宋体" w:cs="宋体"/>
                <w:szCs w:val="21"/>
                <w:highlight w:val="none"/>
              </w:rPr>
              <w:t>▲</w:t>
            </w:r>
            <w:r>
              <w:rPr>
                <w:rFonts w:hint="eastAsia" w:ascii="宋体" w:hAnsi="宋体" w:cs="宋体"/>
                <w:b/>
                <w:szCs w:val="21"/>
                <w:highlight w:val="none"/>
                <w:lang w:val="en-US" w:eastAsia="zh-CN"/>
              </w:rPr>
              <w:t>保密要求</w:t>
            </w:r>
          </w:p>
        </w:tc>
        <w:tc>
          <w:tcPr>
            <w:tcW w:w="8478" w:type="dxa"/>
            <w:tcBorders>
              <w:top w:val="single" w:color="auto" w:sz="4" w:space="0"/>
              <w:left w:val="single" w:color="auto" w:sz="4" w:space="0"/>
              <w:bottom w:val="single" w:color="auto" w:sz="4" w:space="0"/>
              <w:right w:val="single" w:color="auto" w:sz="4" w:space="0"/>
            </w:tcBorders>
            <w:noWrap w:val="0"/>
            <w:vAlign w:val="center"/>
          </w:tcPr>
          <w:p w14:paraId="038329A9">
            <w:pPr>
              <w:spacing w:line="400" w:lineRule="exact"/>
              <w:rPr>
                <w:rFonts w:hint="eastAsia" w:ascii="宋体" w:hAnsi="宋体" w:cs="宋体"/>
                <w:kern w:val="2"/>
                <w:sz w:val="21"/>
                <w:szCs w:val="21"/>
                <w:highlight w:val="none"/>
                <w:lang w:val="en-US" w:eastAsia="zh-CN" w:bidi="ar-SA"/>
              </w:rPr>
            </w:pPr>
            <w:r>
              <w:rPr>
                <w:rFonts w:hint="eastAsia" w:ascii="宋体" w:hAnsi="宋体" w:cs="宋体"/>
                <w:szCs w:val="21"/>
                <w:highlight w:val="none"/>
              </w:rPr>
              <w:t>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tc>
      </w:tr>
    </w:tbl>
    <w:p w14:paraId="408F56FB">
      <w:pPr>
        <w:spacing w:before="156" w:beforeLines="50" w:after="156" w:afterLines="50" w:line="400" w:lineRule="exact"/>
        <w:jc w:val="cente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55EA6887">
      <w:pPr>
        <w:keepNext/>
        <w:keepLines/>
        <w:spacing w:before="260" w:after="260" w:line="415" w:lineRule="auto"/>
        <w:jc w:val="center"/>
        <w:outlineLvl w:val="1"/>
        <w:rPr>
          <w:rFonts w:ascii="Cambria" w:hAnsi="Cambria" w:eastAsia="宋体" w:cs="宋体"/>
          <w:b/>
          <w:bCs/>
          <w:color w:val="000000"/>
          <w:sz w:val="32"/>
          <w:szCs w:val="32"/>
          <w:highlight w:val="none"/>
        </w:rPr>
      </w:pPr>
      <w:bookmarkStart w:id="18" w:name="_Toc26063"/>
      <w:bookmarkStart w:id="19" w:name="_Toc16541"/>
      <w:r>
        <w:rPr>
          <w:rFonts w:hint="eastAsia" w:ascii="宋体" w:hAnsi="宋体"/>
          <w:b/>
          <w:color w:val="auto"/>
          <w:sz w:val="32"/>
          <w:szCs w:val="32"/>
          <w:highlight w:val="none"/>
        </w:rPr>
        <w:t xml:space="preserve">第六章  </w:t>
      </w:r>
      <w:bookmarkEnd w:id="18"/>
      <w:r>
        <w:rPr>
          <w:rFonts w:hint="eastAsia" w:ascii="Cambria" w:hAnsi="Cambria" w:eastAsia="宋体" w:cs="宋体"/>
          <w:b/>
          <w:bCs/>
          <w:color w:val="000000"/>
          <w:sz w:val="32"/>
          <w:szCs w:val="32"/>
          <w:highlight w:val="none"/>
        </w:rPr>
        <w:t>评审程序、评审方法和评审标准</w:t>
      </w:r>
    </w:p>
    <w:p w14:paraId="29E8CF87">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一、评审程序和评审方法</w:t>
      </w:r>
    </w:p>
    <w:p w14:paraId="6143DE09">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（一）磋商小组成立</w:t>
      </w:r>
    </w:p>
    <w:p w14:paraId="1132C290">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1.磋商小组由采购人组织评审专家共</w:t>
      </w:r>
      <w:r>
        <w:rPr>
          <w:rFonts w:hint="eastAsia" w:ascii="宋体" w:hAnsi="宋体" w:eastAsia="宋体" w:cs="Calibri"/>
          <w:color w:val="000000"/>
          <w:szCs w:val="21"/>
          <w:highlight w:val="none"/>
          <w:lang w:val="en-US" w:eastAsia="zh-CN"/>
        </w:rPr>
        <w:t>3</w:t>
      </w:r>
      <w:r>
        <w:rPr>
          <w:rFonts w:hint="eastAsia" w:ascii="宋体" w:hAnsi="宋体" w:eastAsia="宋体" w:cs="Calibri"/>
          <w:color w:val="000000"/>
          <w:szCs w:val="21"/>
          <w:highlight w:val="none"/>
        </w:rPr>
        <w:t>人及以上单数组成</w:t>
      </w:r>
      <w:r>
        <w:rPr>
          <w:rFonts w:hint="eastAsia" w:ascii="宋体" w:hAnsi="宋体" w:eastAsia="宋体" w:cs="Calibri"/>
          <w:szCs w:val="21"/>
          <w:highlight w:val="none"/>
        </w:rPr>
        <w:t>，具体人数见“供应商须知前附表”</w:t>
      </w:r>
      <w:r>
        <w:rPr>
          <w:rFonts w:hint="eastAsia" w:ascii="宋体" w:hAnsi="宋体" w:eastAsia="宋体" w:cs="Calibri"/>
          <w:color w:val="000000"/>
          <w:szCs w:val="21"/>
          <w:highlight w:val="none"/>
        </w:rPr>
        <w:t>。</w:t>
      </w:r>
    </w:p>
    <w:p w14:paraId="37B6CF9B">
      <w:pPr>
        <w:spacing w:line="400" w:lineRule="exact"/>
        <w:ind w:firstLine="424" w:firstLineChars="202"/>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2.响应文件的开启：具体详见“供应商须知前附表”。</w:t>
      </w:r>
    </w:p>
    <w:p w14:paraId="03F1553F">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（二）响应文件评审程序</w:t>
      </w:r>
    </w:p>
    <w:p w14:paraId="087B9C6A">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.资格审查</w:t>
      </w:r>
    </w:p>
    <w:p w14:paraId="1788D3E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 xml:space="preserve">.1响应文件开启后，磋商小组依法对供应商的资格证明文件进行审查。 </w:t>
      </w:r>
    </w:p>
    <w:p w14:paraId="19D52244">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.2资格审查标准为本竞争性磋商文件中载明对供应商资格要求的条件。资格审查采用合格制，凡符合竞争性磋商文件规定的供应商资格要求的响应文件均通过资格审查。</w:t>
      </w:r>
    </w:p>
    <w:p w14:paraId="5CBB64EC">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.3供应商有下列情形之一的，资格审查不通过，其响应文件按无效响应处理：</w:t>
      </w:r>
    </w:p>
    <w:p w14:paraId="1C2889E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（1）不具备竞争性磋商文件中规定的资格要求的； </w:t>
      </w:r>
    </w:p>
    <w:p w14:paraId="5055DEAC">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）响应文件未提供任一项“供应商须知前附表”资格证明文件规定的“必须提供”的文件资料的；</w:t>
      </w:r>
    </w:p>
    <w:p w14:paraId="0AAB41F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）响应文件提供的资格证明文件出现任一项不符合“供应商须知前附表”资格证明文件规定的“必须提供”的文件资料要求或者无效的。</w:t>
      </w:r>
    </w:p>
    <w:p w14:paraId="4CFF5A86">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3</w:t>
      </w:r>
      <w:r>
        <w:rPr>
          <w:rFonts w:hint="eastAsia" w:ascii="宋体" w:hAnsi="宋体" w:eastAsia="宋体" w:cs="Calibri"/>
          <w:color w:val="000000"/>
          <w:szCs w:val="21"/>
          <w:highlight w:val="none"/>
        </w:rPr>
        <w:t>.4通过资格审查的合格供应商不足3家的，不得进入符合性审查环节，采购人应当重新开展采购活动。</w:t>
      </w:r>
    </w:p>
    <w:p w14:paraId="6DD3C7CA">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.符合性审查</w:t>
      </w:r>
    </w:p>
    <w:p w14:paraId="37033F9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.1由磋商小组对通过资格审查的合格供应商的响应文件的竞标报价、商务、技术等实质性要求进行符合性审查，以确定其是否满足竞争性磋商文件的实质性要求。</w:t>
      </w:r>
    </w:p>
    <w:p w14:paraId="4B74F248">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5782004A">
      <w:pPr>
        <w:spacing w:line="400" w:lineRule="exact"/>
        <w:ind w:firstLine="420" w:firstLineChars="200"/>
        <w:rPr>
          <w:rFonts w:ascii="宋体" w:hAnsi="宋体" w:eastAsia="宋体" w:cs="Calibri"/>
          <w:color w:val="000000"/>
          <w:spacing w:val="-6"/>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highlight w:val="none"/>
        </w:rPr>
        <w:t>应当附法定代表人授权书</w:t>
      </w:r>
      <w:r>
        <w:rPr>
          <w:rFonts w:hint="eastAsia" w:ascii="宋体" w:hAnsi="宋体" w:eastAsia="宋体" w:cs="Calibri"/>
          <w:color w:val="000000"/>
          <w:szCs w:val="21"/>
          <w:highlight w:val="none"/>
        </w:rPr>
        <w:t>（若委托代理人为响应文件中承诺的授权委托代理人的，无须出示法定代表人授权委托书）</w:t>
      </w:r>
      <w:r>
        <w:rPr>
          <w:rFonts w:hint="eastAsia" w:ascii="宋体" w:hAnsi="宋体" w:eastAsia="宋体" w:cs="Calibri"/>
          <w:color w:val="000000"/>
          <w:spacing w:val="-6"/>
          <w:szCs w:val="21"/>
          <w:highlight w:val="none"/>
        </w:rPr>
        <w:t>。</w:t>
      </w:r>
    </w:p>
    <w:p w14:paraId="11853E29">
      <w:pPr>
        <w:spacing w:line="400" w:lineRule="exact"/>
        <w:ind w:firstLine="396" w:firstLineChars="200"/>
        <w:rPr>
          <w:rFonts w:ascii="宋体" w:hAnsi="宋体" w:eastAsia="宋体" w:cs="Calibri"/>
          <w:color w:val="000000"/>
          <w:szCs w:val="21"/>
          <w:highlight w:val="none"/>
        </w:rPr>
      </w:pPr>
      <w:r>
        <w:rPr>
          <w:rFonts w:ascii="宋体" w:hAnsi="宋体" w:eastAsia="宋体" w:cs="Calibri"/>
          <w:color w:val="000000"/>
          <w:spacing w:val="-6"/>
          <w:szCs w:val="21"/>
          <w:highlight w:val="none"/>
        </w:rPr>
        <w:t>4</w:t>
      </w:r>
      <w:r>
        <w:rPr>
          <w:rFonts w:hint="eastAsia" w:ascii="宋体" w:hAnsi="宋体" w:eastAsia="宋体" w:cs="Calibri"/>
          <w:color w:val="000000"/>
          <w:spacing w:val="-6"/>
          <w:szCs w:val="21"/>
          <w:highlight w:val="none"/>
        </w:rPr>
        <w:t>.4</w:t>
      </w:r>
      <w:r>
        <w:rPr>
          <w:rFonts w:hint="eastAsia" w:ascii="宋体" w:hAnsi="宋体" w:eastAsia="宋体" w:cs="Calibri"/>
          <w:color w:val="000000"/>
          <w:szCs w:val="21"/>
          <w:highlight w:val="none"/>
        </w:rPr>
        <w:t xml:space="preserve">首次响应文件报价出现前后不一致的，按照下列规定修正： </w:t>
      </w:r>
    </w:p>
    <w:p w14:paraId="32953B5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（1）响应文件中报价表内容与响应文件中相应内容不一致的，以报价表为准；</w:t>
      </w:r>
    </w:p>
    <w:p w14:paraId="58991CC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（2）大写金额和小写金额不一致的，以大写金额为准；</w:t>
      </w:r>
    </w:p>
    <w:p w14:paraId="0FA76B33">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同时出现两种以上不一致的，按照顺序逐条进行修正。修正后的报价经供应商确认后产生约束力，供应商不确认的，其响应文件按无效响应处理。</w:t>
      </w:r>
    </w:p>
    <w:p w14:paraId="50A5DD21">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.5商务技术报价评审</w:t>
      </w:r>
    </w:p>
    <w:p w14:paraId="00EC572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在评审时，如发现下列情形之一的，将被视为响应文件无效处理：</w:t>
      </w:r>
    </w:p>
    <w:p w14:paraId="73E36629">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（1）商务技术评审</w:t>
      </w:r>
    </w:p>
    <w:p w14:paraId="0E5F5A1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1）提供响应文件正、副本数量不足的；</w:t>
      </w:r>
    </w:p>
    <w:p w14:paraId="47A8D1ED">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2）响应文件未按竞争性磋商文件要求签署、盖章的；</w:t>
      </w:r>
    </w:p>
    <w:p w14:paraId="02883284">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3）委托代理人未能出具有效身份证明或出具的身份证明与授权委托书中的信息不符的； </w:t>
      </w:r>
    </w:p>
    <w:p w14:paraId="64A1785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4）响应文件未提供任一项“供应商须知前附表”第1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.2条规定的“必须提供”或者“委托时必须提供”的文件资料要求或者无效的。</w:t>
      </w:r>
    </w:p>
    <w:p w14:paraId="025692CB">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5</w:t>
      </w:r>
      <w:r>
        <w:rPr>
          <w:rFonts w:hint="eastAsia" w:ascii="宋体" w:hAnsi="宋体" w:eastAsia="宋体" w:cs="Calibri"/>
          <w:color w:val="000000"/>
          <w:szCs w:val="21"/>
          <w:highlight w:val="none"/>
        </w:rPr>
        <w:t>）商务条款中标“▲”的条款发生负偏离的或允许负偏离的条款数超过“供应商须知前附表”规定项数的或标明实质性的要求发生负偏离的；</w:t>
      </w:r>
    </w:p>
    <w:p w14:paraId="2165822F">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）未对竞标有效期作出响应或响应文件承诺的竞标有效期不满足竞争性磋商文件要求的；</w:t>
      </w:r>
    </w:p>
    <w:p w14:paraId="6164FC8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）响应文件的实质性内容未使用中文表述、使用计量单位不符合竞争性磋商文件要求的；</w:t>
      </w:r>
    </w:p>
    <w:p w14:paraId="033EB65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）响应文件中的文件资料因填写不齐全或者内容虚假或者出现其他情形而导致被磋商小组认定无效的；</w:t>
      </w:r>
    </w:p>
    <w:p w14:paraId="4595F40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）响应文件含有采购人不能接受的附加条件的；</w:t>
      </w:r>
    </w:p>
    <w:p w14:paraId="3489F7C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）明显不满足竞争性磋商文件要求的技术规格、安全、质量标准，或者与竞争性磋商文件中标“▲”的技术需求或标明实质性的要求发生负偏离的；</w:t>
      </w:r>
    </w:p>
    <w:p w14:paraId="0EAEFC6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）技术需求允许负偏离的条款数超过“供应商须知前附表”规定项数的；</w:t>
      </w:r>
    </w:p>
    <w:p w14:paraId="4F2511B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）虚假竞标，或者出现其他情形而导致被磋商小组认定无效的；</w:t>
      </w:r>
    </w:p>
    <w:p w14:paraId="1806F46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）竞标技术方案不明确，竞争性磋商文件未允许</w:t>
      </w:r>
      <w:r>
        <w:rPr>
          <w:rFonts w:hint="eastAsia" w:ascii="宋体" w:hAnsi="宋体" w:eastAsia="宋体" w:cs="Calibri"/>
          <w:szCs w:val="21"/>
          <w:highlight w:val="none"/>
        </w:rPr>
        <w:t>但响应文件中</w:t>
      </w:r>
      <w:r>
        <w:rPr>
          <w:rFonts w:hint="eastAsia" w:ascii="宋体" w:hAnsi="宋体" w:eastAsia="宋体" w:cs="Calibri"/>
          <w:color w:val="000000"/>
          <w:szCs w:val="21"/>
          <w:highlight w:val="none"/>
        </w:rPr>
        <w:t>存在一个或一个以上备选（替代）竞标方案的；</w:t>
      </w:r>
    </w:p>
    <w:p w14:paraId="24D034D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）未响应竞争性磋商文件实质性要求的；</w:t>
      </w:r>
    </w:p>
    <w:p w14:paraId="174E366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）法律、法规和竞争性磋商文件规定的其他无效情形。</w:t>
      </w:r>
    </w:p>
    <w:p w14:paraId="615BB3A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（2）报价评审</w:t>
      </w:r>
    </w:p>
    <w:p w14:paraId="7A38960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 响应文件未提供“供应商须知前附表”第1</w:t>
      </w:r>
      <w:r>
        <w:rPr>
          <w:rFonts w:ascii="宋体" w:hAnsi="宋体" w:eastAsia="宋体" w:cs="Calibri"/>
          <w:color w:val="000000"/>
          <w:szCs w:val="21"/>
          <w:highlight w:val="none"/>
        </w:rPr>
        <w:t>0.1</w:t>
      </w:r>
      <w:r>
        <w:rPr>
          <w:rFonts w:hint="eastAsia" w:ascii="宋体" w:hAnsi="宋体" w:eastAsia="宋体" w:cs="Calibri"/>
          <w:color w:val="000000"/>
          <w:szCs w:val="21"/>
          <w:highlight w:val="none"/>
        </w:rPr>
        <w:t>.2条规定中的“竞标报价表”的；</w:t>
      </w:r>
    </w:p>
    <w:p w14:paraId="4B014A9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2）未采用人民币报价或者未按照竞争性磋商文件标明的币种报价的；</w:t>
      </w:r>
    </w:p>
    <w:p w14:paraId="45CFADD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 xml:space="preserve">3）竞标报价（包含首次报价、最后报价）超过规定的采购预算金额或者最高限价的（如本项目公布了最高限价）； </w:t>
      </w:r>
    </w:p>
    <w:p w14:paraId="34C4CFBC">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）修正后的报价，供应商不确认的；或经供应商确认修正后的竞标报价（包含首次报价、最后报价）超过规定的采购预算金额或者最高限价的（如本项目公布了最高限价）； </w:t>
      </w:r>
    </w:p>
    <w:p w14:paraId="284E4E43">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14:paraId="277B3EC4">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4</w:t>
      </w:r>
      <w:r>
        <w:rPr>
          <w:rFonts w:hint="eastAsia" w:ascii="宋体" w:hAnsi="宋体" w:eastAsia="宋体" w:cs="Calibri"/>
          <w:color w:val="000000"/>
          <w:szCs w:val="21"/>
          <w:highlight w:val="none"/>
        </w:rPr>
        <w:t>.7通过符合性审查的合格供应商不足3家的，不得进入磋商环节，采购人应当重新开展采购活动。</w:t>
      </w:r>
    </w:p>
    <w:p w14:paraId="0B795B2B">
      <w:pPr>
        <w:spacing w:line="400" w:lineRule="exact"/>
        <w:ind w:firstLine="422" w:firstLineChars="200"/>
        <w:rPr>
          <w:rFonts w:ascii="宋体" w:hAnsi="宋体" w:eastAsia="宋体" w:cs="Calibri"/>
          <w:b/>
          <w:color w:val="000000"/>
          <w:kern w:val="0"/>
          <w:szCs w:val="21"/>
          <w:highlight w:val="none"/>
        </w:rPr>
      </w:pPr>
      <w:r>
        <w:rPr>
          <w:rFonts w:hint="eastAsia" w:ascii="宋体" w:hAnsi="宋体" w:eastAsia="宋体" w:cs="Calibri"/>
          <w:b/>
          <w:color w:val="000000"/>
          <w:kern w:val="0"/>
          <w:szCs w:val="21"/>
          <w:highlight w:val="none"/>
        </w:rPr>
        <w:t>（三）磋商</w:t>
      </w:r>
    </w:p>
    <w:p w14:paraId="738D85CB">
      <w:pPr>
        <w:spacing w:line="400" w:lineRule="exact"/>
        <w:ind w:firstLine="420" w:firstLineChars="200"/>
        <w:rPr>
          <w:rFonts w:ascii="宋体" w:hAnsi="宋体" w:eastAsia="宋体" w:cs="Calibri"/>
          <w:color w:val="000000"/>
          <w:kern w:val="0"/>
          <w:szCs w:val="21"/>
          <w:highlight w:val="none"/>
        </w:rPr>
      </w:pPr>
      <w:r>
        <w:rPr>
          <w:rFonts w:ascii="宋体" w:hAnsi="宋体" w:eastAsia="宋体" w:cs="Calibri"/>
          <w:color w:val="000000"/>
          <w:kern w:val="0"/>
          <w:szCs w:val="21"/>
          <w:highlight w:val="none"/>
        </w:rPr>
        <w:t>5</w:t>
      </w:r>
      <w:r>
        <w:rPr>
          <w:rFonts w:hint="eastAsia" w:ascii="宋体" w:hAnsi="宋体" w:eastAsia="宋体" w:cs="Calibri"/>
          <w:color w:val="000000"/>
          <w:kern w:val="0"/>
          <w:szCs w:val="21"/>
          <w:highlight w:val="none"/>
        </w:rPr>
        <w:t>.磋商小组按照“供应商须知前附表”</w:t>
      </w:r>
      <w:r>
        <w:rPr>
          <w:rFonts w:hint="eastAsia" w:ascii="宋体" w:hAnsi="宋体" w:eastAsia="宋体" w:cs="Calibri"/>
          <w:color w:val="000000"/>
          <w:szCs w:val="21"/>
          <w:highlight w:val="none"/>
        </w:rPr>
        <w:t xml:space="preserve"> </w:t>
      </w:r>
      <w:r>
        <w:rPr>
          <w:rFonts w:hint="eastAsia" w:ascii="宋体" w:hAnsi="宋体" w:eastAsia="宋体" w:cs="Calibri"/>
          <w:color w:val="000000"/>
          <w:kern w:val="0"/>
          <w:szCs w:val="21"/>
          <w:highlight w:val="none"/>
        </w:rPr>
        <w:t>确定的</w:t>
      </w:r>
      <w:r>
        <w:rPr>
          <w:rFonts w:hint="eastAsia" w:ascii="宋体" w:hAnsi="宋体" w:eastAsia="宋体" w:cs="Calibri"/>
          <w:color w:val="000000"/>
          <w:szCs w:val="21"/>
          <w:highlight w:val="none"/>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14:paraId="14173AEF">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6</w:t>
      </w:r>
      <w:r>
        <w:rPr>
          <w:rFonts w:hint="eastAsia" w:ascii="宋体" w:hAnsi="宋体" w:eastAsia="宋体" w:cs="Calibri"/>
          <w:color w:val="000000"/>
          <w:szCs w:val="21"/>
          <w:highlight w:val="none"/>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0B336E43">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7</w:t>
      </w:r>
      <w:r>
        <w:rPr>
          <w:rFonts w:hint="eastAsia" w:ascii="宋体" w:hAnsi="宋体" w:eastAsia="宋体" w:cs="Calibri"/>
          <w:color w:val="000000"/>
          <w:szCs w:val="21"/>
          <w:highlight w:val="none"/>
        </w:rPr>
        <w:t>.对竞争性磋商文件作出的实质性变动是竞争性磋商文件的有效组成部分，由磋商小组及时以书面形式同时通知所有参加磋商的供应商。</w:t>
      </w:r>
    </w:p>
    <w:p w14:paraId="3B653985">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8</w:t>
      </w:r>
      <w:r>
        <w:rPr>
          <w:rFonts w:hint="eastAsia" w:ascii="宋体" w:hAnsi="宋体" w:eastAsia="宋体" w:cs="Calibri"/>
          <w:color w:val="000000"/>
          <w:szCs w:val="21"/>
          <w:highlight w:val="none"/>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14:paraId="4C0F6D7B">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9</w:t>
      </w:r>
      <w:r>
        <w:rPr>
          <w:rFonts w:hint="eastAsia" w:ascii="宋体" w:hAnsi="宋体" w:eastAsia="宋体" w:cs="Calibri"/>
          <w:color w:val="000000"/>
          <w:szCs w:val="21"/>
          <w:highlight w:val="none"/>
        </w:rPr>
        <w:t>.磋商中，</w:t>
      </w:r>
      <w:r>
        <w:rPr>
          <w:rFonts w:hint="eastAsia" w:ascii="宋体" w:hAnsi="宋体" w:eastAsia="宋体" w:cs="Calibri"/>
          <w:color w:val="000000"/>
          <w:spacing w:val="-6"/>
          <w:szCs w:val="21"/>
          <w:highlight w:val="none"/>
        </w:rPr>
        <w:t>磋商的任何一方不得透露与磋商有关的其他供应商的技术资料、价格和其他信息。</w:t>
      </w:r>
    </w:p>
    <w:p w14:paraId="06E590DB">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0</w:t>
      </w:r>
      <w:r>
        <w:rPr>
          <w:rFonts w:hint="eastAsia" w:ascii="宋体" w:hAnsi="宋体" w:eastAsia="宋体" w:cs="Calibri"/>
          <w:color w:val="000000"/>
          <w:szCs w:val="21"/>
          <w:highlight w:val="none"/>
        </w:rPr>
        <w:t>.磋商过程中重新提交的响应文件，供应商可以在开启前补充、修改。</w:t>
      </w:r>
    </w:p>
    <w:p w14:paraId="7605837C">
      <w:pPr>
        <w:widowControl/>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．对磋商过程提交的响应文件进行有效性、完整性和响应程度审查，通过审查的合格供应商不足3家的，采购人应当重新开展采购活动。</w:t>
      </w:r>
    </w:p>
    <w:p w14:paraId="2C84C72E">
      <w:pPr>
        <w:widowControl/>
        <w:spacing w:line="400" w:lineRule="exact"/>
        <w:ind w:firstLine="422" w:firstLineChars="200"/>
        <w:jc w:val="left"/>
        <w:rPr>
          <w:rFonts w:ascii="宋体" w:hAnsi="宋体" w:eastAsia="宋体" w:cs="Calibri"/>
          <w:b/>
          <w:color w:val="000000"/>
          <w:szCs w:val="21"/>
          <w:highlight w:val="none"/>
        </w:rPr>
      </w:pPr>
      <w:r>
        <w:rPr>
          <w:rFonts w:hint="eastAsia" w:ascii="宋体" w:hAnsi="宋体" w:eastAsia="宋体" w:cs="Calibri"/>
          <w:b/>
          <w:color w:val="000000"/>
          <w:szCs w:val="21"/>
          <w:highlight w:val="none"/>
        </w:rPr>
        <w:t>（四）最后报价</w:t>
      </w:r>
    </w:p>
    <w:p w14:paraId="3D86C7C8">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.竞争性磋商文件能够详细列明采购标的的技术、服务要求的，磋商结束后，由磋商小组要求所有继续参加磋商的供应商在规定时间内密封提交最后报价，提交最后报价的供应商不得少于3家。</w:t>
      </w:r>
    </w:p>
    <w:p w14:paraId="2761115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 最后报价是供应商响应文件的有效组成部分。</w:t>
      </w:r>
    </w:p>
    <w:p w14:paraId="2359628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.已经提交响应文件的供应商，在提交最后报价之前，可以根据磋商情况退出磋商，退出磋商的供应商的响应文件按无效响应处理。</w:t>
      </w:r>
    </w:p>
    <w:p w14:paraId="63C7402A">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5</w:t>
      </w:r>
      <w:r>
        <w:rPr>
          <w:rFonts w:hint="eastAsia" w:ascii="宋体" w:hAnsi="宋体" w:eastAsia="宋体" w:cs="Calibri"/>
          <w:color w:val="000000"/>
          <w:szCs w:val="21"/>
          <w:highlight w:val="none"/>
        </w:rPr>
        <w:t>.供应商未在规定时间内提交最后报价的，视同退出磋商。</w:t>
      </w:r>
    </w:p>
    <w:p w14:paraId="334233A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w:t>
      </w:r>
      <w:r>
        <w:rPr>
          <w:rFonts w:ascii="宋体" w:hAnsi="宋体" w:eastAsia="宋体" w:cs="Calibri"/>
          <w:color w:val="000000"/>
          <w:szCs w:val="21"/>
          <w:highlight w:val="none"/>
        </w:rPr>
        <w:t>6</w:t>
      </w:r>
      <w:r>
        <w:rPr>
          <w:rFonts w:hint="eastAsia" w:ascii="宋体" w:hAnsi="宋体" w:eastAsia="宋体" w:cs="Calibri"/>
          <w:color w:val="000000"/>
          <w:szCs w:val="21"/>
          <w:highlight w:val="none"/>
        </w:rPr>
        <w:t>.磋商小组收齐最后报价后统一开启，磋商小组对最后报价进行有效性、完整性和响应程度的审查。</w:t>
      </w:r>
    </w:p>
    <w:p w14:paraId="0A772509">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17</w:t>
      </w:r>
      <w:r>
        <w:rPr>
          <w:rFonts w:hint="eastAsia" w:ascii="宋体" w:hAnsi="宋体" w:eastAsia="宋体" w:cs="Calibri"/>
          <w:color w:val="000000"/>
          <w:szCs w:val="21"/>
          <w:highlight w:val="none"/>
        </w:rPr>
        <w:t>.响应文件最后报价出现前后不一致的，按照本章第</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 xml:space="preserve">.4条的规定修正。 </w:t>
      </w:r>
    </w:p>
    <w:p w14:paraId="1DBC13B0">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18</w:t>
      </w:r>
      <w:r>
        <w:rPr>
          <w:rFonts w:hint="eastAsia" w:ascii="宋体" w:hAnsi="宋体" w:eastAsia="宋体" w:cs="Calibri"/>
          <w:color w:val="000000"/>
          <w:szCs w:val="21"/>
          <w:highlight w:val="none"/>
        </w:rPr>
        <w:t>.修正后的报价出现下列情形的，按无效响应处理：</w:t>
      </w:r>
    </w:p>
    <w:p w14:paraId="7EBA8EC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（1）供应商不确认的；</w:t>
      </w:r>
    </w:p>
    <w:p w14:paraId="51975BBE">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（2）经供应商确认修正后的竞标报价（包含首次报价、最后报价）超过规定的采购预算金额或者最高限价的（如本项目公布了最高限价）；</w:t>
      </w:r>
    </w:p>
    <w:p w14:paraId="047F64E8">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19</w:t>
      </w:r>
      <w:r>
        <w:rPr>
          <w:rFonts w:hint="eastAsia" w:ascii="宋体" w:hAnsi="宋体" w:eastAsia="宋体" w:cs="Calibri"/>
          <w:color w:val="000000"/>
          <w:szCs w:val="21"/>
          <w:highlight w:val="none"/>
        </w:rPr>
        <w:t>.经供应商确认修正后的最后报价作为评审及签订合同的依据。</w:t>
      </w:r>
    </w:p>
    <w:p w14:paraId="1673E95E">
      <w:pPr>
        <w:spacing w:line="400" w:lineRule="exact"/>
        <w:ind w:firstLine="420" w:firstLineChars="200"/>
        <w:rPr>
          <w:rFonts w:ascii="宋体" w:hAnsi="宋体" w:eastAsia="宋体" w:cs="Calibri"/>
          <w:color w:val="000000"/>
          <w:szCs w:val="21"/>
          <w:highlight w:val="none"/>
        </w:rPr>
      </w:pPr>
      <w:r>
        <w:rPr>
          <w:rFonts w:ascii="宋体" w:hAnsi="宋体" w:eastAsia="宋体" w:cs="Calibri"/>
          <w:color w:val="000000"/>
          <w:szCs w:val="21"/>
          <w:highlight w:val="none"/>
        </w:rPr>
        <w:t>20</w:t>
      </w:r>
      <w:r>
        <w:rPr>
          <w:rFonts w:hint="eastAsia" w:ascii="宋体" w:hAnsi="宋体" w:eastAsia="宋体" w:cs="Calibri"/>
          <w:color w:val="000000"/>
          <w:szCs w:val="21"/>
          <w:highlight w:val="none"/>
        </w:rPr>
        <w:t>.最后报价结束后，磋商小组不得再与供应商进行任何形式的商谈。</w:t>
      </w:r>
    </w:p>
    <w:p w14:paraId="0EE83F44">
      <w:pPr>
        <w:spacing w:line="400" w:lineRule="exact"/>
        <w:ind w:firstLine="422" w:firstLineChars="200"/>
        <w:rPr>
          <w:rFonts w:ascii="宋体" w:hAnsi="宋体" w:eastAsia="宋体" w:cs="Calibri"/>
          <w:b/>
          <w:color w:val="000000"/>
          <w:szCs w:val="21"/>
          <w:highlight w:val="none"/>
        </w:rPr>
      </w:pPr>
      <w:r>
        <w:rPr>
          <w:rFonts w:hint="eastAsia" w:ascii="宋体" w:hAnsi="宋体" w:eastAsia="宋体" w:cs="Calibri"/>
          <w:b/>
          <w:color w:val="000000"/>
          <w:szCs w:val="21"/>
          <w:highlight w:val="none"/>
        </w:rPr>
        <w:t>（五）比较与评价</w:t>
      </w:r>
    </w:p>
    <w:p w14:paraId="540EB447">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1</w:t>
      </w:r>
      <w:r>
        <w:rPr>
          <w:rFonts w:hint="eastAsia" w:ascii="宋体" w:hAnsi="宋体" w:eastAsia="宋体" w:cs="Calibri"/>
          <w:color w:val="000000"/>
          <w:szCs w:val="21"/>
          <w:highlight w:val="none"/>
        </w:rPr>
        <w:t>.评审方法：综合评分法。</w:t>
      </w:r>
    </w:p>
    <w:p w14:paraId="5883B072">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2</w:t>
      </w:r>
      <w:r>
        <w:rPr>
          <w:rFonts w:hint="eastAsia" w:ascii="宋体" w:hAnsi="宋体" w:eastAsia="宋体" w:cs="Calibri"/>
          <w:color w:val="000000"/>
          <w:szCs w:val="21"/>
          <w:highlight w:val="none"/>
        </w:rPr>
        <w:t>.经磋商确定最终采购需求和提交最后报价的供应商后，由磋商小组采用综合评分法对提交最后报价的供应商的响应文件和最后报价进行综合评分。</w:t>
      </w:r>
    </w:p>
    <w:p w14:paraId="36B17C1A">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3</w:t>
      </w:r>
      <w:r>
        <w:rPr>
          <w:rFonts w:hint="eastAsia" w:ascii="宋体" w:hAnsi="宋体" w:eastAsia="宋体" w:cs="Calibri"/>
          <w:color w:val="000000"/>
          <w:szCs w:val="21"/>
          <w:highlight w:val="none"/>
        </w:rPr>
        <w:t>.评审时，磋商小组各成员应当独立对每个有效响应的文件进行评价、打分，然后汇总每个供应商每项评分因素的得分。</w:t>
      </w:r>
    </w:p>
    <w:p w14:paraId="679BDCB1">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（1）磋商小组按照竞争性磋商文件中规定的评审标准计算各供应商的报价得分。项目评审过程中，不得去掉最后报价中的最高报价和最低报价。</w:t>
      </w:r>
    </w:p>
    <w:p w14:paraId="280349A9">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（2）各供应商的得分为磋商小组所有成员的有效评分的算术平均数。</w:t>
      </w:r>
    </w:p>
    <w:p w14:paraId="0C5D49BF">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2</w:t>
      </w:r>
      <w:r>
        <w:rPr>
          <w:rFonts w:ascii="宋体" w:hAnsi="宋体" w:eastAsia="宋体" w:cs="Calibri"/>
          <w:color w:val="000000"/>
          <w:szCs w:val="21"/>
          <w:highlight w:val="none"/>
        </w:rPr>
        <w:t>4</w:t>
      </w:r>
      <w:r>
        <w:rPr>
          <w:rFonts w:hint="eastAsia" w:ascii="宋体" w:hAnsi="宋体" w:eastAsia="宋体" w:cs="Calibri"/>
          <w:color w:val="000000"/>
          <w:szCs w:val="21"/>
          <w:highlight w:val="none"/>
        </w:rPr>
        <w:t>.评审价为供应商的最后报价进行政策性扣除后的价格，评审价只是作为评审时使用。最终成交供应商的成交金额等于最后报价（如有修正，以确认修正后的最后报价为准）。</w:t>
      </w:r>
    </w:p>
    <w:p w14:paraId="414C8313">
      <w:pPr>
        <w:spacing w:line="400" w:lineRule="exact"/>
        <w:rPr>
          <w:rFonts w:ascii="黑体" w:hAnsi="黑体" w:eastAsia="黑体" w:cs="Times New Roman"/>
          <w:b/>
          <w:color w:val="000000"/>
          <w:szCs w:val="21"/>
          <w:highlight w:val="none"/>
        </w:rPr>
      </w:pPr>
      <w:r>
        <w:rPr>
          <w:rFonts w:hint="eastAsia" w:ascii="宋体" w:hAnsi="宋体" w:eastAsia="宋体" w:cs="Times New Roman"/>
          <w:b/>
          <w:color w:val="000000"/>
          <w:sz w:val="28"/>
          <w:szCs w:val="28"/>
          <w:highlight w:val="none"/>
        </w:rPr>
        <w:t xml:space="preserve"> </w:t>
      </w:r>
      <w:r>
        <w:rPr>
          <w:rFonts w:ascii="宋体" w:hAnsi="宋体" w:eastAsia="宋体" w:cs="Times New Roman"/>
          <w:b/>
          <w:color w:val="000000"/>
          <w:sz w:val="28"/>
          <w:szCs w:val="28"/>
          <w:highlight w:val="none"/>
        </w:rPr>
        <w:t xml:space="preserve">   </w:t>
      </w:r>
      <w:r>
        <w:rPr>
          <w:rFonts w:hint="eastAsia" w:ascii="宋体" w:hAnsi="宋体" w:eastAsia="宋体" w:cs="Times New Roman"/>
          <w:b/>
          <w:color w:val="000000"/>
          <w:szCs w:val="21"/>
          <w:highlight w:val="none"/>
        </w:rPr>
        <w:t>二、评审标准</w:t>
      </w:r>
    </w:p>
    <w:p w14:paraId="56F0C8F4">
      <w:pPr>
        <w:spacing w:line="400" w:lineRule="exact"/>
        <w:ind w:firstLine="420" w:firstLineChars="2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评审依据：磋商小组将以磋商响应文件为评审依据，对供应商的报价、技术、商务等方面内容按百分制打分。（计分方法按四舍五入取至百分位）</w:t>
      </w:r>
    </w:p>
    <w:tbl>
      <w:tblPr>
        <w:tblStyle w:val="48"/>
        <w:tblW w:w="98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1105"/>
        <w:gridCol w:w="6628"/>
        <w:gridCol w:w="1497"/>
      </w:tblGrid>
      <w:tr w14:paraId="1A62C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14:paraId="54F007C1">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序号</w:t>
            </w:r>
          </w:p>
        </w:tc>
        <w:tc>
          <w:tcPr>
            <w:tcW w:w="1105" w:type="dxa"/>
            <w:vAlign w:val="center"/>
          </w:tcPr>
          <w:p w14:paraId="27C6F74A">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6628" w:type="dxa"/>
            <w:vAlign w:val="center"/>
          </w:tcPr>
          <w:p w14:paraId="4536E80E">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评审因素具体内容</w:t>
            </w:r>
          </w:p>
        </w:tc>
        <w:tc>
          <w:tcPr>
            <w:tcW w:w="1497" w:type="dxa"/>
            <w:vAlign w:val="center"/>
          </w:tcPr>
          <w:p w14:paraId="78750A3C">
            <w:pPr>
              <w:widowControl/>
              <w:spacing w:line="400" w:lineRule="exact"/>
              <w:jc w:val="center"/>
              <w:rPr>
                <w:rFonts w:ascii="宋体" w:hAnsi="宋体" w:eastAsia="宋体" w:cs="Tahoma"/>
                <w:b/>
                <w:bCs/>
                <w:color w:val="000000"/>
                <w:kern w:val="0"/>
                <w:szCs w:val="21"/>
                <w:highlight w:val="none"/>
              </w:rPr>
            </w:pPr>
            <w:r>
              <w:rPr>
                <w:rFonts w:hint="eastAsia" w:ascii="宋体" w:hAnsi="宋体" w:cs="Tahoma"/>
                <w:b/>
                <w:bCs/>
                <w:color w:val="000000"/>
                <w:kern w:val="0"/>
                <w:szCs w:val="21"/>
                <w:highlight w:val="none"/>
                <w:lang w:val="en-US" w:eastAsia="zh-CN"/>
              </w:rPr>
              <w:t>评审依据</w:t>
            </w:r>
          </w:p>
        </w:tc>
      </w:tr>
      <w:tr w14:paraId="698BD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vAlign w:val="center"/>
          </w:tcPr>
          <w:p w14:paraId="4F92D347">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w:t>
            </w:r>
          </w:p>
        </w:tc>
        <w:tc>
          <w:tcPr>
            <w:tcW w:w="1105" w:type="dxa"/>
            <w:vAlign w:val="center"/>
          </w:tcPr>
          <w:p w14:paraId="06F6D386">
            <w:pPr>
              <w:widowControl/>
              <w:spacing w:line="400" w:lineRule="exact"/>
              <w:jc w:val="center"/>
              <w:rPr>
                <w:rFonts w:hint="eastAsia" w:ascii="宋体" w:hAnsi="宋体" w:eastAsia="宋体" w:cs="Tahoma"/>
                <w:color w:val="000000"/>
                <w:kern w:val="0"/>
                <w:szCs w:val="21"/>
                <w:highlight w:val="none"/>
              </w:rPr>
            </w:pPr>
            <w:r>
              <w:rPr>
                <w:rFonts w:hint="eastAsia" w:ascii="宋体" w:hAnsi="宋体" w:eastAsia="宋体" w:cs="Tahoma"/>
                <w:color w:val="000000"/>
                <w:kern w:val="0"/>
                <w:szCs w:val="21"/>
                <w:highlight w:val="none"/>
              </w:rPr>
              <w:t>价格分</w:t>
            </w:r>
          </w:p>
          <w:p w14:paraId="7628DB35">
            <w:pPr>
              <w:widowControl/>
              <w:spacing w:line="400" w:lineRule="exact"/>
              <w:jc w:val="center"/>
              <w:rPr>
                <w:rFonts w:hint="default" w:ascii="宋体" w:hAnsi="宋体" w:eastAsia="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40分</w:t>
            </w:r>
          </w:p>
        </w:tc>
        <w:tc>
          <w:tcPr>
            <w:tcW w:w="6628" w:type="dxa"/>
          </w:tcPr>
          <w:p w14:paraId="2C6B5F44">
            <w:pPr>
              <w:spacing w:line="400" w:lineRule="exact"/>
              <w:rPr>
                <w:rFonts w:ascii="宋体" w:hAnsi="宋体" w:eastAsia="宋体" w:cs="Calibri"/>
                <w:color w:val="000000"/>
                <w:szCs w:val="21"/>
                <w:highlight w:val="none"/>
              </w:rPr>
            </w:pPr>
            <w:r>
              <w:rPr>
                <w:rFonts w:hint="eastAsia" w:ascii="宋体" w:hAnsi="宋体" w:eastAsia="宋体" w:cs="Courier New"/>
                <w:bCs/>
                <w:color w:val="000000"/>
                <w:szCs w:val="21"/>
                <w:highlight w:val="none"/>
              </w:rPr>
              <w:t>1.</w:t>
            </w:r>
            <w:r>
              <w:rPr>
                <w:rFonts w:hint="eastAsia" w:ascii="宋体" w:hAnsi="宋体" w:eastAsia="宋体" w:cs="Calibri"/>
                <w:color w:val="000000"/>
                <w:szCs w:val="21"/>
                <w:highlight w:val="none"/>
              </w:rPr>
              <w:t>评审价为供应商的最后报价进行政策性扣除后的价格，评审价只是作为评审时使用。最终成交供应商的成交金额等于最后报价（如有修正，以确认修正后的最后报价为准）。</w:t>
            </w:r>
          </w:p>
          <w:p w14:paraId="183DE29E">
            <w:pPr>
              <w:spacing w:line="400" w:lineRule="exact"/>
              <w:rPr>
                <w:rFonts w:ascii="宋体" w:hAnsi="宋体" w:eastAsia="宋体" w:cs="宋体"/>
                <w:color w:val="000000"/>
                <w:kern w:val="0"/>
                <w:szCs w:val="21"/>
                <w:highlight w:val="none"/>
              </w:rPr>
            </w:pPr>
            <w:r>
              <w:rPr>
                <w:rFonts w:hint="eastAsia" w:ascii="宋体" w:hAnsi="宋体" w:eastAsia="宋体" w:cs="Courier New"/>
                <w:bCs/>
                <w:color w:val="000000"/>
                <w:szCs w:val="21"/>
                <w:highlight w:val="none"/>
              </w:rPr>
              <w:t>2.政府采购政策性扣除计算方法</w:t>
            </w:r>
          </w:p>
          <w:p w14:paraId="66BA4AFF">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1）按照《政府采购促进中小企业发展暂行办法》（财库〔2011〕181号）的规定，供应商为小型和微型企业，并在其响应文件中提供《中小企业声明函》，且其所竞标产品全部为小型和微型企业产品的，对其最后报价给予6%的扣除。</w:t>
            </w:r>
          </w:p>
          <w:p w14:paraId="701930F9">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2）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030FDDB">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3）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7E08529C">
            <w:pPr>
              <w:spacing w:line="400" w:lineRule="exact"/>
              <w:rPr>
                <w:rFonts w:ascii="宋体" w:hAnsi="宋体" w:eastAsia="宋体" w:cs="Calibri"/>
                <w:color w:val="000000"/>
                <w:szCs w:val="21"/>
                <w:highlight w:val="none"/>
              </w:rPr>
            </w:pPr>
            <w:r>
              <w:rPr>
                <w:rFonts w:hint="eastAsia" w:ascii="宋体" w:hAnsi="宋体" w:eastAsia="宋体" w:cs="Calibri"/>
                <w:color w:val="000000"/>
                <w:szCs w:val="21"/>
                <w:highlight w:val="none"/>
              </w:rPr>
              <w:t>（4）政策性扣除计算方法。</w:t>
            </w:r>
          </w:p>
          <w:p w14:paraId="2946BC80">
            <w:pPr>
              <w:spacing w:line="400" w:lineRule="exact"/>
              <w:ind w:firstLine="420" w:firstLineChars="200"/>
              <w:rPr>
                <w:rFonts w:ascii="宋体" w:hAnsi="宋体" w:eastAsia="宋体" w:cs="Calibri"/>
                <w:color w:val="000000"/>
                <w:szCs w:val="21"/>
                <w:highlight w:val="none"/>
              </w:rPr>
            </w:pPr>
            <w:r>
              <w:rPr>
                <w:rFonts w:hint="eastAsia" w:ascii="宋体" w:hAnsi="宋体" w:eastAsia="宋体" w:cs="Calibri"/>
                <w:color w:val="000000"/>
                <w:szCs w:val="21"/>
                <w:highlight w:val="none"/>
              </w:rPr>
              <w:t>供应商被评定为监狱企业或残疾人福利性单位或小型和微型企业且其所竞标全部产品为小型和微型企业产品的，该供应商的最后报价给予6%的扣除，扣除后的价格为评审价，即评审价=最后报价×（1-6%）；大中型企业和其他自然人、法人或者其他组织与小型、微型企业组成联合体竞标，且联合体协议中约定小型、微型企业的协议合同金额占到联合体协议合同总金额30%以上的，联合体最后报价给予2%的扣除，扣除后的价格为评审价，即评审价=最后报价×（1-2%）；除上述情况外，评审价=最后报价。</w:t>
            </w:r>
          </w:p>
          <w:p w14:paraId="2F3D2ED3">
            <w:pPr>
              <w:snapToGrid w:val="0"/>
              <w:spacing w:line="400" w:lineRule="exact"/>
              <w:ind w:firstLine="420" w:firstLineChars="200"/>
              <w:jc w:val="left"/>
              <w:rPr>
                <w:rFonts w:ascii="宋体" w:hAnsi="宋体" w:eastAsia="宋体" w:cs="Calibri"/>
                <w:color w:val="000000"/>
                <w:szCs w:val="21"/>
                <w:highlight w:val="none"/>
              </w:rPr>
            </w:pPr>
            <w:r>
              <w:rPr>
                <w:rFonts w:hint="eastAsia" w:ascii="宋体" w:hAnsi="宋体" w:eastAsia="宋体" w:cs="Calibri"/>
                <w:color w:val="000000"/>
                <w:szCs w:val="21"/>
                <w:highlight w:val="none"/>
              </w:rPr>
              <w:t>（5）除上述情况外，评审价＝最后报价。</w:t>
            </w:r>
          </w:p>
          <w:p w14:paraId="33229CC9">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（6）以进入比较与评价环节的最低的评审价为基准价，基准价得分为</w:t>
            </w:r>
            <w:r>
              <w:rPr>
                <w:rFonts w:hint="eastAsia" w:ascii="宋体" w:hAnsi="宋体" w:eastAsia="宋体" w:cs="Courier New"/>
                <w:bCs/>
                <w:color w:val="000000"/>
                <w:szCs w:val="21"/>
                <w:highlight w:val="none"/>
                <w:u w:val="single"/>
              </w:rPr>
              <w:t xml:space="preserve"> </w:t>
            </w:r>
            <w:r>
              <w:rPr>
                <w:rFonts w:ascii="宋体" w:hAnsi="宋体" w:eastAsia="宋体" w:cs="Courier New"/>
                <w:bCs/>
                <w:color w:val="000000"/>
                <w:szCs w:val="21"/>
                <w:highlight w:val="none"/>
                <w:u w:val="single"/>
              </w:rPr>
              <w:t>30</w:t>
            </w:r>
            <w:r>
              <w:rPr>
                <w:rFonts w:hint="eastAsia" w:ascii="宋体" w:hAnsi="宋体" w:eastAsia="宋体" w:cs="Courier New"/>
                <w:bCs/>
                <w:color w:val="000000"/>
                <w:szCs w:val="21"/>
                <w:highlight w:val="none"/>
                <w:u w:val="single"/>
              </w:rPr>
              <w:t>分</w:t>
            </w:r>
            <w:r>
              <w:rPr>
                <w:rFonts w:hint="eastAsia" w:ascii="宋体" w:hAnsi="宋体" w:eastAsia="宋体" w:cs="Courier New"/>
                <w:bCs/>
                <w:color w:val="000000"/>
                <w:szCs w:val="21"/>
                <w:highlight w:val="none"/>
              </w:rPr>
              <w:t>。</w:t>
            </w:r>
          </w:p>
          <w:p w14:paraId="69981E4F">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（7）价格分计算公式：</w:t>
            </w:r>
          </w:p>
          <w:p w14:paraId="07C88307">
            <w:pPr>
              <w:ind w:firstLine="420" w:firstLineChars="200"/>
              <w:rPr>
                <w:rFonts w:hint="eastAsia" w:ascii="宋体" w:hAnsi="宋体" w:eastAsia="宋体" w:cs="Courier New"/>
                <w:bCs/>
                <w:color w:val="000000"/>
                <w:szCs w:val="21"/>
                <w:highlight w:val="none"/>
                <w:u w:val="single"/>
              </w:rPr>
            </w:pPr>
            <w:r>
              <w:rPr>
                <w:rFonts w:hint="eastAsia" w:ascii="宋体" w:hAnsi="宋体" w:eastAsia="宋体" w:cs="Courier New"/>
                <w:bCs/>
                <w:color w:val="000000"/>
                <w:szCs w:val="21"/>
                <w:highlight w:val="none"/>
              </w:rPr>
              <w:t>报价得分</w:t>
            </w:r>
            <w:r>
              <w:rPr>
                <w:rFonts w:hint="eastAsia" w:ascii="Calibri" w:hAnsi="Calibri" w:eastAsia="宋体" w:cs="Calibri"/>
                <w:bCs/>
                <w:color w:val="000000"/>
                <w:szCs w:val="21"/>
                <w:highlight w:val="none"/>
              </w:rPr>
              <w:t>=</w:t>
            </w:r>
            <w:r>
              <w:rPr>
                <w:rFonts w:hint="eastAsia" w:ascii="宋体" w:hAnsi="宋体" w:eastAsia="宋体" w:cs="Courier New"/>
                <w:bCs/>
                <w:color w:val="000000"/>
                <w:szCs w:val="21"/>
                <w:highlight w:val="none"/>
              </w:rPr>
              <w:t>（基准价</w:t>
            </w:r>
            <w:r>
              <w:rPr>
                <w:rFonts w:hint="eastAsia" w:ascii="Calibri" w:hAnsi="Calibri" w:eastAsia="宋体" w:cs="Calibri"/>
                <w:bCs/>
                <w:color w:val="000000"/>
                <w:szCs w:val="21"/>
                <w:highlight w:val="none"/>
              </w:rPr>
              <w:t>/</w:t>
            </w:r>
            <w:r>
              <w:rPr>
                <w:rFonts w:hint="eastAsia" w:ascii="宋体" w:hAnsi="宋体" w:eastAsia="宋体" w:cs="Courier New"/>
                <w:bCs/>
                <w:color w:val="000000"/>
                <w:szCs w:val="21"/>
                <w:highlight w:val="none"/>
              </w:rPr>
              <w:t>最后报价）×</w:t>
            </w:r>
            <w:r>
              <w:rPr>
                <w:rFonts w:hint="eastAsia" w:ascii="Calibri" w:hAnsi="Calibri" w:cs="Calibri"/>
                <w:bCs/>
                <w:color w:val="000000"/>
                <w:szCs w:val="21"/>
                <w:highlight w:val="none"/>
                <w:u w:val="single"/>
                <w:lang w:val="en-US" w:eastAsia="zh-CN"/>
              </w:rPr>
              <w:t>4</w:t>
            </w:r>
            <w:r>
              <w:rPr>
                <w:rFonts w:ascii="Calibri" w:hAnsi="Calibri" w:eastAsia="宋体" w:cs="Calibri"/>
                <w:bCs/>
                <w:color w:val="000000"/>
                <w:szCs w:val="21"/>
                <w:highlight w:val="none"/>
                <w:u w:val="single"/>
              </w:rPr>
              <w:t>0</w:t>
            </w:r>
            <w:r>
              <w:rPr>
                <w:rFonts w:hint="eastAsia" w:ascii="宋体" w:hAnsi="宋体" w:eastAsia="宋体" w:cs="Courier New"/>
                <w:bCs/>
                <w:color w:val="000000"/>
                <w:szCs w:val="21"/>
                <w:highlight w:val="none"/>
                <w:u w:val="single"/>
              </w:rPr>
              <w:t>分</w:t>
            </w:r>
          </w:p>
        </w:tc>
        <w:tc>
          <w:tcPr>
            <w:tcW w:w="1497" w:type="dxa"/>
            <w:vAlign w:val="center"/>
          </w:tcPr>
          <w:p w14:paraId="2355655B">
            <w:pPr>
              <w:widowControl/>
              <w:spacing w:line="400" w:lineRule="exact"/>
              <w:jc w:val="left"/>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 xml:space="preserve"> </w:t>
            </w:r>
            <w:r>
              <w:rPr>
                <w:rFonts w:hint="eastAsia" w:ascii="宋体" w:hAnsi="宋体" w:cs="Tahoma"/>
                <w:color w:val="000000"/>
                <w:kern w:val="0"/>
                <w:szCs w:val="21"/>
                <w:highlight w:val="none"/>
                <w:lang w:val="en-US" w:eastAsia="zh-CN"/>
              </w:rPr>
              <w:t>最终报价</w:t>
            </w:r>
          </w:p>
        </w:tc>
      </w:tr>
      <w:tr w14:paraId="5C105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89" w:type="dxa"/>
            <w:shd w:val="clear" w:color="auto" w:fill="D7D7D7" w:themeFill="background1" w:themeFillShade="D8"/>
            <w:vAlign w:val="center"/>
          </w:tcPr>
          <w:p w14:paraId="2A7E8C91">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imes New Roman"/>
                <w:bCs/>
                <w:color w:val="000000"/>
                <w:kern w:val="0"/>
                <w:szCs w:val="21"/>
                <w:highlight w:val="none"/>
              </w:rPr>
              <w:t>2</w:t>
            </w:r>
          </w:p>
        </w:tc>
        <w:tc>
          <w:tcPr>
            <w:tcW w:w="1105" w:type="dxa"/>
            <w:shd w:val="clear" w:color="auto" w:fill="D7D7D7" w:themeFill="background1" w:themeFillShade="D8"/>
            <w:vAlign w:val="center"/>
          </w:tcPr>
          <w:p w14:paraId="21318F61">
            <w:pPr>
              <w:widowControl/>
              <w:spacing w:line="400" w:lineRule="exact"/>
              <w:jc w:val="center"/>
              <w:rPr>
                <w:rFonts w:hint="eastAsia" w:ascii="宋体" w:hAnsi="宋体" w:eastAsia="宋体" w:cs="Tahoma"/>
                <w:b/>
                <w:bCs w:val="0"/>
                <w:color w:val="000000"/>
                <w:kern w:val="0"/>
                <w:szCs w:val="21"/>
                <w:highlight w:val="none"/>
                <w:lang w:eastAsia="zh-CN"/>
              </w:rPr>
            </w:pPr>
            <w:r>
              <w:rPr>
                <w:rFonts w:hint="eastAsia" w:ascii="宋体" w:hAnsi="宋体" w:eastAsia="宋体" w:cs="Times New Roman"/>
                <w:b/>
                <w:bCs w:val="0"/>
                <w:color w:val="000000"/>
                <w:kern w:val="0"/>
                <w:szCs w:val="21"/>
                <w:highlight w:val="none"/>
              </w:rPr>
              <w:t>技术分</w:t>
            </w:r>
          </w:p>
        </w:tc>
        <w:tc>
          <w:tcPr>
            <w:tcW w:w="6628" w:type="dxa"/>
            <w:shd w:val="clear" w:color="auto" w:fill="D7D7D7" w:themeFill="background1" w:themeFillShade="D8"/>
          </w:tcPr>
          <w:p w14:paraId="35502E7C">
            <w:pPr>
              <w:widowControl/>
              <w:spacing w:line="400" w:lineRule="exact"/>
              <w:jc w:val="center"/>
              <w:rPr>
                <w:rFonts w:ascii="宋体" w:hAnsi="宋体" w:eastAsia="宋体" w:cs="Tahoma"/>
                <w:b/>
                <w:bCs w:val="0"/>
                <w:color w:val="000000"/>
                <w:kern w:val="0"/>
                <w:szCs w:val="21"/>
                <w:highlight w:val="none"/>
              </w:rPr>
            </w:pPr>
            <w:r>
              <w:rPr>
                <w:rFonts w:hint="eastAsia" w:ascii="宋体" w:hAnsi="宋体" w:eastAsia="宋体" w:cs="Tahoma"/>
                <w:b/>
                <w:bCs w:val="0"/>
                <w:color w:val="000000"/>
                <w:kern w:val="0"/>
                <w:szCs w:val="21"/>
                <w:highlight w:val="none"/>
              </w:rPr>
              <w:t>评审因素</w:t>
            </w:r>
          </w:p>
        </w:tc>
        <w:tc>
          <w:tcPr>
            <w:tcW w:w="1497" w:type="dxa"/>
            <w:shd w:val="clear" w:color="auto" w:fill="D7D7D7" w:themeFill="background1" w:themeFillShade="D8"/>
          </w:tcPr>
          <w:p w14:paraId="3A0AB88B">
            <w:pPr>
              <w:widowControl/>
              <w:spacing w:line="400" w:lineRule="exact"/>
              <w:jc w:val="center"/>
              <w:rPr>
                <w:rFonts w:hint="default" w:ascii="宋体" w:hAnsi="宋体" w:eastAsia="宋体" w:cs="Tahoma"/>
                <w:b/>
                <w:bCs w:val="0"/>
                <w:color w:val="000000"/>
                <w:kern w:val="0"/>
                <w:szCs w:val="21"/>
                <w:highlight w:val="none"/>
                <w:lang w:val="en-US" w:eastAsia="zh-CN"/>
              </w:rPr>
            </w:pPr>
            <w:r>
              <w:rPr>
                <w:rFonts w:hint="eastAsia" w:ascii="宋体" w:hAnsi="宋体" w:cs="Tahoma"/>
                <w:b/>
                <w:bCs w:val="0"/>
                <w:color w:val="000000"/>
                <w:kern w:val="0"/>
                <w:szCs w:val="21"/>
                <w:highlight w:val="none"/>
                <w:lang w:val="en-US" w:eastAsia="zh-CN"/>
              </w:rPr>
              <w:t>评审依据</w:t>
            </w:r>
          </w:p>
        </w:tc>
      </w:tr>
      <w:tr w14:paraId="5E30D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1" w:hRule="atLeast"/>
          <w:jc w:val="center"/>
        </w:trPr>
        <w:tc>
          <w:tcPr>
            <w:tcW w:w="589" w:type="dxa"/>
            <w:vAlign w:val="center"/>
          </w:tcPr>
          <w:p w14:paraId="55A5E70B">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.1</w:t>
            </w:r>
          </w:p>
        </w:tc>
        <w:tc>
          <w:tcPr>
            <w:tcW w:w="1105" w:type="dxa"/>
            <w:vAlign w:val="center"/>
          </w:tcPr>
          <w:p w14:paraId="4C4E6BBD">
            <w:pPr>
              <w:jc w:val="center"/>
              <w:rPr>
                <w:rFonts w:hint="eastAsia"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项目实施方案</w:t>
            </w:r>
          </w:p>
          <w:p w14:paraId="0DA33EB1">
            <w:pPr>
              <w:jc w:val="center"/>
              <w:rPr>
                <w:rFonts w:hint="default" w:ascii="宋体" w:hAnsi="宋体" w:cs="宋体"/>
                <w:color w:val="auto"/>
                <w:spacing w:val="2"/>
                <w:sz w:val="20"/>
                <w:szCs w:val="20"/>
                <w:highlight w:val="none"/>
                <w:lang w:val="en-US" w:eastAsia="zh-CN"/>
              </w:rPr>
            </w:pPr>
            <w:r>
              <w:rPr>
                <w:rFonts w:hint="eastAsia" w:ascii="宋体" w:hAnsi="宋体" w:cs="宋体"/>
                <w:color w:val="auto"/>
                <w:spacing w:val="2"/>
                <w:sz w:val="20"/>
                <w:szCs w:val="20"/>
                <w:highlight w:val="none"/>
                <w:lang w:val="en-US" w:eastAsia="zh-CN"/>
              </w:rPr>
              <w:t>12分</w:t>
            </w:r>
          </w:p>
        </w:tc>
        <w:tc>
          <w:tcPr>
            <w:tcW w:w="6628" w:type="dxa"/>
            <w:vAlign w:val="center"/>
          </w:tcPr>
          <w:p w14:paraId="502A7149">
            <w:pPr>
              <w:spacing w:after="0" w:line="360" w:lineRule="auto"/>
              <w:ind w:firstLine="422" w:firstLineChars="200"/>
              <w:rPr>
                <w:rFonts w:hint="eastAsia" w:ascii="宋体" w:hAnsi="宋体" w:cs="宋体"/>
                <w:b/>
                <w:bCs w:val="0"/>
                <w:szCs w:val="21"/>
                <w:highlight w:val="none"/>
              </w:rPr>
            </w:pPr>
            <w:r>
              <w:rPr>
                <w:rFonts w:hint="eastAsia" w:ascii="宋体" w:hAnsi="宋体" w:cs="宋体"/>
                <w:b/>
                <w:bCs w:val="0"/>
                <w:szCs w:val="21"/>
                <w:highlight w:val="none"/>
              </w:rPr>
              <w:t>根据供应商项目服务方案（内容可包含但不限于①项目</w:t>
            </w:r>
            <w:r>
              <w:rPr>
                <w:rFonts w:hint="eastAsia" w:ascii="宋体" w:hAnsi="宋体"/>
                <w:b/>
                <w:bCs w:val="0"/>
                <w:szCs w:val="21"/>
                <w:highlight w:val="none"/>
              </w:rPr>
              <w:t>资料收集、</w:t>
            </w:r>
            <w:r>
              <w:rPr>
                <w:rFonts w:hint="eastAsia" w:ascii="宋体" w:hAnsi="宋体"/>
                <w:b/>
                <w:bCs w:val="0"/>
                <w:szCs w:val="21"/>
                <w:highlight w:val="none"/>
                <w:lang w:val="en-US" w:eastAsia="zh-CN"/>
              </w:rPr>
              <w:t>文</w:t>
            </w:r>
            <w:r>
              <w:rPr>
                <w:rFonts w:hint="eastAsia" w:ascii="宋体" w:hAnsi="宋体"/>
                <w:b/>
                <w:bCs w:val="0"/>
                <w:szCs w:val="21"/>
                <w:highlight w:val="none"/>
              </w:rPr>
              <w:t>稿评审、总纂等环节及出版印刷的</w:t>
            </w:r>
            <w:r>
              <w:rPr>
                <w:rFonts w:hint="eastAsia" w:ascii="宋体" w:hAnsi="宋体" w:cs="宋体"/>
                <w:b/>
                <w:bCs w:val="0"/>
                <w:szCs w:val="21"/>
                <w:highlight w:val="none"/>
              </w:rPr>
              <w:t>具体服务流程、②项目执行</w:t>
            </w:r>
            <w:r>
              <w:rPr>
                <w:rFonts w:hint="eastAsia" w:ascii="宋体" w:hAnsi="宋体" w:cs="宋体"/>
                <w:b/>
                <w:bCs w:val="0"/>
                <w:szCs w:val="21"/>
                <w:highlight w:val="none"/>
                <w:lang w:val="en-US" w:eastAsia="zh-CN"/>
              </w:rPr>
              <w:t>计划安排、③</w:t>
            </w:r>
            <w:r>
              <w:rPr>
                <w:rFonts w:hint="eastAsia" w:ascii="宋体" w:hAnsi="宋体" w:cs="宋体"/>
                <w:b/>
                <w:bCs w:val="0"/>
                <w:szCs w:val="21"/>
                <w:highlight w:val="none"/>
              </w:rPr>
              <w:t>保障措施、</w:t>
            </w:r>
            <w:r>
              <w:rPr>
                <w:rFonts w:hint="eastAsia" w:ascii="宋体" w:hAnsi="宋体" w:cs="宋体"/>
                <w:b/>
                <w:bCs w:val="0"/>
                <w:szCs w:val="21"/>
                <w:highlight w:val="none"/>
                <w:lang w:val="en-US" w:eastAsia="zh-CN"/>
              </w:rPr>
              <w:t>④</w:t>
            </w:r>
            <w:r>
              <w:rPr>
                <w:rFonts w:hint="eastAsia" w:ascii="宋体" w:hAnsi="宋体" w:cs="宋体"/>
                <w:b/>
                <w:bCs w:val="0"/>
                <w:szCs w:val="21"/>
                <w:highlight w:val="none"/>
              </w:rPr>
              <w:t>项目应急处理措施）进行独立评分。（未提供服务方案的不得分）</w:t>
            </w:r>
          </w:p>
          <w:p w14:paraId="751F0E0B">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一档 (</w:t>
            </w:r>
            <w:r>
              <w:rPr>
                <w:rFonts w:hint="eastAsia" w:ascii="宋体" w:hAnsi="宋体" w:cs="宋体"/>
                <w:bCs/>
                <w:szCs w:val="21"/>
                <w:highlight w:val="none"/>
                <w:lang w:val="en-US" w:eastAsia="zh-CN"/>
              </w:rPr>
              <w:t>2</w:t>
            </w:r>
            <w:r>
              <w:rPr>
                <w:rFonts w:hint="eastAsia" w:ascii="宋体" w:hAnsi="宋体" w:cs="宋体"/>
                <w:bCs/>
                <w:szCs w:val="21"/>
                <w:highlight w:val="none"/>
              </w:rPr>
              <w:t>分)：供应商服务方案中包含有上述1-2项内容，无明显错误或无关内容；</w:t>
            </w:r>
          </w:p>
          <w:p w14:paraId="5B709EB6">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二档 (</w:t>
            </w:r>
            <w:r>
              <w:rPr>
                <w:rFonts w:hint="eastAsia" w:ascii="宋体" w:hAnsi="宋体" w:cs="宋体"/>
                <w:bCs/>
                <w:szCs w:val="21"/>
                <w:highlight w:val="none"/>
                <w:lang w:val="en-US" w:eastAsia="zh-CN"/>
              </w:rPr>
              <w:t>6</w:t>
            </w:r>
            <w:r>
              <w:rPr>
                <w:rFonts w:hint="eastAsia" w:ascii="宋体" w:hAnsi="宋体" w:cs="宋体"/>
                <w:bCs/>
                <w:szCs w:val="21"/>
                <w:highlight w:val="none"/>
              </w:rPr>
              <w:t>分)：在满足一档的基础上，供应商提供的服务方案中包含有上述3项内容且描述详细；工作流程、工作方法、各种工作制度和各项措施等基本能够满足采购人的项目需求。</w:t>
            </w:r>
          </w:p>
          <w:p w14:paraId="6973A760">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三档 (</w:t>
            </w:r>
            <w:r>
              <w:rPr>
                <w:rFonts w:hint="eastAsia" w:ascii="宋体" w:hAnsi="宋体" w:cs="宋体"/>
                <w:bCs/>
                <w:szCs w:val="21"/>
                <w:highlight w:val="none"/>
                <w:lang w:val="en-US" w:eastAsia="zh-CN"/>
              </w:rPr>
              <w:t>8</w:t>
            </w:r>
            <w:r>
              <w:rPr>
                <w:rFonts w:hint="eastAsia" w:ascii="宋体" w:hAnsi="宋体" w:cs="宋体"/>
                <w:bCs/>
                <w:szCs w:val="21"/>
                <w:highlight w:val="none"/>
              </w:rPr>
              <w:t>分)：在满足一档的基础上，供应商提供的服务方案中包含有上述</w:t>
            </w:r>
            <w:r>
              <w:rPr>
                <w:rFonts w:hint="eastAsia" w:ascii="宋体" w:hAnsi="宋体" w:cs="宋体"/>
                <w:bCs/>
                <w:szCs w:val="21"/>
                <w:highlight w:val="none"/>
                <w:lang w:val="en-US" w:eastAsia="zh-CN"/>
              </w:rPr>
              <w:t>3</w:t>
            </w:r>
            <w:r>
              <w:rPr>
                <w:rFonts w:hint="eastAsia" w:ascii="宋体" w:hAnsi="宋体" w:cs="宋体"/>
                <w:bCs/>
                <w:szCs w:val="21"/>
                <w:highlight w:val="none"/>
              </w:rPr>
              <w:t>项内容且描述详细；工作流程、工作方法、各种工作制度和各项措施等基本能够满足采购人的项目需求。</w:t>
            </w:r>
          </w:p>
          <w:p w14:paraId="11052DBF">
            <w:pPr>
              <w:spacing w:after="0" w:line="360" w:lineRule="auto"/>
              <w:ind w:firstLine="420" w:firstLineChars="200"/>
              <w:rPr>
                <w:rFonts w:ascii="宋体" w:hAnsi="宋体" w:cs="宋体"/>
                <w:bCs/>
                <w:szCs w:val="21"/>
                <w:highlight w:val="none"/>
              </w:rPr>
            </w:pPr>
            <w:r>
              <w:rPr>
                <w:rFonts w:hint="eastAsia" w:ascii="宋体" w:hAnsi="宋体" w:cs="宋体"/>
                <w:bCs/>
                <w:szCs w:val="21"/>
                <w:highlight w:val="none"/>
              </w:rPr>
              <w:t>四档 (</w:t>
            </w:r>
            <w:r>
              <w:rPr>
                <w:rFonts w:hint="eastAsia" w:ascii="宋体" w:hAnsi="宋体" w:cs="宋体"/>
                <w:bCs/>
                <w:szCs w:val="21"/>
                <w:highlight w:val="none"/>
                <w:lang w:val="en-US" w:eastAsia="zh-CN"/>
              </w:rPr>
              <w:t>10</w:t>
            </w:r>
            <w:r>
              <w:rPr>
                <w:rFonts w:hint="eastAsia" w:ascii="宋体" w:hAnsi="宋体" w:cs="宋体"/>
                <w:bCs/>
                <w:szCs w:val="21"/>
                <w:highlight w:val="none"/>
              </w:rPr>
              <w:t>分)：在满足一档的基础上，供应商提供的服务方案中包含有上述</w:t>
            </w:r>
            <w:r>
              <w:rPr>
                <w:rFonts w:hint="eastAsia" w:ascii="宋体" w:hAnsi="宋体" w:cs="宋体"/>
                <w:bCs/>
                <w:szCs w:val="21"/>
                <w:highlight w:val="none"/>
                <w:lang w:val="en-US" w:eastAsia="zh-CN"/>
              </w:rPr>
              <w:t>全部</w:t>
            </w:r>
            <w:r>
              <w:rPr>
                <w:rFonts w:hint="eastAsia" w:ascii="宋体" w:hAnsi="宋体" w:cs="宋体"/>
                <w:bCs/>
                <w:szCs w:val="21"/>
                <w:highlight w:val="none"/>
              </w:rPr>
              <w:t>内容且描述详细；工作流程、工作方法、各种工作制度和各项措施等基本能够满足采购人的项目需求。</w:t>
            </w:r>
          </w:p>
          <w:p w14:paraId="3B25B3D1">
            <w:pPr>
              <w:spacing w:line="400" w:lineRule="exact"/>
              <w:ind w:firstLine="420" w:firstLineChars="200"/>
              <w:rPr>
                <w:rFonts w:ascii="宋体" w:hAnsi="宋体" w:eastAsia="宋体" w:cs="Courier New"/>
                <w:bCs/>
                <w:color w:val="000000"/>
                <w:kern w:val="0"/>
                <w:szCs w:val="21"/>
                <w:highlight w:val="none"/>
              </w:rPr>
            </w:pPr>
            <w:r>
              <w:rPr>
                <w:rFonts w:hint="eastAsia" w:ascii="宋体" w:hAnsi="宋体" w:cs="宋体"/>
                <w:bCs/>
                <w:szCs w:val="21"/>
                <w:highlight w:val="none"/>
              </w:rPr>
              <w:t>五档 (</w:t>
            </w:r>
            <w:r>
              <w:rPr>
                <w:rFonts w:hint="eastAsia" w:ascii="宋体" w:hAnsi="宋体" w:cs="宋体"/>
                <w:bCs/>
                <w:szCs w:val="21"/>
                <w:highlight w:val="none"/>
                <w:lang w:val="en-US" w:eastAsia="zh-CN"/>
              </w:rPr>
              <w:t>12</w:t>
            </w:r>
            <w:r>
              <w:rPr>
                <w:rFonts w:hint="eastAsia" w:ascii="宋体" w:hAnsi="宋体" w:cs="宋体"/>
                <w:bCs/>
                <w:szCs w:val="21"/>
                <w:highlight w:val="none"/>
              </w:rPr>
              <w:t>分)：在满足一档的基础上，供应商提供的服务方案中包含</w:t>
            </w:r>
            <w:r>
              <w:rPr>
                <w:rFonts w:hint="eastAsia" w:ascii="宋体" w:hAnsi="宋体" w:cs="宋体"/>
                <w:bCs/>
                <w:szCs w:val="21"/>
                <w:highlight w:val="none"/>
                <w:lang w:val="en-US" w:eastAsia="zh-CN"/>
              </w:rPr>
              <w:t>的全部</w:t>
            </w:r>
            <w:r>
              <w:rPr>
                <w:rFonts w:hint="eastAsia" w:ascii="宋体" w:hAnsi="宋体" w:cs="宋体"/>
                <w:bCs/>
                <w:szCs w:val="21"/>
                <w:highlight w:val="none"/>
              </w:rPr>
              <w:t>内容，且详尽明了，在满足采购文件需求的基础上，全面、系统、科学，具体可行，工作流程、工作方法、各种工作制度和各项措施等完全满足采购人的项目需求，服务方案完善、明确具体。</w:t>
            </w:r>
          </w:p>
        </w:tc>
        <w:tc>
          <w:tcPr>
            <w:tcW w:w="1497" w:type="dxa"/>
            <w:vAlign w:val="center"/>
          </w:tcPr>
          <w:p w14:paraId="24F76314">
            <w:pPr>
              <w:spacing w:line="400" w:lineRule="exact"/>
              <w:jc w:val="center"/>
              <w:rPr>
                <w:rFonts w:hint="default" w:ascii="宋体" w:hAnsi="宋体" w:eastAsia="宋体" w:cs="Tahoma"/>
                <w:color w:val="000000"/>
                <w:kern w:val="0"/>
                <w:szCs w:val="21"/>
                <w:highlight w:val="none"/>
                <w:lang w:val="en-US"/>
              </w:rPr>
            </w:pPr>
            <w:r>
              <w:rPr>
                <w:rFonts w:hint="eastAsia" w:ascii="宋体" w:hAnsi="宋体" w:cs="Tahoma"/>
                <w:color w:val="000000"/>
                <w:kern w:val="0"/>
                <w:szCs w:val="21"/>
                <w:highlight w:val="none"/>
                <w:lang w:val="en-US" w:eastAsia="zh-CN"/>
              </w:rPr>
              <w:t>项目实施方案</w:t>
            </w:r>
          </w:p>
        </w:tc>
      </w:tr>
      <w:tr w14:paraId="413C7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89" w:type="dxa"/>
            <w:vAlign w:val="center"/>
          </w:tcPr>
          <w:p w14:paraId="68F34B0B">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hint="eastAsia" w:ascii="宋体" w:hAnsi="宋体" w:eastAsia="宋体" w:cs="Times New Roman"/>
                <w:bCs/>
                <w:color w:val="000000"/>
                <w:kern w:val="0"/>
                <w:szCs w:val="21"/>
                <w:highlight w:val="none"/>
              </w:rPr>
              <w:t>2</w:t>
            </w:r>
            <w:r>
              <w:rPr>
                <w:rFonts w:ascii="宋体" w:hAnsi="宋体" w:eastAsia="宋体" w:cs="Times New Roman"/>
                <w:bCs/>
                <w:color w:val="000000"/>
                <w:kern w:val="0"/>
                <w:szCs w:val="21"/>
                <w:highlight w:val="none"/>
              </w:rPr>
              <w:t>.2</w:t>
            </w:r>
          </w:p>
        </w:tc>
        <w:tc>
          <w:tcPr>
            <w:tcW w:w="1105" w:type="dxa"/>
            <w:vAlign w:val="center"/>
          </w:tcPr>
          <w:p w14:paraId="7297F55E">
            <w:pPr>
              <w:spacing w:line="400" w:lineRule="exact"/>
              <w:rPr>
                <w:rFonts w:hint="eastAsia" w:ascii="宋体" w:hAnsi="宋体" w:cs="宋体"/>
                <w:bCs/>
                <w:szCs w:val="21"/>
                <w:highlight w:val="none"/>
                <w:lang w:val="en-US" w:eastAsia="zh-CN"/>
              </w:rPr>
            </w:pPr>
            <w:r>
              <w:rPr>
                <w:rFonts w:hint="eastAsia" w:ascii="宋体" w:hAnsi="宋体" w:cs="宋体"/>
                <w:bCs/>
                <w:szCs w:val="21"/>
                <w:highlight w:val="none"/>
                <w:lang w:val="en-US" w:eastAsia="zh-CN"/>
              </w:rPr>
              <w:t>人员配置</w:t>
            </w:r>
          </w:p>
          <w:p w14:paraId="33A89050">
            <w:pPr>
              <w:spacing w:line="400" w:lineRule="exact"/>
              <w:jc w:val="center"/>
              <w:rPr>
                <w:rFonts w:hint="default" w:ascii="宋体" w:hAnsi="宋体" w:cs="宋体"/>
                <w:color w:val="auto"/>
                <w:spacing w:val="2"/>
                <w:sz w:val="20"/>
                <w:szCs w:val="20"/>
                <w:highlight w:val="none"/>
                <w:lang w:val="en-US" w:eastAsia="zh-CN"/>
              </w:rPr>
            </w:pPr>
            <w:r>
              <w:rPr>
                <w:rFonts w:hint="eastAsia" w:ascii="宋体" w:hAnsi="宋体" w:cs="宋体"/>
                <w:bCs/>
                <w:szCs w:val="21"/>
                <w:highlight w:val="none"/>
                <w:lang w:val="en-US" w:eastAsia="zh-CN"/>
              </w:rPr>
              <w:t>6分</w:t>
            </w:r>
          </w:p>
        </w:tc>
        <w:tc>
          <w:tcPr>
            <w:tcW w:w="6628" w:type="dxa"/>
            <w:vAlign w:val="center"/>
          </w:tcPr>
          <w:p w14:paraId="7D1101F8">
            <w:pPr>
              <w:spacing w:line="400" w:lineRule="exact"/>
              <w:ind w:firstLine="420" w:firstLineChars="200"/>
              <w:rPr>
                <w:rFonts w:ascii="宋体" w:hAnsi="宋体" w:eastAsia="宋体" w:cs="Courier New"/>
                <w:bCs/>
                <w:color w:val="000000"/>
                <w:kern w:val="0"/>
                <w:szCs w:val="21"/>
                <w:highlight w:val="none"/>
              </w:rPr>
            </w:pPr>
            <w:r>
              <w:rPr>
                <w:rFonts w:hint="eastAsia" w:ascii="宋体" w:hAnsi="宋体" w:cs="宋体"/>
                <w:bCs/>
                <w:szCs w:val="21"/>
                <w:highlight w:val="none"/>
              </w:rPr>
              <w:t>拟投入的项目实施人员具备出版系列副高级或高级职称的每1人得</w:t>
            </w:r>
            <w:r>
              <w:rPr>
                <w:rFonts w:hint="eastAsia" w:ascii="宋体" w:hAnsi="宋体" w:cs="宋体"/>
                <w:bCs/>
                <w:szCs w:val="21"/>
                <w:highlight w:val="none"/>
                <w:lang w:val="en-US" w:eastAsia="zh-CN"/>
              </w:rPr>
              <w:t>3</w:t>
            </w:r>
            <w:r>
              <w:rPr>
                <w:rFonts w:hint="eastAsia" w:ascii="宋体" w:hAnsi="宋体" w:cs="宋体"/>
                <w:bCs/>
                <w:szCs w:val="21"/>
                <w:highlight w:val="none"/>
              </w:rPr>
              <w:t>分，具有出版系列中级职称的每1人得</w:t>
            </w:r>
            <w:r>
              <w:rPr>
                <w:rFonts w:hint="eastAsia" w:ascii="宋体" w:hAnsi="宋体" w:cs="宋体"/>
                <w:bCs/>
                <w:szCs w:val="21"/>
                <w:highlight w:val="none"/>
                <w:lang w:val="en-US" w:eastAsia="zh-CN"/>
              </w:rPr>
              <w:t>2</w:t>
            </w:r>
            <w:r>
              <w:rPr>
                <w:rFonts w:hint="eastAsia" w:ascii="宋体" w:hAnsi="宋体" w:cs="宋体"/>
                <w:bCs/>
                <w:szCs w:val="21"/>
                <w:highlight w:val="none"/>
              </w:rPr>
              <w:t>分，最多加7分。（项目实施人员须为供应商本单位人员，响应文件中提供项目实施人员一览表及单位为其缴纳社保证明及职称证书材料，复印件加盖供应商单位公章）</w:t>
            </w:r>
          </w:p>
        </w:tc>
        <w:tc>
          <w:tcPr>
            <w:tcW w:w="1497" w:type="dxa"/>
            <w:vAlign w:val="center"/>
          </w:tcPr>
          <w:p w14:paraId="663FAD7C">
            <w:pPr>
              <w:spacing w:line="400" w:lineRule="exact"/>
              <w:jc w:val="center"/>
              <w:rPr>
                <w:rFonts w:hint="default" w:ascii="宋体" w:hAnsi="宋体" w:eastAsia="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响应文件人员配置方案</w:t>
            </w:r>
          </w:p>
        </w:tc>
      </w:tr>
      <w:tr w14:paraId="5D9F1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589" w:type="dxa"/>
            <w:vAlign w:val="center"/>
          </w:tcPr>
          <w:p w14:paraId="47ED8F7E">
            <w:pPr>
              <w:adjustRightInd w:val="0"/>
              <w:spacing w:line="400" w:lineRule="exact"/>
              <w:ind w:left="-105" w:leftChars="-50" w:right="-105" w:rightChars="-50"/>
              <w:jc w:val="center"/>
              <w:textAlignment w:val="baseline"/>
              <w:rPr>
                <w:rFonts w:hint="default" w:ascii="宋体" w:hAnsi="宋体" w:eastAsia="宋体" w:cs="Times New Roman"/>
                <w:bCs/>
                <w:color w:val="000000"/>
                <w:kern w:val="0"/>
                <w:szCs w:val="21"/>
                <w:highlight w:val="none"/>
                <w:lang w:val="en-US" w:eastAsia="zh-CN"/>
              </w:rPr>
            </w:pPr>
            <w:r>
              <w:rPr>
                <w:rFonts w:hint="eastAsia" w:ascii="宋体" w:hAnsi="宋体" w:cs="Times New Roman"/>
                <w:bCs/>
                <w:color w:val="000000"/>
                <w:kern w:val="0"/>
                <w:szCs w:val="21"/>
                <w:highlight w:val="none"/>
                <w:lang w:val="en-US" w:eastAsia="zh-CN"/>
              </w:rPr>
              <w:t>2.3</w:t>
            </w:r>
          </w:p>
        </w:tc>
        <w:tc>
          <w:tcPr>
            <w:tcW w:w="1105" w:type="dxa"/>
            <w:vAlign w:val="center"/>
          </w:tcPr>
          <w:p w14:paraId="2A173144">
            <w:pPr>
              <w:adjustRightInd w:val="0"/>
              <w:spacing w:line="380" w:lineRule="exact"/>
              <w:ind w:left="-105" w:leftChars="-50" w:right="-105" w:rightChars="-50"/>
              <w:jc w:val="center"/>
              <w:textAlignment w:val="baseline"/>
              <w:rPr>
                <w:rFonts w:hint="eastAsia" w:ascii="Calibri" w:hAnsi="Calibri" w:eastAsia="宋体" w:cs="Times New Roman"/>
                <w:bCs/>
                <w:szCs w:val="24"/>
                <w:highlight w:val="none"/>
                <w:lang w:val="en-US" w:eastAsia="zh-CN"/>
              </w:rPr>
            </w:pPr>
            <w:r>
              <w:rPr>
                <w:rFonts w:hint="eastAsia" w:ascii="Calibri" w:hAnsi="Calibri" w:eastAsia="宋体" w:cs="Times New Roman"/>
                <w:bCs/>
                <w:szCs w:val="24"/>
                <w:highlight w:val="none"/>
                <w:lang w:val="en-US" w:eastAsia="zh-CN"/>
              </w:rPr>
              <w:t>质量</w:t>
            </w:r>
            <w:r>
              <w:rPr>
                <w:rFonts w:hint="eastAsia" w:ascii="Calibri" w:hAnsi="Calibri" w:cs="Times New Roman"/>
                <w:bCs/>
                <w:szCs w:val="24"/>
                <w:highlight w:val="none"/>
                <w:lang w:val="en-US" w:eastAsia="zh-CN"/>
              </w:rPr>
              <w:t>保证</w:t>
            </w:r>
          </w:p>
          <w:p w14:paraId="24EA1DF2">
            <w:pPr>
              <w:adjustRightInd w:val="0"/>
              <w:spacing w:line="380" w:lineRule="exact"/>
              <w:ind w:left="-105" w:leftChars="-50" w:right="-105" w:rightChars="-50"/>
              <w:jc w:val="center"/>
              <w:textAlignment w:val="baseline"/>
              <w:rPr>
                <w:rFonts w:hint="default" w:ascii="Calibri" w:hAnsi="Calibri" w:eastAsia="宋体" w:cs="Times New Roman"/>
                <w:bCs/>
                <w:szCs w:val="24"/>
                <w:highlight w:val="none"/>
                <w:lang w:val="en-US" w:eastAsia="zh-CN"/>
              </w:rPr>
            </w:pPr>
            <w:r>
              <w:rPr>
                <w:rFonts w:hint="eastAsia" w:ascii="Calibri" w:hAnsi="Calibri" w:eastAsia="宋体" w:cs="Times New Roman"/>
                <w:bCs/>
                <w:szCs w:val="24"/>
                <w:highlight w:val="none"/>
                <w:lang w:val="en-US" w:eastAsia="zh-CN"/>
              </w:rPr>
              <w:t>12分</w:t>
            </w:r>
          </w:p>
          <w:p w14:paraId="270E2607">
            <w:pPr>
              <w:jc w:val="both"/>
              <w:rPr>
                <w:rFonts w:hint="default" w:ascii="宋体" w:hAnsi="宋体" w:cs="宋体"/>
                <w:color w:val="auto"/>
                <w:spacing w:val="2"/>
                <w:sz w:val="20"/>
                <w:szCs w:val="20"/>
                <w:highlight w:val="none"/>
                <w:lang w:val="en-US" w:eastAsia="zh-CN"/>
              </w:rPr>
            </w:pPr>
          </w:p>
        </w:tc>
        <w:tc>
          <w:tcPr>
            <w:tcW w:w="6628" w:type="dxa"/>
            <w:vAlign w:val="center"/>
          </w:tcPr>
          <w:p w14:paraId="3474DE9D">
            <w:pPr>
              <w:spacing w:after="0" w:line="400" w:lineRule="exact"/>
              <w:ind w:firstLine="420" w:firstLineChars="200"/>
              <w:rPr>
                <w:rFonts w:ascii="宋体" w:hAnsi="宋体" w:cs="宋体"/>
                <w:bCs/>
                <w:szCs w:val="21"/>
                <w:highlight w:val="none"/>
              </w:rPr>
            </w:pPr>
            <w:r>
              <w:rPr>
                <w:rFonts w:hint="eastAsia" w:ascii="宋体" w:hAnsi="宋体" w:cs="宋体"/>
                <w:bCs/>
                <w:szCs w:val="21"/>
                <w:highlight w:val="none"/>
              </w:rPr>
              <w:t>一档 (</w:t>
            </w:r>
            <w:r>
              <w:rPr>
                <w:rFonts w:hint="eastAsia" w:ascii="宋体" w:hAnsi="宋体" w:cs="宋体"/>
                <w:bCs/>
                <w:szCs w:val="21"/>
                <w:highlight w:val="none"/>
                <w:lang w:val="en-US" w:eastAsia="zh-CN"/>
              </w:rPr>
              <w:t>4</w:t>
            </w:r>
            <w:r>
              <w:rPr>
                <w:rFonts w:hint="eastAsia" w:ascii="宋体" w:hAnsi="宋体" w:cs="宋体"/>
                <w:bCs/>
                <w:szCs w:val="21"/>
                <w:highlight w:val="none"/>
              </w:rPr>
              <w:t>分)：供应商提供有质量控制方案，质量控制承诺较简略，人员分工不明确不具体的。</w:t>
            </w:r>
          </w:p>
          <w:p w14:paraId="5E026215">
            <w:pPr>
              <w:spacing w:after="0" w:line="400" w:lineRule="exact"/>
              <w:ind w:firstLine="420" w:firstLineChars="200"/>
              <w:rPr>
                <w:rFonts w:ascii="宋体" w:hAnsi="宋体" w:cs="宋体"/>
                <w:bCs/>
                <w:szCs w:val="21"/>
                <w:highlight w:val="none"/>
              </w:rPr>
            </w:pPr>
            <w:r>
              <w:rPr>
                <w:rFonts w:hint="eastAsia" w:ascii="宋体" w:hAnsi="宋体" w:cs="宋体"/>
                <w:bCs/>
                <w:szCs w:val="21"/>
                <w:highlight w:val="none"/>
              </w:rPr>
              <w:t>二档 (</w:t>
            </w:r>
            <w:r>
              <w:rPr>
                <w:rFonts w:hint="eastAsia" w:ascii="宋体" w:hAnsi="宋体" w:cs="宋体"/>
                <w:bCs/>
                <w:szCs w:val="21"/>
                <w:highlight w:val="none"/>
                <w:lang w:val="en-US" w:eastAsia="zh-CN"/>
              </w:rPr>
              <w:t>8</w:t>
            </w:r>
            <w:r>
              <w:rPr>
                <w:rFonts w:hint="eastAsia" w:ascii="宋体" w:hAnsi="宋体" w:cs="宋体"/>
                <w:bCs/>
                <w:szCs w:val="21"/>
                <w:highlight w:val="none"/>
              </w:rPr>
              <w:t>分)：供应商提供的质量控制方案满足采购需求，质量控制承诺完整，服务周期有具体安排，人员分工明确的。</w:t>
            </w:r>
          </w:p>
          <w:p w14:paraId="5F943C4F">
            <w:pPr>
              <w:spacing w:after="0" w:line="400" w:lineRule="exact"/>
              <w:ind w:firstLine="420" w:firstLineChars="200"/>
              <w:rPr>
                <w:rFonts w:ascii="宋体" w:hAnsi="宋体" w:cs="宋体"/>
                <w:bCs/>
                <w:szCs w:val="21"/>
                <w:highlight w:val="none"/>
              </w:rPr>
            </w:pPr>
            <w:r>
              <w:rPr>
                <w:rFonts w:hint="eastAsia" w:ascii="宋体" w:hAnsi="宋体" w:cs="宋体"/>
                <w:bCs/>
                <w:szCs w:val="21"/>
                <w:highlight w:val="none"/>
              </w:rPr>
              <w:t>三档 (1</w:t>
            </w:r>
            <w:r>
              <w:rPr>
                <w:rFonts w:hint="eastAsia" w:ascii="宋体" w:hAnsi="宋体" w:cs="宋体"/>
                <w:bCs/>
                <w:szCs w:val="21"/>
                <w:highlight w:val="none"/>
                <w:lang w:val="en-US" w:eastAsia="zh-CN"/>
              </w:rPr>
              <w:t>2</w:t>
            </w:r>
            <w:r>
              <w:rPr>
                <w:rFonts w:hint="eastAsia" w:ascii="宋体" w:hAnsi="宋体" w:cs="宋体"/>
                <w:bCs/>
                <w:szCs w:val="21"/>
                <w:highlight w:val="none"/>
              </w:rPr>
              <w:t>分)：供应商提供的质量控制方案优于采购需求，质量控制内容合理完善，</w:t>
            </w:r>
            <w:r>
              <w:rPr>
                <w:rFonts w:hint="eastAsia" w:ascii="宋体" w:hAnsi="宋体" w:cs="宋体"/>
                <w:bCs/>
                <w:szCs w:val="21"/>
                <w:highlight w:val="none"/>
                <w:lang w:val="en-US" w:eastAsia="zh-CN"/>
              </w:rPr>
              <w:t>有质量控制标准，</w:t>
            </w:r>
            <w:r>
              <w:rPr>
                <w:rFonts w:hint="eastAsia" w:ascii="宋体" w:hAnsi="宋体" w:cs="宋体"/>
                <w:bCs/>
                <w:szCs w:val="21"/>
                <w:highlight w:val="none"/>
              </w:rPr>
              <w:t>服务周期安排具体详细，各个关键时间节点明确，项目进度保障措施合理，人员分工明确。</w:t>
            </w:r>
          </w:p>
          <w:p w14:paraId="6DDE1EBC">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注：未提供的不得分。</w:t>
            </w:r>
          </w:p>
        </w:tc>
        <w:tc>
          <w:tcPr>
            <w:tcW w:w="1497" w:type="dxa"/>
            <w:vAlign w:val="center"/>
          </w:tcPr>
          <w:p w14:paraId="0CF6F534">
            <w:pPr>
              <w:spacing w:line="400" w:lineRule="exact"/>
              <w:jc w:val="center"/>
              <w:rPr>
                <w:rFonts w:hint="default" w:ascii="宋体" w:hAnsi="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响应文件质量保证承诺</w:t>
            </w:r>
          </w:p>
        </w:tc>
      </w:tr>
      <w:tr w14:paraId="70EEA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589" w:type="dxa"/>
            <w:vAlign w:val="center"/>
          </w:tcPr>
          <w:p w14:paraId="148C7519">
            <w:pPr>
              <w:adjustRightInd w:val="0"/>
              <w:spacing w:line="400" w:lineRule="exact"/>
              <w:ind w:left="-105" w:leftChars="-50" w:right="-105" w:rightChars="-50"/>
              <w:jc w:val="center"/>
              <w:textAlignment w:val="baseline"/>
              <w:rPr>
                <w:rFonts w:ascii="宋体" w:hAnsi="宋体" w:eastAsia="宋体" w:cs="Times New Roman"/>
                <w:bCs/>
                <w:color w:val="000000"/>
                <w:kern w:val="0"/>
                <w:szCs w:val="21"/>
                <w:highlight w:val="none"/>
              </w:rPr>
            </w:pPr>
            <w:r>
              <w:rPr>
                <w:rFonts w:ascii="宋体" w:hAnsi="宋体" w:eastAsia="宋体" w:cs="Times New Roman"/>
                <w:bCs/>
                <w:color w:val="000000"/>
                <w:kern w:val="0"/>
                <w:szCs w:val="21"/>
                <w:highlight w:val="none"/>
              </w:rPr>
              <w:t>2.4</w:t>
            </w:r>
          </w:p>
        </w:tc>
        <w:tc>
          <w:tcPr>
            <w:tcW w:w="1105" w:type="dxa"/>
            <w:vAlign w:val="center"/>
          </w:tcPr>
          <w:p w14:paraId="0950B64B">
            <w:pPr>
              <w:adjustRightInd w:val="0"/>
              <w:spacing w:line="380" w:lineRule="exact"/>
              <w:ind w:left="-105" w:leftChars="-50" w:right="-105" w:rightChars="-50"/>
              <w:jc w:val="center"/>
              <w:textAlignment w:val="baseline"/>
              <w:rPr>
                <w:rFonts w:hint="eastAsia" w:ascii="Calibri" w:hAnsi="Calibri" w:eastAsia="宋体" w:cs="Times New Roman"/>
                <w:bCs/>
                <w:szCs w:val="24"/>
                <w:highlight w:val="none"/>
              </w:rPr>
            </w:pPr>
            <w:r>
              <w:rPr>
                <w:rFonts w:hint="eastAsia" w:ascii="Calibri" w:hAnsi="Calibri" w:eastAsia="宋体" w:cs="Times New Roman"/>
                <w:bCs/>
                <w:szCs w:val="24"/>
                <w:highlight w:val="none"/>
              </w:rPr>
              <w:t>售后服务</w:t>
            </w:r>
          </w:p>
          <w:p w14:paraId="4E20CAA4">
            <w:pPr>
              <w:adjustRightInd w:val="0"/>
              <w:spacing w:line="380" w:lineRule="exact"/>
              <w:ind w:left="-105" w:leftChars="-50" w:right="-105" w:rightChars="-50"/>
              <w:jc w:val="center"/>
              <w:textAlignment w:val="baseline"/>
              <w:rPr>
                <w:rFonts w:hint="default" w:ascii="Calibri" w:hAnsi="Calibri" w:eastAsia="宋体" w:cs="Times New Roman"/>
                <w:bCs/>
                <w:szCs w:val="24"/>
                <w:highlight w:val="none"/>
                <w:lang w:val="en-US" w:eastAsia="zh-CN"/>
              </w:rPr>
            </w:pPr>
            <w:r>
              <w:rPr>
                <w:rFonts w:hint="eastAsia" w:ascii="Calibri" w:hAnsi="Calibri" w:cs="Times New Roman"/>
                <w:bCs/>
                <w:szCs w:val="24"/>
                <w:highlight w:val="none"/>
                <w:lang w:val="en-US" w:eastAsia="zh-CN"/>
              </w:rPr>
              <w:t>10分</w:t>
            </w:r>
          </w:p>
          <w:p w14:paraId="056B8319">
            <w:pPr>
              <w:adjustRightInd w:val="0"/>
              <w:spacing w:line="380" w:lineRule="exact"/>
              <w:ind w:left="-105" w:leftChars="-50" w:right="-105" w:rightChars="-50"/>
              <w:jc w:val="both"/>
              <w:textAlignment w:val="baseline"/>
              <w:rPr>
                <w:rFonts w:hint="eastAsia" w:ascii="Calibri" w:hAnsi="Calibri" w:eastAsia="宋体" w:cs="Times New Roman"/>
                <w:bCs/>
                <w:szCs w:val="24"/>
                <w:highlight w:val="none"/>
                <w:lang w:eastAsia="zh-CN"/>
              </w:rPr>
            </w:pPr>
          </w:p>
        </w:tc>
        <w:tc>
          <w:tcPr>
            <w:tcW w:w="6628" w:type="dxa"/>
            <w:vAlign w:val="center"/>
          </w:tcPr>
          <w:p w14:paraId="44E76074">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对投标</w:t>
            </w:r>
            <w:r>
              <w:rPr>
                <w:rFonts w:hint="eastAsia" w:ascii="宋体" w:hAnsi="宋体" w:cs="宋体"/>
                <w:bCs/>
                <w:szCs w:val="21"/>
                <w:highlight w:val="none"/>
                <w:lang w:val="en-US" w:eastAsia="zh-CN"/>
              </w:rPr>
              <w:t>人</w:t>
            </w:r>
            <w:r>
              <w:rPr>
                <w:rFonts w:hint="eastAsia" w:ascii="宋体" w:hAnsi="宋体" w:cs="宋体"/>
                <w:bCs/>
                <w:szCs w:val="21"/>
                <w:highlight w:val="none"/>
              </w:rPr>
              <w:t>提供的售后服务保障方案进行综合评审，主要包括①退换货服务；②专人跟踪服务及服务响应时间；③其他售后保障服务；④保障措施等方面。</w:t>
            </w:r>
          </w:p>
          <w:p w14:paraId="59FAF9F3">
            <w:pPr>
              <w:spacing w:line="400" w:lineRule="exact"/>
              <w:ind w:firstLine="420" w:firstLineChars="200"/>
              <w:rPr>
                <w:rFonts w:hint="eastAsia" w:ascii="宋体" w:hAnsi="宋体" w:cs="宋体"/>
                <w:bCs/>
                <w:szCs w:val="21"/>
                <w:highlight w:val="none"/>
              </w:rPr>
            </w:pPr>
            <w:r>
              <w:rPr>
                <w:rFonts w:hint="eastAsia" w:ascii="宋体" w:hAnsi="宋体" w:cs="宋体"/>
                <w:bCs/>
                <w:szCs w:val="21"/>
                <w:highlight w:val="none"/>
              </w:rPr>
              <w:t>项目内容描述全面合理符合采购需求的得</w:t>
            </w:r>
            <w:r>
              <w:rPr>
                <w:rFonts w:hint="eastAsia" w:ascii="宋体" w:hAnsi="宋体" w:cs="宋体"/>
                <w:bCs/>
                <w:szCs w:val="21"/>
                <w:highlight w:val="none"/>
                <w:lang w:val="en-US" w:eastAsia="zh-CN"/>
              </w:rPr>
              <w:t>10</w:t>
            </w:r>
            <w:r>
              <w:rPr>
                <w:rFonts w:hint="eastAsia" w:ascii="宋体" w:hAnsi="宋体" w:cs="宋体"/>
                <w:bCs/>
                <w:szCs w:val="21"/>
                <w:highlight w:val="none"/>
              </w:rPr>
              <w:t>分，每有一项内容缺失的扣</w:t>
            </w:r>
            <w:r>
              <w:rPr>
                <w:rFonts w:hint="eastAsia" w:ascii="宋体" w:hAnsi="宋体" w:cs="宋体"/>
                <w:bCs/>
                <w:szCs w:val="21"/>
                <w:highlight w:val="none"/>
                <w:lang w:val="en-US" w:eastAsia="zh-CN"/>
              </w:rPr>
              <w:t>3</w:t>
            </w:r>
            <w:r>
              <w:rPr>
                <w:rFonts w:hint="eastAsia" w:ascii="宋体" w:hAnsi="宋体" w:cs="宋体"/>
                <w:bCs/>
                <w:szCs w:val="21"/>
                <w:highlight w:val="none"/>
              </w:rPr>
              <w:t>分；每有一项内容存在缺陷或不满足要求的扣</w:t>
            </w:r>
            <w:r>
              <w:rPr>
                <w:rFonts w:hint="eastAsia" w:ascii="宋体" w:hAnsi="宋体" w:cs="宋体"/>
                <w:bCs/>
                <w:szCs w:val="21"/>
                <w:highlight w:val="none"/>
                <w:lang w:val="en-US" w:eastAsia="zh-CN"/>
              </w:rPr>
              <w:t>2</w:t>
            </w:r>
            <w:r>
              <w:rPr>
                <w:rFonts w:hint="eastAsia" w:ascii="宋体" w:hAnsi="宋体" w:cs="宋体"/>
                <w:bCs/>
                <w:szCs w:val="21"/>
                <w:highlight w:val="none"/>
              </w:rPr>
              <w:t>分，扣完为止。</w:t>
            </w:r>
          </w:p>
          <w:p w14:paraId="058BC29B">
            <w:pPr>
              <w:spacing w:line="400" w:lineRule="exact"/>
              <w:ind w:firstLine="420" w:firstLineChars="200"/>
              <w:rPr>
                <w:rFonts w:ascii="宋体" w:hAnsi="宋体" w:eastAsia="宋体" w:cs="仿宋"/>
                <w:szCs w:val="21"/>
                <w:highlight w:val="none"/>
              </w:rPr>
            </w:pPr>
            <w:r>
              <w:rPr>
                <w:rFonts w:hint="eastAsia" w:ascii="宋体" w:hAnsi="宋体" w:cs="宋体"/>
                <w:bCs/>
                <w:szCs w:val="21"/>
                <w:highlight w:val="none"/>
              </w:rPr>
              <w:t>(缺陷或不满足指：内容不全面、与实际需求不符内容不清晰或交叉混乱、套用其他项目方案、有规范性或常识性错误、存在无关的事项、凭空编造存在不可能实现的夸大情形等任意一种情形)</w:t>
            </w:r>
          </w:p>
        </w:tc>
        <w:tc>
          <w:tcPr>
            <w:tcW w:w="1497" w:type="dxa"/>
            <w:vAlign w:val="center"/>
          </w:tcPr>
          <w:p w14:paraId="0995056F">
            <w:pPr>
              <w:spacing w:line="400" w:lineRule="exact"/>
              <w:jc w:val="center"/>
              <w:rPr>
                <w:rFonts w:hint="default" w:ascii="宋体" w:hAnsi="宋体" w:eastAsia="宋体" w:cs="Tahoma"/>
                <w:color w:val="000000"/>
                <w:kern w:val="0"/>
                <w:szCs w:val="21"/>
                <w:highlight w:val="none"/>
                <w:lang w:val="en-US"/>
              </w:rPr>
            </w:pPr>
            <w:r>
              <w:rPr>
                <w:rFonts w:hint="eastAsia" w:ascii="宋体" w:hAnsi="宋体" w:cs="Tahoma"/>
                <w:color w:val="000000"/>
                <w:kern w:val="0"/>
                <w:szCs w:val="21"/>
                <w:highlight w:val="none"/>
                <w:lang w:val="en-US" w:eastAsia="zh-CN"/>
              </w:rPr>
              <w:t>响应文件售后服务承诺</w:t>
            </w:r>
          </w:p>
        </w:tc>
      </w:tr>
      <w:tr w14:paraId="596CD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589" w:type="dxa"/>
            <w:shd w:val="clear" w:color="auto" w:fill="D7D7D7" w:themeFill="background1" w:themeFillShade="D8"/>
            <w:vAlign w:val="center"/>
          </w:tcPr>
          <w:p w14:paraId="0ABC61AF">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3</w:t>
            </w:r>
          </w:p>
        </w:tc>
        <w:tc>
          <w:tcPr>
            <w:tcW w:w="1105" w:type="dxa"/>
            <w:shd w:val="clear" w:color="auto" w:fill="D7D7D7" w:themeFill="background1" w:themeFillShade="D8"/>
            <w:vAlign w:val="center"/>
          </w:tcPr>
          <w:p w14:paraId="2DAAA88E">
            <w:pPr>
              <w:widowControl/>
              <w:spacing w:line="400" w:lineRule="exact"/>
              <w:jc w:val="center"/>
              <w:rPr>
                <w:rFonts w:hint="eastAsia" w:ascii="宋体" w:hAnsi="宋体" w:eastAsia="宋体" w:cs="Courier New"/>
                <w:b/>
                <w:bCs/>
                <w:color w:val="000000"/>
                <w:szCs w:val="21"/>
                <w:highlight w:val="none"/>
                <w:lang w:eastAsia="zh-CN"/>
              </w:rPr>
            </w:pPr>
            <w:r>
              <w:rPr>
                <w:rFonts w:hint="eastAsia" w:ascii="宋体" w:hAnsi="宋体" w:eastAsia="宋体" w:cs="Courier New"/>
                <w:b/>
                <w:bCs/>
                <w:color w:val="000000"/>
                <w:szCs w:val="21"/>
                <w:highlight w:val="none"/>
              </w:rPr>
              <w:t>商务分</w:t>
            </w:r>
          </w:p>
        </w:tc>
        <w:tc>
          <w:tcPr>
            <w:tcW w:w="6628" w:type="dxa"/>
            <w:shd w:val="clear" w:color="auto" w:fill="D7D7D7" w:themeFill="background1" w:themeFillShade="D8"/>
            <w:vAlign w:val="center"/>
          </w:tcPr>
          <w:p w14:paraId="2742C3EE">
            <w:pPr>
              <w:widowControl/>
              <w:spacing w:line="400" w:lineRule="exact"/>
              <w:jc w:val="center"/>
              <w:rPr>
                <w:rFonts w:ascii="宋体" w:hAnsi="宋体" w:eastAsia="宋体" w:cs="Tahoma"/>
                <w:b/>
                <w:bCs/>
                <w:color w:val="000000"/>
                <w:kern w:val="0"/>
                <w:szCs w:val="21"/>
                <w:highlight w:val="none"/>
              </w:rPr>
            </w:pPr>
            <w:r>
              <w:rPr>
                <w:rFonts w:hint="eastAsia" w:ascii="宋体" w:hAnsi="宋体" w:eastAsia="宋体" w:cs="Tahoma"/>
                <w:b/>
                <w:bCs/>
                <w:color w:val="000000"/>
                <w:kern w:val="0"/>
                <w:szCs w:val="21"/>
                <w:highlight w:val="none"/>
              </w:rPr>
              <w:t>评审因素</w:t>
            </w:r>
          </w:p>
        </w:tc>
        <w:tc>
          <w:tcPr>
            <w:tcW w:w="1497" w:type="dxa"/>
            <w:shd w:val="clear" w:color="auto" w:fill="D7D7D7" w:themeFill="background1" w:themeFillShade="D8"/>
            <w:vAlign w:val="center"/>
          </w:tcPr>
          <w:p w14:paraId="183F3315">
            <w:pPr>
              <w:widowControl/>
              <w:spacing w:line="400" w:lineRule="exact"/>
              <w:jc w:val="center"/>
              <w:rPr>
                <w:rFonts w:hint="default" w:ascii="宋体" w:hAnsi="宋体" w:eastAsia="宋体" w:cs="Tahoma"/>
                <w:b/>
                <w:bCs/>
                <w:color w:val="000000"/>
                <w:kern w:val="0"/>
                <w:szCs w:val="21"/>
                <w:highlight w:val="none"/>
                <w:lang w:val="en-US" w:eastAsia="zh-CN"/>
              </w:rPr>
            </w:pPr>
            <w:r>
              <w:rPr>
                <w:rFonts w:hint="eastAsia" w:ascii="宋体" w:hAnsi="宋体" w:cs="Tahoma"/>
                <w:b/>
                <w:bCs w:val="0"/>
                <w:color w:val="000000"/>
                <w:kern w:val="0"/>
                <w:szCs w:val="21"/>
                <w:highlight w:val="none"/>
                <w:lang w:val="en-US" w:eastAsia="zh-CN"/>
              </w:rPr>
              <w:t>评审依据</w:t>
            </w:r>
          </w:p>
        </w:tc>
      </w:tr>
      <w:tr w14:paraId="0A8F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jc w:val="center"/>
        </w:trPr>
        <w:tc>
          <w:tcPr>
            <w:tcW w:w="589" w:type="dxa"/>
            <w:vAlign w:val="center"/>
          </w:tcPr>
          <w:p w14:paraId="5793F69C">
            <w:pPr>
              <w:widowControl/>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w:t>
            </w:r>
            <w:r>
              <w:rPr>
                <w:rFonts w:hint="eastAsia" w:ascii="宋体" w:hAnsi="宋体" w:eastAsia="宋体" w:cs="Tahoma"/>
                <w:color w:val="000000"/>
                <w:kern w:val="0"/>
                <w:szCs w:val="21"/>
                <w:highlight w:val="none"/>
                <w:lang w:val="en-US" w:eastAsia="zh-CN"/>
              </w:rPr>
              <w:t>.</w:t>
            </w:r>
            <w:r>
              <w:rPr>
                <w:rFonts w:ascii="宋体" w:hAnsi="宋体" w:eastAsia="宋体" w:cs="Tahoma"/>
                <w:color w:val="000000"/>
                <w:kern w:val="0"/>
                <w:szCs w:val="21"/>
                <w:highlight w:val="none"/>
              </w:rPr>
              <w:t>1</w:t>
            </w:r>
          </w:p>
        </w:tc>
        <w:tc>
          <w:tcPr>
            <w:tcW w:w="1105" w:type="dxa"/>
            <w:vAlign w:val="center"/>
          </w:tcPr>
          <w:p w14:paraId="03F3046E">
            <w:pPr>
              <w:widowControl/>
              <w:spacing w:line="400" w:lineRule="exact"/>
              <w:jc w:val="center"/>
              <w:rPr>
                <w:rFonts w:hint="eastAsia" w:ascii="宋体" w:hAnsi="宋体" w:eastAsia="宋体" w:cs="Arial"/>
                <w:szCs w:val="21"/>
                <w:highlight w:val="none"/>
              </w:rPr>
            </w:pPr>
            <w:r>
              <w:rPr>
                <w:rFonts w:ascii="宋体" w:hAnsi="宋体" w:eastAsia="宋体" w:cs="Arial"/>
                <w:szCs w:val="21"/>
                <w:highlight w:val="none"/>
              </w:rPr>
              <w:t>业绩</w:t>
            </w:r>
            <w:r>
              <w:rPr>
                <w:rFonts w:hint="eastAsia" w:ascii="宋体" w:hAnsi="宋体" w:eastAsia="宋体" w:cs="Arial"/>
                <w:szCs w:val="21"/>
                <w:highlight w:val="none"/>
              </w:rPr>
              <w:t>分</w:t>
            </w:r>
          </w:p>
          <w:p w14:paraId="42D1F2BB">
            <w:pPr>
              <w:widowControl/>
              <w:spacing w:line="400" w:lineRule="exact"/>
              <w:jc w:val="center"/>
              <w:rPr>
                <w:rFonts w:hint="default" w:ascii="宋体" w:hAnsi="宋体" w:eastAsia="宋体" w:cs="Arial"/>
                <w:szCs w:val="21"/>
                <w:highlight w:val="none"/>
                <w:lang w:val="en-US" w:eastAsia="zh-CN"/>
              </w:rPr>
            </w:pPr>
            <w:r>
              <w:rPr>
                <w:rFonts w:hint="eastAsia" w:ascii="宋体" w:hAnsi="宋体" w:cs="Arial"/>
                <w:szCs w:val="21"/>
                <w:highlight w:val="none"/>
                <w:lang w:val="en-US" w:eastAsia="zh-CN"/>
              </w:rPr>
              <w:t>10分</w:t>
            </w:r>
          </w:p>
        </w:tc>
        <w:tc>
          <w:tcPr>
            <w:tcW w:w="6628" w:type="dxa"/>
            <w:vAlign w:val="center"/>
          </w:tcPr>
          <w:p w14:paraId="738A8F7E">
            <w:pPr>
              <w:spacing w:line="360" w:lineRule="auto"/>
              <w:rPr>
                <w:rFonts w:ascii="宋体" w:hAnsi="宋体" w:eastAsia="宋体" w:cs="Arial"/>
                <w:szCs w:val="21"/>
                <w:highlight w:val="none"/>
              </w:rPr>
            </w:pPr>
            <w:r>
              <w:rPr>
                <w:rFonts w:hint="eastAsia" w:ascii="宋体" w:hAnsi="宋体" w:eastAsia="宋体" w:cs="Arial"/>
                <w:szCs w:val="21"/>
                <w:highlight w:val="none"/>
              </w:rPr>
              <w:t>2022年1月1日以来投标</w:t>
            </w:r>
            <w:r>
              <w:rPr>
                <w:rFonts w:hint="eastAsia" w:ascii="宋体" w:hAnsi="宋体" w:cs="Arial"/>
                <w:szCs w:val="21"/>
                <w:highlight w:val="none"/>
                <w:lang w:val="en-US" w:eastAsia="zh-CN"/>
              </w:rPr>
              <w:t>人</w:t>
            </w:r>
            <w:r>
              <w:rPr>
                <w:rFonts w:hint="eastAsia" w:ascii="宋体" w:hAnsi="宋体" w:eastAsia="宋体" w:cs="Arial"/>
                <w:szCs w:val="21"/>
                <w:highlight w:val="none"/>
              </w:rPr>
              <w:t>有完成类似业绩的，有1个得</w:t>
            </w:r>
            <w:r>
              <w:rPr>
                <w:rFonts w:hint="eastAsia" w:ascii="宋体" w:hAnsi="宋体" w:cs="Arial"/>
                <w:szCs w:val="21"/>
                <w:highlight w:val="none"/>
                <w:lang w:val="en-US" w:eastAsia="zh-CN"/>
              </w:rPr>
              <w:t>2</w:t>
            </w:r>
            <w:r>
              <w:rPr>
                <w:rFonts w:hint="eastAsia" w:ascii="宋体" w:hAnsi="宋体" w:eastAsia="宋体" w:cs="Arial"/>
                <w:szCs w:val="21"/>
                <w:highlight w:val="none"/>
              </w:rPr>
              <w:t>分，最高得</w:t>
            </w:r>
            <w:r>
              <w:rPr>
                <w:rFonts w:hint="eastAsia" w:ascii="宋体" w:hAnsi="宋体" w:cs="Arial"/>
                <w:szCs w:val="21"/>
                <w:highlight w:val="none"/>
                <w:lang w:val="en-US" w:eastAsia="zh-CN"/>
              </w:rPr>
              <w:t>10</w:t>
            </w:r>
            <w:r>
              <w:rPr>
                <w:rFonts w:hint="eastAsia" w:ascii="宋体" w:hAnsi="宋体" w:eastAsia="宋体" w:cs="Arial"/>
                <w:szCs w:val="21"/>
                <w:highlight w:val="none"/>
              </w:rPr>
              <w:t>分。（以响应文件中提供</w:t>
            </w:r>
            <w:r>
              <w:rPr>
                <w:rFonts w:ascii="宋体" w:hAnsi="宋体" w:eastAsia="宋体" w:cs="Arial"/>
                <w:szCs w:val="21"/>
                <w:highlight w:val="none"/>
              </w:rPr>
              <w:t>提供合同复印件</w:t>
            </w:r>
            <w:r>
              <w:rPr>
                <w:rFonts w:hint="eastAsia" w:ascii="宋体" w:hAnsi="宋体" w:eastAsia="宋体" w:cs="Arial"/>
                <w:szCs w:val="21"/>
                <w:highlight w:val="none"/>
              </w:rPr>
              <w:t>及验收报告复印件</w:t>
            </w:r>
            <w:r>
              <w:rPr>
                <w:rFonts w:ascii="宋体" w:hAnsi="宋体" w:eastAsia="宋体" w:cs="Arial"/>
                <w:szCs w:val="21"/>
                <w:highlight w:val="none"/>
              </w:rPr>
              <w:t>作为证明材料，不提供不得分</w:t>
            </w:r>
            <w:r>
              <w:rPr>
                <w:rFonts w:hint="eastAsia" w:ascii="宋体" w:hAnsi="宋体" w:eastAsia="宋体" w:cs="Arial"/>
                <w:szCs w:val="21"/>
                <w:highlight w:val="none"/>
              </w:rPr>
              <w:t>）</w:t>
            </w:r>
          </w:p>
        </w:tc>
        <w:tc>
          <w:tcPr>
            <w:tcW w:w="1497" w:type="dxa"/>
            <w:vAlign w:val="center"/>
          </w:tcPr>
          <w:p w14:paraId="0F90BAA0">
            <w:pPr>
              <w:widowControl/>
              <w:spacing w:line="400" w:lineRule="exact"/>
              <w:jc w:val="center"/>
              <w:rPr>
                <w:rFonts w:hint="default" w:ascii="宋体" w:hAnsi="宋体" w:eastAsia="宋体" w:cs="Tahoma"/>
                <w:color w:val="000000"/>
                <w:kern w:val="0"/>
                <w:szCs w:val="21"/>
                <w:highlight w:val="none"/>
                <w:lang w:val="en-US" w:eastAsia="zh-CN"/>
              </w:rPr>
            </w:pPr>
            <w:r>
              <w:rPr>
                <w:rFonts w:hint="eastAsia" w:ascii="宋体" w:hAnsi="宋体" w:cs="Tahoma"/>
                <w:color w:val="000000"/>
                <w:kern w:val="0"/>
                <w:szCs w:val="21"/>
                <w:highlight w:val="none"/>
                <w:lang w:val="en-US" w:eastAsia="zh-CN"/>
              </w:rPr>
              <w:t>相应文件业绩证明材料</w:t>
            </w:r>
          </w:p>
        </w:tc>
      </w:tr>
      <w:tr w14:paraId="10EE6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589" w:type="dxa"/>
            <w:vAlign w:val="center"/>
          </w:tcPr>
          <w:p w14:paraId="4EA36979">
            <w:pPr>
              <w:spacing w:line="400" w:lineRule="exact"/>
              <w:jc w:val="center"/>
              <w:rPr>
                <w:rFonts w:ascii="宋体" w:hAnsi="宋体" w:eastAsia="宋体" w:cs="Tahoma"/>
                <w:color w:val="000000"/>
                <w:kern w:val="0"/>
                <w:szCs w:val="21"/>
                <w:highlight w:val="none"/>
              </w:rPr>
            </w:pPr>
            <w:r>
              <w:rPr>
                <w:rFonts w:ascii="宋体" w:hAnsi="宋体" w:eastAsia="宋体" w:cs="Tahoma"/>
                <w:color w:val="000000"/>
                <w:kern w:val="0"/>
                <w:szCs w:val="21"/>
                <w:highlight w:val="none"/>
              </w:rPr>
              <w:t>3.2</w:t>
            </w:r>
          </w:p>
        </w:tc>
        <w:tc>
          <w:tcPr>
            <w:tcW w:w="1105" w:type="dxa"/>
            <w:vAlign w:val="center"/>
          </w:tcPr>
          <w:p w14:paraId="2485DE25">
            <w:pPr>
              <w:widowControl/>
              <w:spacing w:line="400" w:lineRule="exact"/>
              <w:jc w:val="center"/>
              <w:rPr>
                <w:rFonts w:hint="eastAsia" w:ascii="宋体" w:hAnsi="宋体" w:eastAsia="宋体" w:cs="Arial"/>
                <w:szCs w:val="21"/>
                <w:highlight w:val="none"/>
              </w:rPr>
            </w:pPr>
            <w:r>
              <w:rPr>
                <w:rFonts w:hint="eastAsia" w:ascii="宋体" w:hAnsi="宋体" w:cs="Arial"/>
                <w:szCs w:val="21"/>
                <w:highlight w:val="none"/>
                <w:lang w:val="en-US" w:eastAsia="zh-CN"/>
              </w:rPr>
              <w:t>荣</w:t>
            </w:r>
            <w:r>
              <w:rPr>
                <w:rFonts w:ascii="宋体" w:hAnsi="宋体" w:eastAsia="宋体" w:cs="Arial"/>
                <w:szCs w:val="21"/>
                <w:highlight w:val="none"/>
              </w:rPr>
              <w:t>誉</w:t>
            </w:r>
            <w:r>
              <w:rPr>
                <w:rFonts w:hint="eastAsia" w:ascii="宋体" w:hAnsi="宋体" w:eastAsia="宋体" w:cs="Arial"/>
                <w:szCs w:val="21"/>
                <w:highlight w:val="none"/>
              </w:rPr>
              <w:t>分</w:t>
            </w:r>
          </w:p>
          <w:p w14:paraId="05191CCB">
            <w:pPr>
              <w:widowControl/>
              <w:spacing w:line="400" w:lineRule="exact"/>
              <w:jc w:val="center"/>
              <w:rPr>
                <w:rFonts w:hint="default" w:ascii="宋体" w:hAnsi="宋体" w:eastAsia="宋体" w:cs="Arial"/>
                <w:szCs w:val="21"/>
                <w:highlight w:val="none"/>
                <w:lang w:val="en-US" w:eastAsia="zh-CN"/>
              </w:rPr>
            </w:pPr>
            <w:r>
              <w:rPr>
                <w:rFonts w:hint="eastAsia" w:ascii="宋体" w:hAnsi="宋体" w:cs="Arial"/>
                <w:szCs w:val="21"/>
                <w:highlight w:val="none"/>
                <w:lang w:val="en-US" w:eastAsia="zh-CN"/>
              </w:rPr>
              <w:t>10分</w:t>
            </w:r>
          </w:p>
        </w:tc>
        <w:tc>
          <w:tcPr>
            <w:tcW w:w="6628" w:type="dxa"/>
            <w:vAlign w:val="center"/>
          </w:tcPr>
          <w:p w14:paraId="1AF9AFD4">
            <w:pPr>
              <w:numPr>
                <w:ilvl w:val="0"/>
                <w:numId w:val="0"/>
              </w:numPr>
              <w:spacing w:line="360" w:lineRule="auto"/>
              <w:rPr>
                <w:rFonts w:ascii="宋体" w:hAnsi="宋体" w:eastAsia="宋体" w:cs="Arial"/>
                <w:szCs w:val="21"/>
                <w:highlight w:val="none"/>
              </w:rPr>
            </w:pPr>
            <w:r>
              <w:rPr>
                <w:rFonts w:hint="eastAsia" w:ascii="宋体" w:hAnsi="宋体" w:eastAsia="宋体" w:cs="宋体"/>
                <w:i w:val="0"/>
                <w:iCs w:val="0"/>
                <w:caps w:val="0"/>
                <w:color w:val="333333"/>
                <w:spacing w:val="0"/>
                <w:sz w:val="21"/>
                <w:szCs w:val="21"/>
                <w:highlight w:val="none"/>
                <w:shd w:val="clear" w:fill="FFFFFF"/>
              </w:rPr>
              <w:t>投标人获国家级荣誉的每项得</w:t>
            </w:r>
            <w:r>
              <w:rPr>
                <w:rFonts w:hint="eastAsia" w:ascii="宋体" w:hAnsi="宋体" w:eastAsia="宋体" w:cs="宋体"/>
                <w:i w:val="0"/>
                <w:iCs w:val="0"/>
                <w:caps w:val="0"/>
                <w:color w:val="333333"/>
                <w:spacing w:val="0"/>
                <w:sz w:val="21"/>
                <w:szCs w:val="21"/>
                <w:highlight w:val="none"/>
                <w:shd w:val="clear" w:fill="FFFFFF"/>
                <w:lang w:val="en-US" w:eastAsia="zh-CN"/>
              </w:rPr>
              <w:t>5</w:t>
            </w:r>
            <w:r>
              <w:rPr>
                <w:rFonts w:hint="eastAsia" w:ascii="宋体" w:hAnsi="宋体" w:eastAsia="宋体" w:cs="宋体"/>
                <w:i w:val="0"/>
                <w:iCs w:val="0"/>
                <w:caps w:val="0"/>
                <w:color w:val="333333"/>
                <w:spacing w:val="0"/>
                <w:sz w:val="21"/>
                <w:szCs w:val="21"/>
                <w:highlight w:val="none"/>
                <w:shd w:val="clear" w:fill="FFFFFF"/>
              </w:rPr>
              <w:t>分，获省部级荣誉的每项得</w:t>
            </w:r>
            <w:r>
              <w:rPr>
                <w:rFonts w:hint="eastAsia" w:ascii="宋体" w:hAnsi="宋体" w:eastAsia="宋体" w:cs="宋体"/>
                <w:i w:val="0"/>
                <w:iCs w:val="0"/>
                <w:caps w:val="0"/>
                <w:color w:val="333333"/>
                <w:spacing w:val="0"/>
                <w:sz w:val="21"/>
                <w:szCs w:val="21"/>
                <w:highlight w:val="none"/>
                <w:shd w:val="clear" w:fill="FFFFFF"/>
                <w:lang w:val="en-US" w:eastAsia="zh-CN"/>
              </w:rPr>
              <w:t>2</w:t>
            </w:r>
            <w:r>
              <w:rPr>
                <w:rFonts w:hint="eastAsia" w:ascii="宋体" w:hAnsi="宋体" w:eastAsia="宋体" w:cs="宋体"/>
                <w:i w:val="0"/>
                <w:iCs w:val="0"/>
                <w:caps w:val="0"/>
                <w:color w:val="333333"/>
                <w:spacing w:val="0"/>
                <w:sz w:val="21"/>
                <w:szCs w:val="21"/>
                <w:highlight w:val="none"/>
                <w:shd w:val="clear" w:fill="FFFFFF"/>
              </w:rPr>
              <w:t>分，获地市级荣誉的每项得1分。（提供</w:t>
            </w:r>
            <w:r>
              <w:rPr>
                <w:rFonts w:hint="eastAsia" w:ascii="宋体" w:hAnsi="宋体" w:eastAsia="宋体" w:cs="宋体"/>
                <w:i w:val="0"/>
                <w:iCs w:val="0"/>
                <w:caps w:val="0"/>
                <w:color w:val="333333"/>
                <w:spacing w:val="0"/>
                <w:sz w:val="21"/>
                <w:szCs w:val="21"/>
                <w:highlight w:val="none"/>
                <w:shd w:val="clear" w:fill="FFFFFF"/>
                <w:lang w:val="en-US" w:eastAsia="zh-CN"/>
              </w:rPr>
              <w:t>成交通知或合同协议</w:t>
            </w:r>
            <w:r>
              <w:rPr>
                <w:rFonts w:hint="eastAsia" w:ascii="宋体" w:hAnsi="宋体" w:eastAsia="宋体" w:cs="宋体"/>
                <w:i w:val="0"/>
                <w:iCs w:val="0"/>
                <w:caps w:val="0"/>
                <w:color w:val="333333"/>
                <w:spacing w:val="0"/>
                <w:sz w:val="21"/>
                <w:szCs w:val="21"/>
                <w:highlight w:val="none"/>
                <w:shd w:val="clear" w:fill="FFFFFF"/>
              </w:rPr>
              <w:t>相关证明扫描件）</w:t>
            </w:r>
          </w:p>
        </w:tc>
        <w:tc>
          <w:tcPr>
            <w:tcW w:w="1497" w:type="dxa"/>
            <w:vAlign w:val="center"/>
          </w:tcPr>
          <w:p w14:paraId="684B5D09">
            <w:pPr>
              <w:widowControl/>
              <w:spacing w:line="400" w:lineRule="exact"/>
              <w:jc w:val="center"/>
              <w:rPr>
                <w:rFonts w:ascii="宋体" w:hAnsi="宋体" w:eastAsia="宋体" w:cs="Tahoma"/>
                <w:color w:val="000000"/>
                <w:kern w:val="0"/>
                <w:szCs w:val="21"/>
                <w:highlight w:val="none"/>
              </w:rPr>
            </w:pPr>
            <w:r>
              <w:rPr>
                <w:rFonts w:hint="eastAsia" w:ascii="宋体" w:hAnsi="宋体" w:cs="Tahoma"/>
                <w:color w:val="000000"/>
                <w:kern w:val="0"/>
                <w:szCs w:val="21"/>
                <w:highlight w:val="none"/>
                <w:lang w:val="en-US" w:eastAsia="zh-CN"/>
              </w:rPr>
              <w:t>相应文件荣誉证明材料</w:t>
            </w:r>
          </w:p>
        </w:tc>
      </w:tr>
      <w:tr w14:paraId="13C08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22" w:type="dxa"/>
            <w:gridSpan w:val="3"/>
          </w:tcPr>
          <w:p w14:paraId="379D3265">
            <w:pPr>
              <w:spacing w:line="400" w:lineRule="exact"/>
              <w:ind w:firstLine="420" w:firstLineChars="200"/>
              <w:rPr>
                <w:rFonts w:ascii="宋体" w:hAnsi="宋体" w:eastAsia="宋体" w:cs="Courier New"/>
                <w:bCs/>
                <w:color w:val="000000"/>
                <w:szCs w:val="21"/>
                <w:highlight w:val="none"/>
              </w:rPr>
            </w:pPr>
            <w:r>
              <w:rPr>
                <w:rFonts w:hint="eastAsia" w:ascii="宋体" w:hAnsi="宋体" w:eastAsia="宋体" w:cs="Courier New"/>
                <w:bCs/>
                <w:color w:val="000000"/>
                <w:szCs w:val="21"/>
                <w:highlight w:val="none"/>
              </w:rPr>
              <w:t>总得分＝1＋2＋3</w:t>
            </w:r>
          </w:p>
        </w:tc>
        <w:tc>
          <w:tcPr>
            <w:tcW w:w="1497" w:type="dxa"/>
            <w:vAlign w:val="center"/>
          </w:tcPr>
          <w:p w14:paraId="5385F6ED">
            <w:pPr>
              <w:widowControl/>
              <w:spacing w:line="400" w:lineRule="exact"/>
              <w:jc w:val="center"/>
              <w:rPr>
                <w:rFonts w:ascii="宋体" w:hAnsi="宋体" w:eastAsia="宋体" w:cs="Tahoma"/>
                <w:color w:val="000000"/>
                <w:kern w:val="0"/>
                <w:szCs w:val="21"/>
                <w:highlight w:val="none"/>
              </w:rPr>
            </w:pPr>
            <w:r>
              <w:rPr>
                <w:rFonts w:hint="eastAsia" w:ascii="宋体" w:hAnsi="宋体" w:eastAsia="宋体" w:cs="Tahoma"/>
                <w:color w:val="000000"/>
                <w:kern w:val="0"/>
                <w:szCs w:val="21"/>
                <w:highlight w:val="none"/>
              </w:rPr>
              <w:t>100分</w:t>
            </w:r>
          </w:p>
        </w:tc>
      </w:tr>
    </w:tbl>
    <w:p w14:paraId="2A735C4F">
      <w:pPr>
        <w:ind w:firstLine="420" w:firstLineChars="200"/>
        <w:jc w:val="left"/>
        <w:rPr>
          <w:rFonts w:ascii="宋体" w:hAnsi="宋体" w:eastAsia="宋体"/>
          <w:szCs w:val="21"/>
          <w:highlight w:val="none"/>
        </w:rPr>
      </w:pPr>
    </w:p>
    <w:p w14:paraId="0C23AC85">
      <w:pPr>
        <w:spacing w:line="400" w:lineRule="exact"/>
        <w:ind w:firstLine="422" w:firstLineChars="200"/>
        <w:jc w:val="left"/>
        <w:rPr>
          <w:rFonts w:ascii="宋体" w:hAnsi="宋体" w:eastAsia="宋体"/>
          <w:b/>
          <w:bCs/>
          <w:szCs w:val="21"/>
          <w:highlight w:val="none"/>
        </w:rPr>
      </w:pPr>
      <w:r>
        <w:rPr>
          <w:rFonts w:hint="eastAsia" w:ascii="宋体" w:hAnsi="宋体" w:eastAsia="宋体"/>
          <w:b/>
          <w:bCs/>
          <w:szCs w:val="21"/>
          <w:highlight w:val="none"/>
        </w:rPr>
        <w:t>三、成交候选人推荐原则</w:t>
      </w:r>
    </w:p>
    <w:p w14:paraId="19F3F821">
      <w:pPr>
        <w:spacing w:line="400" w:lineRule="exact"/>
        <w:ind w:firstLine="420" w:firstLineChars="200"/>
        <w:jc w:val="left"/>
        <w:rPr>
          <w:rFonts w:ascii="宋体" w:hAnsi="宋体" w:eastAsia="宋体"/>
          <w:szCs w:val="21"/>
          <w:highlight w:val="none"/>
        </w:rPr>
      </w:pPr>
      <w:r>
        <w:rPr>
          <w:rFonts w:ascii="宋体" w:hAnsi="宋体" w:eastAsia="宋体"/>
          <w:szCs w:val="21"/>
          <w:highlight w:val="none"/>
        </w:rPr>
        <w:t>由磋商小组根据综合评分情况，按照评审得分由高到低顺序推荐3名以上成交候选供应商，并编写评审报告。评审得分相同的，按照最后报价（不计算价格折扣）由低到高的顺序推荐。评审得分且最后报价（不计算价格折扣）相同的，按照技术指标优劣顺序推荐（按技术得分由高到低排序，技术得分相同的按照技术需求偏离分由高到低排序）。评审得分、最后报价（不计算价格折扣）、技术得分、技术需求偏离分均相同的，由磋商小组随机抽取推荐。</w:t>
      </w:r>
    </w:p>
    <w:p w14:paraId="38C61E21">
      <w:pPr>
        <w:keepNext w:val="0"/>
        <w:keepLines w:val="0"/>
        <w:pageBreakBefore w:val="0"/>
        <w:kinsoku/>
        <w:overflowPunct/>
        <w:topLinePunct w:val="0"/>
        <w:bidi w:val="0"/>
        <w:spacing w:line="360" w:lineRule="auto"/>
        <w:jc w:val="center"/>
        <w:textAlignment w:val="auto"/>
        <w:outlineLvl w:val="0"/>
        <w:rPr>
          <w:rFonts w:hint="eastAsia" w:ascii="宋体" w:hAnsi="宋体"/>
          <w:b/>
          <w:color w:val="auto"/>
          <w:sz w:val="32"/>
          <w:szCs w:val="32"/>
          <w:highlight w:val="none"/>
        </w:rPr>
      </w:pPr>
    </w:p>
    <w:p w14:paraId="2F0F803F">
      <w:pPr>
        <w:rPr>
          <w:rFonts w:hint="eastAsia" w:ascii="宋体" w:hAnsi="宋体"/>
          <w:b/>
          <w:color w:val="auto"/>
          <w:sz w:val="32"/>
          <w:szCs w:val="32"/>
          <w:highlight w:val="none"/>
        </w:rPr>
      </w:pPr>
      <w:r>
        <w:rPr>
          <w:rFonts w:hint="eastAsia" w:ascii="宋体" w:hAnsi="宋体"/>
          <w:b/>
          <w:color w:val="auto"/>
          <w:sz w:val="32"/>
          <w:szCs w:val="32"/>
          <w:highlight w:val="none"/>
        </w:rPr>
        <w:br w:type="page"/>
      </w:r>
    </w:p>
    <w:p w14:paraId="21345144">
      <w:pPr>
        <w:pStyle w:val="2"/>
        <w:spacing w:line="240" w:lineRule="auto"/>
        <w:jc w:val="center"/>
        <w:rPr>
          <w:rFonts w:hint="eastAsia" w:ascii="黑体" w:hAnsi="黑体" w:eastAsia="黑体" w:cs="黑体"/>
          <w:b/>
          <w:bCs/>
          <w:sz w:val="32"/>
          <w:szCs w:val="32"/>
          <w:highlight w:val="none"/>
        </w:rPr>
      </w:pPr>
      <w:bookmarkStart w:id="20" w:name="_Toc157176843"/>
      <w:r>
        <w:rPr>
          <w:rFonts w:hint="eastAsia" w:ascii="黑体" w:hAnsi="黑体" w:eastAsia="黑体" w:cs="黑体"/>
          <w:sz w:val="32"/>
          <w:szCs w:val="32"/>
          <w:highlight w:val="none"/>
        </w:rPr>
        <w:t>第五章  拟签订的合同文本</w:t>
      </w:r>
      <w:bookmarkEnd w:id="20"/>
    </w:p>
    <w:p w14:paraId="0C6CED18">
      <w:pPr>
        <w:jc w:val="center"/>
        <w:rPr>
          <w:rFonts w:hint="eastAsia" w:ascii="宋体" w:hAnsi="宋体"/>
          <w:b/>
          <w:color w:val="auto"/>
          <w:sz w:val="32"/>
          <w:szCs w:val="32"/>
          <w:highlight w:val="none"/>
        </w:rPr>
      </w:pPr>
    </w:p>
    <w:p w14:paraId="06E82013">
      <w:pPr>
        <w:jc w:val="center"/>
        <w:rPr>
          <w:rFonts w:ascii="宋体" w:hAnsi="宋体"/>
          <w:b/>
          <w:color w:val="auto"/>
          <w:sz w:val="32"/>
          <w:szCs w:val="32"/>
          <w:highlight w:val="none"/>
        </w:rPr>
      </w:pPr>
      <w:r>
        <w:rPr>
          <w:rFonts w:hint="eastAsia" w:ascii="仿宋_GB2312" w:hAnsi="仿宋_GB2312" w:eastAsia="仿宋_GB2312" w:cs="仿宋_GB2312"/>
          <w:b w:val="0"/>
          <w:bCs/>
          <w:color w:val="auto"/>
          <w:sz w:val="32"/>
          <w:szCs w:val="32"/>
          <w:highlight w:val="none"/>
          <w:lang w:val="en-US" w:eastAsia="zh-CN"/>
        </w:rPr>
        <w:t>按广西壮族自治区政府采购合同模板协商签订</w:t>
      </w:r>
      <w:r>
        <w:rPr>
          <w:rFonts w:hint="eastAsia" w:ascii="宋体" w:hAnsi="宋体"/>
          <w:b/>
          <w:color w:val="auto"/>
          <w:sz w:val="32"/>
          <w:szCs w:val="32"/>
          <w:highlight w:val="none"/>
        </w:rPr>
        <w:br w:type="page"/>
      </w:r>
      <w:r>
        <w:rPr>
          <w:rFonts w:hint="eastAsia" w:ascii="宋体" w:hAnsi="宋体"/>
          <w:b/>
          <w:color w:val="auto"/>
          <w:sz w:val="32"/>
          <w:szCs w:val="32"/>
          <w:highlight w:val="none"/>
        </w:rPr>
        <w:t>第</w:t>
      </w:r>
      <w:r>
        <w:rPr>
          <w:rFonts w:hint="eastAsia" w:ascii="宋体" w:hAnsi="宋体"/>
          <w:b/>
          <w:color w:val="auto"/>
          <w:sz w:val="32"/>
          <w:szCs w:val="32"/>
          <w:highlight w:val="none"/>
          <w:lang w:val="en-US" w:eastAsia="zh-CN"/>
        </w:rPr>
        <w:t>六</w:t>
      </w:r>
      <w:r>
        <w:rPr>
          <w:rFonts w:hint="eastAsia" w:ascii="宋体" w:hAnsi="宋体"/>
          <w:b/>
          <w:color w:val="auto"/>
          <w:sz w:val="32"/>
          <w:szCs w:val="32"/>
          <w:highlight w:val="none"/>
        </w:rPr>
        <w:t xml:space="preserve">章  </w:t>
      </w:r>
      <w:r>
        <w:rPr>
          <w:rFonts w:hint="eastAsia" w:ascii="宋体" w:hAnsi="宋体"/>
          <w:b/>
          <w:color w:val="auto"/>
          <w:sz w:val="32"/>
          <w:szCs w:val="32"/>
          <w:highlight w:val="none"/>
          <w:lang w:eastAsia="zh-CN"/>
        </w:rPr>
        <w:t>磋商响应文件</w:t>
      </w:r>
      <w:r>
        <w:rPr>
          <w:rFonts w:hint="eastAsia" w:ascii="宋体" w:hAnsi="宋体"/>
          <w:b/>
          <w:color w:val="auto"/>
          <w:sz w:val="32"/>
          <w:szCs w:val="32"/>
          <w:highlight w:val="none"/>
        </w:rPr>
        <w:t>格式</w:t>
      </w:r>
      <w:bookmarkEnd w:id="19"/>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725AD7F9">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项目名称： </w:t>
      </w:r>
    </w:p>
    <w:p w14:paraId="00903F2D">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 xml:space="preserve">项目编号： </w:t>
      </w:r>
    </w:p>
    <w:p w14:paraId="67F6F7D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供应商名称（盖章）：</w:t>
      </w:r>
    </w:p>
    <w:p w14:paraId="13D2AF28">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1100" w:firstLineChars="393"/>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在×年×月×日×时×分前不得启封（开标时才能启封）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21" w:name="_Toc301424941"/>
      <w:bookmarkStart w:id="22" w:name="_Toc326217567"/>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rPr>
        <w:t>响应文件</w:t>
      </w:r>
      <w:r>
        <w:rPr>
          <w:rFonts w:hint="eastAsia" w:hAnsi="宋体"/>
          <w:b/>
          <w:color w:val="auto"/>
          <w:sz w:val="28"/>
          <w:szCs w:val="28"/>
          <w:highlight w:val="none"/>
        </w:rPr>
        <w:t>封面格式：</w:t>
      </w:r>
      <w:bookmarkEnd w:id="21"/>
      <w:bookmarkEnd w:id="22"/>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响 应</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项目名称：</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2FBA66DA">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项目编号：</w:t>
      </w:r>
      <w:r>
        <w:rPr>
          <w:rFonts w:hint="eastAsia" w:hAnsi="宋体"/>
          <w:bCs/>
          <w:color w:val="auto"/>
          <w:sz w:val="28"/>
          <w:szCs w:val="28"/>
          <w:highlight w:val="none"/>
          <w:u w:val="single"/>
        </w:rPr>
        <w:t xml:space="preserve">                                        </w:t>
      </w:r>
      <w:r>
        <w:rPr>
          <w:rFonts w:hint="eastAsia" w:hAnsi="宋体"/>
          <w:bCs/>
          <w:color w:val="auto"/>
          <w:sz w:val="28"/>
          <w:szCs w:val="28"/>
          <w:highlight w:val="none"/>
        </w:rPr>
        <w:t xml:space="preserve">      </w:t>
      </w:r>
    </w:p>
    <w:p w14:paraId="6C29D2D0">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供应商名称（盖章）：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25"/>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both"/>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lang w:val="en-US" w:eastAsia="zh-CN"/>
        </w:rPr>
        <w:t>三、</w:t>
      </w:r>
      <w:r>
        <w:rPr>
          <w:rFonts w:hint="eastAsia" w:ascii="Times New Roman" w:hAnsi="宋体" w:eastAsia="宋体" w:cs="Times New Roman"/>
          <w:b/>
          <w:color w:val="auto"/>
          <w:sz w:val="28"/>
          <w:szCs w:val="28"/>
          <w:highlight w:val="none"/>
        </w:rPr>
        <w:t>目录</w:t>
      </w:r>
    </w:p>
    <w:p w14:paraId="41E76DE0">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一</w:t>
      </w:r>
      <w:r>
        <w:rPr>
          <w:rFonts w:hint="eastAsia" w:ascii="宋体" w:hAnsi="宋体"/>
          <w:color w:val="auto"/>
          <w:sz w:val="21"/>
          <w:szCs w:val="21"/>
          <w:highlight w:val="none"/>
          <w:lang w:eastAsia="zh-CN"/>
        </w:rPr>
        <w:t>）</w:t>
      </w:r>
      <w:r>
        <w:rPr>
          <w:rFonts w:hint="eastAsia" w:ascii="宋体" w:hAnsi="宋体"/>
          <w:color w:val="auto"/>
          <w:sz w:val="21"/>
          <w:szCs w:val="21"/>
          <w:highlight w:val="none"/>
        </w:rPr>
        <w:t>价格文件</w:t>
      </w:r>
    </w:p>
    <w:p w14:paraId="35F65B78">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报价表</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p>
    <w:p w14:paraId="417EBE45">
      <w:pPr>
        <w:keepNext w:val="0"/>
        <w:keepLines w:val="0"/>
        <w:pageBreakBefore w:val="0"/>
        <w:kinsoku/>
        <w:overflowPunct/>
        <w:topLinePunct w:val="0"/>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lang w:eastAsia="zh-CN"/>
        </w:rPr>
        <w:t>）</w:t>
      </w:r>
      <w:r>
        <w:rPr>
          <w:rFonts w:hint="eastAsia" w:ascii="宋体" w:hAnsi="宋体"/>
          <w:color w:val="auto"/>
          <w:sz w:val="21"/>
          <w:szCs w:val="21"/>
          <w:highlight w:val="none"/>
        </w:rPr>
        <w:t xml:space="preserve">商务技术文件 </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r>
        <w:rPr>
          <w:rFonts w:hint="eastAsia" w:ascii="宋体" w:hAnsi="宋体" w:eastAsia="宋体" w:cs="Times New Roman"/>
          <w:b w:val="0"/>
          <w:bCs/>
          <w:color w:val="auto"/>
          <w:kern w:val="2"/>
          <w:sz w:val="21"/>
          <w:szCs w:val="21"/>
          <w:highlight w:val="none"/>
          <w:lang w:val="en-US" w:eastAsia="zh-CN" w:bidi="ar-SA"/>
        </w:rPr>
        <w:t>................</w:t>
      </w:r>
    </w:p>
    <w:p w14:paraId="7853EF67">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s="Times New Roman"/>
          <w:b w:val="0"/>
          <w:bCs/>
          <w:color w:val="auto"/>
          <w:kern w:val="2"/>
          <w:sz w:val="21"/>
          <w:szCs w:val="21"/>
          <w:highlight w:val="none"/>
          <w:lang w:val="en-US" w:eastAsia="zh-CN" w:bidi="ar-SA"/>
        </w:rPr>
        <w:t>（2）</w:t>
      </w:r>
      <w:r>
        <w:rPr>
          <w:rFonts w:hint="eastAsia" w:ascii="宋体" w:hAnsi="宋体"/>
          <w:color w:val="auto"/>
          <w:sz w:val="21"/>
          <w:szCs w:val="21"/>
          <w:highlight w:val="none"/>
        </w:rPr>
        <w:t>技术</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4CD4765B">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rPr>
        <w:t>商务</w:t>
      </w:r>
      <w:r>
        <w:rPr>
          <w:rFonts w:hint="eastAsia" w:ascii="宋体" w:hAnsi="宋体"/>
          <w:color w:val="auto"/>
          <w:sz w:val="21"/>
          <w:szCs w:val="21"/>
          <w:highlight w:val="none"/>
          <w:lang w:val="en-US" w:eastAsia="zh-CN"/>
        </w:rPr>
        <w:t>参数</w:t>
      </w:r>
      <w:r>
        <w:rPr>
          <w:rFonts w:hint="eastAsia" w:ascii="宋体" w:hAnsi="宋体"/>
          <w:color w:val="auto"/>
          <w:sz w:val="21"/>
          <w:szCs w:val="21"/>
          <w:highlight w:val="none"/>
        </w:rPr>
        <w:t>响应及偏离情况说明表</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格式后附</w:t>
      </w:r>
      <w:r>
        <w:rPr>
          <w:rFonts w:hint="eastAsia" w:ascii="宋体" w:hAnsi="宋体"/>
          <w:color w:val="auto"/>
          <w:sz w:val="21"/>
          <w:szCs w:val="21"/>
          <w:highlight w:val="none"/>
          <w:lang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7E00FBFA">
      <w:pPr>
        <w:keepNext w:val="0"/>
        <w:keepLines w:val="0"/>
        <w:pageBreakBefore w:val="0"/>
        <w:kinsoku/>
        <w:overflowPunct/>
        <w:topLinePunct w:val="0"/>
        <w:bidi w:val="0"/>
        <w:spacing w:line="360" w:lineRule="auto"/>
        <w:ind w:firstLine="420" w:firstLineChars="200"/>
        <w:textAlignment w:val="auto"/>
        <w:rPr>
          <w:rFonts w:hint="default" w:eastAsia="宋体"/>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4</w:t>
      </w:r>
      <w:r>
        <w:rPr>
          <w:rFonts w:hint="eastAsia" w:ascii="宋体" w:hAnsi="宋体"/>
          <w:color w:val="auto"/>
          <w:sz w:val="21"/>
          <w:szCs w:val="21"/>
          <w:highlight w:val="none"/>
          <w:lang w:eastAsia="zh-CN"/>
        </w:rPr>
        <w:t>）</w:t>
      </w:r>
      <w:r>
        <w:rPr>
          <w:rFonts w:hint="eastAsia" w:ascii="宋体" w:hAnsi="宋体"/>
          <w:color w:val="auto"/>
          <w:sz w:val="21"/>
          <w:szCs w:val="21"/>
          <w:highlight w:val="none"/>
        </w:rPr>
        <w:t>供应商有效的</w:t>
      </w:r>
      <w:r>
        <w:rPr>
          <w:rFonts w:hint="eastAsia" w:ascii="宋体" w:hAnsi="宋体"/>
          <w:color w:val="auto"/>
          <w:sz w:val="21"/>
          <w:szCs w:val="21"/>
          <w:highlight w:val="none"/>
          <w:lang w:val="en-US" w:eastAsia="zh-CN"/>
        </w:rPr>
        <w:t>资质及证明文件</w:t>
      </w:r>
      <w:r>
        <w:rPr>
          <w:rFonts w:hint="eastAsia" w:ascii="宋体" w:hAnsi="宋体"/>
          <w:b w:val="0"/>
          <w:bCs w:val="0"/>
          <w:color w:val="auto"/>
          <w:sz w:val="21"/>
          <w:szCs w:val="21"/>
          <w:highlight w:val="none"/>
          <w:lang w:val="en-US" w:eastAsia="zh-CN"/>
        </w:rPr>
        <w:t>（营业执照、图书出版许可证、</w:t>
      </w:r>
      <w:r>
        <w:rPr>
          <w:rFonts w:hint="eastAsia" w:ascii="宋体" w:hAnsi="宋体"/>
          <w:color w:val="auto"/>
          <w:sz w:val="21"/>
          <w:szCs w:val="21"/>
          <w:highlight w:val="none"/>
          <w:lang w:val="en-US" w:eastAsia="zh-CN"/>
        </w:rPr>
        <w:t>2025年1月至7月内任意连续3个月的依法缴纳税收的凭据复印件、2025年1月至7月内任意连续3个月的依法缴纳社会保障资金的缴费凭证</w:t>
      </w:r>
      <w:r>
        <w:rPr>
          <w:rFonts w:hint="eastAsia" w:ascii="宋体" w:hAnsi="宋体"/>
          <w:b w:val="0"/>
          <w:bCs w:val="0"/>
          <w:color w:val="auto"/>
          <w:sz w:val="21"/>
          <w:szCs w:val="21"/>
          <w:highlight w:val="none"/>
          <w:lang w:val="en-US" w:eastAsia="zh-CN"/>
        </w:rPr>
        <w:t>）</w:t>
      </w:r>
      <w:r>
        <w:rPr>
          <w:rFonts w:hint="eastAsia" w:ascii="宋体" w:hAnsi="宋体"/>
          <w:color w:val="auto"/>
          <w:sz w:val="21"/>
          <w:szCs w:val="21"/>
          <w:highlight w:val="none"/>
        </w:rPr>
        <w:t>（</w:t>
      </w:r>
      <w:r>
        <w:rPr>
          <w:rFonts w:hint="eastAsia" w:ascii="宋体" w:hAnsi="宋体"/>
          <w:b/>
          <w:color w:val="auto"/>
          <w:sz w:val="21"/>
          <w:szCs w:val="21"/>
          <w:highlight w:val="none"/>
        </w:rPr>
        <w:t>必须提供</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w:t>
      </w:r>
    </w:p>
    <w:p w14:paraId="5632DE87">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（5）项目实施方案（参照评分标准提供详细的实施本项目的实施方案，如日期规划、应急处置、风险预案等方案）</w:t>
      </w:r>
      <w:r>
        <w:rPr>
          <w:rFonts w:hint="eastAsia" w:ascii="宋体" w:hAnsi="宋体"/>
          <w:b/>
          <w:bCs/>
          <w:color w:val="auto"/>
          <w:sz w:val="21"/>
          <w:szCs w:val="21"/>
          <w:highlight w:val="none"/>
          <w:lang w:val="en-US" w:eastAsia="zh-CN"/>
        </w:rPr>
        <w:t>（格式目录自拟）.</w:t>
      </w:r>
      <w:r>
        <w:rPr>
          <w:rFonts w:hint="eastAsia" w:ascii="宋体" w:hAnsi="宋体"/>
          <w:color w:val="auto"/>
          <w:sz w:val="21"/>
          <w:szCs w:val="21"/>
          <w:highlight w:val="none"/>
          <w:lang w:val="en-US" w:eastAsia="zh-CN"/>
        </w:rPr>
        <w:t>...............................</w:t>
      </w:r>
    </w:p>
    <w:p w14:paraId="7AC9E88A">
      <w:pPr>
        <w:keepNext w:val="0"/>
        <w:keepLines w:val="0"/>
        <w:pageBreakBefore w:val="0"/>
        <w:kinsoku/>
        <w:overflowPunct/>
        <w:topLinePunct w:val="0"/>
        <w:bidi w:val="0"/>
        <w:snapToGrid w:val="0"/>
        <w:spacing w:line="360" w:lineRule="auto"/>
        <w:ind w:firstLine="420" w:firstLineChars="200"/>
        <w:textAlignment w:val="auto"/>
        <w:outlineLvl w:val="1"/>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（6）售后服务方案，</w:t>
      </w:r>
      <w:r>
        <w:rPr>
          <w:rFonts w:hint="eastAsia" w:ascii="宋体" w:hAnsi="宋体"/>
          <w:color w:val="auto"/>
          <w:sz w:val="21"/>
          <w:szCs w:val="21"/>
          <w:highlight w:val="none"/>
        </w:rPr>
        <w:t>提供的切实可行的售后服务承诺</w:t>
      </w:r>
      <w:r>
        <w:rPr>
          <w:rFonts w:hint="eastAsia" w:ascii="宋体" w:hAnsi="宋体"/>
          <w:color w:val="auto"/>
          <w:sz w:val="21"/>
          <w:szCs w:val="21"/>
          <w:highlight w:val="none"/>
          <w:lang w:val="en-US" w:eastAsia="zh-CN"/>
        </w:rPr>
        <w:t>（格式目录自拟）（必须提供）........................................................................</w:t>
      </w:r>
    </w:p>
    <w:p w14:paraId="2C1AA963">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eastAsia="宋体"/>
          <w:color w:val="auto"/>
          <w:sz w:val="21"/>
          <w:szCs w:val="21"/>
          <w:highlight w:val="none"/>
          <w:lang w:val="en-US" w:eastAsia="zh-CN"/>
        </w:rPr>
        <w:t>（</w:t>
      </w:r>
      <w:r>
        <w:rPr>
          <w:rFonts w:hint="eastAsia" w:ascii="宋体" w:hAnsi="宋体"/>
          <w:color w:val="auto"/>
          <w:sz w:val="21"/>
          <w:szCs w:val="21"/>
          <w:highlight w:val="none"/>
          <w:lang w:val="en-US" w:eastAsia="zh-CN"/>
        </w:rPr>
        <w:t>7</w:t>
      </w: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出版物质量控制方案</w:t>
      </w:r>
      <w:r>
        <w:rPr>
          <w:rFonts w:hint="eastAsia" w:ascii="宋体" w:hAnsi="宋体"/>
          <w:color w:val="auto"/>
          <w:sz w:val="21"/>
          <w:szCs w:val="21"/>
          <w:highlight w:val="none"/>
        </w:rPr>
        <w:t>（格式</w:t>
      </w:r>
      <w:r>
        <w:rPr>
          <w:rFonts w:hint="eastAsia" w:ascii="宋体" w:hAnsi="宋体"/>
          <w:color w:val="auto"/>
          <w:sz w:val="21"/>
          <w:szCs w:val="21"/>
          <w:highlight w:val="none"/>
          <w:lang w:val="en-US" w:eastAsia="zh-CN"/>
        </w:rPr>
        <w:t>目录</w:t>
      </w:r>
      <w:r>
        <w:rPr>
          <w:rFonts w:hint="eastAsia" w:ascii="宋体" w:hAnsi="宋体"/>
          <w:color w:val="auto"/>
          <w:sz w:val="21"/>
          <w:szCs w:val="21"/>
          <w:highlight w:val="none"/>
        </w:rPr>
        <w:t>自拟）</w:t>
      </w:r>
      <w:r>
        <w:rPr>
          <w:rFonts w:hint="eastAsia" w:ascii="宋体" w:hAnsi="宋体"/>
          <w:color w:val="auto"/>
          <w:sz w:val="21"/>
          <w:szCs w:val="21"/>
          <w:highlight w:val="none"/>
          <w:lang w:val="en-US" w:eastAsia="zh-CN"/>
        </w:rPr>
        <w:t>................................</w:t>
      </w:r>
    </w:p>
    <w:p w14:paraId="03412E71">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8</w:t>
      </w:r>
      <w:r>
        <w:rPr>
          <w:rFonts w:hint="eastAsia" w:ascii="宋体" w:hAnsi="宋体"/>
          <w:color w:val="auto"/>
          <w:sz w:val="21"/>
          <w:szCs w:val="21"/>
          <w:highlight w:val="none"/>
          <w:lang w:eastAsia="zh-CN"/>
        </w:rPr>
        <w:t>）</w:t>
      </w:r>
      <w:r>
        <w:rPr>
          <w:rFonts w:hint="eastAsia" w:ascii="宋体" w:hAnsi="宋体"/>
          <w:color w:val="auto"/>
          <w:sz w:val="21"/>
          <w:szCs w:val="21"/>
          <w:highlight w:val="none"/>
        </w:rPr>
        <w:t>项目实施人员一览表</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格式后附</w:t>
      </w:r>
      <w:r>
        <w:rPr>
          <w:rFonts w:hint="eastAsia" w:ascii="宋体" w:hAnsi="宋体"/>
          <w:b/>
          <w:bCs/>
          <w:color w:val="auto"/>
          <w:sz w:val="21"/>
          <w:szCs w:val="21"/>
          <w:highlight w:val="none"/>
          <w:lang w:eastAsia="zh-CN"/>
        </w:rPr>
        <w:t>）</w:t>
      </w:r>
      <w:r>
        <w:rPr>
          <w:rFonts w:hint="eastAsia" w:ascii="宋体" w:hAnsi="宋体"/>
          <w:color w:val="auto"/>
          <w:sz w:val="21"/>
          <w:szCs w:val="21"/>
          <w:highlight w:val="none"/>
          <w:lang w:val="en-US" w:eastAsia="zh-CN"/>
        </w:rPr>
        <w:t>.................................</w:t>
      </w:r>
    </w:p>
    <w:p w14:paraId="1A36EBB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（9）业绩材料，供应商认为可以证明其能力或业绩的材料.....................</w:t>
      </w:r>
    </w:p>
    <w:p w14:paraId="5B00C1BB">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（10）所获荣誉</w:t>
      </w:r>
      <w:r>
        <w:rPr>
          <w:rFonts w:hint="eastAsia" w:ascii="宋体" w:hAnsi="宋体" w:eastAsia="宋体"/>
          <w:color w:val="auto"/>
          <w:sz w:val="21"/>
          <w:szCs w:val="21"/>
          <w:highlight w:val="none"/>
          <w:lang w:val="en-US" w:eastAsia="zh-CN"/>
        </w:rPr>
        <w:t>相应证明材料</w:t>
      </w:r>
      <w:r>
        <w:rPr>
          <w:rFonts w:hint="eastAsia" w:ascii="宋体" w:hAnsi="宋体" w:eastAsia="宋体"/>
          <w:b/>
          <w:bCs/>
          <w:color w:val="auto"/>
          <w:sz w:val="21"/>
          <w:szCs w:val="21"/>
          <w:highlight w:val="none"/>
          <w:lang w:val="en-US" w:eastAsia="zh-CN"/>
        </w:rPr>
        <w:t>（格式目录自拟）</w:t>
      </w:r>
      <w:r>
        <w:rPr>
          <w:rFonts w:hint="eastAsia" w:ascii="宋体" w:hAnsi="宋体"/>
          <w:color w:val="auto"/>
          <w:sz w:val="21"/>
          <w:szCs w:val="21"/>
          <w:highlight w:val="none"/>
          <w:lang w:val="en-US" w:eastAsia="zh-CN"/>
        </w:rPr>
        <w:t>.......</w:t>
      </w:r>
    </w:p>
    <w:p w14:paraId="3786740C">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（11）供应商认为其他需要提供的证明其履约能力和满足“采购需求”的相关材料............</w:t>
      </w:r>
    </w:p>
    <w:p w14:paraId="07EF10E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56AA2FA">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CE59D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B34B3A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17F37FFC">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57D2A171">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2CA1D66B">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32DDE34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74C7AF0E">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10E3C300">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5D5AD562">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34D50BD8">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06BE076C">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00544F09">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424DBAE5">
      <w:pPr>
        <w:keepNext w:val="0"/>
        <w:keepLines w:val="0"/>
        <w:pageBreakBefore w:val="0"/>
        <w:kinsoku/>
        <w:overflowPunct/>
        <w:topLinePunct w:val="0"/>
        <w:bidi w:val="0"/>
        <w:spacing w:line="360" w:lineRule="auto"/>
        <w:ind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一</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价格文件</w:t>
      </w:r>
    </w:p>
    <w:p w14:paraId="2FE436D1">
      <w:pPr>
        <w:keepNext w:val="0"/>
        <w:keepLines w:val="0"/>
        <w:pageBreakBefore w:val="0"/>
        <w:kinsoku/>
        <w:overflowPunct/>
        <w:topLinePunct w:val="0"/>
        <w:bidi w:val="0"/>
        <w:spacing w:line="360" w:lineRule="auto"/>
        <w:ind w:firstLine="422"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rPr>
        <w:t>（1）</w:t>
      </w:r>
      <w:r>
        <w:rPr>
          <w:rFonts w:hint="eastAsia" w:ascii="宋体" w:hAnsi="宋体"/>
          <w:b/>
          <w:bCs/>
          <w:color w:val="auto"/>
          <w:sz w:val="21"/>
          <w:szCs w:val="21"/>
          <w:highlight w:val="none"/>
          <w:lang w:eastAsia="zh-CN"/>
        </w:rPr>
        <w:t>磋商</w:t>
      </w:r>
      <w:r>
        <w:rPr>
          <w:rFonts w:hint="eastAsia" w:ascii="宋体" w:hAnsi="宋体"/>
          <w:b/>
          <w:bCs/>
          <w:color w:val="auto"/>
          <w:sz w:val="21"/>
          <w:szCs w:val="21"/>
          <w:highlight w:val="none"/>
        </w:rPr>
        <w:t>报价表</w:t>
      </w:r>
      <w:r>
        <w:rPr>
          <w:rFonts w:hint="eastAsia" w:ascii="宋体" w:hAnsi="宋体"/>
          <w:b/>
          <w:bCs/>
          <w:color w:val="auto"/>
          <w:sz w:val="21"/>
          <w:szCs w:val="21"/>
          <w:highlight w:val="none"/>
          <w:lang w:val="en-US" w:eastAsia="zh-CN"/>
        </w:rPr>
        <w:t>格式：</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1F36B8B3">
      <w:pPr>
        <w:snapToGrid w:val="0"/>
        <w:spacing w:before="50" w:after="50" w:line="440" w:lineRule="exact"/>
        <w:rPr>
          <w:rFonts w:hint="default" w:ascii="仿宋_GB2312" w:hAnsi="Calibri" w:eastAsia="仿宋_GB2312" w:cs="Calibri"/>
          <w:color w:val="000000"/>
          <w:sz w:val="24"/>
          <w:szCs w:val="24"/>
          <w:highlight w:val="none"/>
          <w:u w:val="single"/>
          <w:lang w:val="en-US" w:eastAsia="zh-CN"/>
        </w:rPr>
      </w:pPr>
      <w:r>
        <w:rPr>
          <w:rFonts w:hint="eastAsia" w:ascii="仿宋_GB2312" w:hAnsi="Calibri" w:eastAsia="仿宋_GB2312" w:cs="Calibri"/>
          <w:color w:val="000000"/>
          <w:sz w:val="24"/>
          <w:szCs w:val="24"/>
          <w:highlight w:val="none"/>
        </w:rPr>
        <w:t>项目名称：</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p>
    <w:p w14:paraId="043D1EF6">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项目编号：</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u w:val="single"/>
          <w:lang w:val="en-US" w:eastAsia="zh-CN"/>
        </w:rPr>
        <w:t xml:space="preserve">     </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 xml:space="preserve">     </w:t>
      </w:r>
    </w:p>
    <w:tbl>
      <w:tblPr>
        <w:tblStyle w:val="48"/>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标的</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spacing w:line="440" w:lineRule="exact"/>
              <w:ind w:right="-683" w:rightChars="-325"/>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《桂派中医正骨术》书籍出版服务</w:t>
            </w: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1</w:t>
            </w: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w:t>
            </w: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1.供应商的报价表必须加盖供应商公章并由法定代表人或委托代理人签字，</w:t>
      </w:r>
      <w:r>
        <w:rPr>
          <w:rFonts w:hint="eastAsia" w:ascii="仿宋_GB2312" w:hAnsi="Calibri" w:eastAsia="仿宋_GB2312" w:cs="Calibri"/>
          <w:b/>
          <w:color w:val="000000"/>
          <w:sz w:val="24"/>
          <w:szCs w:val="24"/>
          <w:highlight w:val="none"/>
        </w:rPr>
        <w:t>否则其响应文件按无效响应处理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报价一经涂改，应在涂改处加盖供应商公章或由法定代表人或委托代理人签字或盖章</w:t>
      </w:r>
      <w:r>
        <w:rPr>
          <w:rFonts w:hint="eastAsia" w:ascii="仿宋_GB2312" w:hAnsi="Calibri" w:eastAsia="仿宋_GB2312" w:cs="Calibri"/>
          <w:b/>
          <w:color w:val="000000"/>
          <w:sz w:val="24"/>
          <w:szCs w:val="24"/>
          <w:highlight w:val="none"/>
        </w:rPr>
        <w:t>，否则其响应文件按无效响应处理。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6C49915C">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5111D080">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2379DA1D">
      <w:pPr>
        <w:keepNext w:val="0"/>
        <w:keepLines w:val="0"/>
        <w:pageBreakBefore w:val="0"/>
        <w:kinsoku/>
        <w:overflowPunct/>
        <w:topLinePunct w:val="0"/>
        <w:bidi w:val="0"/>
        <w:spacing w:line="360" w:lineRule="auto"/>
        <w:ind w:firstLine="422" w:firstLineChars="200"/>
        <w:textAlignment w:val="auto"/>
        <w:rPr>
          <w:rFonts w:ascii="宋体" w:hAnsi="宋体"/>
          <w:b/>
          <w:bCs/>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二</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 xml:space="preserve">商务技术文件 </w:t>
      </w:r>
    </w:p>
    <w:p w14:paraId="4720A665">
      <w:pPr>
        <w:keepNext w:val="0"/>
        <w:keepLines w:val="0"/>
        <w:pageBreakBefore w:val="0"/>
        <w:kinsoku/>
        <w:overflowPunct/>
        <w:topLinePunct w:val="0"/>
        <w:bidi w:val="0"/>
        <w:spacing w:line="360" w:lineRule="auto"/>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rPr>
        <w:t>（1）</w:t>
      </w:r>
      <w:r>
        <w:rPr>
          <w:rFonts w:hint="eastAsia" w:ascii="宋体" w:hAnsi="宋体" w:eastAsia="宋体" w:cs="Times New Roman"/>
          <w:b/>
          <w:bCs/>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w:t>
      </w:r>
      <w:r>
        <w:rPr>
          <w:rFonts w:hint="eastAsia" w:ascii="宋体" w:hAnsi="宋体" w:eastAsia="宋体" w:cs="Times New Roman"/>
          <w:b/>
          <w:bCs/>
          <w:color w:val="auto"/>
          <w:sz w:val="21"/>
          <w:szCs w:val="21"/>
          <w:highlight w:val="none"/>
          <w:lang w:eastAsia="zh-CN"/>
        </w:rPr>
        <w:t>：</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同志为我公司参加贵单位组织的</w:t>
      </w:r>
      <w:r>
        <w:rPr>
          <w:rFonts w:hint="eastAsia" w:ascii="宋体" w:hAnsi="宋体"/>
          <w:color w:val="auto"/>
          <w:sz w:val="21"/>
          <w:szCs w:val="21"/>
          <w:highlight w:val="none"/>
          <w:u w:val="single"/>
          <w:lang w:eastAsia="zh-CN"/>
        </w:rPr>
        <w:t>（</w:t>
      </w:r>
      <w:r>
        <w:rPr>
          <w:rFonts w:hint="eastAsia" w:ascii="宋体" w:hAnsi="宋体"/>
          <w:color w:val="auto"/>
          <w:sz w:val="21"/>
          <w:szCs w:val="21"/>
          <w:highlight w:val="none"/>
          <w:u w:val="single"/>
          <w:lang w:val="en-US" w:eastAsia="zh-CN"/>
        </w:rPr>
        <w:t>项目名称</w:t>
      </w:r>
      <w:r>
        <w:rPr>
          <w:rFonts w:hint="eastAsia" w:ascii="宋体" w:hAnsi="宋体"/>
          <w:color w:val="auto"/>
          <w:sz w:val="21"/>
          <w:szCs w:val="21"/>
          <w:highlight w:val="none"/>
          <w:u w:val="single"/>
          <w:lang w:eastAsia="zh-CN"/>
        </w:rPr>
        <w:t>）采购</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磋商</w:t>
      </w:r>
      <w:r>
        <w:rPr>
          <w:rFonts w:hint="eastAsia" w:ascii="宋体" w:hAnsi="宋体"/>
          <w:color w:val="auto"/>
          <w:sz w:val="21"/>
          <w:szCs w:val="21"/>
          <w:highlight w:val="none"/>
        </w:rPr>
        <w:t>活动的代理人，全权代表我公司处理在该项目</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活动中的一切事宜。代理期限从</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日起至</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日止。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法定代表人（签字）：</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44C6C55C">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rPr>
        <w:t>附：代理人工作单位：</w:t>
      </w:r>
      <w:r>
        <w:rPr>
          <w:rFonts w:hint="eastAsia" w:ascii="宋体" w:hAnsi="宋体"/>
          <w:color w:val="auto"/>
          <w:sz w:val="21"/>
          <w:szCs w:val="21"/>
          <w:highlight w:val="none"/>
          <w:u w:val="single"/>
        </w:rPr>
        <w:t xml:space="preserve">                           </w:t>
      </w:r>
    </w:p>
    <w:p w14:paraId="5B29BB5E">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职务：</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 xml:space="preserve"> 性别：</w:t>
      </w:r>
      <w:r>
        <w:rPr>
          <w:rFonts w:hint="eastAsia" w:ascii="宋体" w:hAnsi="宋体"/>
          <w:color w:val="auto"/>
          <w:sz w:val="21"/>
          <w:szCs w:val="21"/>
          <w:highlight w:val="none"/>
          <w:u w:val="single"/>
        </w:rPr>
        <w:t xml:space="preserve">          </w:t>
      </w:r>
    </w:p>
    <w:p w14:paraId="70450F51">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ascii="宋体" w:hAnsi="宋体"/>
          <w:color w:val="auto"/>
          <w:sz w:val="21"/>
          <w:szCs w:val="21"/>
          <w:highlight w:val="none"/>
          <w:u w:val="single"/>
        </w:rPr>
      </w:pPr>
      <w:r>
        <w:rPr>
          <w:rFonts w:hint="eastAsia" w:ascii="宋体" w:hAnsi="宋体"/>
          <w:color w:val="auto"/>
          <w:sz w:val="21"/>
          <w:szCs w:val="21"/>
          <w:highlight w:val="none"/>
        </w:rPr>
        <w:t>身份证号码：</w:t>
      </w:r>
      <w:r>
        <w:rPr>
          <w:rFonts w:hint="eastAsia" w:ascii="宋体" w:hAnsi="宋体"/>
          <w:color w:val="auto"/>
          <w:sz w:val="21"/>
          <w:szCs w:val="21"/>
          <w:highlight w:val="none"/>
          <w:u w:val="single"/>
        </w:rPr>
        <w:t xml:space="preserve">                               </w:t>
      </w: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50FEC823">
      <w:pPr>
        <w:keepNext w:val="0"/>
        <w:keepLines w:val="0"/>
        <w:pageBreakBefore w:val="0"/>
        <w:kinsoku/>
        <w:overflowPunct/>
        <w:topLinePunct w:val="0"/>
        <w:bidi w:val="0"/>
        <w:spacing w:line="360" w:lineRule="auto"/>
        <w:ind w:firstLine="422" w:firstLineChars="200"/>
        <w:textAlignment w:val="auto"/>
        <w:rPr>
          <w:rFonts w:hint="eastAsia" w:ascii="宋体" w:hAnsi="宋体"/>
          <w:b/>
          <w:bCs/>
          <w:color w:val="auto"/>
          <w:sz w:val="21"/>
          <w:szCs w:val="21"/>
          <w:highlight w:val="none"/>
          <w:lang w:eastAsia="zh-CN"/>
        </w:rPr>
      </w:pPr>
    </w:p>
    <w:p w14:paraId="6438FD06">
      <w:pPr>
        <w:keepNext w:val="0"/>
        <w:keepLines w:val="0"/>
        <w:pageBreakBefore w:val="0"/>
        <w:kinsoku/>
        <w:overflowPunct/>
        <w:topLinePunct w:val="0"/>
        <w:bidi w:val="0"/>
        <w:spacing w:line="360" w:lineRule="auto"/>
        <w:ind w:firstLine="422" w:firstLineChars="200"/>
        <w:textAlignment w:val="auto"/>
        <w:rPr>
          <w:rFonts w:ascii="宋体" w:hAnsi="宋体"/>
          <w:color w:val="auto"/>
          <w:sz w:val="21"/>
          <w:szCs w:val="21"/>
          <w:highlight w:val="none"/>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2</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技术</w:t>
      </w:r>
      <w:r>
        <w:rPr>
          <w:rFonts w:hint="eastAsia" w:ascii="宋体" w:hAnsi="宋体"/>
          <w:b/>
          <w:bCs/>
          <w:color w:val="auto"/>
          <w:sz w:val="21"/>
          <w:szCs w:val="21"/>
          <w:highlight w:val="none"/>
          <w:lang w:val="en-US" w:eastAsia="zh-CN"/>
        </w:rPr>
        <w:t>参数</w:t>
      </w:r>
      <w:r>
        <w:rPr>
          <w:rFonts w:hint="eastAsia" w:ascii="宋体" w:hAnsi="宋体"/>
          <w:b/>
          <w:bCs/>
          <w:color w:val="auto"/>
          <w:sz w:val="21"/>
          <w:szCs w:val="21"/>
          <w:highlight w:val="none"/>
        </w:rPr>
        <w:t>及偏离情况说明表</w:t>
      </w:r>
      <w:r>
        <w:rPr>
          <w:rFonts w:hint="eastAsia" w:ascii="宋体" w:hAnsi="宋体"/>
          <w:b/>
          <w:bCs/>
          <w:color w:val="auto"/>
          <w:sz w:val="21"/>
          <w:szCs w:val="21"/>
          <w:highlight w:val="none"/>
          <w:lang w:val="en-US" w:eastAsia="zh-CN"/>
        </w:rPr>
        <w:t>格式：</w:t>
      </w:r>
    </w:p>
    <w:p w14:paraId="15CD5A65">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7BE9D971">
      <w:pPr>
        <w:keepNext w:val="0"/>
        <w:keepLines w:val="0"/>
        <w:pageBreakBefore w:val="0"/>
        <w:kinsoku/>
        <w:overflowPunct/>
        <w:topLinePunct w:val="0"/>
        <w:bidi w:val="0"/>
        <w:spacing w:line="360" w:lineRule="auto"/>
        <w:jc w:val="center"/>
        <w:textAlignment w:val="auto"/>
        <w:rPr>
          <w:rFonts w:hint="eastAsia" w:ascii="宋体" w:hAnsi="宋体"/>
          <w:b/>
          <w:color w:val="auto"/>
          <w:sz w:val="28"/>
          <w:szCs w:val="28"/>
          <w:highlight w:val="none"/>
        </w:rPr>
      </w:pPr>
      <w:r>
        <w:rPr>
          <w:rFonts w:hint="eastAsia" w:ascii="宋体" w:hAnsi="宋体"/>
          <w:b/>
          <w:color w:val="auto"/>
          <w:sz w:val="28"/>
          <w:szCs w:val="28"/>
          <w:highlight w:val="none"/>
        </w:rPr>
        <w:t>技术</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p>
    <w:p w14:paraId="026701F4">
      <w:pPr>
        <w:pStyle w:val="58"/>
        <w:rPr>
          <w:highlight w:val="non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7727A60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565CE2B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3" w:name="_Toc173211900"/>
            <w:bookmarkStart w:id="24" w:name="_Toc254970588"/>
            <w:bookmarkStart w:id="25" w:name="_Toc8470"/>
            <w:bookmarkStart w:id="26" w:name="_Toc254970729"/>
            <w:bookmarkStart w:id="27" w:name="_Toc173066401"/>
            <w:bookmarkStart w:id="28" w:name="_Toc28243"/>
            <w:r>
              <w:rPr>
                <w:rFonts w:hint="eastAsia" w:ascii="宋体" w:hAnsi="宋体"/>
                <w:color w:val="auto"/>
                <w:sz w:val="21"/>
                <w:szCs w:val="21"/>
                <w:highlight w:val="none"/>
              </w:rPr>
              <w:t>序号</w:t>
            </w:r>
            <w:bookmarkEnd w:id="23"/>
            <w:bookmarkEnd w:id="24"/>
            <w:bookmarkEnd w:id="25"/>
            <w:bookmarkEnd w:id="26"/>
            <w:bookmarkEnd w:id="27"/>
            <w:bookmarkEnd w:id="28"/>
          </w:p>
        </w:tc>
        <w:tc>
          <w:tcPr>
            <w:tcW w:w="3483" w:type="dxa"/>
            <w:vAlign w:val="center"/>
          </w:tcPr>
          <w:p w14:paraId="22F670D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29" w:name="_Toc23681"/>
            <w:bookmarkStart w:id="30" w:name="_Toc254970589"/>
            <w:bookmarkStart w:id="31" w:name="_Toc254970730"/>
            <w:bookmarkStart w:id="32" w:name="_Toc173211901"/>
            <w:bookmarkStart w:id="33" w:name="_Toc5682"/>
            <w:bookmarkStart w:id="34" w:name="_Toc173066402"/>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文件中的技术需求</w:t>
            </w:r>
            <w:bookmarkEnd w:id="29"/>
            <w:bookmarkEnd w:id="30"/>
            <w:bookmarkEnd w:id="31"/>
            <w:bookmarkEnd w:id="32"/>
            <w:bookmarkEnd w:id="33"/>
            <w:bookmarkEnd w:id="34"/>
          </w:p>
        </w:tc>
        <w:tc>
          <w:tcPr>
            <w:tcW w:w="2514" w:type="dxa"/>
            <w:vAlign w:val="center"/>
          </w:tcPr>
          <w:p w14:paraId="76FC9AF7">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35" w:name="_Toc32072"/>
            <w:bookmarkStart w:id="36" w:name="_Toc173066403"/>
            <w:bookmarkStart w:id="37" w:name="_Toc254970590"/>
            <w:bookmarkStart w:id="38" w:name="_Toc254970731"/>
            <w:bookmarkStart w:id="39" w:name="_Toc173211902"/>
            <w:bookmarkStart w:id="40" w:name="_Toc4276"/>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35"/>
            <w:bookmarkEnd w:id="36"/>
            <w:bookmarkEnd w:id="37"/>
            <w:bookmarkEnd w:id="38"/>
            <w:bookmarkEnd w:id="39"/>
            <w:bookmarkEnd w:id="40"/>
          </w:p>
        </w:tc>
        <w:tc>
          <w:tcPr>
            <w:tcW w:w="1571" w:type="dxa"/>
            <w:vAlign w:val="center"/>
          </w:tcPr>
          <w:p w14:paraId="3078B5B0">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1" w:name="_Toc254970732"/>
            <w:bookmarkStart w:id="42" w:name="_Toc173066404"/>
            <w:bookmarkStart w:id="43" w:name="_Toc173211903"/>
            <w:bookmarkStart w:id="44" w:name="_Toc31581"/>
            <w:bookmarkStart w:id="45" w:name="_Toc23149"/>
            <w:bookmarkStart w:id="46" w:name="_Toc254970591"/>
            <w:r>
              <w:rPr>
                <w:rFonts w:hint="eastAsia" w:ascii="宋体" w:hAnsi="宋体"/>
                <w:color w:val="auto"/>
                <w:sz w:val="21"/>
                <w:szCs w:val="21"/>
                <w:highlight w:val="none"/>
              </w:rPr>
              <w:t>响应/偏离</w:t>
            </w:r>
            <w:bookmarkEnd w:id="41"/>
            <w:bookmarkEnd w:id="42"/>
            <w:bookmarkEnd w:id="43"/>
            <w:bookmarkEnd w:id="44"/>
            <w:bookmarkEnd w:id="45"/>
            <w:bookmarkEnd w:id="46"/>
          </w:p>
        </w:tc>
        <w:tc>
          <w:tcPr>
            <w:tcW w:w="1396" w:type="dxa"/>
            <w:vAlign w:val="center"/>
          </w:tcPr>
          <w:p w14:paraId="2B84D44D">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佐证材料及页码</w:t>
            </w:r>
          </w:p>
        </w:tc>
      </w:tr>
      <w:tr w14:paraId="497A5F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6CFE544E">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47" w:name="_Toc173211905"/>
            <w:bookmarkStart w:id="48" w:name="_Toc15488"/>
            <w:bookmarkStart w:id="49" w:name="_Toc173066406"/>
            <w:bookmarkStart w:id="50" w:name="_Toc254970593"/>
            <w:bookmarkStart w:id="51" w:name="_Toc254970734"/>
            <w:bookmarkStart w:id="52" w:name="_Toc9218"/>
            <w:r>
              <w:rPr>
                <w:rFonts w:hint="eastAsia" w:ascii="宋体" w:hAnsi="宋体"/>
                <w:color w:val="auto"/>
                <w:sz w:val="21"/>
                <w:szCs w:val="21"/>
                <w:highlight w:val="none"/>
              </w:rPr>
              <w:t>1</w:t>
            </w:r>
            <w:bookmarkEnd w:id="47"/>
            <w:bookmarkEnd w:id="48"/>
            <w:bookmarkEnd w:id="49"/>
            <w:bookmarkEnd w:id="50"/>
            <w:bookmarkEnd w:id="51"/>
            <w:bookmarkEnd w:id="52"/>
          </w:p>
        </w:tc>
        <w:tc>
          <w:tcPr>
            <w:tcW w:w="3483" w:type="dxa"/>
            <w:vAlign w:val="center"/>
          </w:tcPr>
          <w:p w14:paraId="7846479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68616BC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6A7C987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2EAC0C9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B4B3A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3D902DA3">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3" w:name="_Toc173211906"/>
            <w:bookmarkStart w:id="54" w:name="_Toc173066407"/>
            <w:bookmarkStart w:id="55" w:name="_Toc22236"/>
            <w:bookmarkStart w:id="56" w:name="_Toc254970594"/>
            <w:bookmarkStart w:id="57" w:name="_Toc21061"/>
            <w:bookmarkStart w:id="58" w:name="_Toc254970735"/>
            <w:r>
              <w:rPr>
                <w:rFonts w:hint="eastAsia" w:ascii="宋体" w:hAnsi="宋体"/>
                <w:color w:val="auto"/>
                <w:sz w:val="21"/>
                <w:szCs w:val="21"/>
                <w:highlight w:val="none"/>
              </w:rPr>
              <w:t>2</w:t>
            </w:r>
            <w:bookmarkEnd w:id="53"/>
            <w:bookmarkEnd w:id="54"/>
            <w:bookmarkEnd w:id="55"/>
            <w:bookmarkEnd w:id="56"/>
            <w:bookmarkEnd w:id="57"/>
            <w:bookmarkEnd w:id="58"/>
          </w:p>
        </w:tc>
        <w:tc>
          <w:tcPr>
            <w:tcW w:w="3483" w:type="dxa"/>
            <w:vAlign w:val="center"/>
          </w:tcPr>
          <w:p w14:paraId="738E409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E4B9AD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CEC5FF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4B1B23F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A24AF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7D0E105">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59" w:name="_Toc254970736"/>
            <w:bookmarkStart w:id="60" w:name="_Toc173211907"/>
            <w:bookmarkStart w:id="61" w:name="_Toc173066408"/>
            <w:bookmarkStart w:id="62" w:name="_Toc254970595"/>
            <w:bookmarkStart w:id="63" w:name="_Toc12085"/>
            <w:bookmarkStart w:id="64" w:name="_Toc19181"/>
            <w:r>
              <w:rPr>
                <w:rFonts w:hint="eastAsia" w:ascii="宋体" w:hAnsi="宋体"/>
                <w:color w:val="auto"/>
                <w:sz w:val="21"/>
                <w:szCs w:val="21"/>
                <w:highlight w:val="none"/>
              </w:rPr>
              <w:t>3</w:t>
            </w:r>
            <w:bookmarkEnd w:id="59"/>
            <w:bookmarkEnd w:id="60"/>
            <w:bookmarkEnd w:id="61"/>
            <w:bookmarkEnd w:id="62"/>
            <w:bookmarkEnd w:id="63"/>
            <w:bookmarkEnd w:id="64"/>
          </w:p>
        </w:tc>
        <w:tc>
          <w:tcPr>
            <w:tcW w:w="3483" w:type="dxa"/>
            <w:vAlign w:val="center"/>
          </w:tcPr>
          <w:p w14:paraId="7ADC43A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2CA5B77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1C3DEE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ED52BB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130E66B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32E946A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5" w:name="_Toc17386"/>
            <w:bookmarkStart w:id="66" w:name="_Toc31037"/>
            <w:r>
              <w:rPr>
                <w:rFonts w:hint="eastAsia" w:ascii="宋体" w:hAnsi="宋体"/>
                <w:color w:val="auto"/>
                <w:sz w:val="21"/>
                <w:szCs w:val="21"/>
                <w:highlight w:val="none"/>
              </w:rPr>
              <w:t>4</w:t>
            </w:r>
            <w:bookmarkEnd w:id="65"/>
            <w:bookmarkEnd w:id="66"/>
          </w:p>
        </w:tc>
        <w:tc>
          <w:tcPr>
            <w:tcW w:w="3483" w:type="dxa"/>
            <w:vAlign w:val="center"/>
          </w:tcPr>
          <w:p w14:paraId="4DE1927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7853647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49992333">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002406F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6E3F299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605AFDC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7" w:name="_Toc6957"/>
            <w:bookmarkStart w:id="68" w:name="_Toc4853"/>
            <w:r>
              <w:rPr>
                <w:rFonts w:hint="eastAsia" w:ascii="宋体" w:hAnsi="宋体"/>
                <w:color w:val="auto"/>
                <w:sz w:val="21"/>
                <w:szCs w:val="21"/>
                <w:highlight w:val="none"/>
              </w:rPr>
              <w:t>5</w:t>
            </w:r>
            <w:bookmarkEnd w:id="67"/>
            <w:bookmarkEnd w:id="68"/>
          </w:p>
        </w:tc>
        <w:tc>
          <w:tcPr>
            <w:tcW w:w="3483" w:type="dxa"/>
            <w:vAlign w:val="center"/>
          </w:tcPr>
          <w:p w14:paraId="3017AF7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A561FB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563D81C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7CDAA537">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530EE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1F6329F4">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69" w:name="_Toc173211914"/>
            <w:bookmarkStart w:id="70" w:name="_Toc254970743"/>
            <w:bookmarkStart w:id="71" w:name="_Toc173066415"/>
            <w:bookmarkStart w:id="72" w:name="_Toc19827"/>
            <w:bookmarkStart w:id="73" w:name="_Toc19274"/>
            <w:bookmarkStart w:id="74" w:name="_Toc254970602"/>
            <w:r>
              <w:rPr>
                <w:rFonts w:hint="eastAsia" w:ascii="宋体" w:hAnsi="宋体"/>
                <w:color w:val="auto"/>
                <w:sz w:val="21"/>
                <w:szCs w:val="21"/>
                <w:highlight w:val="none"/>
              </w:rPr>
              <w:t>…</w:t>
            </w:r>
            <w:bookmarkEnd w:id="69"/>
            <w:bookmarkEnd w:id="70"/>
            <w:bookmarkEnd w:id="71"/>
            <w:bookmarkEnd w:id="72"/>
            <w:bookmarkEnd w:id="73"/>
            <w:bookmarkEnd w:id="74"/>
          </w:p>
        </w:tc>
        <w:tc>
          <w:tcPr>
            <w:tcW w:w="3483" w:type="dxa"/>
            <w:vAlign w:val="center"/>
          </w:tcPr>
          <w:p w14:paraId="69C1BFF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2514" w:type="dxa"/>
            <w:vAlign w:val="center"/>
          </w:tcPr>
          <w:p w14:paraId="468725B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6FBE6251">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3A42CED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44E12619">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4D5DC5A5">
      <w:pPr>
        <w:pStyle w:val="19"/>
        <w:keepNext w:val="0"/>
        <w:keepLines w:val="0"/>
        <w:pageBreakBefore w:val="0"/>
        <w:kinsoku/>
        <w:overflowPunct/>
        <w:topLinePunct w:val="0"/>
        <w:bidi w:val="0"/>
        <w:spacing w:line="360" w:lineRule="auto"/>
        <w:ind w:firstLine="0"/>
        <w:textAlignment w:val="auto"/>
        <w:rPr>
          <w:rFonts w:hint="default" w:hAnsi="宋体" w:eastAsia="宋体"/>
          <w:b/>
          <w:bCs/>
          <w:color w:val="auto"/>
          <w:sz w:val="21"/>
          <w:szCs w:val="21"/>
          <w:highlight w:val="none"/>
          <w:lang w:val="en-US" w:eastAsia="zh-CN"/>
        </w:rPr>
      </w:pPr>
      <w:r>
        <w:rPr>
          <w:rFonts w:hint="eastAsia" w:hAnsi="宋体"/>
          <w:color w:val="auto"/>
          <w:sz w:val="21"/>
          <w:szCs w:val="21"/>
          <w:highlight w:val="none"/>
        </w:rPr>
        <w:t>说明：</w:t>
      </w:r>
      <w:r>
        <w:rPr>
          <w:rFonts w:hint="eastAsia" w:hAnsi="宋体"/>
          <w:color w:val="auto"/>
          <w:sz w:val="21"/>
          <w:szCs w:val="21"/>
          <w:highlight w:val="none"/>
          <w:lang w:val="en-US" w:eastAsia="zh-CN"/>
        </w:rPr>
        <w:t>1.</w:t>
      </w:r>
      <w:r>
        <w:rPr>
          <w:rFonts w:hint="eastAsia" w:hAnsi="宋体"/>
          <w:color w:val="auto"/>
          <w:sz w:val="21"/>
          <w:szCs w:val="21"/>
          <w:highlight w:val="none"/>
        </w:rPr>
        <w:t>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w:t>
      </w:r>
      <w:r>
        <w:rPr>
          <w:rFonts w:hAnsi="宋体"/>
          <w:color w:val="auto"/>
          <w:sz w:val="21"/>
          <w:szCs w:val="21"/>
          <w:highlight w:val="none"/>
        </w:rPr>
        <w:t>服务内容及技术需求</w:t>
      </w:r>
      <w:r>
        <w:rPr>
          <w:rFonts w:hint="eastAsia" w:hAnsi="宋体"/>
          <w:color w:val="auto"/>
          <w:sz w:val="21"/>
          <w:szCs w:val="21"/>
          <w:highlight w:val="none"/>
        </w:rPr>
        <w:t>”，逐条说明所提供货物和服务已对</w:t>
      </w:r>
      <w:r>
        <w:rPr>
          <w:rFonts w:hint="eastAsia" w:hAnsi="宋体"/>
          <w:color w:val="auto"/>
          <w:sz w:val="21"/>
          <w:szCs w:val="21"/>
          <w:highlight w:val="none"/>
          <w:lang w:eastAsia="zh-CN"/>
        </w:rPr>
        <w:t>磋商</w:t>
      </w:r>
      <w:r>
        <w:rPr>
          <w:rFonts w:hint="eastAsia" w:hAnsi="宋体"/>
          <w:color w:val="auto"/>
          <w:sz w:val="21"/>
          <w:szCs w:val="21"/>
          <w:highlight w:val="none"/>
        </w:rPr>
        <w:t>文件的技术规格做出了实质性的响应，并申明与技术规格条文的响应和偏离。特别对有具体参数要求的指标，供应商必须提供所供设备的具体参数值。如果仅注明“符合”、“满足”或简单复制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r>
        <w:rPr>
          <w:rFonts w:hint="eastAsia" w:hAnsi="宋体"/>
          <w:b/>
          <w:bCs/>
          <w:color w:val="auto"/>
          <w:sz w:val="21"/>
          <w:szCs w:val="21"/>
          <w:highlight w:val="none"/>
          <w:lang w:val="en-US" w:eastAsia="zh-CN"/>
        </w:rPr>
        <w:t>2.严禁直接照抄磋商文件中的需求内容作为响应描述，否则响应无效。</w:t>
      </w:r>
    </w:p>
    <w:p w14:paraId="2F0ED223">
      <w:pPr>
        <w:pStyle w:val="25"/>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606184EB">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1FDF8F2">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1262C69">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00C24775">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9CEF04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r>
        <w:rPr>
          <w:rFonts w:ascii="宋体" w:hAnsi="宋体"/>
          <w:color w:val="auto"/>
          <w:sz w:val="21"/>
          <w:szCs w:val="21"/>
          <w:highlight w:val="none"/>
        </w:rPr>
        <w:br w:type="page"/>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rPr>
        <w:t>）商务响应及偏离情况说明表</w:t>
      </w:r>
      <w:r>
        <w:rPr>
          <w:rFonts w:hint="eastAsia" w:ascii="宋体" w:hAnsi="宋体"/>
          <w:b/>
          <w:bCs/>
          <w:color w:val="auto"/>
          <w:sz w:val="21"/>
          <w:szCs w:val="21"/>
          <w:highlight w:val="none"/>
          <w:lang w:val="en-US" w:eastAsia="zh-CN"/>
        </w:rPr>
        <w:t>格式：</w:t>
      </w:r>
    </w:p>
    <w:p w14:paraId="6CF542ED">
      <w:pPr>
        <w:keepNext w:val="0"/>
        <w:keepLines w:val="0"/>
        <w:pageBreakBefore w:val="0"/>
        <w:kinsoku/>
        <w:overflowPunct/>
        <w:topLinePunct w:val="0"/>
        <w:bidi w:val="0"/>
        <w:spacing w:line="360" w:lineRule="auto"/>
        <w:textAlignment w:val="auto"/>
        <w:rPr>
          <w:rFonts w:ascii="宋体" w:hAnsi="宋体"/>
          <w:b/>
          <w:color w:val="auto"/>
          <w:sz w:val="21"/>
          <w:szCs w:val="21"/>
          <w:highlight w:val="none"/>
        </w:rPr>
      </w:pPr>
    </w:p>
    <w:p w14:paraId="41F89D9D">
      <w:pPr>
        <w:keepNext w:val="0"/>
        <w:keepLines w:val="0"/>
        <w:pageBreakBefore w:val="0"/>
        <w:kinsoku/>
        <w:overflowPunct/>
        <w:topLinePunct w:val="0"/>
        <w:bidi w:val="0"/>
        <w:spacing w:line="360" w:lineRule="auto"/>
        <w:jc w:val="center"/>
        <w:textAlignment w:val="auto"/>
        <w:outlineLvl w:val="0"/>
        <w:rPr>
          <w:rFonts w:ascii="宋体" w:hAnsi="宋体"/>
          <w:b/>
          <w:color w:val="auto"/>
          <w:sz w:val="28"/>
          <w:szCs w:val="28"/>
          <w:highlight w:val="none"/>
        </w:rPr>
      </w:pPr>
      <w:bookmarkStart w:id="75" w:name="_Toc30593"/>
      <w:bookmarkStart w:id="76" w:name="_Toc26084"/>
      <w:r>
        <w:rPr>
          <w:rFonts w:hint="eastAsia" w:ascii="宋体" w:hAnsi="宋体"/>
          <w:b/>
          <w:color w:val="auto"/>
          <w:sz w:val="28"/>
          <w:szCs w:val="28"/>
          <w:highlight w:val="none"/>
        </w:rPr>
        <w:t>商务</w:t>
      </w:r>
      <w:r>
        <w:rPr>
          <w:rFonts w:hint="eastAsia" w:ascii="宋体" w:hAnsi="宋体"/>
          <w:b/>
          <w:color w:val="auto"/>
          <w:sz w:val="28"/>
          <w:szCs w:val="28"/>
          <w:highlight w:val="none"/>
          <w:lang w:val="en-US" w:eastAsia="zh-CN"/>
        </w:rPr>
        <w:t>参数</w:t>
      </w:r>
      <w:r>
        <w:rPr>
          <w:rFonts w:hint="eastAsia" w:ascii="宋体" w:hAnsi="宋体"/>
          <w:b/>
          <w:color w:val="auto"/>
          <w:sz w:val="28"/>
          <w:szCs w:val="28"/>
          <w:highlight w:val="none"/>
        </w:rPr>
        <w:t>响应及偏离情况说明表</w:t>
      </w:r>
      <w:bookmarkEnd w:id="75"/>
      <w:bookmarkEnd w:id="76"/>
    </w:p>
    <w:p w14:paraId="5BD5E299">
      <w:pPr>
        <w:keepNext w:val="0"/>
        <w:keepLines w:val="0"/>
        <w:pageBreakBefore w:val="0"/>
        <w:kinsoku/>
        <w:overflowPunct/>
        <w:topLinePunct w:val="0"/>
        <w:bidi w:val="0"/>
        <w:spacing w:line="360" w:lineRule="auto"/>
        <w:textAlignment w:val="auto"/>
        <w:rPr>
          <w:rFonts w:ascii="宋体" w:hAnsi="宋体"/>
          <w:color w:val="auto"/>
          <w:sz w:val="21"/>
          <w:szCs w:val="21"/>
          <w:highlight w:val="none"/>
          <w:u w:val="single"/>
        </w:rPr>
      </w:pPr>
    </w:p>
    <w:tbl>
      <w:tblPr>
        <w:tblStyle w:val="48"/>
        <w:tblW w:w="960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4640298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38CDB2F6">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7" w:name="_Toc18552"/>
            <w:bookmarkStart w:id="78" w:name="_Toc552"/>
            <w:r>
              <w:rPr>
                <w:rFonts w:hint="eastAsia" w:ascii="宋体" w:hAnsi="宋体"/>
                <w:color w:val="auto"/>
                <w:sz w:val="21"/>
                <w:szCs w:val="21"/>
                <w:highlight w:val="none"/>
              </w:rPr>
              <w:t>序号</w:t>
            </w:r>
            <w:bookmarkEnd w:id="77"/>
            <w:bookmarkEnd w:id="78"/>
          </w:p>
        </w:tc>
        <w:tc>
          <w:tcPr>
            <w:tcW w:w="3483" w:type="dxa"/>
            <w:vAlign w:val="center"/>
          </w:tcPr>
          <w:p w14:paraId="550B56FF">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79" w:name="_Toc12277"/>
            <w:bookmarkStart w:id="80" w:name="_Toc18304"/>
            <w:r>
              <w:rPr>
                <w:rFonts w:hint="eastAsia" w:ascii="宋体" w:hAnsi="宋体"/>
                <w:color w:val="auto"/>
                <w:sz w:val="21"/>
                <w:szCs w:val="21"/>
                <w:highlight w:val="none"/>
                <w:lang w:eastAsia="zh-CN"/>
              </w:rPr>
              <w:t>磋商</w:t>
            </w:r>
            <w:r>
              <w:rPr>
                <w:rFonts w:hint="eastAsia" w:ascii="宋体" w:hAnsi="宋体"/>
                <w:color w:val="auto"/>
                <w:sz w:val="21"/>
                <w:szCs w:val="21"/>
                <w:highlight w:val="none"/>
              </w:rPr>
              <w:t>文件中的商务要求</w:t>
            </w:r>
            <w:bookmarkEnd w:id="79"/>
            <w:bookmarkEnd w:id="80"/>
          </w:p>
        </w:tc>
        <w:tc>
          <w:tcPr>
            <w:tcW w:w="2514" w:type="dxa"/>
            <w:vAlign w:val="center"/>
          </w:tcPr>
          <w:p w14:paraId="34B8263A">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1" w:name="_Toc21252"/>
            <w:bookmarkStart w:id="82" w:name="_Toc19966"/>
            <w:r>
              <w:rPr>
                <w:rFonts w:hint="eastAsia" w:ascii="宋体" w:hAnsi="宋体"/>
                <w:color w:val="auto"/>
                <w:sz w:val="21"/>
                <w:szCs w:val="21"/>
                <w:highlight w:val="none"/>
                <w:lang w:eastAsia="zh-CN"/>
              </w:rPr>
              <w:t>磋商</w:t>
            </w:r>
            <w:r>
              <w:rPr>
                <w:rFonts w:hint="eastAsia" w:ascii="宋体" w:hAnsi="宋体"/>
                <w:color w:val="auto"/>
                <w:sz w:val="21"/>
                <w:szCs w:val="21"/>
                <w:highlight w:val="none"/>
              </w:rPr>
              <w:t>响应文件具体响应</w:t>
            </w:r>
            <w:bookmarkEnd w:id="81"/>
            <w:bookmarkEnd w:id="82"/>
          </w:p>
        </w:tc>
        <w:tc>
          <w:tcPr>
            <w:tcW w:w="1571" w:type="dxa"/>
            <w:vAlign w:val="center"/>
          </w:tcPr>
          <w:p w14:paraId="2A7F4E76">
            <w:pPr>
              <w:keepNext w:val="0"/>
              <w:keepLines w:val="0"/>
              <w:pageBreakBefore w:val="0"/>
              <w:kinsoku/>
              <w:overflowPunct/>
              <w:topLinePunct w:val="0"/>
              <w:bidi w:val="0"/>
              <w:adjustRightInd w:val="0"/>
              <w:snapToGrid w:val="0"/>
              <w:spacing w:line="360" w:lineRule="auto"/>
              <w:jc w:val="center"/>
              <w:textAlignment w:val="auto"/>
              <w:outlineLvl w:val="0"/>
              <w:rPr>
                <w:rFonts w:ascii="宋体" w:hAnsi="宋体"/>
                <w:color w:val="auto"/>
                <w:sz w:val="21"/>
                <w:szCs w:val="21"/>
                <w:highlight w:val="none"/>
              </w:rPr>
            </w:pPr>
            <w:bookmarkStart w:id="83" w:name="_Toc1968"/>
            <w:bookmarkStart w:id="84" w:name="_Toc25513"/>
            <w:r>
              <w:rPr>
                <w:rFonts w:hint="eastAsia" w:ascii="宋体" w:hAnsi="宋体"/>
                <w:color w:val="auto"/>
                <w:sz w:val="21"/>
                <w:szCs w:val="21"/>
                <w:highlight w:val="none"/>
              </w:rPr>
              <w:t>响应/偏离</w:t>
            </w:r>
            <w:bookmarkEnd w:id="83"/>
            <w:bookmarkEnd w:id="84"/>
          </w:p>
        </w:tc>
        <w:tc>
          <w:tcPr>
            <w:tcW w:w="1396" w:type="dxa"/>
            <w:vAlign w:val="center"/>
          </w:tcPr>
          <w:p w14:paraId="568070E4">
            <w:pPr>
              <w:keepNext w:val="0"/>
              <w:keepLines w:val="0"/>
              <w:pageBreakBefore w:val="0"/>
              <w:kinsoku/>
              <w:overflowPunct/>
              <w:topLinePunct w:val="0"/>
              <w:bidi w:val="0"/>
              <w:adjustRightInd w:val="0"/>
              <w:snapToGrid w:val="0"/>
              <w:spacing w:line="360" w:lineRule="auto"/>
              <w:jc w:val="center"/>
              <w:textAlignment w:val="auto"/>
              <w:outlineLvl w:val="0"/>
              <w:rPr>
                <w:rFonts w:hint="default" w:ascii="宋体" w:hAnsi="宋体" w:eastAsia="宋体"/>
                <w:color w:val="auto"/>
                <w:sz w:val="21"/>
                <w:szCs w:val="21"/>
                <w:highlight w:val="none"/>
                <w:lang w:val="en-US" w:eastAsia="zh-CN"/>
              </w:rPr>
            </w:pPr>
            <w:r>
              <w:rPr>
                <w:rFonts w:hint="eastAsia" w:ascii="宋体" w:hAnsi="宋体"/>
                <w:color w:val="auto"/>
                <w:sz w:val="21"/>
                <w:szCs w:val="21"/>
                <w:highlight w:val="none"/>
                <w:lang w:val="en-US" w:eastAsia="zh-CN"/>
              </w:rPr>
              <w:t>佐证材料及页码</w:t>
            </w:r>
          </w:p>
        </w:tc>
      </w:tr>
      <w:tr w14:paraId="1EA27BE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4228CDF9">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5" w:name="_Toc15845"/>
            <w:bookmarkStart w:id="86" w:name="_Toc16225"/>
            <w:r>
              <w:rPr>
                <w:rFonts w:hint="eastAsia" w:ascii="宋体" w:hAnsi="宋体" w:cs="Times New Roman"/>
                <w:color w:val="auto"/>
                <w:sz w:val="21"/>
                <w:szCs w:val="21"/>
                <w:highlight w:val="none"/>
              </w:rPr>
              <w:t>1</w:t>
            </w:r>
            <w:bookmarkEnd w:id="85"/>
            <w:bookmarkEnd w:id="86"/>
          </w:p>
        </w:tc>
        <w:tc>
          <w:tcPr>
            <w:tcW w:w="3483" w:type="dxa"/>
            <w:vAlign w:val="center"/>
          </w:tcPr>
          <w:p w14:paraId="4B8E10E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61B4552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70839116">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0648842">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D707F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6CF03E8">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7" w:name="_Toc10757"/>
            <w:bookmarkStart w:id="88" w:name="_Toc25453"/>
            <w:r>
              <w:rPr>
                <w:rFonts w:hint="eastAsia" w:ascii="宋体" w:hAnsi="宋体" w:cs="Times New Roman"/>
                <w:color w:val="auto"/>
                <w:sz w:val="21"/>
                <w:szCs w:val="21"/>
                <w:highlight w:val="none"/>
              </w:rPr>
              <w:t>2</w:t>
            </w:r>
            <w:bookmarkEnd w:id="87"/>
            <w:bookmarkEnd w:id="88"/>
          </w:p>
        </w:tc>
        <w:tc>
          <w:tcPr>
            <w:tcW w:w="3483" w:type="dxa"/>
            <w:vAlign w:val="center"/>
          </w:tcPr>
          <w:p w14:paraId="7D74799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CACE2EB">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17467B6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55FB8038">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59B8CDC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B7B178E">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89" w:name="_Toc32202"/>
            <w:bookmarkStart w:id="90" w:name="_Toc6670"/>
            <w:r>
              <w:rPr>
                <w:rFonts w:hint="eastAsia" w:ascii="宋体" w:hAnsi="宋体" w:cs="Times New Roman"/>
                <w:color w:val="auto"/>
                <w:sz w:val="21"/>
                <w:szCs w:val="21"/>
                <w:highlight w:val="none"/>
              </w:rPr>
              <w:t>3</w:t>
            </w:r>
            <w:bookmarkEnd w:id="89"/>
            <w:bookmarkEnd w:id="90"/>
          </w:p>
        </w:tc>
        <w:tc>
          <w:tcPr>
            <w:tcW w:w="3483" w:type="dxa"/>
            <w:vAlign w:val="center"/>
          </w:tcPr>
          <w:p w14:paraId="4565DEC0">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56246FB4">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6105B1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1ED1187A">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2DCDB9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23F17E1E">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1" w:name="_Toc7258"/>
            <w:bookmarkStart w:id="92" w:name="_Toc30764"/>
            <w:r>
              <w:rPr>
                <w:rFonts w:hint="eastAsia" w:ascii="宋体" w:hAnsi="宋体" w:cs="Times New Roman"/>
                <w:color w:val="auto"/>
                <w:sz w:val="21"/>
                <w:szCs w:val="21"/>
                <w:highlight w:val="none"/>
              </w:rPr>
              <w:t>4</w:t>
            </w:r>
            <w:bookmarkEnd w:id="91"/>
            <w:bookmarkEnd w:id="92"/>
          </w:p>
        </w:tc>
        <w:tc>
          <w:tcPr>
            <w:tcW w:w="3483" w:type="dxa"/>
            <w:vAlign w:val="center"/>
          </w:tcPr>
          <w:p w14:paraId="7B791F3A">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06F84E00">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6AE8D35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33B7226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3A25687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E949B12">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3" w:name="_Toc13375"/>
            <w:bookmarkStart w:id="94" w:name="_Toc12478"/>
            <w:r>
              <w:rPr>
                <w:rFonts w:hint="eastAsia" w:ascii="宋体" w:hAnsi="宋体" w:cs="Times New Roman"/>
                <w:color w:val="auto"/>
                <w:sz w:val="21"/>
                <w:szCs w:val="21"/>
                <w:highlight w:val="none"/>
              </w:rPr>
              <w:t>5</w:t>
            </w:r>
            <w:bookmarkEnd w:id="93"/>
            <w:bookmarkEnd w:id="94"/>
          </w:p>
        </w:tc>
        <w:tc>
          <w:tcPr>
            <w:tcW w:w="3483" w:type="dxa"/>
            <w:vAlign w:val="center"/>
          </w:tcPr>
          <w:p w14:paraId="6BBB9E05">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282F503C">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vAlign w:val="center"/>
          </w:tcPr>
          <w:p w14:paraId="28922E0F">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vAlign w:val="center"/>
          </w:tcPr>
          <w:p w14:paraId="49521A6E">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r w14:paraId="44CC98E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63896969">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bookmarkStart w:id="95" w:name="_Toc3651"/>
            <w:bookmarkStart w:id="96" w:name="_Toc17269"/>
            <w:r>
              <w:rPr>
                <w:rFonts w:hint="eastAsia" w:ascii="宋体" w:hAnsi="宋体" w:cs="Times New Roman"/>
                <w:color w:val="auto"/>
                <w:sz w:val="21"/>
                <w:szCs w:val="21"/>
                <w:highlight w:val="none"/>
              </w:rPr>
              <w:t>…</w:t>
            </w:r>
            <w:bookmarkEnd w:id="95"/>
            <w:bookmarkEnd w:id="96"/>
          </w:p>
        </w:tc>
        <w:tc>
          <w:tcPr>
            <w:tcW w:w="3483" w:type="dxa"/>
            <w:vAlign w:val="center"/>
          </w:tcPr>
          <w:p w14:paraId="35830B24">
            <w:pPr>
              <w:keepNext w:val="0"/>
              <w:keepLines w:val="0"/>
              <w:pageBreakBefore w:val="0"/>
              <w:kinsoku/>
              <w:overflowPunct/>
              <w:topLinePunct w:val="0"/>
              <w:bidi w:val="0"/>
              <w:adjustRightInd w:val="0"/>
              <w:snapToGrid w:val="0"/>
              <w:spacing w:line="360" w:lineRule="auto"/>
              <w:jc w:val="center"/>
              <w:textAlignment w:val="auto"/>
              <w:outlineLvl w:val="0"/>
              <w:rPr>
                <w:rFonts w:hint="eastAsia" w:ascii="宋体" w:hAnsi="宋体" w:cs="Times New Roman"/>
                <w:color w:val="auto"/>
                <w:sz w:val="21"/>
                <w:szCs w:val="21"/>
                <w:highlight w:val="none"/>
              </w:rPr>
            </w:pPr>
          </w:p>
        </w:tc>
        <w:tc>
          <w:tcPr>
            <w:tcW w:w="2514" w:type="dxa"/>
            <w:vAlign w:val="center"/>
          </w:tcPr>
          <w:p w14:paraId="73B90D5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571" w:type="dxa"/>
            <w:tcBorders>
              <w:right w:val="single" w:color="auto" w:sz="4" w:space="0"/>
            </w:tcBorders>
            <w:vAlign w:val="center"/>
          </w:tcPr>
          <w:p w14:paraId="7174D7AD">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c>
          <w:tcPr>
            <w:tcW w:w="1396" w:type="dxa"/>
            <w:tcBorders>
              <w:left w:val="single" w:color="auto" w:sz="4" w:space="0"/>
            </w:tcBorders>
            <w:vAlign w:val="center"/>
          </w:tcPr>
          <w:p w14:paraId="21FCC515">
            <w:pPr>
              <w:keepNext w:val="0"/>
              <w:keepLines w:val="0"/>
              <w:pageBreakBefore w:val="0"/>
              <w:kinsoku/>
              <w:overflowPunct/>
              <w:topLinePunct w:val="0"/>
              <w:bidi w:val="0"/>
              <w:adjustRightInd w:val="0"/>
              <w:snapToGrid w:val="0"/>
              <w:spacing w:line="360" w:lineRule="auto"/>
              <w:jc w:val="center"/>
              <w:textAlignment w:val="auto"/>
              <w:outlineLvl w:val="9"/>
              <w:rPr>
                <w:rFonts w:ascii="宋体" w:hAnsi="宋体"/>
                <w:color w:val="auto"/>
                <w:sz w:val="21"/>
                <w:szCs w:val="21"/>
                <w:highlight w:val="none"/>
              </w:rPr>
            </w:pPr>
          </w:p>
        </w:tc>
      </w:tr>
    </w:tbl>
    <w:p w14:paraId="2854E64F">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1DE7D22B">
      <w:pPr>
        <w:pStyle w:val="19"/>
        <w:keepNext w:val="0"/>
        <w:keepLines w:val="0"/>
        <w:pageBreakBefore w:val="0"/>
        <w:kinsoku/>
        <w:overflowPunct/>
        <w:topLinePunct w:val="0"/>
        <w:bidi w:val="0"/>
        <w:spacing w:line="360" w:lineRule="auto"/>
        <w:ind w:firstLine="0"/>
        <w:textAlignment w:val="auto"/>
        <w:rPr>
          <w:rFonts w:hint="default" w:hAnsi="宋体" w:eastAsia="宋体"/>
          <w:b/>
          <w:bCs/>
          <w:color w:val="auto"/>
          <w:sz w:val="21"/>
          <w:szCs w:val="21"/>
          <w:highlight w:val="none"/>
          <w:lang w:val="en-US" w:eastAsia="zh-CN"/>
        </w:rPr>
      </w:pPr>
      <w:r>
        <w:rPr>
          <w:rFonts w:hint="eastAsia" w:hAnsi="宋体"/>
          <w:color w:val="auto"/>
          <w:sz w:val="21"/>
          <w:szCs w:val="21"/>
          <w:highlight w:val="none"/>
        </w:rPr>
        <w:t>说明：</w:t>
      </w:r>
      <w:r>
        <w:rPr>
          <w:rFonts w:hint="eastAsia" w:hAnsi="宋体"/>
          <w:color w:val="auto"/>
          <w:sz w:val="21"/>
          <w:szCs w:val="21"/>
          <w:highlight w:val="none"/>
          <w:lang w:val="en-US" w:eastAsia="zh-CN"/>
        </w:rPr>
        <w:t>1.</w:t>
      </w:r>
      <w:r>
        <w:rPr>
          <w:rFonts w:hint="eastAsia" w:hAnsi="宋体"/>
          <w:color w:val="auto"/>
          <w:sz w:val="21"/>
          <w:szCs w:val="21"/>
          <w:highlight w:val="none"/>
        </w:rPr>
        <w:t>应对照</w:t>
      </w:r>
      <w:r>
        <w:rPr>
          <w:rFonts w:hint="eastAsia" w:hAnsi="宋体"/>
          <w:color w:val="auto"/>
          <w:sz w:val="21"/>
          <w:szCs w:val="21"/>
          <w:highlight w:val="none"/>
          <w:lang w:eastAsia="zh-CN"/>
        </w:rPr>
        <w:t>磋商</w:t>
      </w:r>
      <w:r>
        <w:rPr>
          <w:rFonts w:hint="eastAsia" w:hAnsi="宋体"/>
          <w:color w:val="auto"/>
          <w:sz w:val="21"/>
          <w:szCs w:val="21"/>
          <w:highlight w:val="none"/>
        </w:rPr>
        <w:t>文件第三章《</w:t>
      </w:r>
      <w:r>
        <w:rPr>
          <w:rFonts w:hint="eastAsia" w:hAnsi="宋体"/>
          <w:color w:val="auto"/>
          <w:sz w:val="21"/>
          <w:szCs w:val="21"/>
          <w:highlight w:val="none"/>
          <w:lang w:eastAsia="zh-CN"/>
        </w:rPr>
        <w:t>项目需求一览表</w:t>
      </w:r>
      <w:r>
        <w:rPr>
          <w:rFonts w:hint="eastAsia" w:hAnsi="宋体"/>
          <w:color w:val="auto"/>
          <w:sz w:val="21"/>
          <w:szCs w:val="21"/>
          <w:highlight w:val="none"/>
        </w:rPr>
        <w:t>》中的“商务要求</w:t>
      </w:r>
      <w:r>
        <w:rPr>
          <w:rFonts w:hint="eastAsia" w:hAnsi="宋体"/>
          <w:color w:val="auto"/>
          <w:sz w:val="21"/>
          <w:szCs w:val="21"/>
          <w:highlight w:val="none"/>
          <w:lang w:val="en-US" w:eastAsia="zh-CN"/>
        </w:rPr>
        <w:t>表</w:t>
      </w:r>
      <w:r>
        <w:rPr>
          <w:rFonts w:hint="eastAsia" w:hAnsi="宋体"/>
          <w:color w:val="auto"/>
          <w:sz w:val="21"/>
          <w:szCs w:val="21"/>
          <w:highlight w:val="none"/>
        </w:rPr>
        <w:t>”，逐条说明供应商的承诺的商务条件对应做出了实质性的响应，并申明与技术规格条文的响应和偏离。如果仅注明“符合”、“满足”或简单复制</w:t>
      </w:r>
      <w:r>
        <w:rPr>
          <w:rFonts w:hint="eastAsia" w:hAnsi="宋体"/>
          <w:color w:val="auto"/>
          <w:sz w:val="21"/>
          <w:szCs w:val="21"/>
          <w:highlight w:val="none"/>
          <w:lang w:eastAsia="zh-CN"/>
        </w:rPr>
        <w:t>磋商</w:t>
      </w:r>
      <w:r>
        <w:rPr>
          <w:rFonts w:hint="eastAsia" w:hAnsi="宋体"/>
          <w:color w:val="auto"/>
          <w:sz w:val="21"/>
          <w:szCs w:val="21"/>
          <w:highlight w:val="none"/>
        </w:rPr>
        <w:t>文件要求，将导致</w:t>
      </w:r>
      <w:r>
        <w:rPr>
          <w:rFonts w:hint="eastAsia" w:hAnsi="宋体"/>
          <w:color w:val="auto"/>
          <w:sz w:val="21"/>
          <w:szCs w:val="21"/>
          <w:highlight w:val="none"/>
          <w:lang w:eastAsia="zh-CN"/>
        </w:rPr>
        <w:t>磋商</w:t>
      </w:r>
      <w:r>
        <w:rPr>
          <w:rFonts w:hint="eastAsia" w:hAnsi="宋体"/>
          <w:color w:val="auto"/>
          <w:sz w:val="21"/>
          <w:szCs w:val="21"/>
          <w:highlight w:val="none"/>
        </w:rPr>
        <w:t>被拒绝。</w:t>
      </w:r>
      <w:r>
        <w:rPr>
          <w:rFonts w:hint="eastAsia" w:hAnsi="宋体"/>
          <w:b/>
          <w:bCs/>
          <w:color w:val="auto"/>
          <w:sz w:val="21"/>
          <w:szCs w:val="21"/>
          <w:highlight w:val="none"/>
          <w:lang w:val="en-US" w:eastAsia="zh-CN"/>
        </w:rPr>
        <w:t>2.严禁直接照抄磋商文件中的需求内容作为响应描述，否则响应无效。</w:t>
      </w:r>
    </w:p>
    <w:p w14:paraId="5B75A0DC">
      <w:pPr>
        <w:pStyle w:val="19"/>
        <w:keepNext w:val="0"/>
        <w:keepLines w:val="0"/>
        <w:pageBreakBefore w:val="0"/>
        <w:kinsoku/>
        <w:overflowPunct/>
        <w:topLinePunct w:val="0"/>
        <w:bidi w:val="0"/>
        <w:spacing w:line="360" w:lineRule="auto"/>
        <w:ind w:firstLine="0"/>
        <w:textAlignment w:val="auto"/>
        <w:rPr>
          <w:rFonts w:hAnsi="宋体"/>
          <w:color w:val="auto"/>
          <w:sz w:val="21"/>
          <w:szCs w:val="21"/>
          <w:highlight w:val="none"/>
        </w:rPr>
      </w:pPr>
    </w:p>
    <w:p w14:paraId="31944CEB">
      <w:pPr>
        <w:pStyle w:val="25"/>
        <w:keepNext w:val="0"/>
        <w:keepLines w:val="0"/>
        <w:pageBreakBefore w:val="0"/>
        <w:kinsoku/>
        <w:overflowPunct/>
        <w:topLinePunct w:val="0"/>
        <w:bidi w:val="0"/>
        <w:spacing w:line="360" w:lineRule="auto"/>
        <w:textAlignment w:val="auto"/>
        <w:rPr>
          <w:rFonts w:hAnsi="宋体"/>
          <w:color w:val="auto"/>
          <w:sz w:val="21"/>
          <w:szCs w:val="21"/>
          <w:highlight w:val="none"/>
        </w:rPr>
      </w:pPr>
    </w:p>
    <w:p w14:paraId="7E54A6E4">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5264B688">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3D7D10BF">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0A6F7A4B">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50DEED1">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53C71C3">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0347ECDA">
      <w:pPr>
        <w:keepNext w:val="0"/>
        <w:keepLines w:val="0"/>
        <w:pageBreakBefore w:val="0"/>
        <w:widowControl/>
        <w:kinsoku/>
        <w:overflowPunct/>
        <w:topLinePunct w:val="0"/>
        <w:bidi w:val="0"/>
        <w:spacing w:line="360" w:lineRule="auto"/>
        <w:jc w:val="left"/>
        <w:textAlignment w:val="auto"/>
        <w:rPr>
          <w:rFonts w:hint="eastAsia" w:ascii="宋体" w:hAnsi="宋体"/>
          <w:color w:val="auto"/>
          <w:sz w:val="21"/>
          <w:szCs w:val="21"/>
          <w:highlight w:val="none"/>
        </w:rPr>
      </w:pPr>
      <w:r>
        <w:rPr>
          <w:rFonts w:ascii="宋体" w:hAnsi="宋体"/>
          <w:color w:val="auto"/>
          <w:sz w:val="21"/>
          <w:szCs w:val="21"/>
          <w:highlight w:val="none"/>
        </w:rPr>
        <w:br w:type="page"/>
      </w:r>
    </w:p>
    <w:p w14:paraId="71D27A99">
      <w:pPr>
        <w:keepNext w:val="0"/>
        <w:keepLines w:val="0"/>
        <w:pageBreakBefore w:val="0"/>
        <w:kinsoku/>
        <w:overflowPunct/>
        <w:topLinePunct w:val="0"/>
        <w:bidi w:val="0"/>
        <w:spacing w:line="360" w:lineRule="auto"/>
        <w:ind w:firstLine="422" w:firstLineChars="200"/>
        <w:textAlignment w:val="auto"/>
        <w:rPr>
          <w:rFonts w:hint="default" w:eastAsia="宋体"/>
          <w:b/>
          <w:bCs/>
          <w:sz w:val="21"/>
          <w:szCs w:val="21"/>
          <w:highlight w:val="none"/>
          <w:lang w:val="en-US" w:eastAsia="zh-CN"/>
        </w:rPr>
      </w:pPr>
      <w:r>
        <w:rPr>
          <w:rFonts w:hint="eastAsia" w:ascii="宋体" w:hAnsi="宋体"/>
          <w:b/>
          <w:bCs/>
          <w:color w:val="auto"/>
          <w:sz w:val="21"/>
          <w:szCs w:val="21"/>
          <w:highlight w:val="none"/>
          <w:lang w:val="en-US" w:eastAsia="zh-CN"/>
        </w:rPr>
        <w:t>（4</w:t>
      </w:r>
      <w:r>
        <w:rPr>
          <w:rFonts w:hint="eastAsia" w:ascii="宋体" w:hAnsi="宋体"/>
          <w:b/>
          <w:bCs/>
          <w:color w:val="auto"/>
          <w:sz w:val="21"/>
          <w:szCs w:val="21"/>
          <w:highlight w:val="none"/>
        </w:rPr>
        <w:t>）供应商有效的</w:t>
      </w:r>
      <w:r>
        <w:rPr>
          <w:rFonts w:hint="eastAsia" w:ascii="宋体" w:hAnsi="宋体"/>
          <w:b/>
          <w:bCs/>
          <w:color w:val="auto"/>
          <w:sz w:val="21"/>
          <w:szCs w:val="21"/>
          <w:highlight w:val="none"/>
          <w:lang w:val="en-US" w:eastAsia="zh-CN"/>
        </w:rPr>
        <w:t>资质及证明文件（营业执照、图书出版许可证、2025年1月至7月内任意连续3个月的依法缴纳税收的凭据复印件、2025年1月至7月内任意连续3个月的依法缴纳社会保障资金的缴费凭证）</w:t>
      </w:r>
    </w:p>
    <w:p w14:paraId="099DF949">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default" w:eastAsia="宋体"/>
          <w:b/>
          <w:bCs/>
          <w:sz w:val="21"/>
          <w:szCs w:val="21"/>
          <w:highlight w:val="none"/>
          <w:lang w:val="en-US" w:eastAsia="zh-CN"/>
        </w:rPr>
      </w:pPr>
    </w:p>
    <w:p w14:paraId="7834C17C">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b/>
          <w:bCs/>
          <w:color w:val="auto"/>
          <w:sz w:val="21"/>
          <w:szCs w:val="21"/>
          <w:highlight w:val="none"/>
        </w:rPr>
      </w:pPr>
    </w:p>
    <w:p w14:paraId="30DA952B">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5</w:t>
      </w: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项目实施方案（参照评分标准提供详细的实施本项目的实施方案，如日期规划、应急处置、风险预案等方案）</w:t>
      </w:r>
      <w:r>
        <w:rPr>
          <w:rFonts w:hint="eastAsia" w:ascii="宋体" w:hAnsi="宋体"/>
          <w:b/>
          <w:bCs/>
          <w:color w:val="auto"/>
          <w:sz w:val="21"/>
          <w:szCs w:val="21"/>
          <w:highlight w:val="none"/>
          <w:lang w:eastAsia="zh-CN"/>
        </w:rPr>
        <w:t>；</w:t>
      </w:r>
    </w:p>
    <w:p w14:paraId="069430A0">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cs="Times New Roman"/>
          <w:b/>
          <w:bCs/>
          <w:color w:val="auto"/>
          <w:sz w:val="21"/>
          <w:szCs w:val="21"/>
          <w:highlight w:val="none"/>
          <w:lang w:val="en-US" w:eastAsia="zh-CN"/>
        </w:rPr>
      </w:pPr>
      <w:r>
        <w:rPr>
          <w:rFonts w:hint="eastAsia" w:ascii="宋体" w:hAnsi="宋体"/>
          <w:b/>
          <w:color w:val="auto"/>
          <w:sz w:val="32"/>
          <w:szCs w:val="32"/>
          <w:highlight w:val="none"/>
          <w:lang w:val="en-US" w:eastAsia="zh-CN"/>
        </w:rPr>
        <w:t xml:space="preserve"> </w:t>
      </w:r>
      <w:r>
        <w:rPr>
          <w:rFonts w:hint="eastAsia" w:ascii="宋体" w:hAnsi="宋体" w:eastAsia="宋体" w:cs="Times New Roman"/>
          <w:b/>
          <w:bCs/>
          <w:color w:val="auto"/>
          <w:sz w:val="21"/>
          <w:szCs w:val="21"/>
          <w:highlight w:val="none"/>
          <w:lang w:val="en-US" w:eastAsia="zh-CN"/>
        </w:rPr>
        <w:t xml:space="preserve"> </w:t>
      </w:r>
      <w:r>
        <w:rPr>
          <w:rFonts w:hint="eastAsia" w:ascii="宋体" w:hAnsi="宋体" w:cs="Times New Roman"/>
          <w:b/>
          <w:bCs/>
          <w:color w:val="auto"/>
          <w:sz w:val="21"/>
          <w:szCs w:val="21"/>
          <w:highlight w:val="none"/>
          <w:lang w:val="en-US" w:eastAsia="zh-CN"/>
        </w:rPr>
        <w:t xml:space="preserve"> </w:t>
      </w:r>
    </w:p>
    <w:p w14:paraId="4442FDFB">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left"/>
        <w:textAlignment w:val="auto"/>
        <w:rPr>
          <w:rFonts w:hint="eastAsia" w:ascii="宋体" w:hAnsi="宋体" w:eastAsia="宋体"/>
          <w:b/>
          <w:bCs/>
          <w:color w:val="auto"/>
          <w:sz w:val="21"/>
          <w:szCs w:val="21"/>
          <w:highlight w:val="none"/>
          <w:lang w:eastAsia="zh-CN"/>
        </w:rPr>
      </w:pPr>
      <w:r>
        <w:rPr>
          <w:rFonts w:hint="eastAsia" w:ascii="宋体" w:hAnsi="宋体"/>
          <w:b/>
          <w:bCs/>
          <w:color w:val="auto"/>
          <w:sz w:val="21"/>
          <w:szCs w:val="21"/>
          <w:highlight w:val="none"/>
        </w:rPr>
        <w:t>（</w:t>
      </w:r>
      <w:r>
        <w:rPr>
          <w:rFonts w:hint="eastAsia" w:ascii="宋体" w:hAnsi="宋体"/>
          <w:b/>
          <w:bCs/>
          <w:color w:val="auto"/>
          <w:sz w:val="21"/>
          <w:szCs w:val="21"/>
          <w:highlight w:val="none"/>
          <w:lang w:val="en-US" w:eastAsia="zh-CN"/>
        </w:rPr>
        <w:t>6）售后服务方案，提供的切实可行的售后服务承诺（格式目录自拟）</w:t>
      </w:r>
      <w:r>
        <w:rPr>
          <w:rFonts w:hint="eastAsia" w:ascii="宋体" w:hAnsi="宋体"/>
          <w:b/>
          <w:bCs/>
          <w:color w:val="auto"/>
          <w:sz w:val="21"/>
          <w:szCs w:val="21"/>
          <w:highlight w:val="none"/>
          <w:lang w:eastAsia="zh-CN"/>
        </w:rPr>
        <w:t>；</w:t>
      </w:r>
    </w:p>
    <w:p w14:paraId="500EE787">
      <w:pPr>
        <w:keepNext w:val="0"/>
        <w:keepLines w:val="0"/>
        <w:pageBreakBefore w:val="0"/>
        <w:kinsoku/>
        <w:overflowPunct/>
        <w:topLinePunct w:val="0"/>
        <w:bidi w:val="0"/>
        <w:adjustRightInd w:val="0"/>
        <w:snapToGrid w:val="0"/>
        <w:spacing w:line="360" w:lineRule="auto"/>
        <w:ind w:firstLine="422" w:firstLineChars="200"/>
        <w:jc w:val="left"/>
        <w:textAlignment w:val="auto"/>
        <w:rPr>
          <w:rFonts w:hint="eastAsia" w:ascii="宋体" w:hAnsi="宋体"/>
          <w:b/>
          <w:bCs/>
          <w:color w:val="auto"/>
          <w:sz w:val="21"/>
          <w:szCs w:val="21"/>
          <w:highlight w:val="none"/>
          <w:lang w:eastAsia="zh-CN"/>
        </w:rPr>
      </w:pPr>
    </w:p>
    <w:p w14:paraId="0E1C4F3D">
      <w:pPr>
        <w:keepNext w:val="0"/>
        <w:keepLines w:val="0"/>
        <w:pageBreakBefore w:val="0"/>
        <w:numPr>
          <w:ilvl w:val="0"/>
          <w:numId w:val="4"/>
        </w:numPr>
        <w:kinsoku/>
        <w:overflowPunct/>
        <w:topLinePunct w:val="0"/>
        <w:bidi w:val="0"/>
        <w:adjustRightInd w:val="0"/>
        <w:snapToGrid w:val="0"/>
        <w:spacing w:line="360" w:lineRule="auto"/>
        <w:ind w:firstLine="422" w:firstLineChars="200"/>
        <w:jc w:val="left"/>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出版物质量控制方案</w:t>
      </w:r>
      <w:r>
        <w:rPr>
          <w:rFonts w:hint="eastAsia" w:ascii="宋体" w:hAnsi="宋体"/>
          <w:b/>
          <w:bCs/>
          <w:color w:val="auto"/>
          <w:sz w:val="21"/>
          <w:szCs w:val="21"/>
          <w:highlight w:val="none"/>
          <w:lang w:eastAsia="zh-CN"/>
        </w:rPr>
        <w:t>（格式</w:t>
      </w:r>
      <w:r>
        <w:rPr>
          <w:rFonts w:hint="eastAsia" w:ascii="宋体" w:hAnsi="宋体"/>
          <w:b/>
          <w:bCs/>
          <w:color w:val="auto"/>
          <w:sz w:val="21"/>
          <w:szCs w:val="21"/>
          <w:highlight w:val="none"/>
          <w:lang w:val="en-US" w:eastAsia="zh-CN"/>
        </w:rPr>
        <w:t>目录</w:t>
      </w:r>
      <w:r>
        <w:rPr>
          <w:rFonts w:hint="eastAsia" w:ascii="宋体" w:hAnsi="宋体"/>
          <w:b/>
          <w:bCs/>
          <w:color w:val="auto"/>
          <w:sz w:val="21"/>
          <w:szCs w:val="21"/>
          <w:highlight w:val="none"/>
          <w:lang w:eastAsia="zh-CN"/>
        </w:rPr>
        <w:t>自拟）</w:t>
      </w:r>
    </w:p>
    <w:p w14:paraId="332E33F8">
      <w:pPr>
        <w:keepNext w:val="0"/>
        <w:keepLines w:val="0"/>
        <w:pageBreakBefore w:val="0"/>
        <w:numPr>
          <w:ilvl w:val="0"/>
          <w:numId w:val="0"/>
        </w:numPr>
        <w:kinsoku/>
        <w:overflowPunct/>
        <w:topLinePunct w:val="0"/>
        <w:bidi w:val="0"/>
        <w:adjustRightInd w:val="0"/>
        <w:snapToGrid w:val="0"/>
        <w:spacing w:line="360" w:lineRule="auto"/>
        <w:jc w:val="left"/>
        <w:textAlignment w:val="auto"/>
        <w:rPr>
          <w:rFonts w:hint="eastAsia" w:ascii="宋体" w:hAnsi="宋体"/>
          <w:b/>
          <w:bCs/>
          <w:color w:val="auto"/>
          <w:sz w:val="21"/>
          <w:szCs w:val="21"/>
          <w:highlight w:val="none"/>
          <w:lang w:eastAsia="zh-CN"/>
        </w:rPr>
      </w:pPr>
    </w:p>
    <w:p w14:paraId="6BE0442E">
      <w:pPr>
        <w:keepNext w:val="0"/>
        <w:keepLines w:val="0"/>
        <w:pageBreakBefore w:val="0"/>
        <w:kinsoku/>
        <w:overflowPunct/>
        <w:topLinePunct w:val="0"/>
        <w:bidi w:val="0"/>
        <w:adjustRightInd w:val="0"/>
        <w:snapToGrid w:val="0"/>
        <w:spacing w:line="360" w:lineRule="auto"/>
        <w:ind w:firstLine="422" w:firstLineChars="200"/>
        <w:jc w:val="left"/>
        <w:textAlignment w:val="auto"/>
        <w:rPr>
          <w:rFonts w:hint="eastAsia" w:ascii="宋体" w:hAnsi="宋体" w:eastAsia="宋体"/>
          <w:b/>
          <w:color w:val="auto"/>
          <w:sz w:val="32"/>
          <w:szCs w:val="32"/>
          <w:highlight w:val="none"/>
          <w:lang w:val="en-US"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8</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rPr>
        <w:t>项目实施人员一览表</w:t>
      </w:r>
      <w:r>
        <w:rPr>
          <w:rFonts w:hint="eastAsia" w:ascii="宋体" w:hAnsi="宋体"/>
          <w:b/>
          <w:bCs/>
          <w:color w:val="auto"/>
          <w:sz w:val="21"/>
          <w:szCs w:val="21"/>
          <w:highlight w:val="none"/>
          <w:lang w:val="en-US" w:eastAsia="zh-CN"/>
        </w:rPr>
        <w:t>格式：</w:t>
      </w:r>
    </w:p>
    <w:p w14:paraId="28389CB6">
      <w:pPr>
        <w:keepNext w:val="0"/>
        <w:keepLines w:val="0"/>
        <w:pageBreakBefore w:val="0"/>
        <w:kinsoku/>
        <w:overflowPunct/>
        <w:topLinePunct w:val="0"/>
        <w:bidi w:val="0"/>
        <w:adjustRightInd w:val="0"/>
        <w:snapToGrid w:val="0"/>
        <w:spacing w:line="360" w:lineRule="auto"/>
        <w:jc w:val="center"/>
        <w:textAlignment w:val="auto"/>
        <w:rPr>
          <w:rFonts w:hint="eastAsia" w:ascii="宋体" w:hAnsi="宋体"/>
          <w:b/>
          <w:color w:val="auto"/>
          <w:sz w:val="32"/>
          <w:szCs w:val="32"/>
          <w:highlight w:val="none"/>
        </w:rPr>
      </w:pPr>
    </w:p>
    <w:p w14:paraId="31F13E9B">
      <w:pPr>
        <w:keepNext w:val="0"/>
        <w:keepLines w:val="0"/>
        <w:pageBreakBefore w:val="0"/>
        <w:kinsoku/>
        <w:overflowPunct/>
        <w:topLinePunct w:val="0"/>
        <w:bidi w:val="0"/>
        <w:adjustRightInd w:val="0"/>
        <w:snapToGrid w:val="0"/>
        <w:spacing w:line="240" w:lineRule="auto"/>
        <w:jc w:val="center"/>
        <w:textAlignment w:val="auto"/>
        <w:rPr>
          <w:rFonts w:ascii="宋体" w:hAnsi="宋体"/>
          <w:b/>
          <w:color w:val="auto"/>
          <w:sz w:val="32"/>
          <w:szCs w:val="32"/>
          <w:highlight w:val="none"/>
        </w:rPr>
      </w:pPr>
      <w:r>
        <w:rPr>
          <w:rFonts w:hint="eastAsia" w:ascii="宋体" w:hAnsi="宋体"/>
          <w:b/>
          <w:color w:val="auto"/>
          <w:sz w:val="32"/>
          <w:szCs w:val="32"/>
          <w:highlight w:val="none"/>
        </w:rPr>
        <w:t>项目实施人员一览表</w:t>
      </w:r>
    </w:p>
    <w:p w14:paraId="014CCA3E">
      <w:pPr>
        <w:keepNext w:val="0"/>
        <w:keepLines w:val="0"/>
        <w:pageBreakBefore w:val="0"/>
        <w:kinsoku/>
        <w:overflowPunct/>
        <w:topLinePunct w:val="0"/>
        <w:bidi w:val="0"/>
        <w:snapToGrid w:val="0"/>
        <w:spacing w:beforeLines="50" w:after="50" w:line="24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（拟投入人员及其技术资格一览表）</w:t>
      </w:r>
    </w:p>
    <w:tbl>
      <w:tblPr>
        <w:tblStyle w:val="4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3"/>
        <w:gridCol w:w="774"/>
        <w:gridCol w:w="1857"/>
        <w:gridCol w:w="1551"/>
        <w:gridCol w:w="1854"/>
        <w:gridCol w:w="2012"/>
      </w:tblGrid>
      <w:tr w14:paraId="58474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7F3CF33A">
            <w:pPr>
              <w:snapToGrid w:val="0"/>
              <w:spacing w:before="50" w:after="120" w:afterLines="50"/>
              <w:jc w:val="center"/>
              <w:rPr>
                <w:rFonts w:hint="eastAsia" w:hAnsi="宋体"/>
                <w:sz w:val="21"/>
                <w:szCs w:val="21"/>
                <w:highlight w:val="none"/>
              </w:rPr>
            </w:pPr>
            <w:r>
              <w:rPr>
                <w:rFonts w:hint="eastAsia" w:hAnsi="宋体"/>
                <w:sz w:val="21"/>
                <w:szCs w:val="21"/>
                <w:highlight w:val="none"/>
              </w:rPr>
              <w:t>姓名</w:t>
            </w:r>
          </w:p>
        </w:tc>
        <w:tc>
          <w:tcPr>
            <w:tcW w:w="774" w:type="dxa"/>
            <w:noWrap w:val="0"/>
            <w:vAlign w:val="center"/>
          </w:tcPr>
          <w:p w14:paraId="1D5A5D72">
            <w:pPr>
              <w:snapToGrid w:val="0"/>
              <w:spacing w:before="50" w:after="120" w:afterLines="50"/>
              <w:jc w:val="center"/>
              <w:rPr>
                <w:rFonts w:hint="eastAsia" w:hAnsi="宋体"/>
                <w:sz w:val="21"/>
                <w:szCs w:val="21"/>
                <w:highlight w:val="none"/>
              </w:rPr>
            </w:pPr>
            <w:r>
              <w:rPr>
                <w:rFonts w:hint="eastAsia" w:hAnsi="宋体"/>
                <w:sz w:val="21"/>
                <w:szCs w:val="21"/>
                <w:highlight w:val="none"/>
              </w:rPr>
              <w:t>职务</w:t>
            </w:r>
          </w:p>
        </w:tc>
        <w:tc>
          <w:tcPr>
            <w:tcW w:w="1857" w:type="dxa"/>
            <w:noWrap w:val="0"/>
            <w:vAlign w:val="center"/>
          </w:tcPr>
          <w:p w14:paraId="2BB55D62">
            <w:pPr>
              <w:snapToGrid w:val="0"/>
              <w:spacing w:before="50" w:after="120" w:afterLines="50"/>
              <w:jc w:val="center"/>
              <w:rPr>
                <w:rFonts w:hint="eastAsia" w:hAnsi="宋体"/>
                <w:sz w:val="21"/>
                <w:szCs w:val="21"/>
                <w:highlight w:val="none"/>
              </w:rPr>
            </w:pPr>
            <w:r>
              <w:rPr>
                <w:rFonts w:hint="eastAsia" w:hAnsi="宋体"/>
                <w:sz w:val="21"/>
                <w:szCs w:val="21"/>
                <w:highlight w:val="none"/>
              </w:rPr>
              <w:t>专业技术资格（职称）或者职业资格或者执业资格证或者其他证书</w:t>
            </w:r>
          </w:p>
        </w:tc>
        <w:tc>
          <w:tcPr>
            <w:tcW w:w="1551" w:type="dxa"/>
            <w:noWrap w:val="0"/>
            <w:vAlign w:val="center"/>
          </w:tcPr>
          <w:p w14:paraId="612CA87A">
            <w:pPr>
              <w:snapToGrid w:val="0"/>
              <w:spacing w:before="50" w:after="120" w:afterLines="50"/>
              <w:jc w:val="center"/>
              <w:rPr>
                <w:rFonts w:hint="eastAsia" w:hAnsi="宋体"/>
                <w:sz w:val="21"/>
                <w:szCs w:val="21"/>
                <w:highlight w:val="none"/>
              </w:rPr>
            </w:pPr>
            <w:r>
              <w:rPr>
                <w:rFonts w:hint="eastAsia" w:hAnsi="宋体"/>
                <w:sz w:val="21"/>
                <w:szCs w:val="21"/>
                <w:highlight w:val="none"/>
              </w:rPr>
              <w:t>证书编号</w:t>
            </w:r>
          </w:p>
        </w:tc>
        <w:tc>
          <w:tcPr>
            <w:tcW w:w="1854" w:type="dxa"/>
            <w:noWrap w:val="0"/>
            <w:vAlign w:val="center"/>
          </w:tcPr>
          <w:p w14:paraId="7EE713AC">
            <w:pPr>
              <w:snapToGrid w:val="0"/>
              <w:spacing w:before="50" w:after="120" w:afterLines="50"/>
              <w:jc w:val="center"/>
              <w:rPr>
                <w:rFonts w:hint="eastAsia" w:hAnsi="宋体"/>
                <w:sz w:val="21"/>
                <w:szCs w:val="21"/>
                <w:highlight w:val="none"/>
              </w:rPr>
            </w:pPr>
            <w:r>
              <w:rPr>
                <w:rFonts w:hint="eastAsia" w:hAnsi="宋体"/>
                <w:sz w:val="21"/>
                <w:szCs w:val="21"/>
                <w:highlight w:val="none"/>
              </w:rPr>
              <w:t>参加本单位</w:t>
            </w:r>
          </w:p>
          <w:p w14:paraId="50713CA2">
            <w:pPr>
              <w:snapToGrid w:val="0"/>
              <w:spacing w:before="50" w:after="120" w:afterLines="50"/>
              <w:jc w:val="center"/>
              <w:rPr>
                <w:rFonts w:hint="eastAsia" w:hAnsi="宋体"/>
                <w:sz w:val="21"/>
                <w:szCs w:val="21"/>
                <w:highlight w:val="none"/>
              </w:rPr>
            </w:pPr>
            <w:r>
              <w:rPr>
                <w:rFonts w:hint="eastAsia" w:hAnsi="宋体"/>
                <w:sz w:val="21"/>
                <w:szCs w:val="21"/>
                <w:highlight w:val="none"/>
              </w:rPr>
              <w:t>工作时间</w:t>
            </w:r>
          </w:p>
        </w:tc>
        <w:tc>
          <w:tcPr>
            <w:tcW w:w="2012" w:type="dxa"/>
            <w:noWrap w:val="0"/>
            <w:vAlign w:val="center"/>
          </w:tcPr>
          <w:p w14:paraId="7AEBB906">
            <w:pPr>
              <w:snapToGrid w:val="0"/>
              <w:spacing w:before="50" w:after="120" w:afterLines="50"/>
              <w:jc w:val="center"/>
              <w:rPr>
                <w:rFonts w:hint="default" w:hAnsi="宋体" w:eastAsia="宋体"/>
                <w:sz w:val="21"/>
                <w:szCs w:val="21"/>
                <w:highlight w:val="none"/>
                <w:lang w:val="en-US" w:eastAsia="zh-CN"/>
              </w:rPr>
            </w:pPr>
            <w:r>
              <w:rPr>
                <w:rFonts w:hint="eastAsia" w:hAnsi="宋体"/>
                <w:sz w:val="21"/>
                <w:szCs w:val="21"/>
                <w:highlight w:val="none"/>
                <w:lang w:val="en-US" w:eastAsia="zh-CN"/>
              </w:rPr>
              <w:t>社保编号</w:t>
            </w:r>
          </w:p>
        </w:tc>
      </w:tr>
      <w:tr w14:paraId="332BA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24E3474F">
            <w:pPr>
              <w:snapToGrid w:val="0"/>
              <w:spacing w:before="50" w:after="120" w:afterLines="50"/>
              <w:jc w:val="center"/>
              <w:rPr>
                <w:rFonts w:hint="eastAsia" w:hAnsi="宋体"/>
                <w:sz w:val="24"/>
                <w:szCs w:val="20"/>
                <w:highlight w:val="none"/>
              </w:rPr>
            </w:pPr>
          </w:p>
        </w:tc>
        <w:tc>
          <w:tcPr>
            <w:tcW w:w="774" w:type="dxa"/>
            <w:noWrap w:val="0"/>
            <w:vAlign w:val="center"/>
          </w:tcPr>
          <w:p w14:paraId="0175D8C3">
            <w:pPr>
              <w:snapToGrid w:val="0"/>
              <w:spacing w:before="50" w:after="120" w:afterLines="50"/>
              <w:jc w:val="center"/>
              <w:rPr>
                <w:rFonts w:hint="eastAsia" w:hAnsi="宋体"/>
                <w:sz w:val="24"/>
                <w:szCs w:val="20"/>
                <w:highlight w:val="none"/>
              </w:rPr>
            </w:pPr>
          </w:p>
        </w:tc>
        <w:tc>
          <w:tcPr>
            <w:tcW w:w="1857" w:type="dxa"/>
            <w:noWrap w:val="0"/>
            <w:vAlign w:val="center"/>
          </w:tcPr>
          <w:p w14:paraId="1B091DE9">
            <w:pPr>
              <w:snapToGrid w:val="0"/>
              <w:spacing w:before="50" w:after="120" w:afterLines="50"/>
              <w:jc w:val="center"/>
              <w:rPr>
                <w:rFonts w:hint="eastAsia" w:hAnsi="宋体"/>
                <w:sz w:val="24"/>
                <w:szCs w:val="20"/>
                <w:highlight w:val="none"/>
              </w:rPr>
            </w:pPr>
          </w:p>
        </w:tc>
        <w:tc>
          <w:tcPr>
            <w:tcW w:w="1551" w:type="dxa"/>
            <w:noWrap w:val="0"/>
            <w:vAlign w:val="center"/>
          </w:tcPr>
          <w:p w14:paraId="2243DC2D">
            <w:pPr>
              <w:snapToGrid w:val="0"/>
              <w:spacing w:before="50" w:after="120" w:afterLines="50"/>
              <w:jc w:val="center"/>
              <w:rPr>
                <w:rFonts w:hint="eastAsia" w:hAnsi="宋体"/>
                <w:sz w:val="24"/>
                <w:szCs w:val="20"/>
                <w:highlight w:val="none"/>
              </w:rPr>
            </w:pPr>
          </w:p>
        </w:tc>
        <w:tc>
          <w:tcPr>
            <w:tcW w:w="1854" w:type="dxa"/>
            <w:noWrap w:val="0"/>
            <w:vAlign w:val="center"/>
          </w:tcPr>
          <w:p w14:paraId="260201C3">
            <w:pPr>
              <w:snapToGrid w:val="0"/>
              <w:spacing w:before="50" w:after="120" w:afterLines="50"/>
              <w:jc w:val="center"/>
              <w:rPr>
                <w:rFonts w:hint="eastAsia" w:hAnsi="宋体"/>
                <w:sz w:val="24"/>
                <w:szCs w:val="20"/>
                <w:highlight w:val="none"/>
              </w:rPr>
            </w:pPr>
          </w:p>
        </w:tc>
        <w:tc>
          <w:tcPr>
            <w:tcW w:w="2012" w:type="dxa"/>
            <w:noWrap w:val="0"/>
            <w:vAlign w:val="center"/>
          </w:tcPr>
          <w:p w14:paraId="331B1C47">
            <w:pPr>
              <w:snapToGrid w:val="0"/>
              <w:spacing w:before="50" w:after="120" w:afterLines="50"/>
              <w:jc w:val="center"/>
              <w:rPr>
                <w:rFonts w:hint="eastAsia" w:hAnsi="宋体"/>
                <w:sz w:val="24"/>
                <w:szCs w:val="20"/>
                <w:highlight w:val="none"/>
              </w:rPr>
            </w:pPr>
          </w:p>
        </w:tc>
      </w:tr>
      <w:tr w14:paraId="6D987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324139E2">
            <w:pPr>
              <w:snapToGrid w:val="0"/>
              <w:spacing w:before="50" w:after="120" w:afterLines="50"/>
              <w:jc w:val="center"/>
              <w:rPr>
                <w:rFonts w:hint="eastAsia" w:hAnsi="宋体"/>
                <w:sz w:val="24"/>
                <w:szCs w:val="20"/>
                <w:highlight w:val="none"/>
              </w:rPr>
            </w:pPr>
          </w:p>
        </w:tc>
        <w:tc>
          <w:tcPr>
            <w:tcW w:w="774" w:type="dxa"/>
            <w:noWrap w:val="0"/>
            <w:vAlign w:val="center"/>
          </w:tcPr>
          <w:p w14:paraId="6F26CC4C">
            <w:pPr>
              <w:snapToGrid w:val="0"/>
              <w:spacing w:before="50" w:after="120" w:afterLines="50"/>
              <w:jc w:val="center"/>
              <w:rPr>
                <w:rFonts w:hint="eastAsia" w:hAnsi="宋体"/>
                <w:sz w:val="24"/>
                <w:szCs w:val="20"/>
                <w:highlight w:val="none"/>
              </w:rPr>
            </w:pPr>
          </w:p>
        </w:tc>
        <w:tc>
          <w:tcPr>
            <w:tcW w:w="1857" w:type="dxa"/>
            <w:noWrap w:val="0"/>
            <w:vAlign w:val="center"/>
          </w:tcPr>
          <w:p w14:paraId="458B66FF">
            <w:pPr>
              <w:snapToGrid w:val="0"/>
              <w:spacing w:before="50" w:after="120" w:afterLines="50"/>
              <w:jc w:val="center"/>
              <w:rPr>
                <w:rFonts w:hint="eastAsia" w:hAnsi="宋体"/>
                <w:sz w:val="24"/>
                <w:szCs w:val="20"/>
                <w:highlight w:val="none"/>
              </w:rPr>
            </w:pPr>
          </w:p>
        </w:tc>
        <w:tc>
          <w:tcPr>
            <w:tcW w:w="1551" w:type="dxa"/>
            <w:noWrap w:val="0"/>
            <w:vAlign w:val="center"/>
          </w:tcPr>
          <w:p w14:paraId="3157DD6A">
            <w:pPr>
              <w:snapToGrid w:val="0"/>
              <w:spacing w:before="50" w:after="120" w:afterLines="50"/>
              <w:jc w:val="center"/>
              <w:rPr>
                <w:rFonts w:hint="eastAsia" w:hAnsi="宋体"/>
                <w:sz w:val="24"/>
                <w:szCs w:val="20"/>
                <w:highlight w:val="none"/>
              </w:rPr>
            </w:pPr>
          </w:p>
        </w:tc>
        <w:tc>
          <w:tcPr>
            <w:tcW w:w="1854" w:type="dxa"/>
            <w:noWrap w:val="0"/>
            <w:vAlign w:val="center"/>
          </w:tcPr>
          <w:p w14:paraId="7FCB36B7">
            <w:pPr>
              <w:snapToGrid w:val="0"/>
              <w:spacing w:before="50" w:after="120" w:afterLines="50"/>
              <w:jc w:val="center"/>
              <w:rPr>
                <w:rFonts w:hint="eastAsia" w:hAnsi="宋体"/>
                <w:sz w:val="24"/>
                <w:szCs w:val="20"/>
                <w:highlight w:val="none"/>
              </w:rPr>
            </w:pPr>
          </w:p>
        </w:tc>
        <w:tc>
          <w:tcPr>
            <w:tcW w:w="2012" w:type="dxa"/>
            <w:noWrap w:val="0"/>
            <w:vAlign w:val="center"/>
          </w:tcPr>
          <w:p w14:paraId="0A9C8B65">
            <w:pPr>
              <w:snapToGrid w:val="0"/>
              <w:spacing w:before="50" w:after="120" w:afterLines="50"/>
              <w:jc w:val="center"/>
              <w:rPr>
                <w:rFonts w:hint="eastAsia" w:hAnsi="宋体"/>
                <w:sz w:val="24"/>
                <w:szCs w:val="20"/>
                <w:highlight w:val="none"/>
              </w:rPr>
            </w:pPr>
          </w:p>
        </w:tc>
      </w:tr>
      <w:tr w14:paraId="7D9BA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3" w:type="dxa"/>
            <w:noWrap w:val="0"/>
            <w:vAlign w:val="center"/>
          </w:tcPr>
          <w:p w14:paraId="46EBEBAF">
            <w:pPr>
              <w:snapToGrid w:val="0"/>
              <w:spacing w:before="50" w:after="120" w:afterLines="50"/>
              <w:jc w:val="center"/>
              <w:rPr>
                <w:rFonts w:hint="eastAsia" w:hAnsi="宋体"/>
                <w:sz w:val="24"/>
                <w:szCs w:val="20"/>
                <w:highlight w:val="none"/>
              </w:rPr>
            </w:pPr>
          </w:p>
        </w:tc>
        <w:tc>
          <w:tcPr>
            <w:tcW w:w="774" w:type="dxa"/>
            <w:noWrap w:val="0"/>
            <w:vAlign w:val="center"/>
          </w:tcPr>
          <w:p w14:paraId="15C9456D">
            <w:pPr>
              <w:snapToGrid w:val="0"/>
              <w:spacing w:before="50" w:after="120" w:afterLines="50"/>
              <w:jc w:val="center"/>
              <w:rPr>
                <w:rFonts w:hint="eastAsia" w:hAnsi="宋体"/>
                <w:sz w:val="24"/>
                <w:szCs w:val="20"/>
                <w:highlight w:val="none"/>
              </w:rPr>
            </w:pPr>
          </w:p>
        </w:tc>
        <w:tc>
          <w:tcPr>
            <w:tcW w:w="1857" w:type="dxa"/>
            <w:noWrap w:val="0"/>
            <w:vAlign w:val="center"/>
          </w:tcPr>
          <w:p w14:paraId="1CF0DD4D">
            <w:pPr>
              <w:snapToGrid w:val="0"/>
              <w:spacing w:before="50" w:after="120" w:afterLines="50"/>
              <w:jc w:val="center"/>
              <w:rPr>
                <w:rFonts w:hint="eastAsia" w:hAnsi="宋体"/>
                <w:sz w:val="24"/>
                <w:szCs w:val="20"/>
                <w:highlight w:val="none"/>
              </w:rPr>
            </w:pPr>
          </w:p>
        </w:tc>
        <w:tc>
          <w:tcPr>
            <w:tcW w:w="1551" w:type="dxa"/>
            <w:noWrap w:val="0"/>
            <w:vAlign w:val="center"/>
          </w:tcPr>
          <w:p w14:paraId="5155F029">
            <w:pPr>
              <w:snapToGrid w:val="0"/>
              <w:spacing w:before="50" w:after="120" w:afterLines="50"/>
              <w:jc w:val="center"/>
              <w:rPr>
                <w:rFonts w:hint="eastAsia" w:hAnsi="宋体"/>
                <w:sz w:val="24"/>
                <w:szCs w:val="20"/>
                <w:highlight w:val="none"/>
              </w:rPr>
            </w:pPr>
          </w:p>
        </w:tc>
        <w:tc>
          <w:tcPr>
            <w:tcW w:w="1854" w:type="dxa"/>
            <w:noWrap w:val="0"/>
            <w:vAlign w:val="center"/>
          </w:tcPr>
          <w:p w14:paraId="2F1D8FE5">
            <w:pPr>
              <w:snapToGrid w:val="0"/>
              <w:spacing w:before="50" w:after="120" w:afterLines="50"/>
              <w:jc w:val="center"/>
              <w:rPr>
                <w:rFonts w:hint="eastAsia" w:hAnsi="宋体"/>
                <w:sz w:val="24"/>
                <w:szCs w:val="20"/>
                <w:highlight w:val="none"/>
              </w:rPr>
            </w:pPr>
          </w:p>
        </w:tc>
        <w:tc>
          <w:tcPr>
            <w:tcW w:w="2012" w:type="dxa"/>
            <w:noWrap w:val="0"/>
            <w:vAlign w:val="center"/>
          </w:tcPr>
          <w:p w14:paraId="23F945C8">
            <w:pPr>
              <w:snapToGrid w:val="0"/>
              <w:spacing w:before="50" w:after="120" w:afterLines="50"/>
              <w:jc w:val="center"/>
              <w:rPr>
                <w:rFonts w:hint="eastAsia" w:hAnsi="宋体"/>
                <w:sz w:val="24"/>
                <w:szCs w:val="20"/>
                <w:highlight w:val="none"/>
              </w:rPr>
            </w:pPr>
          </w:p>
        </w:tc>
      </w:tr>
    </w:tbl>
    <w:p w14:paraId="5631E284">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hint="eastAsia" w:ascii="宋体" w:hAnsi="宋体"/>
          <w:color w:val="auto"/>
          <w:sz w:val="21"/>
          <w:szCs w:val="21"/>
          <w:highlight w:val="none"/>
        </w:rPr>
      </w:pPr>
    </w:p>
    <w:p w14:paraId="55522BBD">
      <w:pPr>
        <w:keepNext w:val="0"/>
        <w:keepLines w:val="0"/>
        <w:pageBreakBefore w:val="0"/>
        <w:kinsoku/>
        <w:overflowPunct/>
        <w:topLinePunct w:val="0"/>
        <w:bidi w:val="0"/>
        <w:snapToGrid w:val="0"/>
        <w:spacing w:before="50" w:afterLines="50" w:line="360" w:lineRule="auto"/>
        <w:ind w:firstLine="420" w:firstLineChars="200"/>
        <w:jc w:val="left"/>
        <w:textAlignment w:val="auto"/>
        <w:rPr>
          <w:rFonts w:ascii="宋体" w:hAnsi="宋体"/>
          <w:color w:val="auto"/>
          <w:sz w:val="21"/>
          <w:szCs w:val="21"/>
          <w:highlight w:val="none"/>
        </w:rPr>
      </w:pPr>
      <w:r>
        <w:rPr>
          <w:rFonts w:hint="eastAsia" w:ascii="宋体" w:hAnsi="宋体"/>
          <w:color w:val="auto"/>
          <w:sz w:val="21"/>
          <w:szCs w:val="21"/>
          <w:highlight w:val="none"/>
        </w:rPr>
        <w:t>注：在填写时，如本表格不适合供应商的实际情况，可根据本表格式自行划表填写。</w:t>
      </w:r>
    </w:p>
    <w:p w14:paraId="51FBCA8A">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法定代表人或委托代理人（签字）:</w:t>
      </w:r>
      <w:r>
        <w:rPr>
          <w:rFonts w:hint="eastAsia" w:hAnsi="宋体"/>
          <w:color w:val="auto"/>
          <w:sz w:val="21"/>
          <w:szCs w:val="21"/>
          <w:highlight w:val="none"/>
          <w:u w:val="single"/>
        </w:rPr>
        <w:t xml:space="preserve">                      </w:t>
      </w:r>
    </w:p>
    <w:p w14:paraId="160448EA">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供应商名称（盖章）：</w:t>
      </w:r>
      <w:r>
        <w:rPr>
          <w:rFonts w:hint="eastAsia" w:hAnsi="宋体"/>
          <w:color w:val="auto"/>
          <w:sz w:val="21"/>
          <w:szCs w:val="21"/>
          <w:highlight w:val="none"/>
          <w:u w:val="single"/>
        </w:rPr>
        <w:t xml:space="preserve">                              </w:t>
      </w:r>
    </w:p>
    <w:p w14:paraId="4CE6033E">
      <w:pPr>
        <w:pStyle w:val="25"/>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日</w:t>
      </w:r>
    </w:p>
    <w:p w14:paraId="3A745E2B">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38D3885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DDC3FDE">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520F49F9">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727C3397">
      <w:pPr>
        <w:keepNext w:val="0"/>
        <w:keepLines w:val="0"/>
        <w:pageBreakBefore w:val="0"/>
        <w:kinsoku/>
        <w:overflowPunct/>
        <w:topLinePunct w:val="0"/>
        <w:bidi w:val="0"/>
        <w:spacing w:line="360" w:lineRule="auto"/>
        <w:textAlignment w:val="auto"/>
        <w:rPr>
          <w:rFonts w:hint="eastAsia" w:ascii="宋体" w:hAnsi="宋体"/>
          <w:b/>
          <w:bCs/>
          <w:color w:val="auto"/>
          <w:sz w:val="21"/>
          <w:szCs w:val="21"/>
          <w:highlight w:val="none"/>
          <w:lang w:eastAsia="zh-CN"/>
        </w:rPr>
      </w:pPr>
    </w:p>
    <w:p w14:paraId="002880DE">
      <w:pPr>
        <w:pStyle w:val="57"/>
        <w:rPr>
          <w:rFonts w:hint="eastAsia"/>
          <w:highlight w:val="none"/>
          <w:lang w:eastAsia="zh-CN"/>
        </w:rPr>
      </w:pPr>
    </w:p>
    <w:p w14:paraId="592DB7BA">
      <w:pPr>
        <w:rPr>
          <w:rFonts w:hint="eastAsia"/>
          <w:highlight w:val="none"/>
          <w:lang w:eastAsia="zh-CN"/>
        </w:rPr>
      </w:pPr>
    </w:p>
    <w:p w14:paraId="7207516B">
      <w:pPr>
        <w:pStyle w:val="57"/>
        <w:rPr>
          <w:rFonts w:hint="eastAsia"/>
          <w:highlight w:val="none"/>
          <w:lang w:eastAsia="zh-CN"/>
        </w:rPr>
      </w:pPr>
    </w:p>
    <w:p w14:paraId="5DE7385D">
      <w:pPr>
        <w:rPr>
          <w:rFonts w:hint="eastAsia"/>
          <w:highlight w:val="none"/>
          <w:lang w:eastAsia="zh-CN"/>
        </w:rPr>
      </w:pPr>
    </w:p>
    <w:p w14:paraId="53A5E299">
      <w:pPr>
        <w:pStyle w:val="57"/>
        <w:rPr>
          <w:rFonts w:hint="eastAsia"/>
          <w:highlight w:val="none"/>
          <w:lang w:eastAsia="zh-CN"/>
        </w:rPr>
      </w:pPr>
    </w:p>
    <w:p w14:paraId="5C1E6A2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eastAsia="zh-CN"/>
        </w:rPr>
      </w:pPr>
      <w:r>
        <w:rPr>
          <w:rFonts w:hint="eastAsia" w:ascii="宋体" w:hAnsi="宋体"/>
          <w:b/>
          <w:bCs/>
          <w:color w:val="auto"/>
          <w:sz w:val="21"/>
          <w:szCs w:val="21"/>
          <w:highlight w:val="none"/>
          <w:lang w:val="en-US" w:eastAsia="zh-CN"/>
        </w:rPr>
        <w:t>（9）业绩材料，供应商认为可以证明其能力或业绩的材料</w:t>
      </w:r>
      <w:r>
        <w:rPr>
          <w:rFonts w:hint="eastAsia" w:ascii="宋体" w:hAnsi="宋体"/>
          <w:b/>
          <w:bCs/>
          <w:color w:val="auto"/>
          <w:sz w:val="21"/>
          <w:szCs w:val="21"/>
          <w:highlight w:val="none"/>
          <w:lang w:eastAsia="zh-CN"/>
        </w:rPr>
        <w:t>。</w:t>
      </w:r>
    </w:p>
    <w:p w14:paraId="38786EC4">
      <w:pPr>
        <w:widowControl/>
        <w:snapToGrid w:val="0"/>
        <w:spacing w:before="50" w:after="50"/>
        <w:jc w:val="center"/>
        <w:rPr>
          <w:rFonts w:hAnsi="宋体" w:cs="方正小标宋简体"/>
          <w:b/>
          <w:sz w:val="32"/>
          <w:szCs w:val="32"/>
          <w:highlight w:val="none"/>
        </w:rPr>
      </w:pPr>
      <w:r>
        <w:rPr>
          <w:rFonts w:hint="eastAsia" w:hAnsi="宋体" w:cs="方正小标宋简体"/>
          <w:b/>
          <w:sz w:val="32"/>
          <w:szCs w:val="32"/>
          <w:highlight w:val="none"/>
        </w:rPr>
        <w:t>业绩情况一览表</w:t>
      </w:r>
    </w:p>
    <w:p w14:paraId="670B2593">
      <w:pPr>
        <w:rPr>
          <w:rFonts w:hint="eastAsia"/>
          <w:highlight w:val="none"/>
        </w:rPr>
      </w:pPr>
    </w:p>
    <w:tbl>
      <w:tblPr>
        <w:tblStyle w:val="48"/>
        <w:tblW w:w="871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5"/>
        <w:gridCol w:w="2219"/>
        <w:gridCol w:w="2677"/>
        <w:gridCol w:w="1622"/>
        <w:gridCol w:w="1473"/>
      </w:tblGrid>
      <w:tr w14:paraId="000F9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2"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220A01D">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序号</w:t>
            </w:r>
          </w:p>
        </w:tc>
        <w:tc>
          <w:tcPr>
            <w:tcW w:w="2219" w:type="dxa"/>
            <w:tcBorders>
              <w:top w:val="single" w:color="auto" w:sz="4" w:space="0"/>
              <w:left w:val="single" w:color="auto" w:sz="4" w:space="0"/>
              <w:bottom w:val="single" w:color="auto" w:sz="4" w:space="0"/>
              <w:right w:val="single" w:color="auto" w:sz="4" w:space="0"/>
            </w:tcBorders>
            <w:noWrap w:val="0"/>
            <w:vAlign w:val="center"/>
          </w:tcPr>
          <w:p w14:paraId="6D9FA7E4">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rPr>
              <w:t>采购人名称</w:t>
            </w:r>
          </w:p>
        </w:tc>
        <w:tc>
          <w:tcPr>
            <w:tcW w:w="2677" w:type="dxa"/>
            <w:tcBorders>
              <w:top w:val="single" w:color="auto" w:sz="4" w:space="0"/>
              <w:left w:val="single" w:color="auto" w:sz="4" w:space="0"/>
              <w:right w:val="single" w:color="auto" w:sz="4" w:space="0"/>
            </w:tcBorders>
            <w:noWrap w:val="0"/>
            <w:vAlign w:val="center"/>
          </w:tcPr>
          <w:p w14:paraId="06218354">
            <w:pPr>
              <w:snapToGrid w:val="0"/>
              <w:jc w:val="center"/>
              <w:rPr>
                <w:rFonts w:hint="default" w:ascii="黑体" w:hAnsi="黑体" w:eastAsia="黑体" w:cs="黑体"/>
                <w:b/>
                <w:bCs/>
                <w:sz w:val="21"/>
                <w:szCs w:val="21"/>
                <w:highlight w:val="none"/>
                <w:lang w:val="en-US" w:eastAsia="zh-CN"/>
              </w:rPr>
            </w:pPr>
            <w:r>
              <w:rPr>
                <w:rFonts w:hint="eastAsia" w:ascii="黑体" w:hAnsi="黑体" w:eastAsia="黑体" w:cs="黑体"/>
                <w:b/>
                <w:bCs/>
                <w:sz w:val="21"/>
                <w:szCs w:val="21"/>
                <w:highlight w:val="none"/>
                <w:lang w:val="en-US" w:eastAsia="zh-CN"/>
              </w:rPr>
              <w:t>成交标的</w:t>
            </w:r>
            <w:r>
              <w:rPr>
                <w:rFonts w:hint="eastAsia" w:ascii="黑体" w:hAnsi="黑体" w:eastAsia="黑体" w:cs="黑体"/>
                <w:b/>
                <w:bCs/>
                <w:sz w:val="21"/>
                <w:szCs w:val="21"/>
                <w:highlight w:val="none"/>
              </w:rPr>
              <w:t>名称</w:t>
            </w:r>
          </w:p>
        </w:tc>
        <w:tc>
          <w:tcPr>
            <w:tcW w:w="1622" w:type="dxa"/>
            <w:tcBorders>
              <w:top w:val="single" w:color="auto" w:sz="4" w:space="0"/>
              <w:left w:val="single" w:color="auto" w:sz="4" w:space="0"/>
              <w:bottom w:val="single" w:color="auto" w:sz="4" w:space="0"/>
              <w:right w:val="single" w:color="auto" w:sz="4" w:space="0"/>
            </w:tcBorders>
            <w:noWrap w:val="0"/>
            <w:vAlign w:val="center"/>
          </w:tcPr>
          <w:p w14:paraId="44E37739">
            <w:pPr>
              <w:snapToGrid w:val="0"/>
              <w:jc w:val="center"/>
              <w:rPr>
                <w:rFonts w:hint="eastAsia" w:ascii="黑体" w:hAnsi="黑体" w:eastAsia="黑体" w:cs="黑体"/>
                <w:b/>
                <w:bCs/>
                <w:sz w:val="21"/>
                <w:szCs w:val="21"/>
                <w:highlight w:val="none"/>
              </w:rPr>
            </w:pPr>
            <w:r>
              <w:rPr>
                <w:rFonts w:hint="eastAsia" w:ascii="黑体" w:hAnsi="黑体" w:eastAsia="黑体" w:cs="黑体"/>
                <w:b/>
                <w:bCs/>
                <w:sz w:val="21"/>
                <w:szCs w:val="21"/>
                <w:highlight w:val="none"/>
                <w:lang w:val="en-US" w:eastAsia="zh-CN"/>
              </w:rPr>
              <w:t>成交日期</w:t>
            </w:r>
          </w:p>
        </w:tc>
        <w:tc>
          <w:tcPr>
            <w:tcW w:w="1473" w:type="dxa"/>
            <w:tcBorders>
              <w:top w:val="single" w:color="auto" w:sz="4" w:space="0"/>
              <w:left w:val="single" w:color="auto" w:sz="4" w:space="0"/>
              <w:bottom w:val="single" w:color="auto" w:sz="4" w:space="0"/>
              <w:right w:val="single" w:color="auto" w:sz="4" w:space="0"/>
            </w:tcBorders>
            <w:noWrap w:val="0"/>
            <w:vAlign w:val="center"/>
          </w:tcPr>
          <w:p w14:paraId="11B7A9B3">
            <w:pPr>
              <w:snapToGrid w:val="0"/>
              <w:jc w:val="center"/>
              <w:rPr>
                <w:rFonts w:hint="eastAsia" w:ascii="黑体" w:hAnsi="黑体" w:eastAsia="黑体" w:cs="黑体"/>
                <w:b/>
                <w:bCs/>
                <w:sz w:val="21"/>
                <w:szCs w:val="21"/>
                <w:highlight w:val="none"/>
                <w:lang w:eastAsia="zh-CN"/>
              </w:rPr>
            </w:pPr>
            <w:r>
              <w:rPr>
                <w:rFonts w:hint="eastAsia" w:ascii="黑体" w:hAnsi="黑体" w:eastAsia="黑体" w:cs="黑体"/>
                <w:b/>
                <w:bCs/>
                <w:sz w:val="21"/>
                <w:szCs w:val="21"/>
                <w:highlight w:val="none"/>
                <w:lang w:val="en-US" w:eastAsia="zh-CN"/>
              </w:rPr>
              <w:t>备注</w:t>
            </w:r>
          </w:p>
        </w:tc>
      </w:tr>
      <w:tr w14:paraId="6C51E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3CE7FB5">
            <w:pPr>
              <w:snapToGrid w:val="0"/>
              <w:jc w:val="center"/>
              <w:rPr>
                <w:rFonts w:hint="eastAsia" w:hAnsi="宋体" w:eastAsia="宋体"/>
                <w:sz w:val="24"/>
                <w:highlight w:val="none"/>
                <w:lang w:val="en-US" w:eastAsia="zh-CN"/>
              </w:rPr>
            </w:pPr>
            <w:r>
              <w:rPr>
                <w:rFonts w:hint="eastAsia" w:hAnsi="宋体"/>
                <w:sz w:val="24"/>
                <w:highlight w:val="none"/>
                <w:lang w:val="en-US" w:eastAsia="zh-CN"/>
              </w:rPr>
              <w:t>1</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841EC44">
            <w:pPr>
              <w:snapToGrid w:val="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6CD3850">
            <w:pPr>
              <w:snapToGrid w:val="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1C70BFD">
            <w:pPr>
              <w:snapToGrid w:val="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3FD3A237">
            <w:pPr>
              <w:snapToGrid w:val="0"/>
              <w:rPr>
                <w:rFonts w:hint="eastAsia" w:hAnsi="宋体"/>
                <w:sz w:val="24"/>
                <w:highlight w:val="none"/>
              </w:rPr>
            </w:pPr>
          </w:p>
        </w:tc>
      </w:tr>
      <w:tr w14:paraId="14E326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6"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CE5C591">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2</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1D290F1E">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4F2344B1">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C37A70A">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3351410">
            <w:pPr>
              <w:snapToGrid w:val="0"/>
              <w:spacing w:before="50" w:after="120" w:afterLines="50"/>
              <w:rPr>
                <w:rFonts w:hint="eastAsia" w:hAnsi="宋体"/>
                <w:sz w:val="24"/>
                <w:highlight w:val="none"/>
              </w:rPr>
            </w:pPr>
          </w:p>
        </w:tc>
      </w:tr>
      <w:tr w14:paraId="6D51E6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0376D052">
            <w:pPr>
              <w:snapToGrid w:val="0"/>
              <w:spacing w:before="50" w:after="120" w:afterLines="50"/>
              <w:jc w:val="center"/>
              <w:rPr>
                <w:rFonts w:hint="eastAsia" w:hAnsi="宋体" w:eastAsia="宋体"/>
                <w:sz w:val="24"/>
                <w:highlight w:val="none"/>
                <w:lang w:val="en-US" w:eastAsia="zh-CN"/>
              </w:rPr>
            </w:pPr>
            <w:r>
              <w:rPr>
                <w:rFonts w:hint="eastAsia" w:hAnsi="宋体"/>
                <w:sz w:val="24"/>
                <w:highlight w:val="none"/>
                <w:lang w:val="en-US" w:eastAsia="zh-CN"/>
              </w:rPr>
              <w:t>3</w:t>
            </w:r>
          </w:p>
        </w:tc>
        <w:tc>
          <w:tcPr>
            <w:tcW w:w="2219" w:type="dxa"/>
            <w:tcBorders>
              <w:top w:val="single" w:color="auto" w:sz="4" w:space="0"/>
              <w:left w:val="single" w:color="auto" w:sz="4" w:space="0"/>
              <w:bottom w:val="single" w:color="auto" w:sz="4" w:space="0"/>
              <w:right w:val="single" w:color="auto" w:sz="4" w:space="0"/>
            </w:tcBorders>
            <w:noWrap w:val="0"/>
            <w:vAlign w:val="top"/>
          </w:tcPr>
          <w:p w14:paraId="6377F9B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6DFCF6F">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11EEE69E">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10818052">
            <w:pPr>
              <w:snapToGrid w:val="0"/>
              <w:spacing w:before="50" w:after="120" w:afterLines="50"/>
              <w:rPr>
                <w:rFonts w:hint="eastAsia" w:hAnsi="宋体"/>
                <w:sz w:val="24"/>
                <w:highlight w:val="none"/>
              </w:rPr>
            </w:pPr>
          </w:p>
        </w:tc>
      </w:tr>
      <w:tr w14:paraId="4EA03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310A3973">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2877EC6D">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3C205B0B">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23181026">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51274B4C">
            <w:pPr>
              <w:snapToGrid w:val="0"/>
              <w:spacing w:before="50" w:after="120" w:afterLines="50"/>
              <w:rPr>
                <w:rFonts w:hint="eastAsia" w:hAnsi="宋体"/>
                <w:sz w:val="24"/>
                <w:highlight w:val="none"/>
              </w:rPr>
            </w:pPr>
          </w:p>
        </w:tc>
      </w:tr>
      <w:tr w14:paraId="458E96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25" w:type="dxa"/>
            <w:tcBorders>
              <w:top w:val="single" w:color="auto" w:sz="4" w:space="0"/>
              <w:left w:val="single" w:color="auto" w:sz="4" w:space="0"/>
              <w:bottom w:val="single" w:color="auto" w:sz="4" w:space="0"/>
              <w:right w:val="single" w:color="auto" w:sz="4" w:space="0"/>
            </w:tcBorders>
            <w:noWrap w:val="0"/>
            <w:vAlign w:val="center"/>
          </w:tcPr>
          <w:p w14:paraId="18167D74">
            <w:pPr>
              <w:snapToGrid w:val="0"/>
              <w:spacing w:before="50" w:after="120" w:afterLines="50"/>
              <w:jc w:val="center"/>
              <w:rPr>
                <w:rFonts w:hint="eastAsia" w:hAnsi="宋体"/>
                <w:sz w:val="24"/>
                <w:highlight w:val="none"/>
              </w:rPr>
            </w:pPr>
          </w:p>
        </w:tc>
        <w:tc>
          <w:tcPr>
            <w:tcW w:w="2219" w:type="dxa"/>
            <w:tcBorders>
              <w:top w:val="single" w:color="auto" w:sz="4" w:space="0"/>
              <w:left w:val="single" w:color="auto" w:sz="4" w:space="0"/>
              <w:bottom w:val="single" w:color="auto" w:sz="4" w:space="0"/>
              <w:right w:val="single" w:color="auto" w:sz="4" w:space="0"/>
            </w:tcBorders>
            <w:noWrap w:val="0"/>
            <w:vAlign w:val="top"/>
          </w:tcPr>
          <w:p w14:paraId="4E5FE4AC">
            <w:pPr>
              <w:snapToGrid w:val="0"/>
              <w:spacing w:before="50" w:after="120" w:afterLines="50"/>
              <w:rPr>
                <w:rFonts w:hint="eastAsia" w:hAnsi="宋体"/>
                <w:sz w:val="24"/>
                <w:highlight w:val="none"/>
              </w:rPr>
            </w:pPr>
          </w:p>
        </w:tc>
        <w:tc>
          <w:tcPr>
            <w:tcW w:w="2677" w:type="dxa"/>
            <w:tcBorders>
              <w:top w:val="single" w:color="auto" w:sz="4" w:space="0"/>
              <w:left w:val="single" w:color="auto" w:sz="4" w:space="0"/>
              <w:bottom w:val="single" w:color="auto" w:sz="4" w:space="0"/>
              <w:right w:val="single" w:color="auto" w:sz="4" w:space="0"/>
            </w:tcBorders>
            <w:noWrap w:val="0"/>
            <w:vAlign w:val="top"/>
          </w:tcPr>
          <w:p w14:paraId="1DD5B538">
            <w:pPr>
              <w:snapToGrid w:val="0"/>
              <w:spacing w:before="50" w:after="120" w:afterLines="50"/>
              <w:rPr>
                <w:rFonts w:hint="eastAsia" w:hAnsi="宋体"/>
                <w:sz w:val="24"/>
                <w:highlight w:val="none"/>
              </w:rPr>
            </w:pPr>
          </w:p>
        </w:tc>
        <w:tc>
          <w:tcPr>
            <w:tcW w:w="1622" w:type="dxa"/>
            <w:tcBorders>
              <w:top w:val="single" w:color="auto" w:sz="4" w:space="0"/>
              <w:left w:val="single" w:color="auto" w:sz="4" w:space="0"/>
              <w:bottom w:val="single" w:color="auto" w:sz="4" w:space="0"/>
              <w:right w:val="single" w:color="auto" w:sz="4" w:space="0"/>
            </w:tcBorders>
            <w:noWrap w:val="0"/>
            <w:vAlign w:val="top"/>
          </w:tcPr>
          <w:p w14:paraId="7A07CA32">
            <w:pPr>
              <w:snapToGrid w:val="0"/>
              <w:spacing w:before="50" w:after="120" w:afterLines="50"/>
              <w:rPr>
                <w:rFonts w:hint="eastAsia" w:hAnsi="宋体"/>
                <w:sz w:val="24"/>
                <w:highlight w:val="none"/>
              </w:rPr>
            </w:pPr>
          </w:p>
        </w:tc>
        <w:tc>
          <w:tcPr>
            <w:tcW w:w="1473" w:type="dxa"/>
            <w:tcBorders>
              <w:top w:val="single" w:color="auto" w:sz="4" w:space="0"/>
              <w:left w:val="single" w:color="auto" w:sz="4" w:space="0"/>
              <w:bottom w:val="single" w:color="auto" w:sz="4" w:space="0"/>
              <w:right w:val="single" w:color="auto" w:sz="4" w:space="0"/>
            </w:tcBorders>
            <w:noWrap w:val="0"/>
            <w:vAlign w:val="top"/>
          </w:tcPr>
          <w:p w14:paraId="0518937E">
            <w:pPr>
              <w:snapToGrid w:val="0"/>
              <w:spacing w:before="50" w:after="120" w:afterLines="50"/>
              <w:rPr>
                <w:rFonts w:hint="eastAsia" w:hAnsi="宋体"/>
                <w:sz w:val="24"/>
                <w:highlight w:val="none"/>
              </w:rPr>
            </w:pPr>
          </w:p>
        </w:tc>
      </w:tr>
    </w:tbl>
    <w:p w14:paraId="79870FEC">
      <w:pPr>
        <w:pStyle w:val="14"/>
        <w:spacing w:before="0" w:after="0"/>
        <w:contextualSpacing/>
        <w:rPr>
          <w:rFonts w:hint="eastAsia" w:ascii="宋体" w:hAnsi="宋体" w:eastAsia="宋体"/>
          <w:sz w:val="24"/>
          <w:szCs w:val="24"/>
          <w:highlight w:val="none"/>
        </w:rPr>
      </w:pPr>
      <w:r>
        <w:rPr>
          <w:rFonts w:hint="eastAsia" w:ascii="宋体" w:hAnsi="宋体" w:eastAsia="宋体"/>
          <w:sz w:val="24"/>
          <w:szCs w:val="24"/>
          <w:highlight w:val="none"/>
        </w:rPr>
        <w:t>注：</w:t>
      </w:r>
      <w:r>
        <w:rPr>
          <w:rFonts w:hint="eastAsia" w:ascii="宋体" w:hAnsi="宋体" w:eastAsia="宋体"/>
          <w:sz w:val="24"/>
          <w:highlight w:val="none"/>
        </w:rPr>
        <w:t>投标人根据评标标准具体要求附业绩证明材料。</w:t>
      </w:r>
    </w:p>
    <w:p w14:paraId="24342B12">
      <w:pPr>
        <w:pStyle w:val="14"/>
        <w:spacing w:before="0" w:after="0"/>
        <w:contextualSpacing/>
        <w:rPr>
          <w:rFonts w:ascii="宋体" w:hAnsi="宋体" w:eastAsia="宋体"/>
          <w:sz w:val="24"/>
          <w:szCs w:val="24"/>
          <w:highlight w:val="none"/>
        </w:rPr>
      </w:pPr>
    </w:p>
    <w:p w14:paraId="024EDE8B">
      <w:pPr>
        <w:pStyle w:val="25"/>
        <w:snapToGrid w:val="0"/>
        <w:spacing w:line="600" w:lineRule="auto"/>
        <w:jc w:val="center"/>
        <w:rPr>
          <w:rFonts w:hint="eastAsia" w:hAnsi="宋体"/>
          <w:sz w:val="24"/>
          <w:highlight w:val="none"/>
        </w:rPr>
      </w:pPr>
    </w:p>
    <w:p w14:paraId="7FE3B088">
      <w:pPr>
        <w:pStyle w:val="25"/>
        <w:snapToGrid w:val="0"/>
        <w:spacing w:line="600" w:lineRule="auto"/>
        <w:jc w:val="center"/>
        <w:rPr>
          <w:rFonts w:hint="eastAsia" w:hAnsi="宋体"/>
          <w:sz w:val="24"/>
          <w:szCs w:val="24"/>
          <w:highlight w:val="none"/>
          <w:u w:val="single"/>
        </w:rPr>
      </w:pPr>
      <w:r>
        <w:rPr>
          <w:rFonts w:hint="eastAsia" w:hAnsi="宋体"/>
          <w:sz w:val="24"/>
          <w:highlight w:val="none"/>
        </w:rPr>
        <w:t>投标人名称（</w:t>
      </w:r>
      <w:r>
        <w:rPr>
          <w:rFonts w:hint="eastAsia" w:hAnsi="宋体"/>
          <w:b/>
          <w:bCs/>
          <w:sz w:val="24"/>
          <w:highlight w:val="none"/>
          <w:lang w:val="en-US" w:eastAsia="zh-CN"/>
        </w:rPr>
        <w:t>公章</w:t>
      </w:r>
      <w:r>
        <w:rPr>
          <w:rFonts w:hint="eastAsia" w:hAnsi="宋体"/>
          <w:sz w:val="24"/>
          <w:highlight w:val="none"/>
        </w:rPr>
        <w:t>）：</w:t>
      </w:r>
      <w:r>
        <w:rPr>
          <w:rFonts w:hint="eastAsia" w:hAnsi="宋体"/>
          <w:sz w:val="24"/>
          <w:highlight w:val="none"/>
          <w:u w:val="single"/>
          <w:lang w:val="en-US" w:eastAsia="zh-CN"/>
        </w:rPr>
        <w:t xml:space="preserve">    </w:t>
      </w:r>
      <w:r>
        <w:rPr>
          <w:rFonts w:hAnsi="宋体"/>
          <w:sz w:val="24"/>
          <w:highlight w:val="none"/>
          <w:u w:val="single"/>
        </w:rPr>
        <w:t xml:space="preserve">    </w:t>
      </w:r>
      <w:r>
        <w:rPr>
          <w:rFonts w:hint="eastAsia" w:hAnsi="宋体"/>
          <w:sz w:val="24"/>
          <w:highlight w:val="none"/>
          <w:u w:val="single"/>
          <w:lang w:val="en-US" w:eastAsia="zh-CN"/>
        </w:rPr>
        <w:t xml:space="preserve">              </w:t>
      </w:r>
      <w:r>
        <w:rPr>
          <w:rFonts w:hAnsi="宋体"/>
          <w:sz w:val="24"/>
          <w:highlight w:val="none"/>
          <w:u w:val="single"/>
        </w:rPr>
        <w:t xml:space="preserve">  </w:t>
      </w:r>
    </w:p>
    <w:p w14:paraId="6A8473EC">
      <w:pPr>
        <w:pStyle w:val="25"/>
        <w:snapToGrid w:val="0"/>
        <w:spacing w:line="600" w:lineRule="auto"/>
        <w:jc w:val="right"/>
        <w:rPr>
          <w:rFonts w:hint="eastAsia" w:hAnsi="宋体"/>
          <w:sz w:val="24"/>
          <w:szCs w:val="24"/>
          <w:highlight w:val="none"/>
        </w:rPr>
      </w:pPr>
      <w:r>
        <w:rPr>
          <w:rFonts w:hint="eastAsia" w:hAnsi="宋体"/>
          <w:sz w:val="24"/>
          <w:szCs w:val="24"/>
          <w:highlight w:val="none"/>
          <w:u w:val="single"/>
        </w:rPr>
        <w:t xml:space="preserve">    </w:t>
      </w:r>
      <w:r>
        <w:rPr>
          <w:rFonts w:hint="eastAsia" w:hAnsi="宋体"/>
          <w:sz w:val="24"/>
          <w:szCs w:val="24"/>
          <w:highlight w:val="none"/>
        </w:rPr>
        <w:t>年</w:t>
      </w:r>
      <w:r>
        <w:rPr>
          <w:rFonts w:hint="eastAsia" w:hAnsi="宋体"/>
          <w:sz w:val="24"/>
          <w:szCs w:val="24"/>
          <w:highlight w:val="none"/>
          <w:u w:val="single"/>
        </w:rPr>
        <w:t xml:space="preserve">    </w:t>
      </w:r>
      <w:r>
        <w:rPr>
          <w:rFonts w:hint="eastAsia" w:hAnsi="宋体"/>
          <w:sz w:val="24"/>
          <w:szCs w:val="24"/>
          <w:highlight w:val="none"/>
        </w:rPr>
        <w:t>月</w:t>
      </w:r>
      <w:r>
        <w:rPr>
          <w:rFonts w:hint="eastAsia" w:hAnsi="宋体"/>
          <w:sz w:val="24"/>
          <w:szCs w:val="24"/>
          <w:highlight w:val="none"/>
          <w:u w:val="single"/>
        </w:rPr>
        <w:t xml:space="preserve">    </w:t>
      </w:r>
      <w:r>
        <w:rPr>
          <w:rFonts w:hint="eastAsia" w:hAnsi="宋体"/>
          <w:sz w:val="24"/>
          <w:szCs w:val="24"/>
          <w:highlight w:val="none"/>
        </w:rPr>
        <w:t>日</w:t>
      </w:r>
    </w:p>
    <w:p w14:paraId="2DC694A0">
      <w:pPr>
        <w:snapToGrid w:val="0"/>
        <w:spacing w:before="120" w:beforeLines="50"/>
        <w:rPr>
          <w:rFonts w:hAnsi="宋体"/>
          <w:sz w:val="24"/>
          <w:szCs w:val="20"/>
          <w:highlight w:val="none"/>
        </w:rPr>
        <w:sectPr>
          <w:headerReference r:id="rId3" w:type="default"/>
          <w:footerReference r:id="rId4" w:type="default"/>
          <w:pgSz w:w="11906" w:h="16838"/>
          <w:pgMar w:top="1440" w:right="1797" w:bottom="1440" w:left="1797" w:header="851" w:footer="992" w:gutter="0"/>
          <w:pgNumType w:fmt="decimal"/>
          <w:cols w:space="720" w:num="1"/>
          <w:docGrid w:linePitch="312" w:charSpace="0"/>
        </w:sectPr>
      </w:pPr>
    </w:p>
    <w:p w14:paraId="1F45D32D">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r>
        <w:rPr>
          <w:rFonts w:hint="eastAsia" w:ascii="宋体" w:hAnsi="宋体" w:cs="Times New Roman"/>
          <w:b/>
          <w:bCs/>
          <w:color w:val="auto"/>
          <w:sz w:val="21"/>
          <w:szCs w:val="21"/>
          <w:highlight w:val="none"/>
          <w:lang w:val="en-US" w:eastAsia="zh-CN"/>
        </w:rPr>
        <w:t>（10）所获荣誉相应证明材料（格式目录自拟）</w:t>
      </w:r>
    </w:p>
    <w:p w14:paraId="7A2A6BAB">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p>
    <w:p w14:paraId="63DF5140">
      <w:pPr>
        <w:keepNext w:val="0"/>
        <w:keepLines w:val="0"/>
        <w:pageBreakBefore w:val="0"/>
        <w:numPr>
          <w:ilvl w:val="0"/>
          <w:numId w:val="0"/>
        </w:numPr>
        <w:kinsoku/>
        <w:overflowPunct/>
        <w:topLinePunct w:val="0"/>
        <w:bidi w:val="0"/>
        <w:spacing w:line="360" w:lineRule="auto"/>
        <w:textAlignment w:val="auto"/>
        <w:rPr>
          <w:rFonts w:hint="eastAsia" w:ascii="宋体" w:hAnsi="宋体" w:cs="Times New Roman"/>
          <w:b/>
          <w:bCs/>
          <w:color w:val="auto"/>
          <w:sz w:val="21"/>
          <w:szCs w:val="21"/>
          <w:highlight w:val="none"/>
          <w:lang w:val="en-US" w:eastAsia="zh-CN"/>
        </w:rPr>
      </w:pPr>
      <w:r>
        <w:rPr>
          <w:rFonts w:hint="eastAsia" w:ascii="宋体" w:hAnsi="宋体" w:cs="Times New Roman"/>
          <w:b/>
          <w:bCs/>
          <w:color w:val="auto"/>
          <w:sz w:val="21"/>
          <w:szCs w:val="21"/>
          <w:highlight w:val="none"/>
          <w:lang w:val="en-US" w:eastAsia="zh-CN"/>
        </w:rPr>
        <w:t>（11）供应商认为其他需要提供的证明其履约能力和满足“采购需求”的相关材料。</w:t>
      </w:r>
    </w:p>
    <w:p w14:paraId="71048FAD">
      <w:pPr>
        <w:pStyle w:val="57"/>
        <w:numPr>
          <w:ilvl w:val="0"/>
          <w:numId w:val="0"/>
        </w:numPr>
        <w:rPr>
          <w:rFonts w:hint="eastAsia"/>
          <w:highlight w:val="none"/>
          <w:lang w:eastAsia="zh-CN"/>
        </w:rPr>
      </w:pPr>
    </w:p>
    <w:p w14:paraId="406AB1D0">
      <w:pPr>
        <w:rPr>
          <w:rFonts w:hint="eastAsia" w:ascii="宋体" w:hAnsi="宋体"/>
          <w:b/>
          <w:color w:val="auto"/>
          <w:sz w:val="32"/>
          <w:szCs w:val="32"/>
          <w:highlight w:val="none"/>
        </w:rPr>
      </w:pPr>
    </w:p>
    <w:sectPr>
      <w:footerReference r:id="rId5" w:type="default"/>
      <w:pgSz w:w="11906" w:h="16838"/>
      <w:pgMar w:top="1134" w:right="1134" w:bottom="1134" w:left="1134" w:header="709" w:footer="709" w:gutter="0"/>
      <w:pgNumType w:fmt="decimal"/>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Microsoft YaHei UI"/>
    <w:panose1 w:val="03000509000000000000"/>
    <w:charset w:val="86"/>
    <w:family w:val="script"/>
    <w:pitch w:val="default"/>
    <w:sig w:usb0="00000000" w:usb1="00000000" w:usb2="00000010" w:usb3="00000000" w:csb0="00040000" w:csb1="00000000"/>
  </w:font>
  <w:font w:name="Microsoft YaHei UI">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58EC1A">
    <w:pPr>
      <w:pStyle w:val="3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2222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14935" cy="222250"/>
                      </a:xfrm>
                      <a:prstGeom prst="rect">
                        <a:avLst/>
                      </a:prstGeom>
                      <a:noFill/>
                      <a:ln>
                        <a:noFill/>
                      </a:ln>
                    </wps:spPr>
                    <wps:txbx>
                      <w:txbxContent>
                        <w:p w14:paraId="3A9F666E">
                          <w:pPr>
                            <w:pStyle w:val="30"/>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7.5pt;width:9.05pt;mso-position-horizontal:center;mso-position-horizontal-relative:margin;mso-wrap-style:none;z-index:251659264;mso-width-relative:page;mso-height-relative:page;" filled="f" stroked="f" coordsize="21600,21600" o:gfxdata="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T0Qt9EAAAADAQAADwAAAAAAAAABACAAAAAiAAAAZHJzL2Rvd25y&#10;ZXYueG1sUEsBAhQAFAAAAAgAh07iQPtrwp7MAQAAlwMAAA4AAAAAAAAAAQAgAAAAIAEAAGRycy9l&#10;Mm9Eb2MueG1sUEsFBgAAAAAGAAYAWQEAAF4FAAAAAA==&#10;">
              <v:fill on="f" focussize="0,0"/>
              <v:stroke on="f"/>
              <v:imagedata o:title=""/>
              <o:lock v:ext="edit" aspectratio="f"/>
              <v:textbox inset="0mm,0mm,0mm,0mm" style="mso-fit-shape-to-text:t;">
                <w:txbxContent>
                  <w:p w14:paraId="3A9F666E">
                    <w:pPr>
                      <w:pStyle w:val="30"/>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14:paraId="222725E3">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C4642F">
    <w:pPr>
      <w:pStyle w:val="3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251A5E8">
                          <w:pPr>
                            <w:pStyle w:val="30"/>
                          </w:pPr>
                          <w:r>
                            <w:t xml:space="preserve">— </w:t>
                          </w:r>
                          <w:r>
                            <w:fldChar w:fldCharType="begin"/>
                          </w:r>
                          <w:r>
                            <w:instrText xml:space="preserve"> PAGE  \* MERGEFORMAT </w:instrText>
                          </w:r>
                          <w:r>
                            <w:fldChar w:fldCharType="separate"/>
                          </w:r>
                          <w:r>
                            <w:t>30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fyKa93AIAACQGAAAOAAAAAAAAAAEAIAAAAB8BAABkcnMvZTJvRG9jLnhtbFBLBQYA&#10;AAAABgAGAFkBAABtBgAAAAA=&#10;">
              <v:fill on="f" focussize="0,0"/>
              <v:stroke on="f" weight="0.5pt"/>
              <v:imagedata o:title=""/>
              <o:lock v:ext="edit" aspectratio="f"/>
              <v:textbox inset="0mm,0mm,0mm,0mm" style="mso-fit-shape-to-text:t;">
                <w:txbxContent>
                  <w:p w14:paraId="6251A5E8">
                    <w:pPr>
                      <w:pStyle w:val="30"/>
                    </w:pPr>
                    <w:r>
                      <w:t xml:space="preserve">— </w:t>
                    </w:r>
                    <w:r>
                      <w:fldChar w:fldCharType="begin"/>
                    </w:r>
                    <w:r>
                      <w:instrText xml:space="preserve"> PAGE  \* MERGEFORMAT </w:instrText>
                    </w:r>
                    <w:r>
                      <w:fldChar w:fldCharType="separate"/>
                    </w:r>
                    <w:r>
                      <w:t>30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31"/>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5"/>
      <w:suff w:val="nothing"/>
      <w:lvlText w:val=""/>
      <w:lvlJc w:val="left"/>
      <w:pPr>
        <w:ind w:left="0" w:firstLine="0"/>
      </w:pPr>
      <w:rPr>
        <w:rFonts w:hint="eastAsia"/>
      </w:rPr>
    </w:lvl>
    <w:lvl w:ilvl="4" w:tentative="0">
      <w:start w:val="1"/>
      <w:numFmt w:val="none"/>
      <w:pStyle w:val="6"/>
      <w:suff w:val="nothing"/>
      <w:lvlText w:val=""/>
      <w:lvlJc w:val="left"/>
      <w:pPr>
        <w:ind w:left="0" w:firstLine="0"/>
      </w:pPr>
      <w:rPr>
        <w:rFonts w:hint="eastAsia"/>
      </w:rPr>
    </w:lvl>
    <w:lvl w:ilvl="5" w:tentative="0">
      <w:start w:val="1"/>
      <w:numFmt w:val="none"/>
      <w:pStyle w:val="8"/>
      <w:suff w:val="nothing"/>
      <w:lvlText w:val=""/>
      <w:lvlJc w:val="left"/>
      <w:pPr>
        <w:ind w:left="0" w:firstLine="0"/>
      </w:pPr>
      <w:rPr>
        <w:rFonts w:hint="eastAsia"/>
      </w:rPr>
    </w:lvl>
    <w:lvl w:ilvl="6" w:tentative="0">
      <w:start w:val="1"/>
      <w:numFmt w:val="none"/>
      <w:pStyle w:val="9"/>
      <w:suff w:val="nothing"/>
      <w:lvlText w:val=""/>
      <w:lvlJc w:val="left"/>
      <w:pPr>
        <w:ind w:left="0" w:firstLine="0"/>
      </w:pPr>
      <w:rPr>
        <w:rFonts w:hint="eastAsia"/>
      </w:rPr>
    </w:lvl>
    <w:lvl w:ilvl="7" w:tentative="0">
      <w:start w:val="1"/>
      <w:numFmt w:val="none"/>
      <w:pStyle w:val="10"/>
      <w:suff w:val="nothing"/>
      <w:lvlText w:val=""/>
      <w:lvlJc w:val="left"/>
      <w:pPr>
        <w:ind w:left="0" w:firstLine="0"/>
      </w:pPr>
      <w:rPr>
        <w:rFonts w:hint="eastAsia"/>
      </w:rPr>
    </w:lvl>
    <w:lvl w:ilvl="8" w:tentative="0">
      <w:start w:val="1"/>
      <w:numFmt w:val="none"/>
      <w:pStyle w:val="11"/>
      <w:suff w:val="nothing"/>
      <w:lvlText w:val=""/>
      <w:lvlJc w:val="left"/>
      <w:pPr>
        <w:ind w:left="0" w:firstLine="0"/>
      </w:pPr>
      <w:rPr>
        <w:rFonts w:hint="eastAsia"/>
      </w:rPr>
    </w:lvl>
  </w:abstractNum>
  <w:abstractNum w:abstractNumId="1">
    <w:nsid w:val="46928499"/>
    <w:multiLevelType w:val="singleLevel"/>
    <w:tmpl w:val="46928499"/>
    <w:lvl w:ilvl="0" w:tentative="0">
      <w:start w:val="7"/>
      <w:numFmt w:val="decimal"/>
      <w:suff w:val="nothing"/>
      <w:lvlText w:val="（%1）"/>
      <w:lvlJc w:val="left"/>
    </w:lvl>
  </w:abstractNum>
  <w:abstractNum w:abstractNumId="2">
    <w:nsid w:val="52A3EC38"/>
    <w:multiLevelType w:val="singleLevel"/>
    <w:tmpl w:val="52A3EC38"/>
    <w:lvl w:ilvl="0" w:tentative="0">
      <w:start w:val="3"/>
      <w:numFmt w:val="chineseCounting"/>
      <w:pStyle w:val="20"/>
      <w:suff w:val="nothing"/>
      <w:lvlText w:val="%1、"/>
      <w:lvlJc w:val="left"/>
    </w:lvl>
  </w:abstractNum>
  <w:abstractNum w:abstractNumId="3">
    <w:nsid w:val="53EB3389"/>
    <w:multiLevelType w:val="multilevel"/>
    <w:tmpl w:val="53EB3389"/>
    <w:lvl w:ilvl="0" w:tentative="0">
      <w:start w:val="1"/>
      <w:numFmt w:val="decimalEnclosedCircle"/>
      <w:pStyle w:val="264"/>
      <w:lvlText w:val="%1"/>
      <w:lvlJc w:val="left"/>
      <w:pPr>
        <w:ind w:left="1200" w:hanging="36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iZTAzZjRlMjc2MmVhMzExZGI5YWRmZjA5ZDVhYzEifQ=="/>
  </w:docVars>
  <w:rsids>
    <w:rsidRoot w:val="00172A27"/>
    <w:rsid w:val="000009B2"/>
    <w:rsid w:val="00000BE0"/>
    <w:rsid w:val="00002AC7"/>
    <w:rsid w:val="00003CE5"/>
    <w:rsid w:val="00004337"/>
    <w:rsid w:val="000044AD"/>
    <w:rsid w:val="00004F42"/>
    <w:rsid w:val="00006276"/>
    <w:rsid w:val="00006EFC"/>
    <w:rsid w:val="00010479"/>
    <w:rsid w:val="00011718"/>
    <w:rsid w:val="00012AE2"/>
    <w:rsid w:val="0001455D"/>
    <w:rsid w:val="0001491F"/>
    <w:rsid w:val="00015D4C"/>
    <w:rsid w:val="000165AA"/>
    <w:rsid w:val="0001732F"/>
    <w:rsid w:val="000178B1"/>
    <w:rsid w:val="00022CB1"/>
    <w:rsid w:val="0002393D"/>
    <w:rsid w:val="0002475C"/>
    <w:rsid w:val="00025437"/>
    <w:rsid w:val="00025544"/>
    <w:rsid w:val="00025622"/>
    <w:rsid w:val="00025B91"/>
    <w:rsid w:val="0002752B"/>
    <w:rsid w:val="00030368"/>
    <w:rsid w:val="00031637"/>
    <w:rsid w:val="000319C3"/>
    <w:rsid w:val="000359BA"/>
    <w:rsid w:val="00036B82"/>
    <w:rsid w:val="00037596"/>
    <w:rsid w:val="000376F4"/>
    <w:rsid w:val="00037C1A"/>
    <w:rsid w:val="00040D93"/>
    <w:rsid w:val="00040DD3"/>
    <w:rsid w:val="00040E90"/>
    <w:rsid w:val="000419D3"/>
    <w:rsid w:val="00042D37"/>
    <w:rsid w:val="0004426F"/>
    <w:rsid w:val="00044A04"/>
    <w:rsid w:val="00044EE6"/>
    <w:rsid w:val="00045D74"/>
    <w:rsid w:val="00047350"/>
    <w:rsid w:val="000473BC"/>
    <w:rsid w:val="00050011"/>
    <w:rsid w:val="00050E1D"/>
    <w:rsid w:val="000512D5"/>
    <w:rsid w:val="00051ADD"/>
    <w:rsid w:val="00051D97"/>
    <w:rsid w:val="00052767"/>
    <w:rsid w:val="00054302"/>
    <w:rsid w:val="00055358"/>
    <w:rsid w:val="0005662B"/>
    <w:rsid w:val="000578B0"/>
    <w:rsid w:val="00060CE6"/>
    <w:rsid w:val="00062560"/>
    <w:rsid w:val="00063355"/>
    <w:rsid w:val="00063B63"/>
    <w:rsid w:val="00063FAB"/>
    <w:rsid w:val="00064176"/>
    <w:rsid w:val="00064C4E"/>
    <w:rsid w:val="00065A26"/>
    <w:rsid w:val="0006689D"/>
    <w:rsid w:val="000674A8"/>
    <w:rsid w:val="000716D8"/>
    <w:rsid w:val="000722DA"/>
    <w:rsid w:val="00073131"/>
    <w:rsid w:val="0007355F"/>
    <w:rsid w:val="000737C8"/>
    <w:rsid w:val="00073EAE"/>
    <w:rsid w:val="00073FDD"/>
    <w:rsid w:val="000745A8"/>
    <w:rsid w:val="000748B0"/>
    <w:rsid w:val="00074CA7"/>
    <w:rsid w:val="00075EA8"/>
    <w:rsid w:val="0007678F"/>
    <w:rsid w:val="000770F1"/>
    <w:rsid w:val="00077A5F"/>
    <w:rsid w:val="000807D7"/>
    <w:rsid w:val="000818D7"/>
    <w:rsid w:val="00081D8B"/>
    <w:rsid w:val="000838D8"/>
    <w:rsid w:val="00084DF4"/>
    <w:rsid w:val="00085F3C"/>
    <w:rsid w:val="00086193"/>
    <w:rsid w:val="00086924"/>
    <w:rsid w:val="00086940"/>
    <w:rsid w:val="00086FA5"/>
    <w:rsid w:val="000871D5"/>
    <w:rsid w:val="00090286"/>
    <w:rsid w:val="00091E8F"/>
    <w:rsid w:val="0009282D"/>
    <w:rsid w:val="00093132"/>
    <w:rsid w:val="000952A4"/>
    <w:rsid w:val="000956C0"/>
    <w:rsid w:val="00095DC9"/>
    <w:rsid w:val="00096261"/>
    <w:rsid w:val="000970F5"/>
    <w:rsid w:val="00097FBA"/>
    <w:rsid w:val="000A1A5A"/>
    <w:rsid w:val="000A237B"/>
    <w:rsid w:val="000A2453"/>
    <w:rsid w:val="000A41D7"/>
    <w:rsid w:val="000A44ED"/>
    <w:rsid w:val="000A51A7"/>
    <w:rsid w:val="000A52EC"/>
    <w:rsid w:val="000A588B"/>
    <w:rsid w:val="000B06AE"/>
    <w:rsid w:val="000B0866"/>
    <w:rsid w:val="000B11A9"/>
    <w:rsid w:val="000B1783"/>
    <w:rsid w:val="000B2CC4"/>
    <w:rsid w:val="000B5023"/>
    <w:rsid w:val="000B5699"/>
    <w:rsid w:val="000B64B7"/>
    <w:rsid w:val="000C01BF"/>
    <w:rsid w:val="000C1131"/>
    <w:rsid w:val="000C1E1B"/>
    <w:rsid w:val="000C1FB2"/>
    <w:rsid w:val="000C2059"/>
    <w:rsid w:val="000C24F6"/>
    <w:rsid w:val="000C2DE8"/>
    <w:rsid w:val="000C375D"/>
    <w:rsid w:val="000C3BB1"/>
    <w:rsid w:val="000C43D7"/>
    <w:rsid w:val="000C43F3"/>
    <w:rsid w:val="000C4FEA"/>
    <w:rsid w:val="000C74AF"/>
    <w:rsid w:val="000D02C5"/>
    <w:rsid w:val="000D0AA1"/>
    <w:rsid w:val="000D1CFA"/>
    <w:rsid w:val="000D282A"/>
    <w:rsid w:val="000D3B73"/>
    <w:rsid w:val="000D3F50"/>
    <w:rsid w:val="000D51F6"/>
    <w:rsid w:val="000D591F"/>
    <w:rsid w:val="000D5C8E"/>
    <w:rsid w:val="000D64B2"/>
    <w:rsid w:val="000D672E"/>
    <w:rsid w:val="000D6872"/>
    <w:rsid w:val="000D733E"/>
    <w:rsid w:val="000D7994"/>
    <w:rsid w:val="000E00A1"/>
    <w:rsid w:val="000E045F"/>
    <w:rsid w:val="000E06F6"/>
    <w:rsid w:val="000E094E"/>
    <w:rsid w:val="000E0D79"/>
    <w:rsid w:val="000E1689"/>
    <w:rsid w:val="000E1E13"/>
    <w:rsid w:val="000E41A4"/>
    <w:rsid w:val="000E4ED3"/>
    <w:rsid w:val="000E6281"/>
    <w:rsid w:val="000E6E3E"/>
    <w:rsid w:val="000E7F98"/>
    <w:rsid w:val="000F3FB7"/>
    <w:rsid w:val="000F475D"/>
    <w:rsid w:val="000F4837"/>
    <w:rsid w:val="000F575F"/>
    <w:rsid w:val="000F5ADE"/>
    <w:rsid w:val="000F7E66"/>
    <w:rsid w:val="00102033"/>
    <w:rsid w:val="001024DB"/>
    <w:rsid w:val="00102F73"/>
    <w:rsid w:val="00104214"/>
    <w:rsid w:val="00104565"/>
    <w:rsid w:val="00104989"/>
    <w:rsid w:val="00105121"/>
    <w:rsid w:val="001067C4"/>
    <w:rsid w:val="00107740"/>
    <w:rsid w:val="0011047C"/>
    <w:rsid w:val="0011098B"/>
    <w:rsid w:val="00110CE6"/>
    <w:rsid w:val="00111E35"/>
    <w:rsid w:val="00112775"/>
    <w:rsid w:val="001147BB"/>
    <w:rsid w:val="00114AC5"/>
    <w:rsid w:val="00115726"/>
    <w:rsid w:val="0011633A"/>
    <w:rsid w:val="0011661F"/>
    <w:rsid w:val="00116DBC"/>
    <w:rsid w:val="001216D7"/>
    <w:rsid w:val="00122345"/>
    <w:rsid w:val="00122DAC"/>
    <w:rsid w:val="00123860"/>
    <w:rsid w:val="00123A7B"/>
    <w:rsid w:val="001244D6"/>
    <w:rsid w:val="00125085"/>
    <w:rsid w:val="0012558D"/>
    <w:rsid w:val="00125EF1"/>
    <w:rsid w:val="001269DD"/>
    <w:rsid w:val="00126DEA"/>
    <w:rsid w:val="00127B33"/>
    <w:rsid w:val="0013050E"/>
    <w:rsid w:val="00133418"/>
    <w:rsid w:val="0013606C"/>
    <w:rsid w:val="001362C1"/>
    <w:rsid w:val="0013648D"/>
    <w:rsid w:val="001377B8"/>
    <w:rsid w:val="0014078C"/>
    <w:rsid w:val="00140A72"/>
    <w:rsid w:val="00140DF8"/>
    <w:rsid w:val="001413A1"/>
    <w:rsid w:val="00142A21"/>
    <w:rsid w:val="00142B0A"/>
    <w:rsid w:val="001449B4"/>
    <w:rsid w:val="00145374"/>
    <w:rsid w:val="001463A7"/>
    <w:rsid w:val="00147540"/>
    <w:rsid w:val="001478F9"/>
    <w:rsid w:val="00152555"/>
    <w:rsid w:val="0015280A"/>
    <w:rsid w:val="0015297F"/>
    <w:rsid w:val="00153963"/>
    <w:rsid w:val="00153D88"/>
    <w:rsid w:val="0015417A"/>
    <w:rsid w:val="00154277"/>
    <w:rsid w:val="00154978"/>
    <w:rsid w:val="00156023"/>
    <w:rsid w:val="00161964"/>
    <w:rsid w:val="00162551"/>
    <w:rsid w:val="00162A74"/>
    <w:rsid w:val="00163A5B"/>
    <w:rsid w:val="00163BB2"/>
    <w:rsid w:val="00163DF2"/>
    <w:rsid w:val="001665C5"/>
    <w:rsid w:val="00166FA6"/>
    <w:rsid w:val="00167096"/>
    <w:rsid w:val="00167104"/>
    <w:rsid w:val="0017171C"/>
    <w:rsid w:val="001724DF"/>
    <w:rsid w:val="001728EB"/>
    <w:rsid w:val="00172A27"/>
    <w:rsid w:val="00172F6C"/>
    <w:rsid w:val="0017320B"/>
    <w:rsid w:val="001734E1"/>
    <w:rsid w:val="00175DAA"/>
    <w:rsid w:val="0017702C"/>
    <w:rsid w:val="001771B5"/>
    <w:rsid w:val="00177651"/>
    <w:rsid w:val="001777A2"/>
    <w:rsid w:val="00177AE1"/>
    <w:rsid w:val="00181039"/>
    <w:rsid w:val="00182120"/>
    <w:rsid w:val="00182682"/>
    <w:rsid w:val="001826B0"/>
    <w:rsid w:val="00185EBE"/>
    <w:rsid w:val="001866E1"/>
    <w:rsid w:val="00186790"/>
    <w:rsid w:val="001877A2"/>
    <w:rsid w:val="00187B31"/>
    <w:rsid w:val="0019114D"/>
    <w:rsid w:val="00192A4C"/>
    <w:rsid w:val="001939F2"/>
    <w:rsid w:val="00193C50"/>
    <w:rsid w:val="00194422"/>
    <w:rsid w:val="001949D8"/>
    <w:rsid w:val="00194A8F"/>
    <w:rsid w:val="00195D0D"/>
    <w:rsid w:val="00197AD6"/>
    <w:rsid w:val="001A00ED"/>
    <w:rsid w:val="001A1D52"/>
    <w:rsid w:val="001A2242"/>
    <w:rsid w:val="001A2553"/>
    <w:rsid w:val="001A317F"/>
    <w:rsid w:val="001A3C7F"/>
    <w:rsid w:val="001A49CA"/>
    <w:rsid w:val="001A4DDA"/>
    <w:rsid w:val="001A4ED3"/>
    <w:rsid w:val="001A50C9"/>
    <w:rsid w:val="001A50FC"/>
    <w:rsid w:val="001A694A"/>
    <w:rsid w:val="001A70FC"/>
    <w:rsid w:val="001A7666"/>
    <w:rsid w:val="001B019D"/>
    <w:rsid w:val="001B2B1C"/>
    <w:rsid w:val="001B2F45"/>
    <w:rsid w:val="001B4956"/>
    <w:rsid w:val="001B4B01"/>
    <w:rsid w:val="001B5078"/>
    <w:rsid w:val="001B741E"/>
    <w:rsid w:val="001B7C39"/>
    <w:rsid w:val="001C1969"/>
    <w:rsid w:val="001C27EB"/>
    <w:rsid w:val="001C2C61"/>
    <w:rsid w:val="001C3434"/>
    <w:rsid w:val="001C4E19"/>
    <w:rsid w:val="001C5506"/>
    <w:rsid w:val="001C5BD1"/>
    <w:rsid w:val="001C6C91"/>
    <w:rsid w:val="001D00F2"/>
    <w:rsid w:val="001D1319"/>
    <w:rsid w:val="001D153A"/>
    <w:rsid w:val="001D1C87"/>
    <w:rsid w:val="001D3469"/>
    <w:rsid w:val="001D56DD"/>
    <w:rsid w:val="001D62B6"/>
    <w:rsid w:val="001E008D"/>
    <w:rsid w:val="001E0C68"/>
    <w:rsid w:val="001E105A"/>
    <w:rsid w:val="001E24DD"/>
    <w:rsid w:val="001E273E"/>
    <w:rsid w:val="001E345E"/>
    <w:rsid w:val="001E35E4"/>
    <w:rsid w:val="001E37B9"/>
    <w:rsid w:val="001E62DA"/>
    <w:rsid w:val="001F23AE"/>
    <w:rsid w:val="001F2C1A"/>
    <w:rsid w:val="001F2E55"/>
    <w:rsid w:val="001F2FD7"/>
    <w:rsid w:val="001F3413"/>
    <w:rsid w:val="001F3A99"/>
    <w:rsid w:val="001F41DB"/>
    <w:rsid w:val="001F5A10"/>
    <w:rsid w:val="001F6B58"/>
    <w:rsid w:val="001F761A"/>
    <w:rsid w:val="001F7E80"/>
    <w:rsid w:val="002010A4"/>
    <w:rsid w:val="00203C02"/>
    <w:rsid w:val="00204403"/>
    <w:rsid w:val="00211C14"/>
    <w:rsid w:val="002143FD"/>
    <w:rsid w:val="00216B8C"/>
    <w:rsid w:val="00217032"/>
    <w:rsid w:val="00217932"/>
    <w:rsid w:val="00220FE8"/>
    <w:rsid w:val="00221371"/>
    <w:rsid w:val="00221C24"/>
    <w:rsid w:val="0022262C"/>
    <w:rsid w:val="00224F75"/>
    <w:rsid w:val="0022535F"/>
    <w:rsid w:val="002273CA"/>
    <w:rsid w:val="00227F10"/>
    <w:rsid w:val="00227F59"/>
    <w:rsid w:val="0023005D"/>
    <w:rsid w:val="002303E5"/>
    <w:rsid w:val="00231DEE"/>
    <w:rsid w:val="0023233B"/>
    <w:rsid w:val="00232BD9"/>
    <w:rsid w:val="002336E4"/>
    <w:rsid w:val="0023376B"/>
    <w:rsid w:val="00234834"/>
    <w:rsid w:val="00234ABF"/>
    <w:rsid w:val="00234CD2"/>
    <w:rsid w:val="002367C3"/>
    <w:rsid w:val="00236EEF"/>
    <w:rsid w:val="00240AF9"/>
    <w:rsid w:val="00240CCD"/>
    <w:rsid w:val="00242EED"/>
    <w:rsid w:val="002435B9"/>
    <w:rsid w:val="002436C5"/>
    <w:rsid w:val="00245882"/>
    <w:rsid w:val="0025282D"/>
    <w:rsid w:val="00252E8A"/>
    <w:rsid w:val="002544C6"/>
    <w:rsid w:val="00256486"/>
    <w:rsid w:val="00256FF8"/>
    <w:rsid w:val="00261101"/>
    <w:rsid w:val="00262E0E"/>
    <w:rsid w:val="0026389F"/>
    <w:rsid w:val="00263C9C"/>
    <w:rsid w:val="00267295"/>
    <w:rsid w:val="002679B4"/>
    <w:rsid w:val="00270250"/>
    <w:rsid w:val="00270310"/>
    <w:rsid w:val="002709FA"/>
    <w:rsid w:val="002715A2"/>
    <w:rsid w:val="00271609"/>
    <w:rsid w:val="002742E2"/>
    <w:rsid w:val="00274C89"/>
    <w:rsid w:val="00274D1B"/>
    <w:rsid w:val="00274E50"/>
    <w:rsid w:val="00276295"/>
    <w:rsid w:val="002766DD"/>
    <w:rsid w:val="00282639"/>
    <w:rsid w:val="00282DE6"/>
    <w:rsid w:val="00283432"/>
    <w:rsid w:val="0028452E"/>
    <w:rsid w:val="002848A6"/>
    <w:rsid w:val="002867BC"/>
    <w:rsid w:val="00286EFD"/>
    <w:rsid w:val="002904D7"/>
    <w:rsid w:val="00290F28"/>
    <w:rsid w:val="00291F07"/>
    <w:rsid w:val="00292B9D"/>
    <w:rsid w:val="00294BC4"/>
    <w:rsid w:val="002958CD"/>
    <w:rsid w:val="00295FDE"/>
    <w:rsid w:val="0029698C"/>
    <w:rsid w:val="002974ED"/>
    <w:rsid w:val="002977C6"/>
    <w:rsid w:val="00297E9A"/>
    <w:rsid w:val="002A1179"/>
    <w:rsid w:val="002A1770"/>
    <w:rsid w:val="002A1C40"/>
    <w:rsid w:val="002A25F1"/>
    <w:rsid w:val="002A2C8F"/>
    <w:rsid w:val="002A4AB8"/>
    <w:rsid w:val="002A4CB0"/>
    <w:rsid w:val="002A70F5"/>
    <w:rsid w:val="002A73F5"/>
    <w:rsid w:val="002A7416"/>
    <w:rsid w:val="002A7C15"/>
    <w:rsid w:val="002B12C0"/>
    <w:rsid w:val="002B228D"/>
    <w:rsid w:val="002B2C50"/>
    <w:rsid w:val="002B4048"/>
    <w:rsid w:val="002B5AA4"/>
    <w:rsid w:val="002B5E21"/>
    <w:rsid w:val="002B63DC"/>
    <w:rsid w:val="002C00EC"/>
    <w:rsid w:val="002C0411"/>
    <w:rsid w:val="002C103A"/>
    <w:rsid w:val="002C1D3F"/>
    <w:rsid w:val="002C268F"/>
    <w:rsid w:val="002C34A1"/>
    <w:rsid w:val="002C393D"/>
    <w:rsid w:val="002C4845"/>
    <w:rsid w:val="002C4CA5"/>
    <w:rsid w:val="002C64B2"/>
    <w:rsid w:val="002C724D"/>
    <w:rsid w:val="002C78B2"/>
    <w:rsid w:val="002C7EF2"/>
    <w:rsid w:val="002D05E6"/>
    <w:rsid w:val="002D0985"/>
    <w:rsid w:val="002D0AAC"/>
    <w:rsid w:val="002D0C27"/>
    <w:rsid w:val="002D0E44"/>
    <w:rsid w:val="002D1186"/>
    <w:rsid w:val="002D16E7"/>
    <w:rsid w:val="002D221C"/>
    <w:rsid w:val="002D3FDA"/>
    <w:rsid w:val="002D5B85"/>
    <w:rsid w:val="002D6F94"/>
    <w:rsid w:val="002D7080"/>
    <w:rsid w:val="002E04CD"/>
    <w:rsid w:val="002E220D"/>
    <w:rsid w:val="002E47BF"/>
    <w:rsid w:val="002E70A8"/>
    <w:rsid w:val="002E716E"/>
    <w:rsid w:val="002F0366"/>
    <w:rsid w:val="002F23CB"/>
    <w:rsid w:val="002F38F8"/>
    <w:rsid w:val="002F4573"/>
    <w:rsid w:val="002F5829"/>
    <w:rsid w:val="002F6069"/>
    <w:rsid w:val="002F6311"/>
    <w:rsid w:val="00301529"/>
    <w:rsid w:val="0030209C"/>
    <w:rsid w:val="00302C00"/>
    <w:rsid w:val="00303774"/>
    <w:rsid w:val="00303A37"/>
    <w:rsid w:val="003048F0"/>
    <w:rsid w:val="00305A16"/>
    <w:rsid w:val="0030640A"/>
    <w:rsid w:val="00306EE7"/>
    <w:rsid w:val="00311298"/>
    <w:rsid w:val="00312919"/>
    <w:rsid w:val="00312F6F"/>
    <w:rsid w:val="003154E7"/>
    <w:rsid w:val="00315A57"/>
    <w:rsid w:val="00316540"/>
    <w:rsid w:val="00317F33"/>
    <w:rsid w:val="00323A7F"/>
    <w:rsid w:val="0032530F"/>
    <w:rsid w:val="00325C54"/>
    <w:rsid w:val="0033092E"/>
    <w:rsid w:val="003324E6"/>
    <w:rsid w:val="00334440"/>
    <w:rsid w:val="003349A8"/>
    <w:rsid w:val="00334E71"/>
    <w:rsid w:val="003352C0"/>
    <w:rsid w:val="00335E7D"/>
    <w:rsid w:val="003361F2"/>
    <w:rsid w:val="0033743D"/>
    <w:rsid w:val="0033745B"/>
    <w:rsid w:val="003408E5"/>
    <w:rsid w:val="0034117F"/>
    <w:rsid w:val="003431E2"/>
    <w:rsid w:val="00343913"/>
    <w:rsid w:val="00346C30"/>
    <w:rsid w:val="003541BD"/>
    <w:rsid w:val="00355F75"/>
    <w:rsid w:val="00356D74"/>
    <w:rsid w:val="00356E8D"/>
    <w:rsid w:val="003573A7"/>
    <w:rsid w:val="00357718"/>
    <w:rsid w:val="00357851"/>
    <w:rsid w:val="003579EA"/>
    <w:rsid w:val="003604BD"/>
    <w:rsid w:val="00360781"/>
    <w:rsid w:val="00362010"/>
    <w:rsid w:val="0036327C"/>
    <w:rsid w:val="00363C7C"/>
    <w:rsid w:val="003647D8"/>
    <w:rsid w:val="00366C87"/>
    <w:rsid w:val="003725DF"/>
    <w:rsid w:val="003767EB"/>
    <w:rsid w:val="00376D4E"/>
    <w:rsid w:val="003772C1"/>
    <w:rsid w:val="00377D7E"/>
    <w:rsid w:val="0038184F"/>
    <w:rsid w:val="00381A66"/>
    <w:rsid w:val="0038226A"/>
    <w:rsid w:val="003831EA"/>
    <w:rsid w:val="00384DD1"/>
    <w:rsid w:val="00384F16"/>
    <w:rsid w:val="00385ECF"/>
    <w:rsid w:val="00386413"/>
    <w:rsid w:val="00387481"/>
    <w:rsid w:val="00387D44"/>
    <w:rsid w:val="003905AB"/>
    <w:rsid w:val="00392813"/>
    <w:rsid w:val="00392AE2"/>
    <w:rsid w:val="00392CA6"/>
    <w:rsid w:val="00392E19"/>
    <w:rsid w:val="0039385E"/>
    <w:rsid w:val="00393CE3"/>
    <w:rsid w:val="003970B9"/>
    <w:rsid w:val="003A0EAF"/>
    <w:rsid w:val="003A11F2"/>
    <w:rsid w:val="003A11F9"/>
    <w:rsid w:val="003A1B82"/>
    <w:rsid w:val="003A602E"/>
    <w:rsid w:val="003A619B"/>
    <w:rsid w:val="003A7071"/>
    <w:rsid w:val="003A76AA"/>
    <w:rsid w:val="003B113F"/>
    <w:rsid w:val="003B1477"/>
    <w:rsid w:val="003B196E"/>
    <w:rsid w:val="003B22E8"/>
    <w:rsid w:val="003B264A"/>
    <w:rsid w:val="003B3A85"/>
    <w:rsid w:val="003B53C9"/>
    <w:rsid w:val="003B5403"/>
    <w:rsid w:val="003B5BA6"/>
    <w:rsid w:val="003C186B"/>
    <w:rsid w:val="003C337A"/>
    <w:rsid w:val="003C357C"/>
    <w:rsid w:val="003C3CFC"/>
    <w:rsid w:val="003C426B"/>
    <w:rsid w:val="003C4B2B"/>
    <w:rsid w:val="003C5AD6"/>
    <w:rsid w:val="003D0B37"/>
    <w:rsid w:val="003D1C60"/>
    <w:rsid w:val="003D2561"/>
    <w:rsid w:val="003D29EE"/>
    <w:rsid w:val="003D323B"/>
    <w:rsid w:val="003D33F9"/>
    <w:rsid w:val="003D415A"/>
    <w:rsid w:val="003D46B1"/>
    <w:rsid w:val="003D4706"/>
    <w:rsid w:val="003D499F"/>
    <w:rsid w:val="003D5A3C"/>
    <w:rsid w:val="003D5EC8"/>
    <w:rsid w:val="003D67D1"/>
    <w:rsid w:val="003D6825"/>
    <w:rsid w:val="003D7709"/>
    <w:rsid w:val="003E09AB"/>
    <w:rsid w:val="003E2B98"/>
    <w:rsid w:val="003E5091"/>
    <w:rsid w:val="003E6892"/>
    <w:rsid w:val="003E72AA"/>
    <w:rsid w:val="003F03AD"/>
    <w:rsid w:val="003F1530"/>
    <w:rsid w:val="003F176F"/>
    <w:rsid w:val="003F25F1"/>
    <w:rsid w:val="003F26D8"/>
    <w:rsid w:val="003F2BA5"/>
    <w:rsid w:val="003F2F20"/>
    <w:rsid w:val="003F3360"/>
    <w:rsid w:val="003F3B24"/>
    <w:rsid w:val="003F4186"/>
    <w:rsid w:val="003F4EA6"/>
    <w:rsid w:val="003F6127"/>
    <w:rsid w:val="003F64AB"/>
    <w:rsid w:val="003F6A27"/>
    <w:rsid w:val="003F6C34"/>
    <w:rsid w:val="004014E4"/>
    <w:rsid w:val="004042CE"/>
    <w:rsid w:val="00404D8A"/>
    <w:rsid w:val="0040512E"/>
    <w:rsid w:val="00405479"/>
    <w:rsid w:val="0040601C"/>
    <w:rsid w:val="004068CD"/>
    <w:rsid w:val="00406D86"/>
    <w:rsid w:val="00412273"/>
    <w:rsid w:val="004140C0"/>
    <w:rsid w:val="00414C0F"/>
    <w:rsid w:val="00414F12"/>
    <w:rsid w:val="0041686C"/>
    <w:rsid w:val="00416976"/>
    <w:rsid w:val="00421D78"/>
    <w:rsid w:val="004230AE"/>
    <w:rsid w:val="00423102"/>
    <w:rsid w:val="00423247"/>
    <w:rsid w:val="004235F8"/>
    <w:rsid w:val="0042519B"/>
    <w:rsid w:val="004252F9"/>
    <w:rsid w:val="0042546E"/>
    <w:rsid w:val="00425883"/>
    <w:rsid w:val="0042592A"/>
    <w:rsid w:val="00425E0B"/>
    <w:rsid w:val="00426558"/>
    <w:rsid w:val="00427113"/>
    <w:rsid w:val="00427740"/>
    <w:rsid w:val="00431018"/>
    <w:rsid w:val="00431E95"/>
    <w:rsid w:val="004322AA"/>
    <w:rsid w:val="004328EB"/>
    <w:rsid w:val="00434105"/>
    <w:rsid w:val="00436937"/>
    <w:rsid w:val="00441535"/>
    <w:rsid w:val="00441F67"/>
    <w:rsid w:val="004420AC"/>
    <w:rsid w:val="00442DE1"/>
    <w:rsid w:val="00443E71"/>
    <w:rsid w:val="00443F63"/>
    <w:rsid w:val="0044507A"/>
    <w:rsid w:val="004458C6"/>
    <w:rsid w:val="0044799F"/>
    <w:rsid w:val="004520C4"/>
    <w:rsid w:val="004538B0"/>
    <w:rsid w:val="00454367"/>
    <w:rsid w:val="00454575"/>
    <w:rsid w:val="00455282"/>
    <w:rsid w:val="00455534"/>
    <w:rsid w:val="00456813"/>
    <w:rsid w:val="0045693B"/>
    <w:rsid w:val="00456C98"/>
    <w:rsid w:val="00461063"/>
    <w:rsid w:val="004611E9"/>
    <w:rsid w:val="00461AC5"/>
    <w:rsid w:val="00462394"/>
    <w:rsid w:val="00463024"/>
    <w:rsid w:val="00463605"/>
    <w:rsid w:val="0046450D"/>
    <w:rsid w:val="00464584"/>
    <w:rsid w:val="0046498E"/>
    <w:rsid w:val="00465787"/>
    <w:rsid w:val="00465912"/>
    <w:rsid w:val="00467CE3"/>
    <w:rsid w:val="00470B8B"/>
    <w:rsid w:val="00470C3C"/>
    <w:rsid w:val="00471659"/>
    <w:rsid w:val="00472714"/>
    <w:rsid w:val="00473804"/>
    <w:rsid w:val="00473F39"/>
    <w:rsid w:val="00475198"/>
    <w:rsid w:val="00475DF9"/>
    <w:rsid w:val="00477118"/>
    <w:rsid w:val="00480315"/>
    <w:rsid w:val="00482570"/>
    <w:rsid w:val="00482DF7"/>
    <w:rsid w:val="00484EF4"/>
    <w:rsid w:val="004865CE"/>
    <w:rsid w:val="00490B57"/>
    <w:rsid w:val="00491BEF"/>
    <w:rsid w:val="00494E63"/>
    <w:rsid w:val="00495135"/>
    <w:rsid w:val="00495552"/>
    <w:rsid w:val="00495913"/>
    <w:rsid w:val="00495B4B"/>
    <w:rsid w:val="0049642C"/>
    <w:rsid w:val="00496F61"/>
    <w:rsid w:val="00497116"/>
    <w:rsid w:val="0049747D"/>
    <w:rsid w:val="004A05FA"/>
    <w:rsid w:val="004A0C33"/>
    <w:rsid w:val="004A0FC8"/>
    <w:rsid w:val="004A2E24"/>
    <w:rsid w:val="004A506F"/>
    <w:rsid w:val="004A61E4"/>
    <w:rsid w:val="004B0652"/>
    <w:rsid w:val="004B088A"/>
    <w:rsid w:val="004B1348"/>
    <w:rsid w:val="004B2F45"/>
    <w:rsid w:val="004B3499"/>
    <w:rsid w:val="004B3704"/>
    <w:rsid w:val="004B426B"/>
    <w:rsid w:val="004B49C5"/>
    <w:rsid w:val="004B4D85"/>
    <w:rsid w:val="004B546D"/>
    <w:rsid w:val="004B6DBA"/>
    <w:rsid w:val="004B6F27"/>
    <w:rsid w:val="004C042A"/>
    <w:rsid w:val="004C04CB"/>
    <w:rsid w:val="004C073D"/>
    <w:rsid w:val="004C19BC"/>
    <w:rsid w:val="004C1D44"/>
    <w:rsid w:val="004C3B65"/>
    <w:rsid w:val="004C3D9B"/>
    <w:rsid w:val="004C4580"/>
    <w:rsid w:val="004C5172"/>
    <w:rsid w:val="004C60E5"/>
    <w:rsid w:val="004C6488"/>
    <w:rsid w:val="004C650B"/>
    <w:rsid w:val="004C79DD"/>
    <w:rsid w:val="004C7F8D"/>
    <w:rsid w:val="004D0D59"/>
    <w:rsid w:val="004D26A5"/>
    <w:rsid w:val="004D3906"/>
    <w:rsid w:val="004D4192"/>
    <w:rsid w:val="004D43BA"/>
    <w:rsid w:val="004D7348"/>
    <w:rsid w:val="004D7DFD"/>
    <w:rsid w:val="004E09A9"/>
    <w:rsid w:val="004E0B5C"/>
    <w:rsid w:val="004E2150"/>
    <w:rsid w:val="004E2FFC"/>
    <w:rsid w:val="004E3528"/>
    <w:rsid w:val="004E4AF9"/>
    <w:rsid w:val="004E53CB"/>
    <w:rsid w:val="004E63DC"/>
    <w:rsid w:val="004E691A"/>
    <w:rsid w:val="004E6DD9"/>
    <w:rsid w:val="004F0778"/>
    <w:rsid w:val="004F30CF"/>
    <w:rsid w:val="004F3CD5"/>
    <w:rsid w:val="004F4C28"/>
    <w:rsid w:val="004F4F8B"/>
    <w:rsid w:val="004F5415"/>
    <w:rsid w:val="004F6871"/>
    <w:rsid w:val="004F7333"/>
    <w:rsid w:val="004F777F"/>
    <w:rsid w:val="004F7C0A"/>
    <w:rsid w:val="00500A80"/>
    <w:rsid w:val="00500EA3"/>
    <w:rsid w:val="00500F56"/>
    <w:rsid w:val="00501C21"/>
    <w:rsid w:val="00502A71"/>
    <w:rsid w:val="00502EFE"/>
    <w:rsid w:val="00503E21"/>
    <w:rsid w:val="00504DC3"/>
    <w:rsid w:val="00504E43"/>
    <w:rsid w:val="00506CBE"/>
    <w:rsid w:val="00506DB0"/>
    <w:rsid w:val="00511CBB"/>
    <w:rsid w:val="00511D0B"/>
    <w:rsid w:val="00512242"/>
    <w:rsid w:val="00513A3B"/>
    <w:rsid w:val="00517F01"/>
    <w:rsid w:val="00522746"/>
    <w:rsid w:val="00523676"/>
    <w:rsid w:val="00523F17"/>
    <w:rsid w:val="00524A55"/>
    <w:rsid w:val="005252B5"/>
    <w:rsid w:val="00525E51"/>
    <w:rsid w:val="005260E6"/>
    <w:rsid w:val="00527E21"/>
    <w:rsid w:val="005305DC"/>
    <w:rsid w:val="005319BC"/>
    <w:rsid w:val="00531A7F"/>
    <w:rsid w:val="00532351"/>
    <w:rsid w:val="00533090"/>
    <w:rsid w:val="005336F1"/>
    <w:rsid w:val="00533B88"/>
    <w:rsid w:val="00536A79"/>
    <w:rsid w:val="00536BC7"/>
    <w:rsid w:val="00537DC5"/>
    <w:rsid w:val="00541613"/>
    <w:rsid w:val="00542604"/>
    <w:rsid w:val="005432B8"/>
    <w:rsid w:val="00544DB0"/>
    <w:rsid w:val="005451F7"/>
    <w:rsid w:val="00547225"/>
    <w:rsid w:val="00550030"/>
    <w:rsid w:val="00552209"/>
    <w:rsid w:val="00553AF9"/>
    <w:rsid w:val="00554574"/>
    <w:rsid w:val="00555908"/>
    <w:rsid w:val="00556DD5"/>
    <w:rsid w:val="005572A2"/>
    <w:rsid w:val="0055783D"/>
    <w:rsid w:val="00557D80"/>
    <w:rsid w:val="00557DC2"/>
    <w:rsid w:val="00557F58"/>
    <w:rsid w:val="00557FB8"/>
    <w:rsid w:val="00561D03"/>
    <w:rsid w:val="005621E7"/>
    <w:rsid w:val="005625C6"/>
    <w:rsid w:val="00562F27"/>
    <w:rsid w:val="00566AAD"/>
    <w:rsid w:val="005673BA"/>
    <w:rsid w:val="0056773F"/>
    <w:rsid w:val="0056787B"/>
    <w:rsid w:val="00570369"/>
    <w:rsid w:val="00570E9E"/>
    <w:rsid w:val="00571656"/>
    <w:rsid w:val="0057298D"/>
    <w:rsid w:val="00572DAF"/>
    <w:rsid w:val="00572EBF"/>
    <w:rsid w:val="00572FC5"/>
    <w:rsid w:val="0057324C"/>
    <w:rsid w:val="005739D8"/>
    <w:rsid w:val="00574009"/>
    <w:rsid w:val="00574700"/>
    <w:rsid w:val="0057538C"/>
    <w:rsid w:val="00576B96"/>
    <w:rsid w:val="005801D2"/>
    <w:rsid w:val="00580F51"/>
    <w:rsid w:val="005812E6"/>
    <w:rsid w:val="005814B1"/>
    <w:rsid w:val="005829B8"/>
    <w:rsid w:val="0058410A"/>
    <w:rsid w:val="005842DD"/>
    <w:rsid w:val="00585B36"/>
    <w:rsid w:val="005862A6"/>
    <w:rsid w:val="00586E8E"/>
    <w:rsid w:val="005904C4"/>
    <w:rsid w:val="0059097C"/>
    <w:rsid w:val="00590BD3"/>
    <w:rsid w:val="00591118"/>
    <w:rsid w:val="005914C9"/>
    <w:rsid w:val="005937A6"/>
    <w:rsid w:val="00593D08"/>
    <w:rsid w:val="0059403E"/>
    <w:rsid w:val="0059723A"/>
    <w:rsid w:val="00597B1E"/>
    <w:rsid w:val="005A0002"/>
    <w:rsid w:val="005A0E1F"/>
    <w:rsid w:val="005A24F3"/>
    <w:rsid w:val="005A3053"/>
    <w:rsid w:val="005A30E9"/>
    <w:rsid w:val="005A32BC"/>
    <w:rsid w:val="005A3572"/>
    <w:rsid w:val="005A3795"/>
    <w:rsid w:val="005A4C96"/>
    <w:rsid w:val="005A5317"/>
    <w:rsid w:val="005A557E"/>
    <w:rsid w:val="005A58B3"/>
    <w:rsid w:val="005A6F62"/>
    <w:rsid w:val="005A7219"/>
    <w:rsid w:val="005A7C69"/>
    <w:rsid w:val="005B0844"/>
    <w:rsid w:val="005B0AEF"/>
    <w:rsid w:val="005B13CF"/>
    <w:rsid w:val="005B2D8B"/>
    <w:rsid w:val="005B2FAF"/>
    <w:rsid w:val="005B337C"/>
    <w:rsid w:val="005B3384"/>
    <w:rsid w:val="005B3AD7"/>
    <w:rsid w:val="005B48D9"/>
    <w:rsid w:val="005B4D80"/>
    <w:rsid w:val="005B6EB7"/>
    <w:rsid w:val="005C0B7F"/>
    <w:rsid w:val="005C0BFD"/>
    <w:rsid w:val="005C1384"/>
    <w:rsid w:val="005C1B1A"/>
    <w:rsid w:val="005C2125"/>
    <w:rsid w:val="005C2CDE"/>
    <w:rsid w:val="005C30CC"/>
    <w:rsid w:val="005C342B"/>
    <w:rsid w:val="005C3EDA"/>
    <w:rsid w:val="005C43F9"/>
    <w:rsid w:val="005C4D39"/>
    <w:rsid w:val="005C56B1"/>
    <w:rsid w:val="005C5758"/>
    <w:rsid w:val="005C5FCF"/>
    <w:rsid w:val="005C647E"/>
    <w:rsid w:val="005C6B6E"/>
    <w:rsid w:val="005D0568"/>
    <w:rsid w:val="005D07C7"/>
    <w:rsid w:val="005D19F3"/>
    <w:rsid w:val="005D20EE"/>
    <w:rsid w:val="005D230C"/>
    <w:rsid w:val="005D24B1"/>
    <w:rsid w:val="005D2C34"/>
    <w:rsid w:val="005D3531"/>
    <w:rsid w:val="005D47B1"/>
    <w:rsid w:val="005D4AFA"/>
    <w:rsid w:val="005D53BA"/>
    <w:rsid w:val="005D56F5"/>
    <w:rsid w:val="005D71C9"/>
    <w:rsid w:val="005E0387"/>
    <w:rsid w:val="005E067C"/>
    <w:rsid w:val="005E0979"/>
    <w:rsid w:val="005E12F4"/>
    <w:rsid w:val="005E28DD"/>
    <w:rsid w:val="005E3F08"/>
    <w:rsid w:val="005E3F7D"/>
    <w:rsid w:val="005E487F"/>
    <w:rsid w:val="005E5921"/>
    <w:rsid w:val="005F1067"/>
    <w:rsid w:val="005F2353"/>
    <w:rsid w:val="005F2E90"/>
    <w:rsid w:val="005F35EB"/>
    <w:rsid w:val="005F3885"/>
    <w:rsid w:val="005F42F0"/>
    <w:rsid w:val="005F5F45"/>
    <w:rsid w:val="005F64B8"/>
    <w:rsid w:val="005F69C1"/>
    <w:rsid w:val="005F6F86"/>
    <w:rsid w:val="005F7F76"/>
    <w:rsid w:val="005F7FEB"/>
    <w:rsid w:val="00601887"/>
    <w:rsid w:val="00602C99"/>
    <w:rsid w:val="00602FD1"/>
    <w:rsid w:val="0060303C"/>
    <w:rsid w:val="00605E5A"/>
    <w:rsid w:val="00606132"/>
    <w:rsid w:val="00606D53"/>
    <w:rsid w:val="00607006"/>
    <w:rsid w:val="006075D6"/>
    <w:rsid w:val="0061091E"/>
    <w:rsid w:val="00611415"/>
    <w:rsid w:val="006122D7"/>
    <w:rsid w:val="0061402E"/>
    <w:rsid w:val="0061482E"/>
    <w:rsid w:val="00614F26"/>
    <w:rsid w:val="006156B7"/>
    <w:rsid w:val="00616754"/>
    <w:rsid w:val="00616A10"/>
    <w:rsid w:val="00616E19"/>
    <w:rsid w:val="00616EC7"/>
    <w:rsid w:val="00616FD7"/>
    <w:rsid w:val="00620F4A"/>
    <w:rsid w:val="00622520"/>
    <w:rsid w:val="00622FD5"/>
    <w:rsid w:val="00623D97"/>
    <w:rsid w:val="00624041"/>
    <w:rsid w:val="00624479"/>
    <w:rsid w:val="006256DE"/>
    <w:rsid w:val="00625DF4"/>
    <w:rsid w:val="00626560"/>
    <w:rsid w:val="00631E86"/>
    <w:rsid w:val="00632D39"/>
    <w:rsid w:val="00633049"/>
    <w:rsid w:val="006359C3"/>
    <w:rsid w:val="00635F71"/>
    <w:rsid w:val="0063738D"/>
    <w:rsid w:val="00637C67"/>
    <w:rsid w:val="00641D29"/>
    <w:rsid w:val="0064289F"/>
    <w:rsid w:val="00642D8D"/>
    <w:rsid w:val="006440B2"/>
    <w:rsid w:val="00644E80"/>
    <w:rsid w:val="00644ED9"/>
    <w:rsid w:val="0064525F"/>
    <w:rsid w:val="006458F8"/>
    <w:rsid w:val="006470C7"/>
    <w:rsid w:val="00651CF8"/>
    <w:rsid w:val="00651EA5"/>
    <w:rsid w:val="0065282C"/>
    <w:rsid w:val="00653CA7"/>
    <w:rsid w:val="00656674"/>
    <w:rsid w:val="00660706"/>
    <w:rsid w:val="00665381"/>
    <w:rsid w:val="006663D3"/>
    <w:rsid w:val="00666E7B"/>
    <w:rsid w:val="0066711B"/>
    <w:rsid w:val="0066766A"/>
    <w:rsid w:val="006709DB"/>
    <w:rsid w:val="0067162C"/>
    <w:rsid w:val="00671865"/>
    <w:rsid w:val="006727AB"/>
    <w:rsid w:val="00673076"/>
    <w:rsid w:val="00674408"/>
    <w:rsid w:val="00674C7E"/>
    <w:rsid w:val="00674E29"/>
    <w:rsid w:val="00674EE7"/>
    <w:rsid w:val="00674F73"/>
    <w:rsid w:val="00675CBA"/>
    <w:rsid w:val="006800C0"/>
    <w:rsid w:val="006837D9"/>
    <w:rsid w:val="006863F7"/>
    <w:rsid w:val="00690B17"/>
    <w:rsid w:val="006920EA"/>
    <w:rsid w:val="00694AF9"/>
    <w:rsid w:val="006958B6"/>
    <w:rsid w:val="00696BD2"/>
    <w:rsid w:val="00697558"/>
    <w:rsid w:val="006A0C47"/>
    <w:rsid w:val="006A27C7"/>
    <w:rsid w:val="006A2E09"/>
    <w:rsid w:val="006A338B"/>
    <w:rsid w:val="006A46A6"/>
    <w:rsid w:val="006A6AF8"/>
    <w:rsid w:val="006A71B7"/>
    <w:rsid w:val="006B3391"/>
    <w:rsid w:val="006B348F"/>
    <w:rsid w:val="006B3A72"/>
    <w:rsid w:val="006B450F"/>
    <w:rsid w:val="006B5C7D"/>
    <w:rsid w:val="006B5D42"/>
    <w:rsid w:val="006B7152"/>
    <w:rsid w:val="006B7D1A"/>
    <w:rsid w:val="006C056C"/>
    <w:rsid w:val="006C07BD"/>
    <w:rsid w:val="006C2180"/>
    <w:rsid w:val="006C2E1D"/>
    <w:rsid w:val="006C3E46"/>
    <w:rsid w:val="006C626B"/>
    <w:rsid w:val="006C6485"/>
    <w:rsid w:val="006D0628"/>
    <w:rsid w:val="006D19F4"/>
    <w:rsid w:val="006D2015"/>
    <w:rsid w:val="006D3C9E"/>
    <w:rsid w:val="006D4175"/>
    <w:rsid w:val="006D4BD7"/>
    <w:rsid w:val="006D52FD"/>
    <w:rsid w:val="006D561A"/>
    <w:rsid w:val="006D5B9F"/>
    <w:rsid w:val="006D60E5"/>
    <w:rsid w:val="006D6690"/>
    <w:rsid w:val="006D67BA"/>
    <w:rsid w:val="006D729D"/>
    <w:rsid w:val="006E13B9"/>
    <w:rsid w:val="006E289E"/>
    <w:rsid w:val="006E2D02"/>
    <w:rsid w:val="006E2D42"/>
    <w:rsid w:val="006E32DF"/>
    <w:rsid w:val="006E352F"/>
    <w:rsid w:val="006E4696"/>
    <w:rsid w:val="006E5FBB"/>
    <w:rsid w:val="006E6C0E"/>
    <w:rsid w:val="006F21FB"/>
    <w:rsid w:val="006F38C4"/>
    <w:rsid w:val="006F38DD"/>
    <w:rsid w:val="006F5691"/>
    <w:rsid w:val="006F6A34"/>
    <w:rsid w:val="007017F6"/>
    <w:rsid w:val="00702250"/>
    <w:rsid w:val="0070235F"/>
    <w:rsid w:val="00702C0D"/>
    <w:rsid w:val="00703138"/>
    <w:rsid w:val="007038A2"/>
    <w:rsid w:val="007067A6"/>
    <w:rsid w:val="007079F2"/>
    <w:rsid w:val="00707DB4"/>
    <w:rsid w:val="00710972"/>
    <w:rsid w:val="007109B4"/>
    <w:rsid w:val="00711D3E"/>
    <w:rsid w:val="00711DF2"/>
    <w:rsid w:val="007146ED"/>
    <w:rsid w:val="00714EA8"/>
    <w:rsid w:val="00715BFE"/>
    <w:rsid w:val="007165C2"/>
    <w:rsid w:val="00720F10"/>
    <w:rsid w:val="007211AE"/>
    <w:rsid w:val="00721B00"/>
    <w:rsid w:val="0072276D"/>
    <w:rsid w:val="00722FE0"/>
    <w:rsid w:val="00723AC4"/>
    <w:rsid w:val="007247FB"/>
    <w:rsid w:val="0072549D"/>
    <w:rsid w:val="00725CF3"/>
    <w:rsid w:val="00727C9E"/>
    <w:rsid w:val="00732AD0"/>
    <w:rsid w:val="00732E51"/>
    <w:rsid w:val="00734653"/>
    <w:rsid w:val="007346A9"/>
    <w:rsid w:val="007346D8"/>
    <w:rsid w:val="00736211"/>
    <w:rsid w:val="00740757"/>
    <w:rsid w:val="00742517"/>
    <w:rsid w:val="007428EB"/>
    <w:rsid w:val="007439DF"/>
    <w:rsid w:val="00743AE8"/>
    <w:rsid w:val="00743CCB"/>
    <w:rsid w:val="00745E82"/>
    <w:rsid w:val="0074668C"/>
    <w:rsid w:val="00746726"/>
    <w:rsid w:val="00746949"/>
    <w:rsid w:val="00746B2A"/>
    <w:rsid w:val="00750DD2"/>
    <w:rsid w:val="0075229B"/>
    <w:rsid w:val="007526B8"/>
    <w:rsid w:val="00752C09"/>
    <w:rsid w:val="00753230"/>
    <w:rsid w:val="00753D4E"/>
    <w:rsid w:val="00754002"/>
    <w:rsid w:val="00754724"/>
    <w:rsid w:val="00754866"/>
    <w:rsid w:val="00756DCD"/>
    <w:rsid w:val="00757361"/>
    <w:rsid w:val="00762D5A"/>
    <w:rsid w:val="00763060"/>
    <w:rsid w:val="00763A11"/>
    <w:rsid w:val="007655E4"/>
    <w:rsid w:val="007656BF"/>
    <w:rsid w:val="0076589D"/>
    <w:rsid w:val="00765CAA"/>
    <w:rsid w:val="007661F9"/>
    <w:rsid w:val="00766F71"/>
    <w:rsid w:val="007719FC"/>
    <w:rsid w:val="00771D1A"/>
    <w:rsid w:val="00774970"/>
    <w:rsid w:val="00774FE6"/>
    <w:rsid w:val="007753A7"/>
    <w:rsid w:val="0078013E"/>
    <w:rsid w:val="0078069D"/>
    <w:rsid w:val="00780C38"/>
    <w:rsid w:val="007815E8"/>
    <w:rsid w:val="00781A5D"/>
    <w:rsid w:val="00782756"/>
    <w:rsid w:val="00782E70"/>
    <w:rsid w:val="00783264"/>
    <w:rsid w:val="007833CB"/>
    <w:rsid w:val="0078494E"/>
    <w:rsid w:val="007852A0"/>
    <w:rsid w:val="0078540A"/>
    <w:rsid w:val="00787C88"/>
    <w:rsid w:val="007902EE"/>
    <w:rsid w:val="0079073A"/>
    <w:rsid w:val="00790B7C"/>
    <w:rsid w:val="00791D78"/>
    <w:rsid w:val="00792B3B"/>
    <w:rsid w:val="00792EDF"/>
    <w:rsid w:val="00793444"/>
    <w:rsid w:val="00796CAF"/>
    <w:rsid w:val="00796CE5"/>
    <w:rsid w:val="007A1446"/>
    <w:rsid w:val="007A160D"/>
    <w:rsid w:val="007A297B"/>
    <w:rsid w:val="007A3407"/>
    <w:rsid w:val="007A360E"/>
    <w:rsid w:val="007A3C28"/>
    <w:rsid w:val="007A3CBF"/>
    <w:rsid w:val="007A3CCA"/>
    <w:rsid w:val="007A3EDA"/>
    <w:rsid w:val="007A413A"/>
    <w:rsid w:val="007A5939"/>
    <w:rsid w:val="007A7F4A"/>
    <w:rsid w:val="007B062B"/>
    <w:rsid w:val="007B1804"/>
    <w:rsid w:val="007B1DE8"/>
    <w:rsid w:val="007B1EBE"/>
    <w:rsid w:val="007B2426"/>
    <w:rsid w:val="007B3CED"/>
    <w:rsid w:val="007B45D7"/>
    <w:rsid w:val="007B4E40"/>
    <w:rsid w:val="007B5AD4"/>
    <w:rsid w:val="007B5C33"/>
    <w:rsid w:val="007B5F33"/>
    <w:rsid w:val="007C06F5"/>
    <w:rsid w:val="007C103B"/>
    <w:rsid w:val="007C2CBF"/>
    <w:rsid w:val="007C30F3"/>
    <w:rsid w:val="007C4089"/>
    <w:rsid w:val="007C489F"/>
    <w:rsid w:val="007C496A"/>
    <w:rsid w:val="007C5668"/>
    <w:rsid w:val="007C673B"/>
    <w:rsid w:val="007D11EF"/>
    <w:rsid w:val="007D29CF"/>
    <w:rsid w:val="007D3147"/>
    <w:rsid w:val="007D356E"/>
    <w:rsid w:val="007D3FED"/>
    <w:rsid w:val="007D571D"/>
    <w:rsid w:val="007D5B62"/>
    <w:rsid w:val="007D5F17"/>
    <w:rsid w:val="007D7455"/>
    <w:rsid w:val="007D7AAF"/>
    <w:rsid w:val="007E056B"/>
    <w:rsid w:val="007E105E"/>
    <w:rsid w:val="007E113E"/>
    <w:rsid w:val="007E36F6"/>
    <w:rsid w:val="007E3D21"/>
    <w:rsid w:val="007E3DEF"/>
    <w:rsid w:val="007E7213"/>
    <w:rsid w:val="007E7253"/>
    <w:rsid w:val="007E77B5"/>
    <w:rsid w:val="007E7C1C"/>
    <w:rsid w:val="007F0F97"/>
    <w:rsid w:val="007F3D3F"/>
    <w:rsid w:val="007F3E1F"/>
    <w:rsid w:val="007F3EB4"/>
    <w:rsid w:val="007F43E3"/>
    <w:rsid w:val="007F47FF"/>
    <w:rsid w:val="007F4F26"/>
    <w:rsid w:val="007F56EE"/>
    <w:rsid w:val="007F6E43"/>
    <w:rsid w:val="007F7E0F"/>
    <w:rsid w:val="0080209C"/>
    <w:rsid w:val="00802361"/>
    <w:rsid w:val="00802E3B"/>
    <w:rsid w:val="00803298"/>
    <w:rsid w:val="00803323"/>
    <w:rsid w:val="0080382F"/>
    <w:rsid w:val="0080550F"/>
    <w:rsid w:val="008078A7"/>
    <w:rsid w:val="0081258D"/>
    <w:rsid w:val="0081414F"/>
    <w:rsid w:val="00814DE5"/>
    <w:rsid w:val="00815050"/>
    <w:rsid w:val="00815807"/>
    <w:rsid w:val="008158D1"/>
    <w:rsid w:val="00817207"/>
    <w:rsid w:val="0081781E"/>
    <w:rsid w:val="00817C15"/>
    <w:rsid w:val="00817F57"/>
    <w:rsid w:val="008200C5"/>
    <w:rsid w:val="00822D1E"/>
    <w:rsid w:val="00822D68"/>
    <w:rsid w:val="0082514E"/>
    <w:rsid w:val="00826488"/>
    <w:rsid w:val="00827AC6"/>
    <w:rsid w:val="00827E2C"/>
    <w:rsid w:val="00831247"/>
    <w:rsid w:val="008329CF"/>
    <w:rsid w:val="008337DA"/>
    <w:rsid w:val="00833AF8"/>
    <w:rsid w:val="00833E83"/>
    <w:rsid w:val="00834F0C"/>
    <w:rsid w:val="00836563"/>
    <w:rsid w:val="00836EF3"/>
    <w:rsid w:val="00837F4B"/>
    <w:rsid w:val="00841603"/>
    <w:rsid w:val="00841881"/>
    <w:rsid w:val="0084371E"/>
    <w:rsid w:val="00845659"/>
    <w:rsid w:val="00845A5A"/>
    <w:rsid w:val="008467B0"/>
    <w:rsid w:val="00846E5F"/>
    <w:rsid w:val="0084756C"/>
    <w:rsid w:val="008500E1"/>
    <w:rsid w:val="00851914"/>
    <w:rsid w:val="008532CE"/>
    <w:rsid w:val="00853A19"/>
    <w:rsid w:val="00855487"/>
    <w:rsid w:val="00856457"/>
    <w:rsid w:val="00857F3C"/>
    <w:rsid w:val="0086078A"/>
    <w:rsid w:val="00860BF7"/>
    <w:rsid w:val="00861CDB"/>
    <w:rsid w:val="008622F5"/>
    <w:rsid w:val="008628C6"/>
    <w:rsid w:val="00863A41"/>
    <w:rsid w:val="00864907"/>
    <w:rsid w:val="00865D51"/>
    <w:rsid w:val="008662FE"/>
    <w:rsid w:val="008670E4"/>
    <w:rsid w:val="00867137"/>
    <w:rsid w:val="00867849"/>
    <w:rsid w:val="008717D6"/>
    <w:rsid w:val="00871D6E"/>
    <w:rsid w:val="008721CB"/>
    <w:rsid w:val="0087343B"/>
    <w:rsid w:val="00873D38"/>
    <w:rsid w:val="00873E5D"/>
    <w:rsid w:val="0087620C"/>
    <w:rsid w:val="00882F86"/>
    <w:rsid w:val="00883B4D"/>
    <w:rsid w:val="00883B63"/>
    <w:rsid w:val="008849A6"/>
    <w:rsid w:val="00885314"/>
    <w:rsid w:val="008873F3"/>
    <w:rsid w:val="00887F36"/>
    <w:rsid w:val="00890C78"/>
    <w:rsid w:val="008912A6"/>
    <w:rsid w:val="00891BF2"/>
    <w:rsid w:val="0089321E"/>
    <w:rsid w:val="008936C9"/>
    <w:rsid w:val="00893F0E"/>
    <w:rsid w:val="0089489B"/>
    <w:rsid w:val="0089621D"/>
    <w:rsid w:val="00896ED1"/>
    <w:rsid w:val="00897253"/>
    <w:rsid w:val="008973EA"/>
    <w:rsid w:val="00897903"/>
    <w:rsid w:val="008A01D5"/>
    <w:rsid w:val="008A1329"/>
    <w:rsid w:val="008A1D91"/>
    <w:rsid w:val="008A27FA"/>
    <w:rsid w:val="008A407E"/>
    <w:rsid w:val="008A43F4"/>
    <w:rsid w:val="008A5152"/>
    <w:rsid w:val="008A58C9"/>
    <w:rsid w:val="008A735E"/>
    <w:rsid w:val="008A7377"/>
    <w:rsid w:val="008A783F"/>
    <w:rsid w:val="008B072B"/>
    <w:rsid w:val="008B0CF5"/>
    <w:rsid w:val="008B135B"/>
    <w:rsid w:val="008B3800"/>
    <w:rsid w:val="008B551A"/>
    <w:rsid w:val="008B57B1"/>
    <w:rsid w:val="008B5CCF"/>
    <w:rsid w:val="008B6027"/>
    <w:rsid w:val="008B605D"/>
    <w:rsid w:val="008B6444"/>
    <w:rsid w:val="008B775E"/>
    <w:rsid w:val="008C002D"/>
    <w:rsid w:val="008C12EF"/>
    <w:rsid w:val="008C1AC3"/>
    <w:rsid w:val="008C218F"/>
    <w:rsid w:val="008C2652"/>
    <w:rsid w:val="008C2C3C"/>
    <w:rsid w:val="008C5906"/>
    <w:rsid w:val="008D076A"/>
    <w:rsid w:val="008D0EA8"/>
    <w:rsid w:val="008D110C"/>
    <w:rsid w:val="008D1622"/>
    <w:rsid w:val="008D20E5"/>
    <w:rsid w:val="008D2B4E"/>
    <w:rsid w:val="008D3F0E"/>
    <w:rsid w:val="008D4395"/>
    <w:rsid w:val="008E1057"/>
    <w:rsid w:val="008E1704"/>
    <w:rsid w:val="008E2D6B"/>
    <w:rsid w:val="008E424F"/>
    <w:rsid w:val="008E5934"/>
    <w:rsid w:val="008E5B62"/>
    <w:rsid w:val="008E6BA9"/>
    <w:rsid w:val="008E77E2"/>
    <w:rsid w:val="008F0A92"/>
    <w:rsid w:val="008F2299"/>
    <w:rsid w:val="008F53F6"/>
    <w:rsid w:val="008F5DF9"/>
    <w:rsid w:val="008F6988"/>
    <w:rsid w:val="008F77BE"/>
    <w:rsid w:val="009007AC"/>
    <w:rsid w:val="009008D3"/>
    <w:rsid w:val="009019A7"/>
    <w:rsid w:val="009030D2"/>
    <w:rsid w:val="009034E1"/>
    <w:rsid w:val="00903A5D"/>
    <w:rsid w:val="00903BBA"/>
    <w:rsid w:val="0090474E"/>
    <w:rsid w:val="00905D02"/>
    <w:rsid w:val="009101B3"/>
    <w:rsid w:val="0091077D"/>
    <w:rsid w:val="009115A9"/>
    <w:rsid w:val="00911988"/>
    <w:rsid w:val="00912DD5"/>
    <w:rsid w:val="00913E5C"/>
    <w:rsid w:val="00915D80"/>
    <w:rsid w:val="0091736C"/>
    <w:rsid w:val="00917A00"/>
    <w:rsid w:val="00917E7D"/>
    <w:rsid w:val="00920259"/>
    <w:rsid w:val="0092072F"/>
    <w:rsid w:val="0092215A"/>
    <w:rsid w:val="00923A8B"/>
    <w:rsid w:val="009244E0"/>
    <w:rsid w:val="00924BC5"/>
    <w:rsid w:val="00926984"/>
    <w:rsid w:val="00927639"/>
    <w:rsid w:val="00927B55"/>
    <w:rsid w:val="00927EC4"/>
    <w:rsid w:val="0093092E"/>
    <w:rsid w:val="0093387B"/>
    <w:rsid w:val="00933D99"/>
    <w:rsid w:val="00934DC2"/>
    <w:rsid w:val="00934E12"/>
    <w:rsid w:val="00935EB4"/>
    <w:rsid w:val="00936C7E"/>
    <w:rsid w:val="009406A7"/>
    <w:rsid w:val="00940E35"/>
    <w:rsid w:val="0094122B"/>
    <w:rsid w:val="00941AD8"/>
    <w:rsid w:val="00942834"/>
    <w:rsid w:val="0094295D"/>
    <w:rsid w:val="00943135"/>
    <w:rsid w:val="00943492"/>
    <w:rsid w:val="00944394"/>
    <w:rsid w:val="00944B6B"/>
    <w:rsid w:val="009457B7"/>
    <w:rsid w:val="009459D9"/>
    <w:rsid w:val="009465C1"/>
    <w:rsid w:val="00946B27"/>
    <w:rsid w:val="009476E4"/>
    <w:rsid w:val="00947CC0"/>
    <w:rsid w:val="00950475"/>
    <w:rsid w:val="00950B90"/>
    <w:rsid w:val="00952DA3"/>
    <w:rsid w:val="00952DA6"/>
    <w:rsid w:val="009541B6"/>
    <w:rsid w:val="009549A9"/>
    <w:rsid w:val="009550F3"/>
    <w:rsid w:val="00955A90"/>
    <w:rsid w:val="009564E8"/>
    <w:rsid w:val="00956714"/>
    <w:rsid w:val="0095688C"/>
    <w:rsid w:val="00960C92"/>
    <w:rsid w:val="00961DC4"/>
    <w:rsid w:val="00961F32"/>
    <w:rsid w:val="009621AA"/>
    <w:rsid w:val="0096265E"/>
    <w:rsid w:val="00963084"/>
    <w:rsid w:val="0096376A"/>
    <w:rsid w:val="009639F6"/>
    <w:rsid w:val="00964EA8"/>
    <w:rsid w:val="0096673E"/>
    <w:rsid w:val="00966DB8"/>
    <w:rsid w:val="00967133"/>
    <w:rsid w:val="00967CEC"/>
    <w:rsid w:val="009725CE"/>
    <w:rsid w:val="00972BFA"/>
    <w:rsid w:val="00973C8B"/>
    <w:rsid w:val="009753AB"/>
    <w:rsid w:val="00975E60"/>
    <w:rsid w:val="0097759B"/>
    <w:rsid w:val="00977FF3"/>
    <w:rsid w:val="009801CD"/>
    <w:rsid w:val="009824A9"/>
    <w:rsid w:val="00982BE1"/>
    <w:rsid w:val="00983375"/>
    <w:rsid w:val="0098508C"/>
    <w:rsid w:val="00985630"/>
    <w:rsid w:val="009863AE"/>
    <w:rsid w:val="0098658A"/>
    <w:rsid w:val="0098676D"/>
    <w:rsid w:val="009876EC"/>
    <w:rsid w:val="009903C3"/>
    <w:rsid w:val="00990A4F"/>
    <w:rsid w:val="00991487"/>
    <w:rsid w:val="00991863"/>
    <w:rsid w:val="009921FA"/>
    <w:rsid w:val="00992852"/>
    <w:rsid w:val="00992F96"/>
    <w:rsid w:val="009934D5"/>
    <w:rsid w:val="00993BCC"/>
    <w:rsid w:val="00995C89"/>
    <w:rsid w:val="00995D9B"/>
    <w:rsid w:val="00996506"/>
    <w:rsid w:val="0099659F"/>
    <w:rsid w:val="00997E6B"/>
    <w:rsid w:val="009A1F34"/>
    <w:rsid w:val="009A1F4E"/>
    <w:rsid w:val="009A2A10"/>
    <w:rsid w:val="009A2DDD"/>
    <w:rsid w:val="009A3570"/>
    <w:rsid w:val="009A558A"/>
    <w:rsid w:val="009A6539"/>
    <w:rsid w:val="009A71E1"/>
    <w:rsid w:val="009A77E6"/>
    <w:rsid w:val="009B0A06"/>
    <w:rsid w:val="009B149E"/>
    <w:rsid w:val="009B1A29"/>
    <w:rsid w:val="009B210A"/>
    <w:rsid w:val="009B2A76"/>
    <w:rsid w:val="009B54B5"/>
    <w:rsid w:val="009B5881"/>
    <w:rsid w:val="009B6397"/>
    <w:rsid w:val="009B66FB"/>
    <w:rsid w:val="009B70A6"/>
    <w:rsid w:val="009B74AB"/>
    <w:rsid w:val="009C043E"/>
    <w:rsid w:val="009C0529"/>
    <w:rsid w:val="009C0FF8"/>
    <w:rsid w:val="009C1115"/>
    <w:rsid w:val="009C1840"/>
    <w:rsid w:val="009C31AC"/>
    <w:rsid w:val="009C6571"/>
    <w:rsid w:val="009D045B"/>
    <w:rsid w:val="009D0A8A"/>
    <w:rsid w:val="009D0A92"/>
    <w:rsid w:val="009D0B35"/>
    <w:rsid w:val="009D2480"/>
    <w:rsid w:val="009D29CC"/>
    <w:rsid w:val="009D4640"/>
    <w:rsid w:val="009D4EA8"/>
    <w:rsid w:val="009D5055"/>
    <w:rsid w:val="009D79E2"/>
    <w:rsid w:val="009D7A9F"/>
    <w:rsid w:val="009E0836"/>
    <w:rsid w:val="009E115A"/>
    <w:rsid w:val="009E1957"/>
    <w:rsid w:val="009E259A"/>
    <w:rsid w:val="009E3C77"/>
    <w:rsid w:val="009E57E2"/>
    <w:rsid w:val="009E5FC9"/>
    <w:rsid w:val="009E726C"/>
    <w:rsid w:val="009E74B1"/>
    <w:rsid w:val="009E7A2F"/>
    <w:rsid w:val="009E7B17"/>
    <w:rsid w:val="009E7FCE"/>
    <w:rsid w:val="009F01DF"/>
    <w:rsid w:val="009F0201"/>
    <w:rsid w:val="009F046D"/>
    <w:rsid w:val="009F30F0"/>
    <w:rsid w:val="009F34A1"/>
    <w:rsid w:val="009F37A2"/>
    <w:rsid w:val="009F405A"/>
    <w:rsid w:val="009F5C54"/>
    <w:rsid w:val="009F6D2E"/>
    <w:rsid w:val="009F70D6"/>
    <w:rsid w:val="009F7163"/>
    <w:rsid w:val="00A0090C"/>
    <w:rsid w:val="00A01844"/>
    <w:rsid w:val="00A0232B"/>
    <w:rsid w:val="00A02346"/>
    <w:rsid w:val="00A03E16"/>
    <w:rsid w:val="00A04CFC"/>
    <w:rsid w:val="00A06DD4"/>
    <w:rsid w:val="00A073F4"/>
    <w:rsid w:val="00A10CBF"/>
    <w:rsid w:val="00A12561"/>
    <w:rsid w:val="00A1294E"/>
    <w:rsid w:val="00A12BDC"/>
    <w:rsid w:val="00A16FA6"/>
    <w:rsid w:val="00A2006B"/>
    <w:rsid w:val="00A20228"/>
    <w:rsid w:val="00A21597"/>
    <w:rsid w:val="00A2186B"/>
    <w:rsid w:val="00A21898"/>
    <w:rsid w:val="00A22C51"/>
    <w:rsid w:val="00A243CC"/>
    <w:rsid w:val="00A2558E"/>
    <w:rsid w:val="00A26003"/>
    <w:rsid w:val="00A26E24"/>
    <w:rsid w:val="00A27ADB"/>
    <w:rsid w:val="00A27DB7"/>
    <w:rsid w:val="00A32490"/>
    <w:rsid w:val="00A3299A"/>
    <w:rsid w:val="00A33369"/>
    <w:rsid w:val="00A3356E"/>
    <w:rsid w:val="00A339E9"/>
    <w:rsid w:val="00A354EC"/>
    <w:rsid w:val="00A358B0"/>
    <w:rsid w:val="00A363C7"/>
    <w:rsid w:val="00A36568"/>
    <w:rsid w:val="00A41E05"/>
    <w:rsid w:val="00A42558"/>
    <w:rsid w:val="00A428B0"/>
    <w:rsid w:val="00A43300"/>
    <w:rsid w:val="00A43919"/>
    <w:rsid w:val="00A43974"/>
    <w:rsid w:val="00A43992"/>
    <w:rsid w:val="00A43B00"/>
    <w:rsid w:val="00A4609E"/>
    <w:rsid w:val="00A46FEC"/>
    <w:rsid w:val="00A47D30"/>
    <w:rsid w:val="00A521F3"/>
    <w:rsid w:val="00A53355"/>
    <w:rsid w:val="00A5385B"/>
    <w:rsid w:val="00A5457B"/>
    <w:rsid w:val="00A54D17"/>
    <w:rsid w:val="00A5595C"/>
    <w:rsid w:val="00A568A9"/>
    <w:rsid w:val="00A6067F"/>
    <w:rsid w:val="00A60C25"/>
    <w:rsid w:val="00A60D11"/>
    <w:rsid w:val="00A63B1E"/>
    <w:rsid w:val="00A63E09"/>
    <w:rsid w:val="00A63E36"/>
    <w:rsid w:val="00A64FAE"/>
    <w:rsid w:val="00A670AE"/>
    <w:rsid w:val="00A70136"/>
    <w:rsid w:val="00A7135D"/>
    <w:rsid w:val="00A718FA"/>
    <w:rsid w:val="00A73B25"/>
    <w:rsid w:val="00A758E8"/>
    <w:rsid w:val="00A76394"/>
    <w:rsid w:val="00A76957"/>
    <w:rsid w:val="00A77E8D"/>
    <w:rsid w:val="00A77F5C"/>
    <w:rsid w:val="00A8023E"/>
    <w:rsid w:val="00A805B0"/>
    <w:rsid w:val="00A8093D"/>
    <w:rsid w:val="00A8123F"/>
    <w:rsid w:val="00A812CD"/>
    <w:rsid w:val="00A82378"/>
    <w:rsid w:val="00A82836"/>
    <w:rsid w:val="00A82D74"/>
    <w:rsid w:val="00A82EDC"/>
    <w:rsid w:val="00A8305F"/>
    <w:rsid w:val="00A83814"/>
    <w:rsid w:val="00A8385F"/>
    <w:rsid w:val="00A84541"/>
    <w:rsid w:val="00A84B77"/>
    <w:rsid w:val="00A856D5"/>
    <w:rsid w:val="00A85A0C"/>
    <w:rsid w:val="00A85E2F"/>
    <w:rsid w:val="00A85F72"/>
    <w:rsid w:val="00A866A0"/>
    <w:rsid w:val="00A873A3"/>
    <w:rsid w:val="00A87A4D"/>
    <w:rsid w:val="00A907F9"/>
    <w:rsid w:val="00A90AB4"/>
    <w:rsid w:val="00A93D83"/>
    <w:rsid w:val="00A95331"/>
    <w:rsid w:val="00A95D62"/>
    <w:rsid w:val="00A9794D"/>
    <w:rsid w:val="00A97A9F"/>
    <w:rsid w:val="00AA06CC"/>
    <w:rsid w:val="00AA0770"/>
    <w:rsid w:val="00AA2158"/>
    <w:rsid w:val="00AA2C51"/>
    <w:rsid w:val="00AA2CB3"/>
    <w:rsid w:val="00AA3C42"/>
    <w:rsid w:val="00AA5518"/>
    <w:rsid w:val="00AA55EE"/>
    <w:rsid w:val="00AA5EF8"/>
    <w:rsid w:val="00AA6C19"/>
    <w:rsid w:val="00AA6FD8"/>
    <w:rsid w:val="00AA7EA9"/>
    <w:rsid w:val="00AA7FA8"/>
    <w:rsid w:val="00AB1BD7"/>
    <w:rsid w:val="00AB1C4F"/>
    <w:rsid w:val="00AB5D75"/>
    <w:rsid w:val="00AB5F9C"/>
    <w:rsid w:val="00AB624A"/>
    <w:rsid w:val="00AB6501"/>
    <w:rsid w:val="00AB7DB3"/>
    <w:rsid w:val="00AC0190"/>
    <w:rsid w:val="00AC1987"/>
    <w:rsid w:val="00AC1BFB"/>
    <w:rsid w:val="00AC340D"/>
    <w:rsid w:val="00AC348C"/>
    <w:rsid w:val="00AC3C22"/>
    <w:rsid w:val="00AC4ADD"/>
    <w:rsid w:val="00AC4DC9"/>
    <w:rsid w:val="00AC5377"/>
    <w:rsid w:val="00AC53FA"/>
    <w:rsid w:val="00AC5612"/>
    <w:rsid w:val="00AC58B1"/>
    <w:rsid w:val="00AC7BD3"/>
    <w:rsid w:val="00AC7F76"/>
    <w:rsid w:val="00AD18F1"/>
    <w:rsid w:val="00AD29A0"/>
    <w:rsid w:val="00AD29BF"/>
    <w:rsid w:val="00AD5005"/>
    <w:rsid w:val="00AD5938"/>
    <w:rsid w:val="00AD628D"/>
    <w:rsid w:val="00AD7C69"/>
    <w:rsid w:val="00AE0391"/>
    <w:rsid w:val="00AE131D"/>
    <w:rsid w:val="00AE2FE7"/>
    <w:rsid w:val="00AE36A5"/>
    <w:rsid w:val="00AE56CD"/>
    <w:rsid w:val="00AE679A"/>
    <w:rsid w:val="00AE7DBC"/>
    <w:rsid w:val="00AF071F"/>
    <w:rsid w:val="00AF0CB9"/>
    <w:rsid w:val="00AF171A"/>
    <w:rsid w:val="00AF251A"/>
    <w:rsid w:val="00AF2E1A"/>
    <w:rsid w:val="00AF3035"/>
    <w:rsid w:val="00AF3447"/>
    <w:rsid w:val="00AF6882"/>
    <w:rsid w:val="00AF6D65"/>
    <w:rsid w:val="00AF763B"/>
    <w:rsid w:val="00B026E0"/>
    <w:rsid w:val="00B02D54"/>
    <w:rsid w:val="00B0416D"/>
    <w:rsid w:val="00B042E4"/>
    <w:rsid w:val="00B043FF"/>
    <w:rsid w:val="00B053A5"/>
    <w:rsid w:val="00B0642C"/>
    <w:rsid w:val="00B07211"/>
    <w:rsid w:val="00B10F6E"/>
    <w:rsid w:val="00B13199"/>
    <w:rsid w:val="00B13436"/>
    <w:rsid w:val="00B14889"/>
    <w:rsid w:val="00B16050"/>
    <w:rsid w:val="00B16C59"/>
    <w:rsid w:val="00B206BD"/>
    <w:rsid w:val="00B20740"/>
    <w:rsid w:val="00B21C0F"/>
    <w:rsid w:val="00B2251A"/>
    <w:rsid w:val="00B27E97"/>
    <w:rsid w:val="00B30849"/>
    <w:rsid w:val="00B31157"/>
    <w:rsid w:val="00B31EB2"/>
    <w:rsid w:val="00B32452"/>
    <w:rsid w:val="00B32882"/>
    <w:rsid w:val="00B328FD"/>
    <w:rsid w:val="00B33547"/>
    <w:rsid w:val="00B33CB5"/>
    <w:rsid w:val="00B34251"/>
    <w:rsid w:val="00B34D0F"/>
    <w:rsid w:val="00B34F34"/>
    <w:rsid w:val="00B358F8"/>
    <w:rsid w:val="00B36FAB"/>
    <w:rsid w:val="00B375C4"/>
    <w:rsid w:val="00B37C57"/>
    <w:rsid w:val="00B37D81"/>
    <w:rsid w:val="00B409D6"/>
    <w:rsid w:val="00B451E4"/>
    <w:rsid w:val="00B47B11"/>
    <w:rsid w:val="00B512B2"/>
    <w:rsid w:val="00B522E0"/>
    <w:rsid w:val="00B52D5C"/>
    <w:rsid w:val="00B53719"/>
    <w:rsid w:val="00B538D5"/>
    <w:rsid w:val="00B53D9A"/>
    <w:rsid w:val="00B557E2"/>
    <w:rsid w:val="00B55A16"/>
    <w:rsid w:val="00B56179"/>
    <w:rsid w:val="00B57AE8"/>
    <w:rsid w:val="00B60631"/>
    <w:rsid w:val="00B65BE8"/>
    <w:rsid w:val="00B669F0"/>
    <w:rsid w:val="00B670CA"/>
    <w:rsid w:val="00B67997"/>
    <w:rsid w:val="00B67C41"/>
    <w:rsid w:val="00B710E5"/>
    <w:rsid w:val="00B72315"/>
    <w:rsid w:val="00B72380"/>
    <w:rsid w:val="00B72400"/>
    <w:rsid w:val="00B74BD9"/>
    <w:rsid w:val="00B74CB2"/>
    <w:rsid w:val="00B755E2"/>
    <w:rsid w:val="00B75BE6"/>
    <w:rsid w:val="00B763EA"/>
    <w:rsid w:val="00B77909"/>
    <w:rsid w:val="00B80046"/>
    <w:rsid w:val="00B81FBF"/>
    <w:rsid w:val="00B82B9D"/>
    <w:rsid w:val="00B83A0E"/>
    <w:rsid w:val="00B84919"/>
    <w:rsid w:val="00B84C5D"/>
    <w:rsid w:val="00B8513A"/>
    <w:rsid w:val="00B863B9"/>
    <w:rsid w:val="00B9077D"/>
    <w:rsid w:val="00B919AC"/>
    <w:rsid w:val="00B92E86"/>
    <w:rsid w:val="00B93121"/>
    <w:rsid w:val="00B9481A"/>
    <w:rsid w:val="00B94FF4"/>
    <w:rsid w:val="00B950C7"/>
    <w:rsid w:val="00B95B52"/>
    <w:rsid w:val="00B964DD"/>
    <w:rsid w:val="00B9719F"/>
    <w:rsid w:val="00B97910"/>
    <w:rsid w:val="00BA0890"/>
    <w:rsid w:val="00BA29EB"/>
    <w:rsid w:val="00BA3855"/>
    <w:rsid w:val="00BA3BB5"/>
    <w:rsid w:val="00BA3BE3"/>
    <w:rsid w:val="00BA42A9"/>
    <w:rsid w:val="00BA4DD2"/>
    <w:rsid w:val="00BA5031"/>
    <w:rsid w:val="00BA601D"/>
    <w:rsid w:val="00BA733E"/>
    <w:rsid w:val="00BB1465"/>
    <w:rsid w:val="00BB17B5"/>
    <w:rsid w:val="00BB3715"/>
    <w:rsid w:val="00BB3B50"/>
    <w:rsid w:val="00BB4203"/>
    <w:rsid w:val="00BB4890"/>
    <w:rsid w:val="00BB7290"/>
    <w:rsid w:val="00BC022B"/>
    <w:rsid w:val="00BC1E62"/>
    <w:rsid w:val="00BC1EE1"/>
    <w:rsid w:val="00BC20F0"/>
    <w:rsid w:val="00BC74CA"/>
    <w:rsid w:val="00BC7A58"/>
    <w:rsid w:val="00BC7E0E"/>
    <w:rsid w:val="00BD079E"/>
    <w:rsid w:val="00BD1053"/>
    <w:rsid w:val="00BD1737"/>
    <w:rsid w:val="00BD320E"/>
    <w:rsid w:val="00BD58C4"/>
    <w:rsid w:val="00BD5F6E"/>
    <w:rsid w:val="00BD7285"/>
    <w:rsid w:val="00BD74D1"/>
    <w:rsid w:val="00BD7806"/>
    <w:rsid w:val="00BE0679"/>
    <w:rsid w:val="00BE1F4E"/>
    <w:rsid w:val="00BE7EB1"/>
    <w:rsid w:val="00BF10DF"/>
    <w:rsid w:val="00BF1426"/>
    <w:rsid w:val="00BF159F"/>
    <w:rsid w:val="00BF27B8"/>
    <w:rsid w:val="00BF34F5"/>
    <w:rsid w:val="00BF392B"/>
    <w:rsid w:val="00BF3A1C"/>
    <w:rsid w:val="00BF3E8B"/>
    <w:rsid w:val="00BF4C17"/>
    <w:rsid w:val="00BF5B11"/>
    <w:rsid w:val="00BF66AE"/>
    <w:rsid w:val="00BF7A50"/>
    <w:rsid w:val="00BF7FE2"/>
    <w:rsid w:val="00C02314"/>
    <w:rsid w:val="00C0235E"/>
    <w:rsid w:val="00C02D26"/>
    <w:rsid w:val="00C032B5"/>
    <w:rsid w:val="00C04400"/>
    <w:rsid w:val="00C049F8"/>
    <w:rsid w:val="00C067E9"/>
    <w:rsid w:val="00C06B73"/>
    <w:rsid w:val="00C10E3F"/>
    <w:rsid w:val="00C11306"/>
    <w:rsid w:val="00C12559"/>
    <w:rsid w:val="00C128CA"/>
    <w:rsid w:val="00C12FBF"/>
    <w:rsid w:val="00C13A5B"/>
    <w:rsid w:val="00C13A70"/>
    <w:rsid w:val="00C1473A"/>
    <w:rsid w:val="00C16883"/>
    <w:rsid w:val="00C206B9"/>
    <w:rsid w:val="00C2193B"/>
    <w:rsid w:val="00C2205A"/>
    <w:rsid w:val="00C22C8B"/>
    <w:rsid w:val="00C24561"/>
    <w:rsid w:val="00C24BA3"/>
    <w:rsid w:val="00C25644"/>
    <w:rsid w:val="00C26CD5"/>
    <w:rsid w:val="00C27202"/>
    <w:rsid w:val="00C27C3E"/>
    <w:rsid w:val="00C302C9"/>
    <w:rsid w:val="00C31B11"/>
    <w:rsid w:val="00C33847"/>
    <w:rsid w:val="00C33D16"/>
    <w:rsid w:val="00C3436F"/>
    <w:rsid w:val="00C35E23"/>
    <w:rsid w:val="00C369DF"/>
    <w:rsid w:val="00C37982"/>
    <w:rsid w:val="00C401C0"/>
    <w:rsid w:val="00C4089E"/>
    <w:rsid w:val="00C428E3"/>
    <w:rsid w:val="00C42CA6"/>
    <w:rsid w:val="00C44046"/>
    <w:rsid w:val="00C468E1"/>
    <w:rsid w:val="00C46AF8"/>
    <w:rsid w:val="00C46C1A"/>
    <w:rsid w:val="00C47A20"/>
    <w:rsid w:val="00C47E12"/>
    <w:rsid w:val="00C503D3"/>
    <w:rsid w:val="00C5168F"/>
    <w:rsid w:val="00C524B5"/>
    <w:rsid w:val="00C53349"/>
    <w:rsid w:val="00C53373"/>
    <w:rsid w:val="00C563F6"/>
    <w:rsid w:val="00C56623"/>
    <w:rsid w:val="00C56DF2"/>
    <w:rsid w:val="00C56E40"/>
    <w:rsid w:val="00C600C3"/>
    <w:rsid w:val="00C6022F"/>
    <w:rsid w:val="00C60DEC"/>
    <w:rsid w:val="00C61220"/>
    <w:rsid w:val="00C61425"/>
    <w:rsid w:val="00C620AB"/>
    <w:rsid w:val="00C65747"/>
    <w:rsid w:val="00C66301"/>
    <w:rsid w:val="00C70003"/>
    <w:rsid w:val="00C700C9"/>
    <w:rsid w:val="00C71BF7"/>
    <w:rsid w:val="00C734B7"/>
    <w:rsid w:val="00C75DC6"/>
    <w:rsid w:val="00C75E1D"/>
    <w:rsid w:val="00C763F4"/>
    <w:rsid w:val="00C76D59"/>
    <w:rsid w:val="00C76D73"/>
    <w:rsid w:val="00C77829"/>
    <w:rsid w:val="00C81699"/>
    <w:rsid w:val="00C8238B"/>
    <w:rsid w:val="00C84217"/>
    <w:rsid w:val="00C85468"/>
    <w:rsid w:val="00C860B6"/>
    <w:rsid w:val="00C91314"/>
    <w:rsid w:val="00C9253F"/>
    <w:rsid w:val="00C94231"/>
    <w:rsid w:val="00C968CE"/>
    <w:rsid w:val="00C97320"/>
    <w:rsid w:val="00CA12E5"/>
    <w:rsid w:val="00CA1DFB"/>
    <w:rsid w:val="00CA2B14"/>
    <w:rsid w:val="00CA34C0"/>
    <w:rsid w:val="00CA34CC"/>
    <w:rsid w:val="00CA3672"/>
    <w:rsid w:val="00CA36E7"/>
    <w:rsid w:val="00CA3B32"/>
    <w:rsid w:val="00CA4DB2"/>
    <w:rsid w:val="00CA4E4E"/>
    <w:rsid w:val="00CA5E2D"/>
    <w:rsid w:val="00CA7065"/>
    <w:rsid w:val="00CA7B22"/>
    <w:rsid w:val="00CA7B6B"/>
    <w:rsid w:val="00CB093E"/>
    <w:rsid w:val="00CB39AB"/>
    <w:rsid w:val="00CB5F06"/>
    <w:rsid w:val="00CC013D"/>
    <w:rsid w:val="00CC17A8"/>
    <w:rsid w:val="00CC23A2"/>
    <w:rsid w:val="00CC2827"/>
    <w:rsid w:val="00CC4017"/>
    <w:rsid w:val="00CC4092"/>
    <w:rsid w:val="00CC4CAE"/>
    <w:rsid w:val="00CC4F6F"/>
    <w:rsid w:val="00CC5611"/>
    <w:rsid w:val="00CC5848"/>
    <w:rsid w:val="00CC6911"/>
    <w:rsid w:val="00CC71FC"/>
    <w:rsid w:val="00CC7474"/>
    <w:rsid w:val="00CD386C"/>
    <w:rsid w:val="00CD4CB0"/>
    <w:rsid w:val="00CD5884"/>
    <w:rsid w:val="00CD6678"/>
    <w:rsid w:val="00CE14FA"/>
    <w:rsid w:val="00CE1E99"/>
    <w:rsid w:val="00CE3CA3"/>
    <w:rsid w:val="00CE40A0"/>
    <w:rsid w:val="00CE5AD2"/>
    <w:rsid w:val="00CE705C"/>
    <w:rsid w:val="00CF0109"/>
    <w:rsid w:val="00CF04DD"/>
    <w:rsid w:val="00CF1078"/>
    <w:rsid w:val="00CF1276"/>
    <w:rsid w:val="00CF1A02"/>
    <w:rsid w:val="00CF31DB"/>
    <w:rsid w:val="00CF3718"/>
    <w:rsid w:val="00CF3CA9"/>
    <w:rsid w:val="00CF48C1"/>
    <w:rsid w:val="00CF6D17"/>
    <w:rsid w:val="00CF6F18"/>
    <w:rsid w:val="00CF7007"/>
    <w:rsid w:val="00CF7DBA"/>
    <w:rsid w:val="00D00949"/>
    <w:rsid w:val="00D00C97"/>
    <w:rsid w:val="00D01E60"/>
    <w:rsid w:val="00D021CE"/>
    <w:rsid w:val="00D0333A"/>
    <w:rsid w:val="00D03BBC"/>
    <w:rsid w:val="00D03EAE"/>
    <w:rsid w:val="00D06690"/>
    <w:rsid w:val="00D06D12"/>
    <w:rsid w:val="00D06EC3"/>
    <w:rsid w:val="00D07674"/>
    <w:rsid w:val="00D0779B"/>
    <w:rsid w:val="00D1037C"/>
    <w:rsid w:val="00D10618"/>
    <w:rsid w:val="00D10690"/>
    <w:rsid w:val="00D10BE4"/>
    <w:rsid w:val="00D11B99"/>
    <w:rsid w:val="00D12716"/>
    <w:rsid w:val="00D12B81"/>
    <w:rsid w:val="00D12DEF"/>
    <w:rsid w:val="00D13408"/>
    <w:rsid w:val="00D1571E"/>
    <w:rsid w:val="00D15ED1"/>
    <w:rsid w:val="00D1618D"/>
    <w:rsid w:val="00D16491"/>
    <w:rsid w:val="00D164D2"/>
    <w:rsid w:val="00D17596"/>
    <w:rsid w:val="00D201C1"/>
    <w:rsid w:val="00D203FF"/>
    <w:rsid w:val="00D210A0"/>
    <w:rsid w:val="00D21167"/>
    <w:rsid w:val="00D21FD3"/>
    <w:rsid w:val="00D234A5"/>
    <w:rsid w:val="00D237DB"/>
    <w:rsid w:val="00D25325"/>
    <w:rsid w:val="00D259D7"/>
    <w:rsid w:val="00D25FCD"/>
    <w:rsid w:val="00D2626F"/>
    <w:rsid w:val="00D31967"/>
    <w:rsid w:val="00D3567B"/>
    <w:rsid w:val="00D359ED"/>
    <w:rsid w:val="00D36447"/>
    <w:rsid w:val="00D36891"/>
    <w:rsid w:val="00D36A2F"/>
    <w:rsid w:val="00D36F48"/>
    <w:rsid w:val="00D3770D"/>
    <w:rsid w:val="00D40866"/>
    <w:rsid w:val="00D409C3"/>
    <w:rsid w:val="00D409DF"/>
    <w:rsid w:val="00D40FA5"/>
    <w:rsid w:val="00D4145C"/>
    <w:rsid w:val="00D42EE8"/>
    <w:rsid w:val="00D43652"/>
    <w:rsid w:val="00D4414C"/>
    <w:rsid w:val="00D46591"/>
    <w:rsid w:val="00D46E4F"/>
    <w:rsid w:val="00D47F7A"/>
    <w:rsid w:val="00D50DD9"/>
    <w:rsid w:val="00D53235"/>
    <w:rsid w:val="00D54247"/>
    <w:rsid w:val="00D552A4"/>
    <w:rsid w:val="00D55992"/>
    <w:rsid w:val="00D56148"/>
    <w:rsid w:val="00D562EE"/>
    <w:rsid w:val="00D565A7"/>
    <w:rsid w:val="00D567FF"/>
    <w:rsid w:val="00D56A75"/>
    <w:rsid w:val="00D574B2"/>
    <w:rsid w:val="00D607D2"/>
    <w:rsid w:val="00D613CC"/>
    <w:rsid w:val="00D62C41"/>
    <w:rsid w:val="00D6310F"/>
    <w:rsid w:val="00D63B1A"/>
    <w:rsid w:val="00D63CE4"/>
    <w:rsid w:val="00D6430F"/>
    <w:rsid w:val="00D70E8E"/>
    <w:rsid w:val="00D724E3"/>
    <w:rsid w:val="00D72D9A"/>
    <w:rsid w:val="00D737EE"/>
    <w:rsid w:val="00D7469E"/>
    <w:rsid w:val="00D765F1"/>
    <w:rsid w:val="00D7675B"/>
    <w:rsid w:val="00D80294"/>
    <w:rsid w:val="00D81676"/>
    <w:rsid w:val="00D82E02"/>
    <w:rsid w:val="00D82EF3"/>
    <w:rsid w:val="00D84FBB"/>
    <w:rsid w:val="00D859CD"/>
    <w:rsid w:val="00D871A8"/>
    <w:rsid w:val="00D87349"/>
    <w:rsid w:val="00D901B8"/>
    <w:rsid w:val="00D91055"/>
    <w:rsid w:val="00D9112E"/>
    <w:rsid w:val="00D913B3"/>
    <w:rsid w:val="00D91689"/>
    <w:rsid w:val="00D92977"/>
    <w:rsid w:val="00D92A69"/>
    <w:rsid w:val="00D93263"/>
    <w:rsid w:val="00D9352C"/>
    <w:rsid w:val="00D93A18"/>
    <w:rsid w:val="00D94A3D"/>
    <w:rsid w:val="00D9564E"/>
    <w:rsid w:val="00D957D0"/>
    <w:rsid w:val="00D966F5"/>
    <w:rsid w:val="00DA1608"/>
    <w:rsid w:val="00DA2B46"/>
    <w:rsid w:val="00DA4139"/>
    <w:rsid w:val="00DA5FEA"/>
    <w:rsid w:val="00DA76FB"/>
    <w:rsid w:val="00DA7867"/>
    <w:rsid w:val="00DB0004"/>
    <w:rsid w:val="00DB0378"/>
    <w:rsid w:val="00DB1364"/>
    <w:rsid w:val="00DB2ACD"/>
    <w:rsid w:val="00DB4314"/>
    <w:rsid w:val="00DB5497"/>
    <w:rsid w:val="00DC112C"/>
    <w:rsid w:val="00DC1813"/>
    <w:rsid w:val="00DC220F"/>
    <w:rsid w:val="00DC29AD"/>
    <w:rsid w:val="00DC699C"/>
    <w:rsid w:val="00DC7C52"/>
    <w:rsid w:val="00DD0075"/>
    <w:rsid w:val="00DD02E2"/>
    <w:rsid w:val="00DD12EC"/>
    <w:rsid w:val="00DD13E1"/>
    <w:rsid w:val="00DD26BA"/>
    <w:rsid w:val="00DD2D1A"/>
    <w:rsid w:val="00DD3493"/>
    <w:rsid w:val="00DD49A2"/>
    <w:rsid w:val="00DD558E"/>
    <w:rsid w:val="00DD5C65"/>
    <w:rsid w:val="00DE01AE"/>
    <w:rsid w:val="00DE165B"/>
    <w:rsid w:val="00DE275A"/>
    <w:rsid w:val="00DE3145"/>
    <w:rsid w:val="00DE49D6"/>
    <w:rsid w:val="00DE4A66"/>
    <w:rsid w:val="00DE4E5E"/>
    <w:rsid w:val="00DE6325"/>
    <w:rsid w:val="00DE76CF"/>
    <w:rsid w:val="00DE7BE6"/>
    <w:rsid w:val="00DF08F3"/>
    <w:rsid w:val="00DF0941"/>
    <w:rsid w:val="00DF1551"/>
    <w:rsid w:val="00DF2A8D"/>
    <w:rsid w:val="00DF2A9C"/>
    <w:rsid w:val="00DF3202"/>
    <w:rsid w:val="00DF33A7"/>
    <w:rsid w:val="00DF3841"/>
    <w:rsid w:val="00DF3986"/>
    <w:rsid w:val="00DF4199"/>
    <w:rsid w:val="00DF47FC"/>
    <w:rsid w:val="00DF5E71"/>
    <w:rsid w:val="00DF639A"/>
    <w:rsid w:val="00DF69A4"/>
    <w:rsid w:val="00DF7914"/>
    <w:rsid w:val="00E0008C"/>
    <w:rsid w:val="00E00B99"/>
    <w:rsid w:val="00E00E96"/>
    <w:rsid w:val="00E01228"/>
    <w:rsid w:val="00E01D48"/>
    <w:rsid w:val="00E03578"/>
    <w:rsid w:val="00E03994"/>
    <w:rsid w:val="00E03CE9"/>
    <w:rsid w:val="00E05693"/>
    <w:rsid w:val="00E06732"/>
    <w:rsid w:val="00E069BB"/>
    <w:rsid w:val="00E06ACB"/>
    <w:rsid w:val="00E0738D"/>
    <w:rsid w:val="00E11797"/>
    <w:rsid w:val="00E12535"/>
    <w:rsid w:val="00E12A34"/>
    <w:rsid w:val="00E1305F"/>
    <w:rsid w:val="00E1701D"/>
    <w:rsid w:val="00E17159"/>
    <w:rsid w:val="00E1723F"/>
    <w:rsid w:val="00E1780D"/>
    <w:rsid w:val="00E20FB9"/>
    <w:rsid w:val="00E21285"/>
    <w:rsid w:val="00E22E28"/>
    <w:rsid w:val="00E22EBE"/>
    <w:rsid w:val="00E24AA8"/>
    <w:rsid w:val="00E26BA5"/>
    <w:rsid w:val="00E2735C"/>
    <w:rsid w:val="00E31DBA"/>
    <w:rsid w:val="00E328EE"/>
    <w:rsid w:val="00E32F4C"/>
    <w:rsid w:val="00E34EA5"/>
    <w:rsid w:val="00E351E9"/>
    <w:rsid w:val="00E354FF"/>
    <w:rsid w:val="00E36554"/>
    <w:rsid w:val="00E4029D"/>
    <w:rsid w:val="00E40CF9"/>
    <w:rsid w:val="00E4135F"/>
    <w:rsid w:val="00E42218"/>
    <w:rsid w:val="00E44C22"/>
    <w:rsid w:val="00E454D8"/>
    <w:rsid w:val="00E4640A"/>
    <w:rsid w:val="00E515E6"/>
    <w:rsid w:val="00E5209A"/>
    <w:rsid w:val="00E5397C"/>
    <w:rsid w:val="00E53B97"/>
    <w:rsid w:val="00E53C5F"/>
    <w:rsid w:val="00E55CEA"/>
    <w:rsid w:val="00E55F35"/>
    <w:rsid w:val="00E560E5"/>
    <w:rsid w:val="00E57D45"/>
    <w:rsid w:val="00E6065F"/>
    <w:rsid w:val="00E61367"/>
    <w:rsid w:val="00E62C90"/>
    <w:rsid w:val="00E64FE4"/>
    <w:rsid w:val="00E653C6"/>
    <w:rsid w:val="00E653F6"/>
    <w:rsid w:val="00E666BE"/>
    <w:rsid w:val="00E66A57"/>
    <w:rsid w:val="00E70139"/>
    <w:rsid w:val="00E70506"/>
    <w:rsid w:val="00E71A92"/>
    <w:rsid w:val="00E71C66"/>
    <w:rsid w:val="00E71E05"/>
    <w:rsid w:val="00E71E2B"/>
    <w:rsid w:val="00E72E62"/>
    <w:rsid w:val="00E74595"/>
    <w:rsid w:val="00E75107"/>
    <w:rsid w:val="00E7750D"/>
    <w:rsid w:val="00E81F06"/>
    <w:rsid w:val="00E8530D"/>
    <w:rsid w:val="00E864D5"/>
    <w:rsid w:val="00E870C4"/>
    <w:rsid w:val="00E878D7"/>
    <w:rsid w:val="00E87BA5"/>
    <w:rsid w:val="00E87BEF"/>
    <w:rsid w:val="00E92114"/>
    <w:rsid w:val="00E932D2"/>
    <w:rsid w:val="00E94049"/>
    <w:rsid w:val="00E9585B"/>
    <w:rsid w:val="00E95C85"/>
    <w:rsid w:val="00E965BA"/>
    <w:rsid w:val="00E967C6"/>
    <w:rsid w:val="00E97119"/>
    <w:rsid w:val="00EA1A77"/>
    <w:rsid w:val="00EA2C38"/>
    <w:rsid w:val="00EA31E4"/>
    <w:rsid w:val="00EA35AA"/>
    <w:rsid w:val="00EA4198"/>
    <w:rsid w:val="00EA7174"/>
    <w:rsid w:val="00EA7F41"/>
    <w:rsid w:val="00EB06B3"/>
    <w:rsid w:val="00EB0D51"/>
    <w:rsid w:val="00EB2476"/>
    <w:rsid w:val="00EB3783"/>
    <w:rsid w:val="00EB3AA1"/>
    <w:rsid w:val="00EB4208"/>
    <w:rsid w:val="00EB4B5C"/>
    <w:rsid w:val="00EB5663"/>
    <w:rsid w:val="00EC013A"/>
    <w:rsid w:val="00EC1DE6"/>
    <w:rsid w:val="00EC4A2B"/>
    <w:rsid w:val="00ED0472"/>
    <w:rsid w:val="00ED0916"/>
    <w:rsid w:val="00ED0B0E"/>
    <w:rsid w:val="00ED0E4E"/>
    <w:rsid w:val="00ED1F6C"/>
    <w:rsid w:val="00ED237B"/>
    <w:rsid w:val="00ED28E6"/>
    <w:rsid w:val="00ED296E"/>
    <w:rsid w:val="00ED37C7"/>
    <w:rsid w:val="00ED4696"/>
    <w:rsid w:val="00ED4712"/>
    <w:rsid w:val="00ED4976"/>
    <w:rsid w:val="00ED4BDA"/>
    <w:rsid w:val="00ED515F"/>
    <w:rsid w:val="00ED55FD"/>
    <w:rsid w:val="00ED568A"/>
    <w:rsid w:val="00ED64C3"/>
    <w:rsid w:val="00ED7334"/>
    <w:rsid w:val="00ED7525"/>
    <w:rsid w:val="00EE0B28"/>
    <w:rsid w:val="00EE0D20"/>
    <w:rsid w:val="00EE13A1"/>
    <w:rsid w:val="00EE3436"/>
    <w:rsid w:val="00EE362C"/>
    <w:rsid w:val="00EE3C7F"/>
    <w:rsid w:val="00EE64C1"/>
    <w:rsid w:val="00EF0261"/>
    <w:rsid w:val="00EF09F1"/>
    <w:rsid w:val="00EF1553"/>
    <w:rsid w:val="00EF1913"/>
    <w:rsid w:val="00EF19D0"/>
    <w:rsid w:val="00EF1E10"/>
    <w:rsid w:val="00EF21CA"/>
    <w:rsid w:val="00EF23A2"/>
    <w:rsid w:val="00EF2509"/>
    <w:rsid w:val="00EF29E3"/>
    <w:rsid w:val="00EF3116"/>
    <w:rsid w:val="00EF323D"/>
    <w:rsid w:val="00EF476E"/>
    <w:rsid w:val="00EF501F"/>
    <w:rsid w:val="00EF52B6"/>
    <w:rsid w:val="00EF5BAD"/>
    <w:rsid w:val="00EF6F2C"/>
    <w:rsid w:val="00EF79BF"/>
    <w:rsid w:val="00F00A18"/>
    <w:rsid w:val="00F028A2"/>
    <w:rsid w:val="00F03CCC"/>
    <w:rsid w:val="00F03F4B"/>
    <w:rsid w:val="00F04D5D"/>
    <w:rsid w:val="00F04E88"/>
    <w:rsid w:val="00F07019"/>
    <w:rsid w:val="00F0728D"/>
    <w:rsid w:val="00F0784A"/>
    <w:rsid w:val="00F100A5"/>
    <w:rsid w:val="00F117BB"/>
    <w:rsid w:val="00F12091"/>
    <w:rsid w:val="00F1375E"/>
    <w:rsid w:val="00F15A92"/>
    <w:rsid w:val="00F162C8"/>
    <w:rsid w:val="00F1694F"/>
    <w:rsid w:val="00F207CE"/>
    <w:rsid w:val="00F21362"/>
    <w:rsid w:val="00F21A65"/>
    <w:rsid w:val="00F22D89"/>
    <w:rsid w:val="00F238DA"/>
    <w:rsid w:val="00F23B43"/>
    <w:rsid w:val="00F25359"/>
    <w:rsid w:val="00F253E8"/>
    <w:rsid w:val="00F257D3"/>
    <w:rsid w:val="00F25E07"/>
    <w:rsid w:val="00F264C2"/>
    <w:rsid w:val="00F26788"/>
    <w:rsid w:val="00F26AA0"/>
    <w:rsid w:val="00F26CAA"/>
    <w:rsid w:val="00F27906"/>
    <w:rsid w:val="00F30221"/>
    <w:rsid w:val="00F32882"/>
    <w:rsid w:val="00F34999"/>
    <w:rsid w:val="00F3686D"/>
    <w:rsid w:val="00F368D5"/>
    <w:rsid w:val="00F3776D"/>
    <w:rsid w:val="00F40CAF"/>
    <w:rsid w:val="00F41940"/>
    <w:rsid w:val="00F41E94"/>
    <w:rsid w:val="00F4251E"/>
    <w:rsid w:val="00F43B0D"/>
    <w:rsid w:val="00F45E71"/>
    <w:rsid w:val="00F45F0F"/>
    <w:rsid w:val="00F46204"/>
    <w:rsid w:val="00F463C9"/>
    <w:rsid w:val="00F506B2"/>
    <w:rsid w:val="00F506BE"/>
    <w:rsid w:val="00F5107A"/>
    <w:rsid w:val="00F54447"/>
    <w:rsid w:val="00F54E89"/>
    <w:rsid w:val="00F57586"/>
    <w:rsid w:val="00F579DD"/>
    <w:rsid w:val="00F61D6E"/>
    <w:rsid w:val="00F61E4A"/>
    <w:rsid w:val="00F62840"/>
    <w:rsid w:val="00F6423E"/>
    <w:rsid w:val="00F6476D"/>
    <w:rsid w:val="00F6697C"/>
    <w:rsid w:val="00F6746D"/>
    <w:rsid w:val="00F70762"/>
    <w:rsid w:val="00F70F8E"/>
    <w:rsid w:val="00F71652"/>
    <w:rsid w:val="00F71A3D"/>
    <w:rsid w:val="00F71E42"/>
    <w:rsid w:val="00F72A01"/>
    <w:rsid w:val="00F72BE8"/>
    <w:rsid w:val="00F72C34"/>
    <w:rsid w:val="00F743B4"/>
    <w:rsid w:val="00F74B90"/>
    <w:rsid w:val="00F754F1"/>
    <w:rsid w:val="00F81E7B"/>
    <w:rsid w:val="00F83941"/>
    <w:rsid w:val="00F857ED"/>
    <w:rsid w:val="00F85C23"/>
    <w:rsid w:val="00F868F1"/>
    <w:rsid w:val="00F9047A"/>
    <w:rsid w:val="00F907D0"/>
    <w:rsid w:val="00F92715"/>
    <w:rsid w:val="00F939D9"/>
    <w:rsid w:val="00F93ACE"/>
    <w:rsid w:val="00F93AFC"/>
    <w:rsid w:val="00F96588"/>
    <w:rsid w:val="00F96627"/>
    <w:rsid w:val="00F967A9"/>
    <w:rsid w:val="00F96C72"/>
    <w:rsid w:val="00F9715C"/>
    <w:rsid w:val="00FA009C"/>
    <w:rsid w:val="00FA0282"/>
    <w:rsid w:val="00FA0C97"/>
    <w:rsid w:val="00FA0D41"/>
    <w:rsid w:val="00FA18D4"/>
    <w:rsid w:val="00FA1A3B"/>
    <w:rsid w:val="00FA3034"/>
    <w:rsid w:val="00FA4729"/>
    <w:rsid w:val="00FA4ED5"/>
    <w:rsid w:val="00FA530B"/>
    <w:rsid w:val="00FB014F"/>
    <w:rsid w:val="00FB0580"/>
    <w:rsid w:val="00FB2637"/>
    <w:rsid w:val="00FB2C74"/>
    <w:rsid w:val="00FB2ED7"/>
    <w:rsid w:val="00FB3F5D"/>
    <w:rsid w:val="00FB40AA"/>
    <w:rsid w:val="00FB4A3E"/>
    <w:rsid w:val="00FB4ED4"/>
    <w:rsid w:val="00FB535F"/>
    <w:rsid w:val="00FB5667"/>
    <w:rsid w:val="00FB5803"/>
    <w:rsid w:val="00FC12B5"/>
    <w:rsid w:val="00FC1454"/>
    <w:rsid w:val="00FC2F47"/>
    <w:rsid w:val="00FC32B3"/>
    <w:rsid w:val="00FC42A3"/>
    <w:rsid w:val="00FC44F1"/>
    <w:rsid w:val="00FC46FA"/>
    <w:rsid w:val="00FC4EED"/>
    <w:rsid w:val="00FC5552"/>
    <w:rsid w:val="00FC55F1"/>
    <w:rsid w:val="00FC637F"/>
    <w:rsid w:val="00FC6E1D"/>
    <w:rsid w:val="00FD0400"/>
    <w:rsid w:val="00FD07D9"/>
    <w:rsid w:val="00FD08C5"/>
    <w:rsid w:val="00FD1995"/>
    <w:rsid w:val="00FD2191"/>
    <w:rsid w:val="00FD3069"/>
    <w:rsid w:val="00FD366D"/>
    <w:rsid w:val="00FD3AE3"/>
    <w:rsid w:val="00FD43B2"/>
    <w:rsid w:val="00FD5A22"/>
    <w:rsid w:val="00FD65BF"/>
    <w:rsid w:val="00FD6816"/>
    <w:rsid w:val="00FD6A10"/>
    <w:rsid w:val="00FD73BD"/>
    <w:rsid w:val="00FD7661"/>
    <w:rsid w:val="00FE0C79"/>
    <w:rsid w:val="00FE224E"/>
    <w:rsid w:val="00FE4383"/>
    <w:rsid w:val="00FE69C1"/>
    <w:rsid w:val="00FF0389"/>
    <w:rsid w:val="00FF0960"/>
    <w:rsid w:val="00FF2537"/>
    <w:rsid w:val="00FF3851"/>
    <w:rsid w:val="00FF4888"/>
    <w:rsid w:val="00FF54C9"/>
    <w:rsid w:val="00FF67CE"/>
    <w:rsid w:val="00FF6E0D"/>
    <w:rsid w:val="00FF79EC"/>
    <w:rsid w:val="010A29DC"/>
    <w:rsid w:val="016C71F3"/>
    <w:rsid w:val="02BD20E3"/>
    <w:rsid w:val="03487496"/>
    <w:rsid w:val="04476073"/>
    <w:rsid w:val="05855EEC"/>
    <w:rsid w:val="058A5E9A"/>
    <w:rsid w:val="05C425E3"/>
    <w:rsid w:val="07A502FF"/>
    <w:rsid w:val="07C72F83"/>
    <w:rsid w:val="07DE7B41"/>
    <w:rsid w:val="08002443"/>
    <w:rsid w:val="085F52C3"/>
    <w:rsid w:val="08820598"/>
    <w:rsid w:val="08C94F2B"/>
    <w:rsid w:val="09075CB8"/>
    <w:rsid w:val="09815806"/>
    <w:rsid w:val="09974422"/>
    <w:rsid w:val="09CD67BD"/>
    <w:rsid w:val="09D21BBD"/>
    <w:rsid w:val="0A013CC4"/>
    <w:rsid w:val="0A1B3564"/>
    <w:rsid w:val="0A29089B"/>
    <w:rsid w:val="0A9C4909"/>
    <w:rsid w:val="0AD860D1"/>
    <w:rsid w:val="0AE622BA"/>
    <w:rsid w:val="0B7E013F"/>
    <w:rsid w:val="0C37049C"/>
    <w:rsid w:val="0CD5088F"/>
    <w:rsid w:val="0D5B3A6D"/>
    <w:rsid w:val="0DF668CF"/>
    <w:rsid w:val="0ED21414"/>
    <w:rsid w:val="0EFC02FC"/>
    <w:rsid w:val="0F501D99"/>
    <w:rsid w:val="0FA1275E"/>
    <w:rsid w:val="0FAF31B0"/>
    <w:rsid w:val="0FE64614"/>
    <w:rsid w:val="104D44FD"/>
    <w:rsid w:val="106D183A"/>
    <w:rsid w:val="10DC1574"/>
    <w:rsid w:val="114C66F9"/>
    <w:rsid w:val="11861420"/>
    <w:rsid w:val="11B0442C"/>
    <w:rsid w:val="11E15093"/>
    <w:rsid w:val="121A67F7"/>
    <w:rsid w:val="13016218"/>
    <w:rsid w:val="135F0966"/>
    <w:rsid w:val="13E4101E"/>
    <w:rsid w:val="13EC5F71"/>
    <w:rsid w:val="14665900"/>
    <w:rsid w:val="14834114"/>
    <w:rsid w:val="15137904"/>
    <w:rsid w:val="154222ED"/>
    <w:rsid w:val="157A0BE7"/>
    <w:rsid w:val="159152D8"/>
    <w:rsid w:val="15C42DE2"/>
    <w:rsid w:val="162753FF"/>
    <w:rsid w:val="16B32D77"/>
    <w:rsid w:val="179B06B9"/>
    <w:rsid w:val="18035AC4"/>
    <w:rsid w:val="18770500"/>
    <w:rsid w:val="190F1BE1"/>
    <w:rsid w:val="198729C4"/>
    <w:rsid w:val="1A9A1477"/>
    <w:rsid w:val="1A9C3430"/>
    <w:rsid w:val="1B205FCC"/>
    <w:rsid w:val="1B446693"/>
    <w:rsid w:val="1B6D0844"/>
    <w:rsid w:val="1BFB31F6"/>
    <w:rsid w:val="1C12639B"/>
    <w:rsid w:val="1C1C22EA"/>
    <w:rsid w:val="1C207895"/>
    <w:rsid w:val="1C8B27CB"/>
    <w:rsid w:val="1CB67F57"/>
    <w:rsid w:val="1D047440"/>
    <w:rsid w:val="1D060B2E"/>
    <w:rsid w:val="1D3F1F41"/>
    <w:rsid w:val="1D5A5F94"/>
    <w:rsid w:val="1D5E5986"/>
    <w:rsid w:val="1D8A4831"/>
    <w:rsid w:val="1DD41F50"/>
    <w:rsid w:val="1EAD30EA"/>
    <w:rsid w:val="1F356839"/>
    <w:rsid w:val="1F394761"/>
    <w:rsid w:val="1F63352B"/>
    <w:rsid w:val="1FC940DC"/>
    <w:rsid w:val="1FEC6894"/>
    <w:rsid w:val="2020322B"/>
    <w:rsid w:val="202D1DEC"/>
    <w:rsid w:val="215417DB"/>
    <w:rsid w:val="21F030D1"/>
    <w:rsid w:val="22F569E0"/>
    <w:rsid w:val="23383301"/>
    <w:rsid w:val="234C0796"/>
    <w:rsid w:val="23BE3486"/>
    <w:rsid w:val="248F4CBD"/>
    <w:rsid w:val="24CA4031"/>
    <w:rsid w:val="24E050B6"/>
    <w:rsid w:val="253B5D39"/>
    <w:rsid w:val="2561523F"/>
    <w:rsid w:val="25684B8D"/>
    <w:rsid w:val="257B6FF6"/>
    <w:rsid w:val="25D4501E"/>
    <w:rsid w:val="25F43DF1"/>
    <w:rsid w:val="26243349"/>
    <w:rsid w:val="26A747E4"/>
    <w:rsid w:val="26AE73B8"/>
    <w:rsid w:val="26C04EA1"/>
    <w:rsid w:val="26FE39C7"/>
    <w:rsid w:val="27452CEB"/>
    <w:rsid w:val="275D5307"/>
    <w:rsid w:val="27FC632B"/>
    <w:rsid w:val="2841496F"/>
    <w:rsid w:val="288C4BD9"/>
    <w:rsid w:val="290A10F9"/>
    <w:rsid w:val="292813A2"/>
    <w:rsid w:val="29283FBC"/>
    <w:rsid w:val="2A19639C"/>
    <w:rsid w:val="2A783C63"/>
    <w:rsid w:val="2AA50EFC"/>
    <w:rsid w:val="2AE35581"/>
    <w:rsid w:val="2AFA1FCC"/>
    <w:rsid w:val="2B726706"/>
    <w:rsid w:val="2BBC087A"/>
    <w:rsid w:val="2BEA0B0A"/>
    <w:rsid w:val="2C5869D0"/>
    <w:rsid w:val="2C665485"/>
    <w:rsid w:val="2E300293"/>
    <w:rsid w:val="2EB57234"/>
    <w:rsid w:val="2EFE7B51"/>
    <w:rsid w:val="2F512EF2"/>
    <w:rsid w:val="2F6173BC"/>
    <w:rsid w:val="2FF16992"/>
    <w:rsid w:val="307663F5"/>
    <w:rsid w:val="309B04C2"/>
    <w:rsid w:val="31211DB1"/>
    <w:rsid w:val="313B25D2"/>
    <w:rsid w:val="31616FC6"/>
    <w:rsid w:val="31CB5112"/>
    <w:rsid w:val="31ED0364"/>
    <w:rsid w:val="321A6D0A"/>
    <w:rsid w:val="32BF0681"/>
    <w:rsid w:val="32C87A38"/>
    <w:rsid w:val="32D7593D"/>
    <w:rsid w:val="32FD48AE"/>
    <w:rsid w:val="33030EB6"/>
    <w:rsid w:val="332F2BA2"/>
    <w:rsid w:val="33AC476C"/>
    <w:rsid w:val="33C87A09"/>
    <w:rsid w:val="33EA1D4E"/>
    <w:rsid w:val="342235BE"/>
    <w:rsid w:val="34267E11"/>
    <w:rsid w:val="36174C78"/>
    <w:rsid w:val="36630695"/>
    <w:rsid w:val="36B14785"/>
    <w:rsid w:val="36BA7A9D"/>
    <w:rsid w:val="36C7044C"/>
    <w:rsid w:val="36F31241"/>
    <w:rsid w:val="37085BE3"/>
    <w:rsid w:val="376F0F4A"/>
    <w:rsid w:val="37A46227"/>
    <w:rsid w:val="38E4447B"/>
    <w:rsid w:val="38F41CAC"/>
    <w:rsid w:val="38FD0AD1"/>
    <w:rsid w:val="39057B83"/>
    <w:rsid w:val="3915396C"/>
    <w:rsid w:val="395947D8"/>
    <w:rsid w:val="39FC0CA0"/>
    <w:rsid w:val="3A021B8A"/>
    <w:rsid w:val="3A4C37B1"/>
    <w:rsid w:val="3A6C2288"/>
    <w:rsid w:val="3CE753A4"/>
    <w:rsid w:val="3D233C1D"/>
    <w:rsid w:val="3DD93AE7"/>
    <w:rsid w:val="3E1A70B4"/>
    <w:rsid w:val="3F110BCB"/>
    <w:rsid w:val="3F2253B7"/>
    <w:rsid w:val="3F6B1DE0"/>
    <w:rsid w:val="403041DC"/>
    <w:rsid w:val="4123518C"/>
    <w:rsid w:val="41906EED"/>
    <w:rsid w:val="41917F4D"/>
    <w:rsid w:val="41FB6582"/>
    <w:rsid w:val="42F779C3"/>
    <w:rsid w:val="43B14016"/>
    <w:rsid w:val="43D32BC8"/>
    <w:rsid w:val="43E03D0D"/>
    <w:rsid w:val="45525D88"/>
    <w:rsid w:val="455E49F0"/>
    <w:rsid w:val="45655411"/>
    <w:rsid w:val="46565349"/>
    <w:rsid w:val="46566C93"/>
    <w:rsid w:val="468B4FF2"/>
    <w:rsid w:val="46EE000D"/>
    <w:rsid w:val="4707219F"/>
    <w:rsid w:val="485F6FAF"/>
    <w:rsid w:val="486377AA"/>
    <w:rsid w:val="486A6AC5"/>
    <w:rsid w:val="48B85ED8"/>
    <w:rsid w:val="48F76FF7"/>
    <w:rsid w:val="497D50F0"/>
    <w:rsid w:val="49A8022D"/>
    <w:rsid w:val="49F27137"/>
    <w:rsid w:val="4A190B67"/>
    <w:rsid w:val="4A6C0C97"/>
    <w:rsid w:val="4A702FFD"/>
    <w:rsid w:val="4AA93872"/>
    <w:rsid w:val="4AC25FAD"/>
    <w:rsid w:val="4B1E3FB4"/>
    <w:rsid w:val="4B2F3883"/>
    <w:rsid w:val="4B7404E0"/>
    <w:rsid w:val="4BDB3175"/>
    <w:rsid w:val="4BDC3BFA"/>
    <w:rsid w:val="4BFB54F9"/>
    <w:rsid w:val="4C283C45"/>
    <w:rsid w:val="4C4D4AF8"/>
    <w:rsid w:val="4C653BF0"/>
    <w:rsid w:val="4DB1782C"/>
    <w:rsid w:val="4DBB7A1A"/>
    <w:rsid w:val="4DD13360"/>
    <w:rsid w:val="4DDD0D5D"/>
    <w:rsid w:val="4E2F6BAB"/>
    <w:rsid w:val="4E8111E8"/>
    <w:rsid w:val="4E8350EA"/>
    <w:rsid w:val="4EF516B9"/>
    <w:rsid w:val="4FBD66C3"/>
    <w:rsid w:val="50415057"/>
    <w:rsid w:val="505F2FC5"/>
    <w:rsid w:val="51306B7A"/>
    <w:rsid w:val="51DB4BBB"/>
    <w:rsid w:val="52546BE0"/>
    <w:rsid w:val="527032EE"/>
    <w:rsid w:val="537853C6"/>
    <w:rsid w:val="53DC1C2A"/>
    <w:rsid w:val="5401711E"/>
    <w:rsid w:val="5491679B"/>
    <w:rsid w:val="54A92194"/>
    <w:rsid w:val="55247373"/>
    <w:rsid w:val="552F638D"/>
    <w:rsid w:val="55CD19D1"/>
    <w:rsid w:val="56FA011E"/>
    <w:rsid w:val="572850E5"/>
    <w:rsid w:val="574F23B7"/>
    <w:rsid w:val="576E0B38"/>
    <w:rsid w:val="58006459"/>
    <w:rsid w:val="58093FC9"/>
    <w:rsid w:val="5898519A"/>
    <w:rsid w:val="5904194C"/>
    <w:rsid w:val="59393FA9"/>
    <w:rsid w:val="5B2B24A8"/>
    <w:rsid w:val="5B3A13FC"/>
    <w:rsid w:val="5B764A19"/>
    <w:rsid w:val="5C401F83"/>
    <w:rsid w:val="5C4B7DDA"/>
    <w:rsid w:val="5C717109"/>
    <w:rsid w:val="5CA41536"/>
    <w:rsid w:val="5CFF3BED"/>
    <w:rsid w:val="5D3B263B"/>
    <w:rsid w:val="5D5A7075"/>
    <w:rsid w:val="5DC57FB0"/>
    <w:rsid w:val="5DED1C97"/>
    <w:rsid w:val="5E797FFB"/>
    <w:rsid w:val="5F7C7776"/>
    <w:rsid w:val="5FAA2AD2"/>
    <w:rsid w:val="604A6751"/>
    <w:rsid w:val="611F34A2"/>
    <w:rsid w:val="61965A39"/>
    <w:rsid w:val="61FD5165"/>
    <w:rsid w:val="623D5410"/>
    <w:rsid w:val="628A6FCD"/>
    <w:rsid w:val="62C639F3"/>
    <w:rsid w:val="62D022B3"/>
    <w:rsid w:val="62DF165D"/>
    <w:rsid w:val="63465F11"/>
    <w:rsid w:val="639D0FF4"/>
    <w:rsid w:val="63A10BD6"/>
    <w:rsid w:val="63ED1010"/>
    <w:rsid w:val="63ED599B"/>
    <w:rsid w:val="64300B2F"/>
    <w:rsid w:val="64342C4C"/>
    <w:rsid w:val="64942F08"/>
    <w:rsid w:val="662C169B"/>
    <w:rsid w:val="66B51D11"/>
    <w:rsid w:val="67137C81"/>
    <w:rsid w:val="679C11F9"/>
    <w:rsid w:val="6837468C"/>
    <w:rsid w:val="684352D5"/>
    <w:rsid w:val="6898283B"/>
    <w:rsid w:val="68D65EA4"/>
    <w:rsid w:val="695F1B1C"/>
    <w:rsid w:val="698810E4"/>
    <w:rsid w:val="69A46245"/>
    <w:rsid w:val="6A024E0C"/>
    <w:rsid w:val="6A2A6732"/>
    <w:rsid w:val="6A830004"/>
    <w:rsid w:val="6A8C5FCA"/>
    <w:rsid w:val="6AE84658"/>
    <w:rsid w:val="6B120F8F"/>
    <w:rsid w:val="6B2A0A71"/>
    <w:rsid w:val="6BB169FA"/>
    <w:rsid w:val="6BE9177C"/>
    <w:rsid w:val="6C216489"/>
    <w:rsid w:val="6C4169C4"/>
    <w:rsid w:val="6C571860"/>
    <w:rsid w:val="6C7E50C9"/>
    <w:rsid w:val="6CD4062A"/>
    <w:rsid w:val="6D341690"/>
    <w:rsid w:val="6D561607"/>
    <w:rsid w:val="6DE27B06"/>
    <w:rsid w:val="6E2F7588"/>
    <w:rsid w:val="6E4B629A"/>
    <w:rsid w:val="6E851A78"/>
    <w:rsid w:val="6E865E29"/>
    <w:rsid w:val="6E9975B5"/>
    <w:rsid w:val="6ECE341F"/>
    <w:rsid w:val="6EE443CA"/>
    <w:rsid w:val="6F1B57F1"/>
    <w:rsid w:val="6F566213"/>
    <w:rsid w:val="6F631F94"/>
    <w:rsid w:val="6FD809F9"/>
    <w:rsid w:val="6FDF0931"/>
    <w:rsid w:val="70043652"/>
    <w:rsid w:val="70522ADF"/>
    <w:rsid w:val="706742A9"/>
    <w:rsid w:val="70767CAB"/>
    <w:rsid w:val="70B66A0B"/>
    <w:rsid w:val="713003C1"/>
    <w:rsid w:val="7175385C"/>
    <w:rsid w:val="72384447"/>
    <w:rsid w:val="72C963D7"/>
    <w:rsid w:val="73442C60"/>
    <w:rsid w:val="73D963DA"/>
    <w:rsid w:val="7417580B"/>
    <w:rsid w:val="741C4C2C"/>
    <w:rsid w:val="743374C1"/>
    <w:rsid w:val="74836A59"/>
    <w:rsid w:val="74E514C2"/>
    <w:rsid w:val="75333457"/>
    <w:rsid w:val="756617C4"/>
    <w:rsid w:val="76B51D8D"/>
    <w:rsid w:val="77C305EE"/>
    <w:rsid w:val="77DD1DFC"/>
    <w:rsid w:val="77F20F30"/>
    <w:rsid w:val="79295E21"/>
    <w:rsid w:val="796C59D2"/>
    <w:rsid w:val="79981742"/>
    <w:rsid w:val="79D457D6"/>
    <w:rsid w:val="7B195D05"/>
    <w:rsid w:val="7C053FD3"/>
    <w:rsid w:val="7C2E3BC1"/>
    <w:rsid w:val="7CB7787A"/>
    <w:rsid w:val="7E4A27FD"/>
    <w:rsid w:val="7E503216"/>
    <w:rsid w:val="7EA24A4B"/>
    <w:rsid w:val="7EC61571"/>
    <w:rsid w:val="7EE66086"/>
    <w:rsid w:val="7FB37454"/>
    <w:rsid w:val="7FC70160"/>
    <w:rsid w:val="B6F8A292"/>
    <w:rsid w:val="D83BDE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nhideWhenUsed="0" w:uiPriority="0" w:semiHidden="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7"/>
    <w:qFormat/>
    <w:uiPriority w:val="0"/>
    <w:pPr>
      <w:keepNext/>
      <w:spacing w:line="340" w:lineRule="exact"/>
      <w:outlineLvl w:val="0"/>
    </w:pPr>
    <w:rPr>
      <w:bCs/>
    </w:rPr>
  </w:style>
  <w:style w:type="paragraph" w:styleId="3">
    <w:name w:val="heading 2"/>
    <w:basedOn w:val="1"/>
    <w:next w:val="1"/>
    <w:link w:val="100"/>
    <w:autoRedefine/>
    <w:qFormat/>
    <w:uiPriority w:val="9"/>
    <w:pPr>
      <w:keepNext/>
      <w:keepLines/>
      <w:spacing w:before="260" w:after="260" w:line="413" w:lineRule="auto"/>
      <w:outlineLvl w:val="1"/>
    </w:pPr>
    <w:rPr>
      <w:rFonts w:ascii="Arial" w:hAnsi="Arial" w:eastAsia="黑体"/>
      <w:b/>
      <w:bCs/>
      <w:sz w:val="32"/>
      <w:szCs w:val="32"/>
    </w:rPr>
  </w:style>
  <w:style w:type="paragraph" w:styleId="4">
    <w:name w:val="heading 3"/>
    <w:basedOn w:val="1"/>
    <w:next w:val="1"/>
    <w:link w:val="94"/>
    <w:qFormat/>
    <w:uiPriority w:val="0"/>
    <w:pPr>
      <w:keepNext/>
      <w:keepLines/>
      <w:spacing w:before="260" w:after="260" w:line="416" w:lineRule="auto"/>
      <w:outlineLvl w:val="2"/>
    </w:pPr>
    <w:rPr>
      <w:b/>
      <w:bCs/>
      <w:sz w:val="32"/>
      <w:szCs w:val="32"/>
    </w:rPr>
  </w:style>
  <w:style w:type="paragraph" w:styleId="5">
    <w:name w:val="heading 4"/>
    <w:basedOn w:val="1"/>
    <w:next w:val="1"/>
    <w:link w:val="149"/>
    <w:autoRedefine/>
    <w:qFormat/>
    <w:uiPriority w:val="0"/>
    <w:pPr>
      <w:keepNext/>
      <w:keepLines/>
      <w:numPr>
        <w:ilvl w:val="3"/>
        <w:numId w:val="1"/>
      </w:numPr>
      <w:spacing w:before="280" w:after="290" w:line="372" w:lineRule="auto"/>
      <w:outlineLvl w:val="3"/>
    </w:pPr>
    <w:rPr>
      <w:rFonts w:ascii="宋体" w:hAnsi="Arial" w:eastAsia="黑体"/>
      <w:b/>
      <w:sz w:val="24"/>
      <w:szCs w:val="20"/>
    </w:rPr>
  </w:style>
  <w:style w:type="paragraph" w:styleId="6">
    <w:name w:val="heading 5"/>
    <w:basedOn w:val="1"/>
    <w:next w:val="7"/>
    <w:link w:val="147"/>
    <w:qFormat/>
    <w:uiPriority w:val="0"/>
    <w:pPr>
      <w:keepNext/>
      <w:keepLines/>
      <w:numPr>
        <w:ilvl w:val="4"/>
        <w:numId w:val="1"/>
      </w:numPr>
      <w:spacing w:before="280" w:after="290" w:line="372" w:lineRule="auto"/>
      <w:outlineLvl w:val="4"/>
    </w:pPr>
    <w:rPr>
      <w:b/>
      <w:sz w:val="28"/>
      <w:szCs w:val="20"/>
    </w:rPr>
  </w:style>
  <w:style w:type="paragraph" w:styleId="8">
    <w:name w:val="heading 6"/>
    <w:basedOn w:val="1"/>
    <w:next w:val="7"/>
    <w:link w:val="144"/>
    <w:autoRedefine/>
    <w:qFormat/>
    <w:uiPriority w:val="0"/>
    <w:pPr>
      <w:keepNext/>
      <w:keepLines/>
      <w:numPr>
        <w:ilvl w:val="5"/>
        <w:numId w:val="1"/>
      </w:numPr>
      <w:spacing w:before="240" w:after="64" w:line="317" w:lineRule="auto"/>
      <w:outlineLvl w:val="5"/>
    </w:pPr>
    <w:rPr>
      <w:rFonts w:ascii="Arial" w:hAnsi="Arial" w:eastAsia="黑体"/>
      <w:b/>
      <w:sz w:val="24"/>
      <w:szCs w:val="20"/>
    </w:rPr>
  </w:style>
  <w:style w:type="paragraph" w:styleId="9">
    <w:name w:val="heading 7"/>
    <w:basedOn w:val="1"/>
    <w:next w:val="7"/>
    <w:link w:val="150"/>
    <w:qFormat/>
    <w:uiPriority w:val="0"/>
    <w:pPr>
      <w:keepNext/>
      <w:keepLines/>
      <w:numPr>
        <w:ilvl w:val="6"/>
        <w:numId w:val="1"/>
      </w:numPr>
      <w:spacing w:before="240" w:after="64" w:line="317" w:lineRule="auto"/>
      <w:outlineLvl w:val="6"/>
    </w:pPr>
    <w:rPr>
      <w:b/>
      <w:sz w:val="24"/>
      <w:szCs w:val="20"/>
    </w:rPr>
  </w:style>
  <w:style w:type="paragraph" w:styleId="10">
    <w:name w:val="heading 8"/>
    <w:basedOn w:val="1"/>
    <w:next w:val="7"/>
    <w:link w:val="151"/>
    <w:autoRedefine/>
    <w:qFormat/>
    <w:uiPriority w:val="0"/>
    <w:pPr>
      <w:keepNext/>
      <w:keepLines/>
      <w:numPr>
        <w:ilvl w:val="7"/>
        <w:numId w:val="1"/>
      </w:numPr>
      <w:spacing w:before="240" w:after="64" w:line="317" w:lineRule="auto"/>
      <w:outlineLvl w:val="7"/>
    </w:pPr>
    <w:rPr>
      <w:rFonts w:ascii="Arial" w:hAnsi="Arial" w:eastAsia="黑体"/>
      <w:sz w:val="24"/>
      <w:szCs w:val="20"/>
    </w:rPr>
  </w:style>
  <w:style w:type="paragraph" w:styleId="11">
    <w:name w:val="heading 9"/>
    <w:basedOn w:val="1"/>
    <w:next w:val="7"/>
    <w:link w:val="152"/>
    <w:autoRedefine/>
    <w:qFormat/>
    <w:uiPriority w:val="0"/>
    <w:pPr>
      <w:keepNext/>
      <w:keepLines/>
      <w:numPr>
        <w:ilvl w:val="8"/>
        <w:numId w:val="1"/>
      </w:numPr>
      <w:spacing w:before="240" w:after="64" w:line="317" w:lineRule="auto"/>
      <w:outlineLvl w:val="8"/>
    </w:pPr>
    <w:rPr>
      <w:rFonts w:ascii="Arial" w:hAnsi="Arial" w:eastAsia="黑体"/>
      <w:szCs w:val="20"/>
    </w:rPr>
  </w:style>
  <w:style w:type="character" w:default="1" w:styleId="50">
    <w:name w:val="Default Paragraph Font"/>
    <w:semiHidden/>
    <w:unhideWhenUsed/>
    <w:qFormat/>
    <w:uiPriority w:val="1"/>
  </w:style>
  <w:style w:type="table" w:default="1" w:styleId="48">
    <w:name w:val="Normal Table"/>
    <w:autoRedefin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2">
    <w:name w:val="toc 7"/>
    <w:basedOn w:val="1"/>
    <w:next w:val="1"/>
    <w:autoRedefine/>
    <w:qFormat/>
    <w:uiPriority w:val="0"/>
    <w:pPr>
      <w:tabs>
        <w:tab w:val="right" w:leader="dot" w:pos="9185"/>
      </w:tabs>
      <w:adjustRightInd w:val="0"/>
      <w:spacing w:line="312" w:lineRule="atLeast"/>
      <w:ind w:left="2520"/>
      <w:textAlignment w:val="baseline"/>
    </w:pPr>
    <w:rPr>
      <w:kern w:val="0"/>
      <w:szCs w:val="20"/>
    </w:rPr>
  </w:style>
  <w:style w:type="paragraph" w:styleId="13">
    <w:name w:val="List Number"/>
    <w:basedOn w:val="1"/>
    <w:autoRedefine/>
    <w:qFormat/>
    <w:uiPriority w:val="0"/>
    <w:pPr>
      <w:widowControl/>
      <w:tabs>
        <w:tab w:val="left" w:pos="454"/>
        <w:tab w:val="left" w:pos="720"/>
        <w:tab w:val="left" w:pos="840"/>
      </w:tabs>
      <w:spacing w:afterLines="50"/>
      <w:ind w:left="454" w:hanging="284"/>
      <w:jc w:val="left"/>
    </w:pPr>
    <w:rPr>
      <w:kern w:val="0"/>
      <w:sz w:val="24"/>
      <w:szCs w:val="20"/>
    </w:rPr>
  </w:style>
  <w:style w:type="paragraph" w:styleId="14">
    <w:name w:val="caption"/>
    <w:basedOn w:val="1"/>
    <w:next w:val="1"/>
    <w:qFormat/>
    <w:uiPriority w:val="0"/>
    <w:pPr>
      <w:spacing w:before="152" w:after="160"/>
    </w:pPr>
    <w:rPr>
      <w:rFonts w:ascii="Arial" w:hAnsi="Arial" w:eastAsia="黑体" w:cs="Arial"/>
      <w:sz w:val="20"/>
      <w:szCs w:val="20"/>
    </w:rPr>
  </w:style>
  <w:style w:type="paragraph" w:styleId="15">
    <w:name w:val="Document Map"/>
    <w:basedOn w:val="1"/>
    <w:autoRedefine/>
    <w:qFormat/>
    <w:uiPriority w:val="0"/>
    <w:pPr>
      <w:shd w:val="clear" w:color="auto" w:fill="000080"/>
    </w:pPr>
  </w:style>
  <w:style w:type="paragraph" w:styleId="16">
    <w:name w:val="annotation text"/>
    <w:basedOn w:val="1"/>
    <w:link w:val="101"/>
    <w:autoRedefine/>
    <w:qFormat/>
    <w:uiPriority w:val="0"/>
    <w:pPr>
      <w:jc w:val="left"/>
    </w:pPr>
  </w:style>
  <w:style w:type="paragraph" w:styleId="17">
    <w:name w:val="Body Text 3"/>
    <w:basedOn w:val="1"/>
    <w:link w:val="103"/>
    <w:qFormat/>
    <w:uiPriority w:val="0"/>
    <w:pPr>
      <w:spacing w:line="500" w:lineRule="exact"/>
    </w:pPr>
    <w:rPr>
      <w:b/>
      <w:bCs/>
      <w:sz w:val="24"/>
    </w:rPr>
  </w:style>
  <w:style w:type="paragraph" w:styleId="18">
    <w:name w:val="Body Text"/>
    <w:basedOn w:val="1"/>
    <w:next w:val="1"/>
    <w:link w:val="153"/>
    <w:autoRedefine/>
    <w:qFormat/>
    <w:uiPriority w:val="0"/>
    <w:pPr>
      <w:autoSpaceDE w:val="0"/>
      <w:autoSpaceDN w:val="0"/>
      <w:adjustRightInd w:val="0"/>
      <w:spacing w:after="120"/>
      <w:jc w:val="left"/>
    </w:pPr>
    <w:rPr>
      <w:rFonts w:ascii="宋体"/>
      <w:kern w:val="0"/>
      <w:sz w:val="34"/>
      <w:szCs w:val="20"/>
    </w:rPr>
  </w:style>
  <w:style w:type="paragraph" w:styleId="19">
    <w:name w:val="Body Text Indent"/>
    <w:basedOn w:val="1"/>
    <w:qFormat/>
    <w:uiPriority w:val="0"/>
    <w:pPr>
      <w:spacing w:line="200" w:lineRule="exact"/>
      <w:ind w:firstLine="301"/>
    </w:pPr>
    <w:rPr>
      <w:rFonts w:ascii="宋体" w:hAnsi="Courier New"/>
      <w:spacing w:val="-4"/>
      <w:sz w:val="18"/>
      <w:szCs w:val="20"/>
    </w:rPr>
  </w:style>
  <w:style w:type="paragraph" w:styleId="20">
    <w:name w:val="List Number 3"/>
    <w:basedOn w:val="1"/>
    <w:autoRedefine/>
    <w:qFormat/>
    <w:uiPriority w:val="0"/>
    <w:pPr>
      <w:numPr>
        <w:ilvl w:val="0"/>
        <w:numId w:val="2"/>
      </w:numPr>
      <w:tabs>
        <w:tab w:val="left" w:pos="1200"/>
      </w:tabs>
    </w:pPr>
  </w:style>
  <w:style w:type="paragraph" w:styleId="21">
    <w:name w:val="List 2"/>
    <w:basedOn w:val="1"/>
    <w:autoRedefine/>
    <w:qFormat/>
    <w:uiPriority w:val="0"/>
    <w:pPr>
      <w:ind w:left="100" w:leftChars="200" w:hanging="200" w:hangingChars="200"/>
    </w:pPr>
    <w:rPr>
      <w:sz w:val="28"/>
    </w:rPr>
  </w:style>
  <w:style w:type="paragraph" w:styleId="22">
    <w:name w:val="Block Text"/>
    <w:basedOn w:val="1"/>
    <w:qFormat/>
    <w:uiPriority w:val="0"/>
    <w:pPr>
      <w:adjustRightInd w:val="0"/>
      <w:ind w:left="420" w:right="33"/>
      <w:jc w:val="left"/>
      <w:textAlignment w:val="baseline"/>
    </w:pPr>
    <w:rPr>
      <w:kern w:val="0"/>
      <w:sz w:val="24"/>
      <w:szCs w:val="20"/>
    </w:rPr>
  </w:style>
  <w:style w:type="paragraph" w:styleId="23">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4">
    <w:name w:val="toc 3"/>
    <w:basedOn w:val="1"/>
    <w:next w:val="1"/>
    <w:autoRedefine/>
    <w:qFormat/>
    <w:uiPriority w:val="0"/>
    <w:pPr>
      <w:ind w:left="840" w:leftChars="400"/>
    </w:pPr>
  </w:style>
  <w:style w:type="paragraph" w:styleId="25">
    <w:name w:val="Plain Text"/>
    <w:basedOn w:val="1"/>
    <w:link w:val="245"/>
    <w:qFormat/>
    <w:uiPriority w:val="0"/>
    <w:rPr>
      <w:rFonts w:ascii="宋体" w:hAnsi="Courier New"/>
      <w:szCs w:val="20"/>
    </w:rPr>
  </w:style>
  <w:style w:type="paragraph" w:styleId="26">
    <w:name w:val="toc 8"/>
    <w:basedOn w:val="1"/>
    <w:next w:val="1"/>
    <w:autoRedefine/>
    <w:qFormat/>
    <w:uiPriority w:val="0"/>
    <w:pPr>
      <w:tabs>
        <w:tab w:val="right" w:leader="dot" w:pos="9185"/>
      </w:tabs>
      <w:adjustRightInd w:val="0"/>
      <w:spacing w:line="312" w:lineRule="atLeast"/>
      <w:ind w:left="2940"/>
      <w:textAlignment w:val="baseline"/>
    </w:pPr>
    <w:rPr>
      <w:kern w:val="0"/>
      <w:szCs w:val="20"/>
    </w:rPr>
  </w:style>
  <w:style w:type="paragraph" w:styleId="27">
    <w:name w:val="Date"/>
    <w:basedOn w:val="1"/>
    <w:next w:val="1"/>
    <w:qFormat/>
    <w:uiPriority w:val="0"/>
    <w:pPr>
      <w:ind w:left="100" w:leftChars="2500"/>
    </w:pPr>
    <w:rPr>
      <w:spacing w:val="30"/>
      <w:sz w:val="28"/>
    </w:rPr>
  </w:style>
  <w:style w:type="paragraph" w:styleId="28">
    <w:name w:val="Body Text Indent 2"/>
    <w:basedOn w:val="1"/>
    <w:qFormat/>
    <w:uiPriority w:val="0"/>
    <w:pPr>
      <w:spacing w:line="400" w:lineRule="exact"/>
      <w:ind w:firstLine="480"/>
    </w:pPr>
  </w:style>
  <w:style w:type="paragraph" w:styleId="29">
    <w:name w:val="Balloon Text"/>
    <w:basedOn w:val="1"/>
    <w:autoRedefine/>
    <w:qFormat/>
    <w:uiPriority w:val="0"/>
    <w:rPr>
      <w:sz w:val="18"/>
      <w:szCs w:val="18"/>
    </w:rPr>
  </w:style>
  <w:style w:type="paragraph" w:styleId="30">
    <w:name w:val="footer"/>
    <w:basedOn w:val="1"/>
    <w:link w:val="98"/>
    <w:qFormat/>
    <w:uiPriority w:val="0"/>
    <w:pPr>
      <w:tabs>
        <w:tab w:val="center" w:pos="4153"/>
        <w:tab w:val="right" w:pos="8306"/>
      </w:tabs>
      <w:snapToGrid w:val="0"/>
      <w:jc w:val="left"/>
    </w:pPr>
    <w:rPr>
      <w:rFonts w:ascii="宋体" w:hAnsi="Courier New"/>
      <w:sz w:val="18"/>
      <w:szCs w:val="20"/>
    </w:rPr>
  </w:style>
  <w:style w:type="paragraph" w:styleId="31">
    <w:name w:val="header"/>
    <w:basedOn w:val="1"/>
    <w:link w:val="90"/>
    <w:autoRedefine/>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32">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33">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4">
    <w:name w:val="List"/>
    <w:basedOn w:val="1"/>
    <w:autoRedefine/>
    <w:qFormat/>
    <w:uiPriority w:val="0"/>
    <w:pPr>
      <w:ind w:left="200" w:hanging="200" w:hangingChars="200"/>
    </w:pPr>
    <w:rPr>
      <w:sz w:val="28"/>
    </w:rPr>
  </w:style>
  <w:style w:type="paragraph" w:styleId="35">
    <w:name w:val="toc 6"/>
    <w:basedOn w:val="1"/>
    <w:next w:val="1"/>
    <w:autoRedefine/>
    <w:qFormat/>
    <w:uiPriority w:val="0"/>
    <w:pPr>
      <w:tabs>
        <w:tab w:val="right" w:leader="dot" w:pos="9185"/>
      </w:tabs>
      <w:adjustRightInd w:val="0"/>
      <w:spacing w:line="312" w:lineRule="atLeast"/>
      <w:ind w:left="2100"/>
      <w:textAlignment w:val="baseline"/>
    </w:pPr>
    <w:rPr>
      <w:kern w:val="0"/>
      <w:szCs w:val="20"/>
    </w:rPr>
  </w:style>
  <w:style w:type="paragraph" w:styleId="36">
    <w:name w:val="List 5"/>
    <w:basedOn w:val="1"/>
    <w:qFormat/>
    <w:uiPriority w:val="0"/>
    <w:pPr>
      <w:ind w:left="2100" w:hanging="420"/>
    </w:pPr>
    <w:rPr>
      <w:szCs w:val="20"/>
    </w:rPr>
  </w:style>
  <w:style w:type="paragraph" w:styleId="37">
    <w:name w:val="Body Text Indent 3"/>
    <w:basedOn w:val="1"/>
    <w:qFormat/>
    <w:uiPriority w:val="0"/>
    <w:pPr>
      <w:spacing w:line="360" w:lineRule="auto"/>
      <w:ind w:firstLine="359" w:firstLineChars="171"/>
    </w:pPr>
  </w:style>
  <w:style w:type="paragraph" w:styleId="38">
    <w:name w:val="toc 2"/>
    <w:basedOn w:val="1"/>
    <w:next w:val="1"/>
    <w:qFormat/>
    <w:uiPriority w:val="0"/>
    <w:pPr>
      <w:ind w:left="420" w:leftChars="200"/>
    </w:pPr>
  </w:style>
  <w:style w:type="paragraph" w:styleId="39">
    <w:name w:val="toc 9"/>
    <w:basedOn w:val="1"/>
    <w:next w:val="1"/>
    <w:autoRedefine/>
    <w:qFormat/>
    <w:uiPriority w:val="0"/>
    <w:pPr>
      <w:tabs>
        <w:tab w:val="right" w:leader="dot" w:pos="9185"/>
      </w:tabs>
      <w:adjustRightInd w:val="0"/>
      <w:spacing w:line="312" w:lineRule="atLeast"/>
      <w:ind w:left="3360"/>
      <w:textAlignment w:val="baseline"/>
    </w:pPr>
    <w:rPr>
      <w:kern w:val="0"/>
      <w:szCs w:val="20"/>
    </w:rPr>
  </w:style>
  <w:style w:type="paragraph" w:styleId="40">
    <w:name w:val="Body Text 2"/>
    <w:basedOn w:val="1"/>
    <w:autoRedefine/>
    <w:qFormat/>
    <w:uiPriority w:val="0"/>
    <w:pPr>
      <w:spacing w:after="120" w:line="480" w:lineRule="auto"/>
    </w:p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2">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3">
    <w:name w:val="index 1"/>
    <w:basedOn w:val="1"/>
    <w:next w:val="1"/>
    <w:autoRedefine/>
    <w:qFormat/>
    <w:uiPriority w:val="0"/>
    <w:pPr>
      <w:spacing w:line="360" w:lineRule="exact"/>
      <w:ind w:firstLine="432" w:firstLineChars="240"/>
    </w:pPr>
    <w:rPr>
      <w:rFonts w:ascii="宋体" w:hAnsi="宋体"/>
      <w:bCs/>
      <w:sz w:val="18"/>
      <w:szCs w:val="18"/>
    </w:rPr>
  </w:style>
  <w:style w:type="paragraph" w:styleId="44">
    <w:name w:val="Title"/>
    <w:basedOn w:val="1"/>
    <w:next w:val="1"/>
    <w:autoRedefine/>
    <w:qFormat/>
    <w:uiPriority w:val="0"/>
    <w:pPr>
      <w:spacing w:before="240" w:after="60"/>
      <w:jc w:val="center"/>
      <w:outlineLvl w:val="0"/>
    </w:pPr>
    <w:rPr>
      <w:rFonts w:ascii="Arial" w:hAnsi="Arial"/>
      <w:b/>
      <w:sz w:val="32"/>
      <w:szCs w:val="20"/>
    </w:rPr>
  </w:style>
  <w:style w:type="paragraph" w:styleId="45">
    <w:name w:val="annotation subject"/>
    <w:basedOn w:val="16"/>
    <w:next w:val="16"/>
    <w:qFormat/>
    <w:uiPriority w:val="0"/>
    <w:rPr>
      <w:b/>
      <w:bCs/>
    </w:rPr>
  </w:style>
  <w:style w:type="paragraph" w:styleId="46">
    <w:name w:val="Body Text First Indent"/>
    <w:basedOn w:val="18"/>
    <w:autoRedefine/>
    <w:qFormat/>
    <w:uiPriority w:val="0"/>
    <w:pPr>
      <w:adjustRightInd w:val="0"/>
      <w:snapToGrid w:val="0"/>
      <w:spacing w:after="120" w:line="360" w:lineRule="auto"/>
      <w:ind w:right="240" w:firstLine="420" w:firstLineChars="100"/>
      <w:jc w:val="left"/>
    </w:pPr>
    <w:rPr>
      <w:rFonts w:ascii="宋体" w:hAnsi="宋体" w:eastAsia="方正仿宋_GBK"/>
      <w:kern w:val="2"/>
      <w:sz w:val="21"/>
      <w:szCs w:val="28"/>
    </w:rPr>
  </w:style>
  <w:style w:type="paragraph" w:styleId="47">
    <w:name w:val="Body Text First Indent 2"/>
    <w:basedOn w:val="19"/>
    <w:unhideWhenUsed/>
    <w:qFormat/>
    <w:uiPriority w:val="99"/>
    <w:pPr>
      <w:ind w:firstLine="0"/>
    </w:pPr>
    <w:rPr>
      <w:rFonts w:hint="eastAsia" w:ascii="Times New Roman" w:hAnsi="Times New Roman"/>
      <w:sz w:val="22"/>
    </w:rPr>
  </w:style>
  <w:style w:type="table" w:styleId="49">
    <w:name w:val="Table Grid"/>
    <w:basedOn w:val="48"/>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autoRedefine/>
    <w:qFormat/>
    <w:uiPriority w:val="0"/>
    <w:rPr>
      <w:b/>
      <w:bCs/>
    </w:rPr>
  </w:style>
  <w:style w:type="character" w:styleId="52">
    <w:name w:val="page number"/>
    <w:basedOn w:val="50"/>
    <w:autoRedefine/>
    <w:qFormat/>
    <w:uiPriority w:val="0"/>
  </w:style>
  <w:style w:type="character" w:styleId="53">
    <w:name w:val="FollowedHyperlink"/>
    <w:autoRedefine/>
    <w:qFormat/>
    <w:uiPriority w:val="0"/>
    <w:rPr>
      <w:color w:val="800080"/>
      <w:u w:val="single"/>
    </w:rPr>
  </w:style>
  <w:style w:type="character" w:styleId="54">
    <w:name w:val="Hyperlink"/>
    <w:autoRedefine/>
    <w:qFormat/>
    <w:uiPriority w:val="0"/>
    <w:rPr>
      <w:color w:val="0000FF"/>
      <w:u w:val="single"/>
    </w:rPr>
  </w:style>
  <w:style w:type="character" w:styleId="55">
    <w:name w:val="HTML Code"/>
    <w:qFormat/>
    <w:uiPriority w:val="0"/>
    <w:rPr>
      <w:rFonts w:ascii="宋体" w:hAnsi="宋体" w:eastAsia="宋体" w:cs="宋体"/>
      <w:sz w:val="24"/>
      <w:szCs w:val="24"/>
    </w:rPr>
  </w:style>
  <w:style w:type="character" w:styleId="56">
    <w:name w:val="annotation reference"/>
    <w:autoRedefine/>
    <w:qFormat/>
    <w:uiPriority w:val="99"/>
    <w:rPr>
      <w:sz w:val="21"/>
    </w:rPr>
  </w:style>
  <w:style w:type="paragraph" w:customStyle="1" w:styleId="57">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58">
    <w:name w:val="Default"/>
    <w:basedOn w:val="44"/>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59">
    <w:name w:val="TOC 标题1"/>
    <w:basedOn w:val="2"/>
    <w:next w:val="1"/>
    <w:qFormat/>
    <w:uiPriority w:val="0"/>
    <w:pPr>
      <w:spacing w:before="480" w:line="276" w:lineRule="auto"/>
      <w:outlineLvl w:val="9"/>
    </w:pPr>
    <w:rPr>
      <w:rFonts w:ascii="仿宋" w:hAnsi="仿宋" w:eastAsia="仿宋"/>
      <w:color w:val="000000"/>
      <w:kern w:val="0"/>
      <w:szCs w:val="32"/>
    </w:rPr>
  </w:style>
  <w:style w:type="paragraph" w:customStyle="1" w:styleId="60">
    <w:name w:val="首行缩进"/>
    <w:basedOn w:val="1"/>
    <w:qFormat/>
    <w:uiPriority w:val="0"/>
    <w:pPr>
      <w:ind w:firstLine="480" w:firstLineChars="200"/>
    </w:pPr>
    <w:rPr>
      <w:lang w:val="zh-CN"/>
    </w:rPr>
  </w:style>
  <w:style w:type="character" w:customStyle="1" w:styleId="61">
    <w:name w:val="style54"/>
    <w:basedOn w:val="50"/>
    <w:autoRedefine/>
    <w:qFormat/>
    <w:uiPriority w:val="0"/>
  </w:style>
  <w:style w:type="character" w:customStyle="1" w:styleId="62">
    <w:name w:val="1051"/>
    <w:autoRedefine/>
    <w:qFormat/>
    <w:uiPriority w:val="0"/>
    <w:rPr>
      <w:sz w:val="21"/>
      <w:szCs w:val="21"/>
    </w:rPr>
  </w:style>
  <w:style w:type="character" w:customStyle="1" w:styleId="63">
    <w:name w:val="style31"/>
    <w:qFormat/>
    <w:uiPriority w:val="0"/>
    <w:rPr>
      <w:sz w:val="18"/>
      <w:szCs w:val="18"/>
    </w:rPr>
  </w:style>
  <w:style w:type="character" w:customStyle="1" w:styleId="64">
    <w:name w:val="unnamed21"/>
    <w:basedOn w:val="50"/>
    <w:autoRedefine/>
    <w:qFormat/>
    <w:uiPriority w:val="0"/>
  </w:style>
  <w:style w:type="character" w:customStyle="1" w:styleId="65">
    <w:name w:val="Char Char2"/>
    <w:qFormat/>
    <w:uiPriority w:val="0"/>
    <w:rPr>
      <w:rFonts w:ascii="宋体" w:hAnsi="Courier New" w:eastAsia="宋体"/>
      <w:spacing w:val="-4"/>
      <w:kern w:val="2"/>
      <w:sz w:val="18"/>
      <w:lang w:val="en-US" w:eastAsia="zh-CN" w:bidi="ar-SA"/>
    </w:rPr>
  </w:style>
  <w:style w:type="character" w:customStyle="1" w:styleId="66">
    <w:name w:val="style51"/>
    <w:basedOn w:val="50"/>
    <w:autoRedefine/>
    <w:qFormat/>
    <w:uiPriority w:val="0"/>
  </w:style>
  <w:style w:type="character" w:customStyle="1" w:styleId="67">
    <w:name w:val="普通文字 Char Char1"/>
    <w:autoRedefine/>
    <w:qFormat/>
    <w:uiPriority w:val="0"/>
    <w:rPr>
      <w:rFonts w:ascii="宋体" w:hAnsi="Courier New" w:eastAsia="宋体"/>
      <w:kern w:val="2"/>
      <w:sz w:val="21"/>
      <w:lang w:val="en-US" w:eastAsia="zh-CN" w:bidi="ar-SA"/>
    </w:rPr>
  </w:style>
  <w:style w:type="character" w:customStyle="1" w:styleId="68">
    <w:name w:val="apple-style-span"/>
    <w:basedOn w:val="50"/>
    <w:qFormat/>
    <w:uiPriority w:val="0"/>
  </w:style>
  <w:style w:type="paragraph" w:customStyle="1" w:styleId="69">
    <w:name w:val="Char Char Char Char Char Char Char"/>
    <w:basedOn w:val="1"/>
    <w:autoRedefine/>
    <w:qFormat/>
    <w:uiPriority w:val="0"/>
  </w:style>
  <w:style w:type="paragraph" w:customStyle="1" w:styleId="70">
    <w:name w:val="默认段落字体 Para Char1"/>
    <w:next w:val="1"/>
    <w:autoRedefine/>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7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72">
    <w:name w:val="默认段落字体 Char Char Char"/>
    <w:basedOn w:val="1"/>
    <w:autoRedefine/>
    <w:qFormat/>
    <w:uiPriority w:val="0"/>
    <w:pPr>
      <w:widowControl/>
    </w:pPr>
    <w:rPr>
      <w:rFonts w:ascii="Arial" w:hAnsi="Arial" w:cs="Arial"/>
      <w:sz w:val="22"/>
      <w:szCs w:val="22"/>
      <w:lang w:eastAsia="en-US"/>
    </w:rPr>
  </w:style>
  <w:style w:type="paragraph" w:customStyle="1" w:styleId="73">
    <w:name w:val="样式1"/>
    <w:basedOn w:val="1"/>
    <w:autoRedefine/>
    <w:qFormat/>
    <w:uiPriority w:val="0"/>
  </w:style>
  <w:style w:type="paragraph" w:customStyle="1" w:styleId="74">
    <w:name w:val="Char"/>
    <w:basedOn w:val="15"/>
    <w:autoRedefine/>
    <w:qFormat/>
    <w:uiPriority w:val="0"/>
    <w:rPr>
      <w:rFonts w:ascii="Tahoma" w:hAnsi="Tahoma"/>
      <w:sz w:val="24"/>
    </w:rPr>
  </w:style>
  <w:style w:type="paragraph" w:customStyle="1" w:styleId="75">
    <w:name w:val="Char Char Char"/>
    <w:basedOn w:val="1"/>
    <w:autoRedefine/>
    <w:qFormat/>
    <w:uiPriority w:val="0"/>
    <w:rPr>
      <w:rFonts w:ascii="Tahoma" w:hAnsi="Tahoma"/>
      <w:sz w:val="24"/>
      <w:szCs w:val="20"/>
    </w:rPr>
  </w:style>
  <w:style w:type="paragraph" w:customStyle="1" w:styleId="76">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7">
    <w:name w:val="默认段落字体 Para Char Char Char Char Char Char Char Char Char Char"/>
    <w:basedOn w:val="1"/>
    <w:autoRedefine/>
    <w:qFormat/>
    <w:uiPriority w:val="0"/>
  </w:style>
  <w:style w:type="paragraph" w:customStyle="1" w:styleId="78">
    <w:name w:val="F2"/>
    <w:basedOn w:val="1"/>
    <w:qFormat/>
    <w:uiPriority w:val="0"/>
    <w:pPr>
      <w:autoSpaceDE w:val="0"/>
      <w:autoSpaceDN w:val="0"/>
      <w:adjustRightInd w:val="0"/>
      <w:ind w:firstLine="601"/>
      <w:textAlignment w:val="baseline"/>
    </w:pPr>
    <w:rPr>
      <w:kern w:val="0"/>
      <w:sz w:val="24"/>
      <w:szCs w:val="20"/>
    </w:rPr>
  </w:style>
  <w:style w:type="paragraph" w:customStyle="1" w:styleId="79">
    <w:name w:val="xl31"/>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80">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1">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2">
    <w:name w:val="Char Char Char Char Char Char1 Char"/>
    <w:basedOn w:val="1"/>
    <w:autoRedefine/>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3">
    <w:name w:val="xl25"/>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kern w:val="0"/>
      <w:sz w:val="20"/>
      <w:szCs w:val="20"/>
    </w:rPr>
  </w:style>
  <w:style w:type="paragraph" w:customStyle="1" w:styleId="84">
    <w:name w:val="样式3"/>
    <w:basedOn w:val="18"/>
    <w:autoRedefine/>
    <w:qFormat/>
    <w:uiPriority w:val="0"/>
    <w:pPr>
      <w:autoSpaceDE/>
      <w:autoSpaceDN/>
      <w:adjustRightInd/>
      <w:spacing w:line="360" w:lineRule="auto"/>
      <w:jc w:val="both"/>
    </w:pPr>
    <w:rPr>
      <w:kern w:val="2"/>
      <w:sz w:val="21"/>
      <w:szCs w:val="24"/>
    </w:rPr>
  </w:style>
  <w:style w:type="paragraph" w:customStyle="1" w:styleId="85">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86">
    <w:name w:val="Char Char Char Char Char Char1 Char1"/>
    <w:basedOn w:val="1"/>
    <w:autoRedefine/>
    <w:qFormat/>
    <w:uiPriority w:val="0"/>
    <w:pPr>
      <w:widowControl/>
      <w:spacing w:after="160" w:line="240" w:lineRule="exact"/>
      <w:jc w:val="left"/>
    </w:pPr>
    <w:rPr>
      <w:rFonts w:ascii="Arial" w:hAnsi="Arial" w:eastAsia="楷体_GB2312" w:cs="Verdana"/>
      <w:b/>
      <w:kern w:val="0"/>
      <w:sz w:val="24"/>
      <w:lang w:eastAsia="en-US"/>
    </w:rPr>
  </w:style>
  <w:style w:type="paragraph" w:customStyle="1" w:styleId="87">
    <w:name w:val="列出段落1"/>
    <w:autoRedefine/>
    <w:qFormat/>
    <w:uiPriority w:val="0"/>
    <w:pPr>
      <w:ind w:firstLine="420" w:firstLineChars="200"/>
    </w:pPr>
    <w:rPr>
      <w:rFonts w:ascii="Calibri" w:hAnsi="Calibri" w:eastAsia="宋体" w:cs="Times New Roman"/>
      <w:lang w:val="en-US" w:eastAsia="zh-CN" w:bidi="ar-SA"/>
    </w:rPr>
  </w:style>
  <w:style w:type="character" w:customStyle="1" w:styleId="88">
    <w:name w:val="apple-converted-space"/>
    <w:basedOn w:val="50"/>
    <w:autoRedefine/>
    <w:qFormat/>
    <w:uiPriority w:val="0"/>
  </w:style>
  <w:style w:type="paragraph" w:customStyle="1" w:styleId="89">
    <w:name w:val="Char Char Char Char"/>
    <w:basedOn w:val="1"/>
    <w:autoRedefine/>
    <w:qFormat/>
    <w:uiPriority w:val="0"/>
    <w:rPr>
      <w:szCs w:val="20"/>
    </w:rPr>
  </w:style>
  <w:style w:type="character" w:customStyle="1" w:styleId="90">
    <w:name w:val="页眉 Char"/>
    <w:link w:val="31"/>
    <w:autoRedefine/>
    <w:qFormat/>
    <w:uiPriority w:val="0"/>
    <w:rPr>
      <w:rFonts w:ascii="宋体" w:hAnsi="Courier New" w:eastAsia="宋体"/>
      <w:kern w:val="2"/>
      <w:sz w:val="18"/>
      <w:lang w:val="en-US" w:eastAsia="zh-CN" w:bidi="ar-SA"/>
    </w:rPr>
  </w:style>
  <w:style w:type="character" w:customStyle="1" w:styleId="91">
    <w:name w:val="chart1"/>
    <w:autoRedefine/>
    <w:qFormat/>
    <w:uiPriority w:val="0"/>
    <w:rPr>
      <w:rFonts w:hint="default" w:ascii="Verdana" w:hAnsi="Verdana"/>
      <w:color w:val="000000"/>
      <w:sz w:val="16"/>
      <w:szCs w:val="16"/>
    </w:rPr>
  </w:style>
  <w:style w:type="character" w:customStyle="1" w:styleId="92">
    <w:name w:val="1ji Char Char"/>
    <w:link w:val="93"/>
    <w:autoRedefine/>
    <w:qFormat/>
    <w:uiPriority w:val="0"/>
    <w:rPr>
      <w:rFonts w:ascii="宋体" w:hAnsi="宋体" w:eastAsia="宋体"/>
      <w:b/>
      <w:bCs/>
      <w:kern w:val="44"/>
      <w:sz w:val="36"/>
      <w:szCs w:val="44"/>
      <w:lang w:val="en-US" w:eastAsia="zh-CN" w:bidi="ar-SA"/>
    </w:rPr>
  </w:style>
  <w:style w:type="paragraph" w:customStyle="1" w:styleId="93">
    <w:name w:val="1ji"/>
    <w:basedOn w:val="2"/>
    <w:link w:val="92"/>
    <w:autoRedefine/>
    <w:qFormat/>
    <w:uiPriority w:val="0"/>
    <w:pPr>
      <w:widowControl/>
      <w:spacing w:line="240" w:lineRule="auto"/>
      <w:jc w:val="center"/>
    </w:pPr>
    <w:rPr>
      <w:rFonts w:ascii="宋体" w:hAnsi="宋体"/>
      <w:kern w:val="44"/>
      <w:sz w:val="36"/>
      <w:szCs w:val="44"/>
    </w:rPr>
  </w:style>
  <w:style w:type="character" w:customStyle="1" w:styleId="94">
    <w:name w:val="标题 3 Char"/>
    <w:link w:val="4"/>
    <w:autoRedefine/>
    <w:qFormat/>
    <w:uiPriority w:val="9"/>
    <w:rPr>
      <w:rFonts w:eastAsia="宋体"/>
      <w:b/>
      <w:bCs/>
      <w:kern w:val="2"/>
      <w:sz w:val="32"/>
      <w:szCs w:val="32"/>
      <w:lang w:val="en-US" w:eastAsia="zh-CN" w:bidi="ar-SA"/>
    </w:rPr>
  </w:style>
  <w:style w:type="character" w:customStyle="1" w:styleId="95">
    <w:name w:val="Char Char3"/>
    <w:autoRedefine/>
    <w:qFormat/>
    <w:uiPriority w:val="0"/>
    <w:rPr>
      <w:rFonts w:eastAsia="宋体"/>
      <w:kern w:val="2"/>
      <w:sz w:val="21"/>
      <w:szCs w:val="24"/>
      <w:lang w:val="en-US" w:eastAsia="zh-CN" w:bidi="ar-SA"/>
    </w:rPr>
  </w:style>
  <w:style w:type="character" w:customStyle="1" w:styleId="96">
    <w:name w:val="1ji Char Char Char"/>
    <w:autoRedefine/>
    <w:qFormat/>
    <w:uiPriority w:val="0"/>
    <w:rPr>
      <w:rFonts w:ascii="宋体" w:hAnsi="宋体" w:eastAsia="宋体"/>
      <w:b/>
      <w:bCs/>
      <w:kern w:val="44"/>
      <w:sz w:val="36"/>
      <w:szCs w:val="44"/>
      <w:lang w:val="en-US" w:eastAsia="zh-CN" w:bidi="ar-SA"/>
    </w:rPr>
  </w:style>
  <w:style w:type="character" w:customStyle="1" w:styleId="97">
    <w:name w:val="标题 1 Char"/>
    <w:link w:val="2"/>
    <w:autoRedefine/>
    <w:qFormat/>
    <w:uiPriority w:val="0"/>
    <w:rPr>
      <w:rFonts w:eastAsia="宋体"/>
      <w:b/>
      <w:bCs/>
      <w:kern w:val="2"/>
      <w:sz w:val="21"/>
      <w:szCs w:val="24"/>
      <w:lang w:val="en-US" w:eastAsia="zh-CN" w:bidi="ar-SA"/>
    </w:rPr>
  </w:style>
  <w:style w:type="character" w:customStyle="1" w:styleId="98">
    <w:name w:val="页脚 Char"/>
    <w:link w:val="30"/>
    <w:autoRedefine/>
    <w:qFormat/>
    <w:uiPriority w:val="0"/>
    <w:rPr>
      <w:rFonts w:ascii="宋体" w:hAnsi="Courier New" w:eastAsia="宋体"/>
      <w:kern w:val="2"/>
      <w:sz w:val="18"/>
      <w:lang w:val="en-US" w:eastAsia="zh-CN" w:bidi="ar-SA"/>
    </w:rPr>
  </w:style>
  <w:style w:type="character" w:customStyle="1" w:styleId="99">
    <w:name w:val="case31"/>
    <w:autoRedefine/>
    <w:qFormat/>
    <w:uiPriority w:val="0"/>
    <w:rPr>
      <w:rFonts w:hint="default"/>
      <w:sz w:val="21"/>
      <w:szCs w:val="21"/>
    </w:rPr>
  </w:style>
  <w:style w:type="character" w:customStyle="1" w:styleId="100">
    <w:name w:val="标题 2 Char"/>
    <w:link w:val="3"/>
    <w:autoRedefine/>
    <w:qFormat/>
    <w:uiPriority w:val="0"/>
    <w:rPr>
      <w:rFonts w:ascii="Arial" w:hAnsi="Arial" w:eastAsia="黑体"/>
      <w:b/>
      <w:bCs/>
      <w:kern w:val="2"/>
      <w:sz w:val="32"/>
      <w:szCs w:val="32"/>
      <w:lang w:val="en-US" w:eastAsia="zh-CN" w:bidi="ar-SA"/>
    </w:rPr>
  </w:style>
  <w:style w:type="character" w:customStyle="1" w:styleId="101">
    <w:name w:val="批注文字 Char"/>
    <w:link w:val="16"/>
    <w:autoRedefine/>
    <w:qFormat/>
    <w:uiPriority w:val="0"/>
    <w:rPr>
      <w:rFonts w:eastAsia="宋体"/>
      <w:kern w:val="2"/>
      <w:sz w:val="21"/>
      <w:szCs w:val="24"/>
      <w:lang w:val="en-US" w:eastAsia="zh-CN" w:bidi="ar-SA"/>
    </w:rPr>
  </w:style>
  <w:style w:type="character" w:customStyle="1" w:styleId="102">
    <w:name w:val="062"/>
    <w:autoRedefine/>
    <w:qFormat/>
    <w:uiPriority w:val="0"/>
    <w:rPr>
      <w:rFonts w:ascii="宋体" w:hAnsi="宋体"/>
      <w:b/>
      <w:bCs/>
      <w:sz w:val="32"/>
    </w:rPr>
  </w:style>
  <w:style w:type="character" w:customStyle="1" w:styleId="103">
    <w:name w:val="正文文本 3 Char"/>
    <w:link w:val="17"/>
    <w:autoRedefine/>
    <w:qFormat/>
    <w:uiPriority w:val="0"/>
    <w:rPr>
      <w:rFonts w:eastAsia="宋体"/>
      <w:b/>
      <w:bCs/>
      <w:kern w:val="2"/>
      <w:sz w:val="24"/>
      <w:szCs w:val="24"/>
      <w:lang w:val="en-US" w:eastAsia="zh-CN" w:bidi="ar-SA"/>
    </w:rPr>
  </w:style>
  <w:style w:type="character" w:customStyle="1" w:styleId="104">
    <w:name w:val="正文YANG Char Char"/>
    <w:link w:val="105"/>
    <w:autoRedefine/>
    <w:qFormat/>
    <w:uiPriority w:val="0"/>
    <w:rPr>
      <w:rFonts w:ascii="Calibri" w:hAnsi="Calibri" w:eastAsia="华文中宋"/>
      <w:kern w:val="2"/>
      <w:sz w:val="24"/>
      <w:szCs w:val="24"/>
      <w:lang w:val="en-US" w:eastAsia="zh-CN" w:bidi="ar-SA"/>
    </w:rPr>
  </w:style>
  <w:style w:type="paragraph" w:customStyle="1" w:styleId="105">
    <w:name w:val="正文YANG"/>
    <w:basedOn w:val="1"/>
    <w:link w:val="104"/>
    <w:autoRedefine/>
    <w:qFormat/>
    <w:uiPriority w:val="0"/>
    <w:rPr>
      <w:rFonts w:ascii="Calibri" w:hAnsi="Calibri" w:eastAsia="华文中宋"/>
      <w:sz w:val="24"/>
    </w:rPr>
  </w:style>
  <w:style w:type="character" w:customStyle="1" w:styleId="106">
    <w:name w:val="Char Char5"/>
    <w:autoRedefine/>
    <w:qFormat/>
    <w:uiPriority w:val="0"/>
    <w:rPr>
      <w:rFonts w:ascii="仿宋_GB2312" w:eastAsia="仿宋_GB2312"/>
      <w:kern w:val="2"/>
      <w:sz w:val="32"/>
      <w:lang w:val="en-US" w:eastAsia="zh-CN" w:bidi="ar-SA"/>
    </w:rPr>
  </w:style>
  <w:style w:type="character" w:customStyle="1" w:styleId="107">
    <w:name w:val="Normal Indent Char Char"/>
    <w:autoRedefine/>
    <w:qFormat/>
    <w:uiPriority w:val="0"/>
    <w:rPr>
      <w:rFonts w:eastAsia="宋体"/>
      <w:kern w:val="2"/>
      <w:sz w:val="21"/>
      <w:lang w:val="en-US" w:eastAsia="zh-CN"/>
    </w:rPr>
  </w:style>
  <w:style w:type="character" w:customStyle="1" w:styleId="108">
    <w:name w:val="body1"/>
    <w:autoRedefine/>
    <w:qFormat/>
    <w:uiPriority w:val="0"/>
    <w:rPr>
      <w:rFonts w:hint="default" w:ascii="Verdana" w:hAnsi="Verdana"/>
      <w:color w:val="000000"/>
      <w:sz w:val="19"/>
      <w:szCs w:val="19"/>
    </w:rPr>
  </w:style>
  <w:style w:type="paragraph" w:customStyle="1" w:styleId="109">
    <w:name w:val="Char1 Char Char Char Char Char 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0">
    <w:name w:val="彩色列表 - 强调文字颜色 11"/>
    <w:basedOn w:val="1"/>
    <w:autoRedefine/>
    <w:qFormat/>
    <w:uiPriority w:val="0"/>
    <w:pPr>
      <w:ind w:firstLine="200" w:firstLineChars="200"/>
    </w:pPr>
    <w:rPr>
      <w:rFonts w:ascii="Calibri" w:hAnsi="Calibri" w:cs="Calibri"/>
      <w:sz w:val="24"/>
    </w:rPr>
  </w:style>
  <w:style w:type="paragraph" w:customStyle="1" w:styleId="111">
    <w:name w:val="Char Char Char1"/>
    <w:basedOn w:val="1"/>
    <w:autoRedefine/>
    <w:qFormat/>
    <w:uiPriority w:val="0"/>
    <w:rPr>
      <w:rFonts w:ascii="Tahoma" w:hAnsi="Tahoma"/>
      <w:sz w:val="24"/>
      <w:szCs w:val="20"/>
    </w:rPr>
  </w:style>
  <w:style w:type="paragraph" w:customStyle="1" w:styleId="112">
    <w:name w:val="正文段"/>
    <w:basedOn w:val="1"/>
    <w:autoRedefine/>
    <w:qFormat/>
    <w:uiPriority w:val="0"/>
    <w:pPr>
      <w:widowControl/>
      <w:snapToGrid w:val="0"/>
      <w:spacing w:afterLines="50"/>
      <w:ind w:firstLine="200" w:firstLineChars="200"/>
    </w:pPr>
    <w:rPr>
      <w:kern w:val="0"/>
      <w:sz w:val="24"/>
      <w:szCs w:val="20"/>
    </w:rPr>
  </w:style>
  <w:style w:type="paragraph" w:customStyle="1" w:styleId="113">
    <w:name w:val="Default Paragraph Font Para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14">
    <w:name w:val="默认段落字体 Para Char Char Char Char Char Char Char"/>
    <w:basedOn w:val="1"/>
    <w:autoRedefine/>
    <w:qFormat/>
    <w:uiPriority w:val="0"/>
    <w:rPr>
      <w:rFonts w:ascii="Tahoma" w:hAnsi="Tahoma" w:cs="Tahoma"/>
      <w:sz w:val="24"/>
    </w:rPr>
  </w:style>
  <w:style w:type="paragraph" w:customStyle="1" w:styleId="115">
    <w:name w:val="默认段落字体 Para Char Char Char Char Char Char Char Char Char1 Char Char Char Char"/>
    <w:basedOn w:val="1"/>
    <w:autoRedefine/>
    <w:qFormat/>
    <w:uiPriority w:val="0"/>
    <w:rPr>
      <w:rFonts w:ascii="Tahoma" w:hAnsi="Tahoma"/>
      <w:sz w:val="24"/>
      <w:szCs w:val="20"/>
    </w:rPr>
  </w:style>
  <w:style w:type="paragraph" w:customStyle="1" w:styleId="116">
    <w:name w:val="表格"/>
    <w:basedOn w:val="1"/>
    <w:autoRedefine/>
    <w:qFormat/>
    <w:uiPriority w:val="0"/>
    <w:pPr>
      <w:spacing w:line="400" w:lineRule="exact"/>
    </w:pPr>
    <w:rPr>
      <w:sz w:val="24"/>
    </w:rPr>
  </w:style>
  <w:style w:type="paragraph" w:customStyle="1" w:styleId="117">
    <w:name w:val="列出段落11"/>
    <w:basedOn w:val="1"/>
    <w:autoRedefine/>
    <w:qFormat/>
    <w:uiPriority w:val="0"/>
    <w:pPr>
      <w:ind w:firstLine="420" w:firstLineChars="200"/>
    </w:pPr>
    <w:rPr>
      <w:rFonts w:ascii="Calibri" w:hAnsi="Calibri"/>
      <w:szCs w:val="22"/>
    </w:rPr>
  </w:style>
  <w:style w:type="paragraph" w:customStyle="1" w:styleId="118">
    <w:name w:val="1"/>
    <w:basedOn w:val="1"/>
    <w:next w:val="25"/>
    <w:autoRedefine/>
    <w:qFormat/>
    <w:uiPriority w:val="0"/>
    <w:rPr>
      <w:rFonts w:ascii="宋体" w:hAnsi="Courier New"/>
      <w:szCs w:val="20"/>
    </w:rPr>
  </w:style>
  <w:style w:type="paragraph" w:customStyle="1" w:styleId="119">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120">
    <w:name w:val="默认段落字体 Para Char Char Char Char"/>
    <w:basedOn w:val="1"/>
    <w:autoRedefine/>
    <w:qFormat/>
    <w:uiPriority w:val="0"/>
    <w:pPr>
      <w:spacing w:line="560" w:lineRule="exact"/>
      <w:ind w:firstLine="640" w:firstLineChars="200"/>
    </w:pPr>
    <w:rPr>
      <w:rFonts w:eastAsia="仿宋_GB2312"/>
      <w:kern w:val="0"/>
      <w:sz w:val="32"/>
      <w:szCs w:val="32"/>
    </w:rPr>
  </w:style>
  <w:style w:type="paragraph" w:customStyle="1" w:styleId="121">
    <w:name w:val="2ji"/>
    <w:basedOn w:val="3"/>
    <w:autoRedefine/>
    <w:qFormat/>
    <w:uiPriority w:val="0"/>
    <w:pPr>
      <w:adjustRightInd w:val="0"/>
      <w:spacing w:before="0" w:after="0" w:line="360" w:lineRule="auto"/>
      <w:textAlignment w:val="baseline"/>
    </w:pPr>
    <w:rPr>
      <w:rFonts w:ascii="宋体" w:hAnsi="宋体" w:eastAsia="宋体"/>
      <w:kern w:val="0"/>
      <w:sz w:val="21"/>
      <w:szCs w:val="21"/>
    </w:rPr>
  </w:style>
  <w:style w:type="paragraph" w:customStyle="1" w:styleId="122">
    <w:name w:val="444"/>
    <w:basedOn w:val="1"/>
    <w:autoRedefine/>
    <w:qFormat/>
    <w:uiPriority w:val="0"/>
    <w:pPr>
      <w:adjustRightInd w:val="0"/>
      <w:spacing w:line="312" w:lineRule="atLeast"/>
      <w:jc w:val="center"/>
      <w:textAlignment w:val="baseline"/>
    </w:pPr>
    <w:rPr>
      <w:b/>
      <w:kern w:val="0"/>
      <w:sz w:val="36"/>
      <w:szCs w:val="36"/>
    </w:rPr>
  </w:style>
  <w:style w:type="paragraph" w:customStyle="1" w:styleId="123">
    <w:name w:val="Char1"/>
    <w:basedOn w:val="1"/>
    <w:autoRedefine/>
    <w:qFormat/>
    <w:uiPriority w:val="0"/>
    <w:rPr>
      <w:szCs w:val="21"/>
    </w:rPr>
  </w:style>
  <w:style w:type="paragraph" w:customStyle="1" w:styleId="124">
    <w:name w:val="Char3"/>
    <w:basedOn w:val="1"/>
    <w:autoRedefine/>
    <w:qFormat/>
    <w:uiPriority w:val="0"/>
    <w:pPr>
      <w:widowControl/>
      <w:spacing w:line="500" w:lineRule="exact"/>
      <w:outlineLvl w:val="2"/>
    </w:pPr>
    <w:rPr>
      <w:rFonts w:ascii="黑体" w:hAnsi="Verdana" w:eastAsia="黑体" w:cs="黑体"/>
      <w:kern w:val="0"/>
      <w:sz w:val="28"/>
      <w:szCs w:val="28"/>
      <w:lang w:eastAsia="en-US"/>
    </w:rPr>
  </w:style>
  <w:style w:type="paragraph" w:customStyle="1" w:styleId="125">
    <w:name w:val="普通(网站)1"/>
    <w:basedOn w:val="1"/>
    <w:autoRedefine/>
    <w:qFormat/>
    <w:uiPriority w:val="0"/>
    <w:pPr>
      <w:widowControl/>
      <w:spacing w:beforeLines="50" w:beforeAutospacing="1" w:afterLines="50" w:afterAutospacing="1"/>
      <w:ind w:firstLine="200" w:firstLineChars="200"/>
      <w:jc w:val="left"/>
    </w:pPr>
    <w:rPr>
      <w:rFonts w:ascii="宋体" w:hAnsi="宋体" w:cs="宋体"/>
      <w:kern w:val="0"/>
      <w:sz w:val="24"/>
    </w:rPr>
  </w:style>
  <w:style w:type="paragraph" w:customStyle="1" w:styleId="126">
    <w:name w:val="样式 标题 3 + (中文) 黑体 小四 非加粗 段前: 7.8 磅 段后: 0 磅 行距: 固定值 20 磅"/>
    <w:basedOn w:val="4"/>
    <w:autoRedefine/>
    <w:qFormat/>
    <w:uiPriority w:val="0"/>
    <w:pPr>
      <w:spacing w:before="0" w:after="0" w:line="400" w:lineRule="exact"/>
    </w:pPr>
    <w:rPr>
      <w:rFonts w:eastAsia="黑体" w:cs="宋体"/>
      <w:b w:val="0"/>
      <w:bCs w:val="0"/>
      <w:sz w:val="24"/>
      <w:szCs w:val="20"/>
    </w:rPr>
  </w:style>
  <w:style w:type="paragraph" w:customStyle="1" w:styleId="127">
    <w:name w:val="Char Char Char Char Char Char Char1"/>
    <w:basedOn w:val="1"/>
    <w:autoRedefine/>
    <w:qFormat/>
    <w:uiPriority w:val="0"/>
  </w:style>
  <w:style w:type="paragraph" w:customStyle="1" w:styleId="128">
    <w:name w:val="默认段落字体 Para Char Char Char Char Char Char Char Char Char Cha标题1r"/>
    <w:basedOn w:val="1"/>
    <w:autoRedefine/>
    <w:qFormat/>
    <w:uiPriority w:val="0"/>
    <w:pPr>
      <w:jc w:val="center"/>
    </w:pPr>
  </w:style>
  <w:style w:type="paragraph" w:customStyle="1" w:styleId="129">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30">
    <w:name w:val="2-2ji"/>
    <w:basedOn w:val="3"/>
    <w:autoRedefine/>
    <w:qFormat/>
    <w:uiPriority w:val="0"/>
    <w:pPr>
      <w:adjustRightInd w:val="0"/>
      <w:spacing w:before="0" w:after="0" w:line="360" w:lineRule="auto"/>
      <w:jc w:val="center"/>
      <w:textAlignment w:val="baseline"/>
    </w:pPr>
    <w:rPr>
      <w:rFonts w:ascii="宋体" w:hAnsi="宋体" w:eastAsia="宋体"/>
      <w:bCs w:val="0"/>
      <w:kern w:val="0"/>
      <w:sz w:val="36"/>
    </w:rPr>
  </w:style>
  <w:style w:type="paragraph" w:customStyle="1" w:styleId="131">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132">
    <w:name w:val="样式 首行缩进:  2 字符"/>
    <w:basedOn w:val="1"/>
    <w:autoRedefine/>
    <w:qFormat/>
    <w:uiPriority w:val="0"/>
    <w:pPr>
      <w:spacing w:line="400" w:lineRule="exact"/>
      <w:ind w:firstLine="200" w:firstLineChars="200"/>
    </w:pPr>
    <w:rPr>
      <w:rFonts w:cs="宋体"/>
      <w:sz w:val="24"/>
    </w:rPr>
  </w:style>
  <w:style w:type="paragraph" w:customStyle="1" w:styleId="133">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34">
    <w:name w:val="正文首行缩进两字符"/>
    <w:basedOn w:val="1"/>
    <w:autoRedefine/>
    <w:qFormat/>
    <w:uiPriority w:val="0"/>
    <w:pPr>
      <w:spacing w:line="360" w:lineRule="auto"/>
      <w:ind w:firstLine="200" w:firstLineChars="200"/>
    </w:pPr>
  </w:style>
  <w:style w:type="character" w:customStyle="1" w:styleId="135">
    <w:name w:val="H1 Char"/>
    <w:autoRedefine/>
    <w:qFormat/>
    <w:uiPriority w:val="0"/>
    <w:rPr>
      <w:rFonts w:eastAsia="宋体"/>
      <w:b/>
      <w:bCs/>
      <w:kern w:val="44"/>
      <w:sz w:val="44"/>
      <w:szCs w:val="44"/>
      <w:lang w:val="en-US" w:eastAsia="zh-CN" w:bidi="ar-SA"/>
    </w:rPr>
  </w:style>
  <w:style w:type="character" w:customStyle="1" w:styleId="136">
    <w:name w:val="小标题 Char"/>
    <w:autoRedefine/>
    <w:qFormat/>
    <w:uiPriority w:val="0"/>
    <w:rPr>
      <w:rFonts w:eastAsia="宋体"/>
      <w:b/>
      <w:bCs/>
      <w:kern w:val="2"/>
      <w:sz w:val="32"/>
      <w:szCs w:val="32"/>
      <w:lang w:val="en-US" w:eastAsia="zh-CN" w:bidi="ar-SA"/>
    </w:rPr>
  </w:style>
  <w:style w:type="character" w:customStyle="1" w:styleId="137">
    <w:name w:val="1ji Char"/>
    <w:autoRedefine/>
    <w:qFormat/>
    <w:uiPriority w:val="0"/>
    <w:rPr>
      <w:rFonts w:ascii="宋体" w:hAnsi="宋体" w:eastAsia="宋体"/>
      <w:b/>
      <w:bCs/>
      <w:kern w:val="44"/>
      <w:sz w:val="36"/>
      <w:szCs w:val="44"/>
      <w:lang w:val="en-US" w:eastAsia="zh-CN" w:bidi="ar-SA"/>
    </w:rPr>
  </w:style>
  <w:style w:type="character" w:customStyle="1" w:styleId="138">
    <w:name w:val="正文文字首行缩进 Char1"/>
    <w:autoRedefine/>
    <w:qFormat/>
    <w:uiPriority w:val="0"/>
    <w:rPr>
      <w:rFonts w:ascii="仿宋_GB2312" w:eastAsia="仿宋_GB2312"/>
      <w:kern w:val="2"/>
      <w:sz w:val="32"/>
      <w:lang w:val="en-US" w:eastAsia="zh-CN" w:bidi="ar-SA"/>
    </w:rPr>
  </w:style>
  <w:style w:type="character" w:customStyle="1" w:styleId="139">
    <w:name w:val="h Char"/>
    <w:autoRedefine/>
    <w:qFormat/>
    <w:uiPriority w:val="0"/>
    <w:rPr>
      <w:rFonts w:eastAsia="宋体"/>
      <w:kern w:val="2"/>
      <w:sz w:val="18"/>
      <w:szCs w:val="18"/>
      <w:lang w:val="en-US" w:eastAsia="zh-CN" w:bidi="ar-SA"/>
    </w:rPr>
  </w:style>
  <w:style w:type="character" w:customStyle="1" w:styleId="140">
    <w:name w:val="fo Char"/>
    <w:autoRedefine/>
    <w:qFormat/>
    <w:uiPriority w:val="0"/>
    <w:rPr>
      <w:rFonts w:eastAsia="宋体"/>
      <w:kern w:val="2"/>
      <w:sz w:val="18"/>
      <w:szCs w:val="18"/>
      <w:lang w:val="en-US" w:eastAsia="zh-CN" w:bidi="ar-SA"/>
    </w:rPr>
  </w:style>
  <w:style w:type="paragraph" w:customStyle="1" w:styleId="141">
    <w:name w:val="Char11"/>
    <w:basedOn w:val="1"/>
    <w:autoRedefine/>
    <w:qFormat/>
    <w:uiPriority w:val="0"/>
    <w:rPr>
      <w:rFonts w:ascii="仿宋_GB2312" w:eastAsia="仿宋_GB2312"/>
      <w:b/>
      <w:sz w:val="32"/>
      <w:szCs w:val="32"/>
    </w:rPr>
  </w:style>
  <w:style w:type="character" w:customStyle="1" w:styleId="142">
    <w:name w:val="unnamed11"/>
    <w:autoRedefine/>
    <w:qFormat/>
    <w:uiPriority w:val="0"/>
    <w:rPr>
      <w:color w:val="auto"/>
      <w:sz w:val="18"/>
      <w:szCs w:val="18"/>
    </w:rPr>
  </w:style>
  <w:style w:type="character" w:customStyle="1" w:styleId="143">
    <w:name w:val="A4"/>
    <w:autoRedefine/>
    <w:qFormat/>
    <w:uiPriority w:val="0"/>
    <w:rPr>
      <w:color w:val="000000"/>
    </w:rPr>
  </w:style>
  <w:style w:type="character" w:customStyle="1" w:styleId="144">
    <w:name w:val="标题 6 Char"/>
    <w:link w:val="8"/>
    <w:autoRedefine/>
    <w:qFormat/>
    <w:uiPriority w:val="0"/>
    <w:rPr>
      <w:rFonts w:ascii="Arial" w:hAnsi="Arial" w:eastAsia="黑体"/>
      <w:b/>
      <w:kern w:val="2"/>
      <w:sz w:val="24"/>
    </w:rPr>
  </w:style>
  <w:style w:type="character" w:customStyle="1" w:styleId="145">
    <w:name w:val="正文文字首行缩进 Char"/>
    <w:autoRedefine/>
    <w:qFormat/>
    <w:uiPriority w:val="0"/>
    <w:rPr>
      <w:rFonts w:ascii="仿宋_GB2312" w:eastAsia="仿宋_GB2312"/>
      <w:kern w:val="2"/>
      <w:sz w:val="32"/>
      <w:lang w:val="en-US" w:eastAsia="zh-CN" w:bidi="ar-SA"/>
    </w:rPr>
  </w:style>
  <w:style w:type="paragraph" w:customStyle="1" w:styleId="146">
    <w:name w:val="列出段落2"/>
    <w:basedOn w:val="1"/>
    <w:autoRedefine/>
    <w:qFormat/>
    <w:uiPriority w:val="0"/>
    <w:pPr>
      <w:ind w:firstLine="420" w:firstLineChars="200"/>
    </w:pPr>
    <w:rPr>
      <w:rFonts w:ascii="Calibri" w:hAnsi="Calibri" w:cs="Calibri"/>
      <w:szCs w:val="21"/>
    </w:rPr>
  </w:style>
  <w:style w:type="character" w:customStyle="1" w:styleId="147">
    <w:name w:val="标题 5 Char"/>
    <w:link w:val="6"/>
    <w:autoRedefine/>
    <w:qFormat/>
    <w:uiPriority w:val="0"/>
    <w:rPr>
      <w:b/>
      <w:kern w:val="2"/>
      <w:sz w:val="28"/>
    </w:rPr>
  </w:style>
  <w:style w:type="character" w:customStyle="1" w:styleId="148">
    <w:name w:val="Heading 2 Hidden Char"/>
    <w:autoRedefine/>
    <w:qFormat/>
    <w:uiPriority w:val="0"/>
    <w:rPr>
      <w:rFonts w:ascii="Arial" w:hAnsi="Arial" w:eastAsia="黑体"/>
      <w:b/>
      <w:bCs/>
      <w:kern w:val="2"/>
      <w:sz w:val="32"/>
      <w:szCs w:val="32"/>
      <w:lang w:val="en-US" w:eastAsia="zh-CN" w:bidi="ar-SA"/>
    </w:rPr>
  </w:style>
  <w:style w:type="character" w:customStyle="1" w:styleId="149">
    <w:name w:val="标题 4 Char"/>
    <w:link w:val="5"/>
    <w:autoRedefine/>
    <w:qFormat/>
    <w:uiPriority w:val="0"/>
    <w:rPr>
      <w:rFonts w:ascii="宋体" w:hAnsi="Arial" w:eastAsia="黑体"/>
      <w:b/>
      <w:kern w:val="2"/>
      <w:sz w:val="24"/>
    </w:rPr>
  </w:style>
  <w:style w:type="character" w:customStyle="1" w:styleId="150">
    <w:name w:val="标题 7 Char"/>
    <w:link w:val="9"/>
    <w:autoRedefine/>
    <w:qFormat/>
    <w:uiPriority w:val="0"/>
    <w:rPr>
      <w:b/>
      <w:kern w:val="2"/>
      <w:sz w:val="24"/>
    </w:rPr>
  </w:style>
  <w:style w:type="character" w:customStyle="1" w:styleId="151">
    <w:name w:val="标题 8 Char"/>
    <w:link w:val="10"/>
    <w:autoRedefine/>
    <w:qFormat/>
    <w:uiPriority w:val="0"/>
    <w:rPr>
      <w:rFonts w:ascii="Arial" w:hAnsi="Arial" w:eastAsia="黑体"/>
      <w:kern w:val="2"/>
      <w:sz w:val="24"/>
    </w:rPr>
  </w:style>
  <w:style w:type="character" w:customStyle="1" w:styleId="152">
    <w:name w:val="标题 9 Char"/>
    <w:link w:val="11"/>
    <w:autoRedefine/>
    <w:qFormat/>
    <w:uiPriority w:val="0"/>
    <w:rPr>
      <w:rFonts w:ascii="Arial" w:hAnsi="Arial" w:eastAsia="黑体"/>
      <w:kern w:val="2"/>
      <w:sz w:val="21"/>
    </w:rPr>
  </w:style>
  <w:style w:type="character" w:customStyle="1" w:styleId="153">
    <w:name w:val="正文文本 Char"/>
    <w:link w:val="18"/>
    <w:autoRedefine/>
    <w:qFormat/>
    <w:uiPriority w:val="0"/>
    <w:rPr>
      <w:rFonts w:ascii="宋体" w:eastAsia="宋体"/>
      <w:sz w:val="34"/>
      <w:lang w:val="en-US" w:eastAsia="zh-CN" w:bidi="ar-SA"/>
    </w:rPr>
  </w:style>
  <w:style w:type="character" w:customStyle="1" w:styleId="154">
    <w:name w:val="18h1"/>
    <w:autoRedefine/>
    <w:qFormat/>
    <w:uiPriority w:val="0"/>
    <w:rPr>
      <w:color w:val="3B3B3B"/>
    </w:rPr>
  </w:style>
  <w:style w:type="character" w:customStyle="1" w:styleId="155">
    <w:name w:val="链接"/>
    <w:autoRedefine/>
    <w:qFormat/>
    <w:uiPriority w:val="0"/>
    <w:rPr>
      <w:rFonts w:ascii="Times New Roman" w:eastAsia="宋体"/>
      <w:color w:val="0000FF"/>
      <w:sz w:val="21"/>
      <w:u w:val="single" w:color="0000FF"/>
      <w:vertAlign w:val="baseline"/>
      <w:lang w:val="en-US" w:eastAsia="zh-CN"/>
    </w:rPr>
  </w:style>
  <w:style w:type="character" w:customStyle="1" w:styleId="156">
    <w:name w:val="超级链接"/>
    <w:autoRedefine/>
    <w:qFormat/>
    <w:uiPriority w:val="0"/>
    <w:rPr>
      <w:rFonts w:ascii="Times New Roman" w:eastAsia="宋体"/>
      <w:color w:val="0000FF"/>
      <w:sz w:val="21"/>
      <w:u w:val="single" w:color="0000FF"/>
      <w:vertAlign w:val="baseline"/>
      <w:lang w:val="en-US" w:eastAsia="zh-CN"/>
    </w:rPr>
  </w:style>
  <w:style w:type="paragraph" w:customStyle="1" w:styleId="157">
    <w:name w:val="目录1"/>
    <w:basedOn w:val="1"/>
    <w:next w:val="1"/>
    <w:autoRedefine/>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u w:color="000000"/>
    </w:rPr>
  </w:style>
  <w:style w:type="paragraph" w:customStyle="1" w:styleId="158">
    <w:name w:val="目录标题"/>
    <w:basedOn w:val="1"/>
    <w:next w:val="1"/>
    <w:autoRedefine/>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u w:color="000000"/>
    </w:rPr>
  </w:style>
  <w:style w:type="paragraph" w:customStyle="1" w:styleId="159">
    <w:name w:val="文章总标题"/>
    <w:basedOn w:val="1"/>
    <w:next w:val="160"/>
    <w:autoRedefine/>
    <w:qFormat/>
    <w:uiPriority w:val="0"/>
    <w:pPr>
      <w:widowControl/>
      <w:spacing w:before="566" w:after="544" w:line="566" w:lineRule="atLeast"/>
      <w:jc w:val="center"/>
      <w:textAlignment w:val="baseline"/>
    </w:pPr>
    <w:rPr>
      <w:rFonts w:ascii="Arial" w:eastAsia="黑体"/>
      <w:color w:val="000000"/>
      <w:kern w:val="0"/>
      <w:sz w:val="54"/>
      <w:szCs w:val="20"/>
      <w:u w:color="000000"/>
    </w:rPr>
  </w:style>
  <w:style w:type="paragraph" w:customStyle="1" w:styleId="160">
    <w:name w:val="文章附标题"/>
    <w:basedOn w:val="1"/>
    <w:next w:val="2"/>
    <w:autoRedefine/>
    <w:qFormat/>
    <w:uiPriority w:val="0"/>
    <w:pPr>
      <w:widowControl/>
      <w:spacing w:before="187" w:after="175" w:line="374" w:lineRule="atLeast"/>
      <w:jc w:val="center"/>
      <w:textAlignment w:val="baseline"/>
    </w:pPr>
    <w:rPr>
      <w:color w:val="000000"/>
      <w:kern w:val="0"/>
      <w:sz w:val="36"/>
      <w:szCs w:val="20"/>
      <w:u w:color="000000"/>
    </w:rPr>
  </w:style>
  <w:style w:type="paragraph" w:customStyle="1" w:styleId="161">
    <w:name w:val="节标题"/>
    <w:basedOn w:val="1"/>
    <w:next w:val="18"/>
    <w:autoRedefine/>
    <w:qFormat/>
    <w:uiPriority w:val="0"/>
    <w:pPr>
      <w:widowControl/>
      <w:spacing w:line="289" w:lineRule="atLeast"/>
      <w:jc w:val="center"/>
      <w:textAlignment w:val="baseline"/>
    </w:pPr>
    <w:rPr>
      <w:color w:val="000000"/>
      <w:kern w:val="0"/>
      <w:sz w:val="28"/>
      <w:szCs w:val="20"/>
      <w:u w:color="000000"/>
    </w:rPr>
  </w:style>
  <w:style w:type="paragraph" w:customStyle="1" w:styleId="162">
    <w:name w:val="小节标题"/>
    <w:basedOn w:val="1"/>
    <w:next w:val="1"/>
    <w:autoRedefine/>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63">
    <w:name w:val="目录3"/>
    <w:basedOn w:val="1"/>
    <w:next w:val="1"/>
    <w:autoRedefine/>
    <w:qFormat/>
    <w:uiPriority w:val="0"/>
    <w:pPr>
      <w:widowControl/>
      <w:tabs>
        <w:tab w:val="left" w:leader="dot" w:pos="8503"/>
      </w:tabs>
      <w:spacing w:line="317" w:lineRule="atLeast"/>
      <w:ind w:firstLine="419"/>
      <w:textAlignment w:val="baseline"/>
    </w:pPr>
    <w:rPr>
      <w:color w:val="000000"/>
      <w:kern w:val="0"/>
      <w:szCs w:val="20"/>
      <w:u w:color="000000"/>
    </w:rPr>
  </w:style>
  <w:style w:type="paragraph" w:customStyle="1" w:styleId="164">
    <w:name w:val="目录2"/>
    <w:basedOn w:val="1"/>
    <w:next w:val="1"/>
    <w:autoRedefine/>
    <w:qFormat/>
    <w:uiPriority w:val="0"/>
    <w:pPr>
      <w:widowControl/>
      <w:tabs>
        <w:tab w:val="left" w:leader="dot" w:pos="8503"/>
      </w:tabs>
      <w:spacing w:line="317" w:lineRule="atLeast"/>
      <w:ind w:firstLine="209"/>
      <w:textAlignment w:val="baseline"/>
    </w:pPr>
    <w:rPr>
      <w:color w:val="000000"/>
      <w:kern w:val="0"/>
      <w:szCs w:val="20"/>
      <w:u w:color="000000"/>
    </w:rPr>
  </w:style>
  <w:style w:type="paragraph" w:customStyle="1" w:styleId="165">
    <w:name w:val="目录4"/>
    <w:basedOn w:val="1"/>
    <w:next w:val="1"/>
    <w:autoRedefine/>
    <w:qFormat/>
    <w:uiPriority w:val="0"/>
    <w:pPr>
      <w:widowControl/>
      <w:tabs>
        <w:tab w:val="left" w:leader="dot" w:pos="8503"/>
      </w:tabs>
      <w:spacing w:line="317" w:lineRule="atLeast"/>
      <w:ind w:firstLine="629"/>
      <w:textAlignment w:val="baseline"/>
    </w:pPr>
    <w:rPr>
      <w:color w:val="000000"/>
      <w:kern w:val="0"/>
      <w:szCs w:val="20"/>
      <w:u w:color="000000"/>
    </w:rPr>
  </w:style>
  <w:style w:type="paragraph" w:customStyle="1" w:styleId="166">
    <w:name w:val="Char2"/>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67">
    <w:name w:val="Char Char Char Char Char Char Char Char Char Char Char Char Char Char Char Char"/>
    <w:basedOn w:val="1"/>
    <w:autoRedefine/>
    <w:qFormat/>
    <w:uiPriority w:val="0"/>
    <w:pPr>
      <w:tabs>
        <w:tab w:val="left" w:pos="360"/>
      </w:tabs>
      <w:spacing w:line="360" w:lineRule="auto"/>
      <w:ind w:left="482" w:firstLine="200" w:firstLineChars="200"/>
    </w:pPr>
    <w:rPr>
      <w:rFonts w:ascii="宋体"/>
      <w:sz w:val="24"/>
    </w:rPr>
  </w:style>
  <w:style w:type="paragraph" w:customStyle="1" w:styleId="168">
    <w:name w:val="样式 标题 2 + (西文) 宋体 非加粗 居中"/>
    <w:basedOn w:val="3"/>
    <w:autoRedefine/>
    <w:qFormat/>
    <w:uiPriority w:val="0"/>
    <w:pPr>
      <w:spacing w:line="416" w:lineRule="auto"/>
      <w:jc w:val="center"/>
    </w:pPr>
    <w:rPr>
      <w:rFonts w:ascii="宋体" w:hAnsi="宋体" w:cs="宋体"/>
      <w:b w:val="0"/>
      <w:bCs w:val="0"/>
      <w:spacing w:val="2"/>
      <w:sz w:val="28"/>
      <w:szCs w:val="20"/>
    </w:rPr>
  </w:style>
  <w:style w:type="character" w:customStyle="1" w:styleId="169">
    <w:name w:val="btn-lnk-alignl2"/>
    <w:autoRedefine/>
    <w:qFormat/>
    <w:uiPriority w:val="0"/>
  </w:style>
  <w:style w:type="paragraph" w:customStyle="1" w:styleId="170">
    <w:name w:val="Char Char Char Char1"/>
    <w:basedOn w:val="15"/>
    <w:autoRedefine/>
    <w:qFormat/>
    <w:uiPriority w:val="0"/>
    <w:pPr>
      <w:adjustRightInd w:val="0"/>
      <w:snapToGrid w:val="0"/>
      <w:spacing w:line="360" w:lineRule="auto"/>
    </w:pPr>
    <w:rPr>
      <w:rFonts w:ascii="Tahoma" w:hAnsi="Tahoma"/>
      <w:sz w:val="24"/>
    </w:rPr>
  </w:style>
  <w:style w:type="paragraph" w:customStyle="1" w:styleId="171">
    <w:name w:val="Char2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172">
    <w:name w:val="段"/>
    <w:link w:val="173"/>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173">
    <w:name w:val="段 Char"/>
    <w:link w:val="172"/>
    <w:autoRedefine/>
    <w:qFormat/>
    <w:locked/>
    <w:uiPriority w:val="0"/>
    <w:rPr>
      <w:rFonts w:ascii="宋体"/>
      <w:sz w:val="21"/>
      <w:lang w:val="en-US" w:eastAsia="zh-CN" w:bidi="ar-SA"/>
    </w:rPr>
  </w:style>
  <w:style w:type="character" w:customStyle="1" w:styleId="174">
    <w:name w:val="d1"/>
    <w:autoRedefine/>
    <w:qFormat/>
    <w:uiPriority w:val="0"/>
    <w:rPr>
      <w:color w:val="000000"/>
      <w:sz w:val="21"/>
      <w:szCs w:val="21"/>
      <w:u w:val="none"/>
    </w:rPr>
  </w:style>
  <w:style w:type="paragraph" w:customStyle="1" w:styleId="175">
    <w:name w:val="xl35"/>
    <w:basedOn w:val="1"/>
    <w:autoRedefine/>
    <w:qFormat/>
    <w:uiPriority w:val="0"/>
    <w:pPr>
      <w:widowControl/>
      <w:spacing w:before="100" w:beforeAutospacing="1" w:after="100" w:afterAutospacing="1"/>
      <w:jc w:val="right"/>
    </w:pPr>
    <w:rPr>
      <w:rFonts w:ascii="宋体" w:hAnsi="宋体"/>
      <w:kern w:val="0"/>
      <w:sz w:val="24"/>
    </w:rPr>
  </w:style>
  <w:style w:type="paragraph" w:customStyle="1" w:styleId="176">
    <w:name w:val="6"/>
    <w:basedOn w:val="1"/>
    <w:autoRedefine/>
    <w:qFormat/>
    <w:uiPriority w:val="0"/>
    <w:rPr>
      <w:rFonts w:ascii="Tahoma" w:hAnsi="Tahoma"/>
      <w:sz w:val="24"/>
      <w:u w:val="single"/>
    </w:rPr>
  </w:style>
  <w:style w:type="paragraph" w:customStyle="1" w:styleId="177">
    <w:name w:val="p0"/>
    <w:basedOn w:val="1"/>
    <w:autoRedefine/>
    <w:qFormat/>
    <w:uiPriority w:val="0"/>
    <w:pPr>
      <w:widowControl/>
    </w:pPr>
    <w:rPr>
      <w:kern w:val="0"/>
      <w:szCs w:val="21"/>
    </w:rPr>
  </w:style>
  <w:style w:type="character" w:customStyle="1" w:styleId="178">
    <w:name w:val="c lh15"/>
    <w:basedOn w:val="50"/>
    <w:autoRedefine/>
    <w:qFormat/>
    <w:uiPriority w:val="0"/>
  </w:style>
  <w:style w:type="paragraph" w:customStyle="1" w:styleId="179">
    <w:name w:val="正文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0">
    <w:name w:val="正文 New New New New New New New New New New New New New New New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81">
    <w:name w:val="pa-4"/>
    <w:basedOn w:val="1"/>
    <w:autoRedefine/>
    <w:qFormat/>
    <w:uiPriority w:val="0"/>
    <w:pPr>
      <w:widowControl/>
      <w:spacing w:before="150" w:after="150"/>
      <w:jc w:val="left"/>
    </w:pPr>
    <w:rPr>
      <w:rFonts w:ascii="宋体" w:hAnsi="宋体" w:cs="宋体"/>
      <w:kern w:val="0"/>
      <w:sz w:val="24"/>
    </w:rPr>
  </w:style>
  <w:style w:type="character" w:customStyle="1" w:styleId="182">
    <w:name w:val="ca-1"/>
    <w:basedOn w:val="50"/>
    <w:autoRedefine/>
    <w:qFormat/>
    <w:uiPriority w:val="0"/>
  </w:style>
  <w:style w:type="character" w:customStyle="1" w:styleId="183">
    <w:name w:val="ca-4"/>
    <w:basedOn w:val="50"/>
    <w:autoRedefine/>
    <w:qFormat/>
    <w:uiPriority w:val="0"/>
  </w:style>
  <w:style w:type="character" w:customStyle="1" w:styleId="184">
    <w:name w:val="ca-5"/>
    <w:basedOn w:val="50"/>
    <w:autoRedefine/>
    <w:qFormat/>
    <w:uiPriority w:val="0"/>
  </w:style>
  <w:style w:type="paragraph" w:customStyle="1" w:styleId="185">
    <w:name w:val="正文缩进1"/>
    <w:basedOn w:val="1"/>
    <w:autoRedefine/>
    <w:qFormat/>
    <w:uiPriority w:val="0"/>
    <w:pPr>
      <w:autoSpaceDE w:val="0"/>
      <w:autoSpaceDN w:val="0"/>
      <w:adjustRightInd w:val="0"/>
      <w:spacing w:after="80" w:line="300" w:lineRule="atLeast"/>
      <w:ind w:firstLine="482"/>
      <w:textAlignment w:val="baseline"/>
    </w:pPr>
    <w:rPr>
      <w:rFonts w:ascii="Arial" w:hAnsi="Arial" w:cs="Arial"/>
      <w:sz w:val="24"/>
    </w:rPr>
  </w:style>
  <w:style w:type="paragraph" w:customStyle="1" w:styleId="186">
    <w:name w:val="font6"/>
    <w:basedOn w:val="1"/>
    <w:autoRedefine/>
    <w:qFormat/>
    <w:uiPriority w:val="0"/>
    <w:pPr>
      <w:widowControl/>
      <w:spacing w:before="100" w:beforeAutospacing="1" w:after="100" w:afterAutospacing="1"/>
      <w:jc w:val="left"/>
    </w:pPr>
    <w:rPr>
      <w:rFonts w:ascii="宋体" w:hAnsi="宋体" w:cs="宋体"/>
      <w:kern w:val="0"/>
      <w:sz w:val="20"/>
      <w:szCs w:val="20"/>
    </w:rPr>
  </w:style>
  <w:style w:type="paragraph" w:customStyle="1" w:styleId="187">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88">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9">
    <w:name w:val="xl32"/>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90">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1">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2">
    <w:name w:val="xl36"/>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93">
    <w:name w:val="xl37"/>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Arial" w:hAnsi="Arial" w:cs="Arial"/>
      <w:kern w:val="0"/>
      <w:sz w:val="20"/>
      <w:szCs w:val="20"/>
    </w:rPr>
  </w:style>
  <w:style w:type="paragraph" w:customStyle="1" w:styleId="194">
    <w:name w:val="xl38"/>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195">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96">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7">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8">
    <w:name w:val="xl42"/>
    <w:basedOn w:val="1"/>
    <w:autoRedefine/>
    <w:qFormat/>
    <w:uiPriority w:val="0"/>
    <w:pPr>
      <w:widowControl/>
      <w:pBdr>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199">
    <w:name w:val="xl4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0">
    <w:name w:val="xl44"/>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201">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2">
    <w:name w:val="xl46"/>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3">
    <w:name w:val="xl47"/>
    <w:basedOn w:val="1"/>
    <w:autoRedefine/>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04">
    <w:name w:val="xl48"/>
    <w:basedOn w:val="1"/>
    <w:autoRedefine/>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205">
    <w:name w:val="xl49"/>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rPr>
  </w:style>
  <w:style w:type="paragraph" w:customStyle="1" w:styleId="206">
    <w:name w:val="xl5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07">
    <w:name w:val="xl51"/>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8">
    <w:name w:val="xl52"/>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09">
    <w:name w:val="xl53"/>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0">
    <w:name w:val="xl54"/>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1">
    <w:name w:val="xl55"/>
    <w:basedOn w:val="1"/>
    <w:autoRedefine/>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2">
    <w:name w:val="xl56"/>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3">
    <w:name w:val="xl5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214">
    <w:name w:val="xl58"/>
    <w:basedOn w:val="1"/>
    <w:autoRedefine/>
    <w:qFormat/>
    <w:uiPriority w:val="0"/>
    <w:pPr>
      <w:widowControl/>
      <w:pBdr>
        <w:bottom w:val="single" w:color="auto" w:sz="4" w:space="0"/>
      </w:pBdr>
      <w:spacing w:before="100" w:beforeAutospacing="1" w:after="100" w:afterAutospacing="1"/>
      <w:jc w:val="center"/>
    </w:pPr>
    <w:rPr>
      <w:rFonts w:ascii="宋体" w:hAnsi="宋体" w:cs="宋体"/>
      <w:kern w:val="0"/>
      <w:sz w:val="24"/>
    </w:rPr>
  </w:style>
  <w:style w:type="paragraph" w:customStyle="1" w:styleId="215">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000000"/>
      <w:kern w:val="0"/>
      <w:sz w:val="18"/>
      <w:szCs w:val="18"/>
    </w:rPr>
  </w:style>
  <w:style w:type="paragraph" w:customStyle="1" w:styleId="216">
    <w:name w:val="xl67"/>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7">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8">
    <w:name w:val="xl69"/>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19">
    <w:name w:val="xl7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2"/>
      <w:szCs w:val="22"/>
    </w:rPr>
  </w:style>
  <w:style w:type="paragraph" w:customStyle="1" w:styleId="220">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FF0000"/>
      <w:kern w:val="0"/>
      <w:szCs w:val="21"/>
    </w:rPr>
  </w:style>
  <w:style w:type="paragraph" w:customStyle="1" w:styleId="221">
    <w:name w:val="xl7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2">
    <w:name w:val="xl7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3">
    <w:name w:val="xl74"/>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24">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2"/>
      <w:szCs w:val="22"/>
    </w:rPr>
  </w:style>
  <w:style w:type="paragraph" w:customStyle="1" w:styleId="225">
    <w:name w:val="xl76"/>
    <w:basedOn w:val="1"/>
    <w:autoRedefine/>
    <w:qFormat/>
    <w:uiPriority w:val="0"/>
    <w:pPr>
      <w:widowControl/>
      <w:pBdr>
        <w:bottom w:val="single" w:color="auto" w:sz="8" w:space="0"/>
        <w:right w:val="single" w:color="auto" w:sz="8" w:space="0"/>
      </w:pBdr>
      <w:spacing w:before="100" w:beforeAutospacing="1" w:after="100" w:afterAutospacing="1"/>
      <w:jc w:val="left"/>
    </w:pPr>
    <w:rPr>
      <w:rFonts w:ascii="宋体" w:hAnsi="宋体" w:cs="宋体"/>
      <w:color w:val="FF0000"/>
      <w:kern w:val="0"/>
      <w:szCs w:val="21"/>
    </w:rPr>
  </w:style>
  <w:style w:type="paragraph" w:customStyle="1" w:styleId="226">
    <w:name w:val="xl7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27">
    <w:name w:val="xl7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28">
    <w:name w:val="xl79"/>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29">
    <w:name w:val="xl80"/>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0">
    <w:name w:val="xl8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1">
    <w:name w:val="xl82"/>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2">
    <w:name w:val="xl83"/>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3">
    <w:name w:val="xl8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4">
    <w:name w:val="xl8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5">
    <w:name w:val="xl86"/>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left"/>
    </w:pPr>
    <w:rPr>
      <w:rFonts w:ascii="宋体" w:hAnsi="宋体" w:cs="宋体"/>
      <w:kern w:val="0"/>
      <w:sz w:val="18"/>
      <w:szCs w:val="18"/>
    </w:rPr>
  </w:style>
  <w:style w:type="paragraph" w:customStyle="1" w:styleId="236">
    <w:name w:val="xl87"/>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宋体" w:hAnsi="宋体" w:cs="宋体"/>
      <w:kern w:val="0"/>
      <w:sz w:val="18"/>
      <w:szCs w:val="18"/>
    </w:rPr>
  </w:style>
  <w:style w:type="paragraph" w:customStyle="1" w:styleId="237">
    <w:name w:val="xl8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right"/>
    </w:pPr>
    <w:rPr>
      <w:rFonts w:ascii="宋体" w:hAnsi="宋体" w:cs="宋体"/>
      <w:kern w:val="0"/>
      <w:sz w:val="18"/>
      <w:szCs w:val="18"/>
    </w:rPr>
  </w:style>
  <w:style w:type="paragraph" w:customStyle="1" w:styleId="238">
    <w:name w:val="xl8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39">
    <w:name w:val="xl9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40">
    <w:name w:val="Char Char2 Char Char Char Char"/>
    <w:basedOn w:val="1"/>
    <w:autoRedefine/>
    <w:qFormat/>
    <w:uiPriority w:val="0"/>
    <w:rPr>
      <w:rFonts w:ascii="Tahoma" w:hAnsi="Tahoma"/>
      <w:sz w:val="24"/>
      <w:u w:val="single"/>
    </w:rPr>
  </w:style>
  <w:style w:type="paragraph" w:customStyle="1" w:styleId="241">
    <w:name w:val="Char Char1 Char Char1"/>
    <w:basedOn w:val="1"/>
    <w:autoRedefine/>
    <w:qFormat/>
    <w:uiPriority w:val="0"/>
    <w:rPr>
      <w:rFonts w:ascii="Tahoma" w:hAnsi="Tahoma"/>
      <w:sz w:val="24"/>
      <w:szCs w:val="20"/>
    </w:rPr>
  </w:style>
  <w:style w:type="paragraph" w:customStyle="1" w:styleId="242">
    <w:name w:val="Char Char13"/>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43">
    <w:name w:val="7"/>
    <w:basedOn w:val="1"/>
    <w:autoRedefine/>
    <w:qFormat/>
    <w:uiPriority w:val="0"/>
    <w:rPr>
      <w:rFonts w:ascii="Tahoma" w:hAnsi="Tahoma"/>
      <w:sz w:val="24"/>
      <w:u w:val="single"/>
    </w:rPr>
  </w:style>
  <w:style w:type="paragraph" w:customStyle="1" w:styleId="244">
    <w:name w:val="_Style 52"/>
    <w:basedOn w:val="1"/>
    <w:autoRedefine/>
    <w:qFormat/>
    <w:uiPriority w:val="0"/>
    <w:pPr>
      <w:widowControl/>
      <w:spacing w:after="160" w:line="240" w:lineRule="exact"/>
      <w:jc w:val="left"/>
    </w:pPr>
  </w:style>
  <w:style w:type="character" w:customStyle="1" w:styleId="245">
    <w:name w:val="纯文本 Char"/>
    <w:link w:val="25"/>
    <w:autoRedefine/>
    <w:qFormat/>
    <w:uiPriority w:val="0"/>
    <w:rPr>
      <w:rFonts w:ascii="宋体" w:hAnsi="Courier New"/>
      <w:kern w:val="2"/>
      <w:sz w:val="21"/>
    </w:rPr>
  </w:style>
  <w:style w:type="character" w:customStyle="1" w:styleId="246">
    <w:name w:val="批注文字 Char1"/>
    <w:autoRedefine/>
    <w:qFormat/>
    <w:uiPriority w:val="99"/>
    <w:rPr>
      <w:rFonts w:eastAsia="宋体"/>
      <w:kern w:val="2"/>
      <w:sz w:val="21"/>
      <w:szCs w:val="24"/>
      <w:lang w:val="en-US" w:eastAsia="zh-CN" w:bidi="ar-SA"/>
    </w:rPr>
  </w:style>
  <w:style w:type="paragraph" w:customStyle="1" w:styleId="247">
    <w:name w:val="大目录"/>
    <w:basedOn w:val="1"/>
    <w:autoRedefine/>
    <w:qFormat/>
    <w:uiPriority w:val="0"/>
    <w:pPr>
      <w:spacing w:line="540" w:lineRule="exact"/>
      <w:jc w:val="center"/>
    </w:pPr>
    <w:rPr>
      <w:rFonts w:ascii="宋体" w:hAnsi="宋体" w:cs="Arial"/>
      <w:b/>
      <w:szCs w:val="21"/>
    </w:rPr>
  </w:style>
  <w:style w:type="paragraph" w:customStyle="1" w:styleId="248">
    <w:name w:val="标题 71"/>
    <w:basedOn w:val="1"/>
    <w:autoRedefine/>
    <w:qFormat/>
    <w:uiPriority w:val="1"/>
    <w:pPr>
      <w:ind w:left="362"/>
      <w:jc w:val="left"/>
      <w:outlineLvl w:val="7"/>
    </w:pPr>
    <w:rPr>
      <w:rFonts w:ascii="宋体" w:hAnsi="宋体"/>
      <w:kern w:val="0"/>
      <w:sz w:val="20"/>
      <w:szCs w:val="20"/>
      <w:lang w:eastAsia="en-US"/>
    </w:rPr>
  </w:style>
  <w:style w:type="paragraph" w:customStyle="1" w:styleId="249">
    <w:name w:val="标题 41"/>
    <w:basedOn w:val="1"/>
    <w:autoRedefine/>
    <w:qFormat/>
    <w:uiPriority w:val="1"/>
    <w:pPr>
      <w:ind w:left="105"/>
      <w:jc w:val="left"/>
      <w:outlineLvl w:val="4"/>
    </w:pPr>
    <w:rPr>
      <w:rFonts w:ascii="宋体" w:hAnsi="宋体"/>
      <w:kern w:val="0"/>
      <w:sz w:val="27"/>
      <w:szCs w:val="27"/>
      <w:lang w:eastAsia="en-US"/>
    </w:rPr>
  </w:style>
  <w:style w:type="paragraph" w:customStyle="1" w:styleId="250">
    <w:name w:val="标题 51"/>
    <w:basedOn w:val="1"/>
    <w:autoRedefine/>
    <w:qFormat/>
    <w:uiPriority w:val="1"/>
    <w:pPr>
      <w:ind w:left="734" w:hanging="5"/>
      <w:jc w:val="left"/>
      <w:outlineLvl w:val="5"/>
    </w:pPr>
    <w:rPr>
      <w:rFonts w:ascii="宋体" w:hAnsi="宋体"/>
      <w:kern w:val="0"/>
      <w:sz w:val="23"/>
      <w:szCs w:val="23"/>
      <w:lang w:eastAsia="en-US"/>
    </w:rPr>
  </w:style>
  <w:style w:type="paragraph" w:customStyle="1" w:styleId="251">
    <w:name w:val="_Style 1"/>
    <w:basedOn w:val="1"/>
    <w:autoRedefine/>
    <w:qFormat/>
    <w:uiPriority w:val="0"/>
    <w:pPr>
      <w:ind w:firstLine="420" w:firstLineChars="200"/>
    </w:pPr>
  </w:style>
  <w:style w:type="character" w:customStyle="1" w:styleId="252">
    <w:name w:val="纯文本 Char2"/>
    <w:autoRedefine/>
    <w:qFormat/>
    <w:locked/>
    <w:uiPriority w:val="0"/>
    <w:rPr>
      <w:rFonts w:ascii="宋体" w:hAnsi="Courier New"/>
    </w:rPr>
  </w:style>
  <w:style w:type="paragraph" w:customStyle="1" w:styleId="253">
    <w:name w:val="正文1"/>
    <w:autoRedefine/>
    <w:qFormat/>
    <w:uiPriority w:val="0"/>
    <w:pPr>
      <w:jc w:val="both"/>
    </w:pPr>
    <w:rPr>
      <w:rFonts w:ascii="Calibri" w:hAnsi="Calibri" w:eastAsia="宋体" w:cs="宋体"/>
      <w:kern w:val="2"/>
      <w:sz w:val="21"/>
      <w:szCs w:val="21"/>
      <w:lang w:val="en-US" w:eastAsia="zh-CN" w:bidi="ar-SA"/>
    </w:rPr>
  </w:style>
  <w:style w:type="paragraph" w:customStyle="1" w:styleId="254">
    <w:name w:val="Normal_63"/>
    <w:basedOn w:val="1"/>
    <w:autoRedefine/>
    <w:qFormat/>
    <w:uiPriority w:val="0"/>
    <w:pPr>
      <w:widowControl/>
      <w:spacing w:before="120" w:after="240"/>
    </w:pPr>
    <w:rPr>
      <w:rFonts w:ascii="Calibri" w:hAnsi="Calibri"/>
      <w:kern w:val="0"/>
      <w:sz w:val="22"/>
      <w:szCs w:val="22"/>
    </w:rPr>
  </w:style>
  <w:style w:type="character" w:customStyle="1" w:styleId="255">
    <w:name w:val="10"/>
    <w:basedOn w:val="50"/>
    <w:autoRedefine/>
    <w:qFormat/>
    <w:uiPriority w:val="0"/>
    <w:rPr>
      <w:rFonts w:hint="default" w:ascii="Calibri" w:hAnsi="Calibri"/>
    </w:rPr>
  </w:style>
  <w:style w:type="character" w:customStyle="1" w:styleId="256">
    <w:name w:val="纯文本 字符"/>
    <w:autoRedefine/>
    <w:qFormat/>
    <w:uiPriority w:val="0"/>
    <w:rPr>
      <w:rFonts w:ascii="宋体" w:hAnsi="Courier New" w:eastAsia="宋体" w:cs="Courier New"/>
      <w:szCs w:val="21"/>
    </w:rPr>
  </w:style>
  <w:style w:type="paragraph" w:customStyle="1" w:styleId="257">
    <w:name w:val="方案正文"/>
    <w:basedOn w:val="1"/>
    <w:link w:val="258"/>
    <w:autoRedefine/>
    <w:qFormat/>
    <w:uiPriority w:val="99"/>
    <w:pPr>
      <w:spacing w:before="120"/>
      <w:ind w:firstLine="425" w:firstLineChars="177"/>
    </w:pPr>
    <w:rPr>
      <w:rFonts w:ascii="华文细黑" w:hAnsi="华文细黑" w:eastAsia="华文细黑"/>
      <w:szCs w:val="20"/>
    </w:rPr>
  </w:style>
  <w:style w:type="character" w:customStyle="1" w:styleId="258">
    <w:name w:val="方案正文 Char"/>
    <w:link w:val="257"/>
    <w:autoRedefine/>
    <w:qFormat/>
    <w:locked/>
    <w:uiPriority w:val="99"/>
    <w:rPr>
      <w:rFonts w:ascii="华文细黑" w:hAnsi="华文细黑" w:eastAsia="华文细黑"/>
      <w:kern w:val="2"/>
      <w:sz w:val="21"/>
    </w:rPr>
  </w:style>
  <w:style w:type="paragraph" w:customStyle="1" w:styleId="259">
    <w:name w:val="Table Paragraph"/>
    <w:basedOn w:val="1"/>
    <w:autoRedefine/>
    <w:qFormat/>
    <w:uiPriority w:val="1"/>
    <w:pPr>
      <w:autoSpaceDE w:val="0"/>
      <w:autoSpaceDN w:val="0"/>
      <w:jc w:val="left"/>
    </w:pPr>
    <w:rPr>
      <w:rFonts w:ascii="宋体" w:hAnsi="宋体" w:cs="宋体"/>
      <w:kern w:val="0"/>
      <w:sz w:val="22"/>
      <w:szCs w:val="22"/>
      <w:lang w:val="zh-CN" w:bidi="zh-CN"/>
    </w:rPr>
  </w:style>
  <w:style w:type="table" w:customStyle="1" w:styleId="260">
    <w:name w:val="Table Normal"/>
    <w:autoRedefine/>
    <w:semiHidden/>
    <w:unhideWhenUsed/>
    <w:qFormat/>
    <w:uiPriority w:val="2"/>
    <w:pPr>
      <w:widowControl w:val="0"/>
      <w:autoSpaceDE w:val="0"/>
      <w:autoSpaceDN w:val="0"/>
    </w:pPr>
    <w:rPr>
      <w:rFonts w:asciiTheme="minorHAnsi" w:hAnsiTheme="minorHAnsi" w:eastAsiaTheme="minorEastAsia" w:cstheme="minorBidi"/>
      <w:sz w:val="22"/>
      <w:lang w:eastAsia="en-US"/>
    </w:rPr>
    <w:tblPr>
      <w:tblCellMar>
        <w:top w:w="0" w:type="dxa"/>
        <w:left w:w="0" w:type="dxa"/>
        <w:bottom w:w="0" w:type="dxa"/>
        <w:right w:w="0" w:type="dxa"/>
      </w:tblCellMar>
    </w:tblPr>
  </w:style>
  <w:style w:type="paragraph" w:customStyle="1" w:styleId="261">
    <w:name w:val="List Paragraph_40b67d30-6b8b-4697-8f49-97c11e174001"/>
    <w:basedOn w:val="1"/>
    <w:autoRedefine/>
    <w:qFormat/>
    <w:uiPriority w:val="34"/>
    <w:pPr>
      <w:ind w:firstLine="420" w:firstLineChars="200"/>
    </w:pPr>
    <w:rPr>
      <w:rFonts w:ascii="Calibri" w:hAnsi="Calibri" w:cs="宋体"/>
      <w:szCs w:val="22"/>
    </w:rPr>
  </w:style>
  <w:style w:type="paragraph" w:styleId="262">
    <w:name w:val="List Paragraph"/>
    <w:basedOn w:val="1"/>
    <w:autoRedefine/>
    <w:qFormat/>
    <w:uiPriority w:val="34"/>
    <w:pPr>
      <w:ind w:firstLine="420" w:firstLineChars="200"/>
    </w:pPr>
  </w:style>
  <w:style w:type="character" w:customStyle="1" w:styleId="263">
    <w:name w:val="四级标题 Char"/>
    <w:link w:val="264"/>
    <w:autoRedefine/>
    <w:qFormat/>
    <w:uiPriority w:val="0"/>
    <w:rPr>
      <w:rFonts w:eastAsia="黑体"/>
      <w:b/>
      <w:kern w:val="2"/>
      <w:sz w:val="28"/>
    </w:rPr>
  </w:style>
  <w:style w:type="paragraph" w:customStyle="1" w:styleId="264">
    <w:name w:val="四级标题"/>
    <w:basedOn w:val="1"/>
    <w:link w:val="263"/>
    <w:autoRedefine/>
    <w:qFormat/>
    <w:uiPriority w:val="0"/>
    <w:pPr>
      <w:numPr>
        <w:ilvl w:val="0"/>
        <w:numId w:val="3"/>
      </w:numPr>
      <w:spacing w:line="360" w:lineRule="auto"/>
      <w:outlineLvl w:val="3"/>
    </w:pPr>
    <w:rPr>
      <w:rFonts w:eastAsia="黑体"/>
      <w:b/>
      <w:sz w:val="28"/>
      <w:szCs w:val="20"/>
    </w:rPr>
  </w:style>
  <w:style w:type="paragraph" w:customStyle="1" w:styleId="265">
    <w:name w:val="_Style 3"/>
    <w:autoRedefine/>
    <w:qFormat/>
    <w:uiPriority w:val="1"/>
    <w:pPr>
      <w:widowControl w:val="0"/>
      <w:jc w:val="both"/>
    </w:pPr>
    <w:rPr>
      <w:rFonts w:ascii="Times New Roman" w:hAnsi="Times New Roman" w:eastAsia="宋体" w:cs="Times New Roman"/>
      <w:kern w:val="2"/>
      <w:sz w:val="21"/>
      <w:szCs w:val="22"/>
      <w:lang w:val="en-US" w:eastAsia="zh-CN" w:bidi="ar-SA"/>
    </w:rPr>
  </w:style>
  <w:style w:type="paragraph" w:customStyle="1" w:styleId="266">
    <w:name w:val="WPSOffice手动目录 1"/>
    <w:autoRedefine/>
    <w:qFormat/>
    <w:uiPriority w:val="0"/>
    <w:pPr>
      <w:ind w:leftChars="0"/>
    </w:pPr>
    <w:rPr>
      <w:rFonts w:ascii="Times New Roman" w:hAnsi="Times New Roman" w:eastAsia="宋体" w:cs="Times New Roman"/>
      <w:sz w:val="20"/>
      <w:szCs w:val="20"/>
    </w:rPr>
  </w:style>
  <w:style w:type="paragraph" w:customStyle="1" w:styleId="267">
    <w:name w:val="Table Text"/>
    <w:basedOn w:val="1"/>
    <w:autoRedefine/>
    <w:semiHidden/>
    <w:qFormat/>
    <w:uiPriority w:val="0"/>
    <w:rPr>
      <w:rFonts w:ascii="宋体" w:hAnsi="宋体" w:eastAsia="宋体" w:cs="宋体"/>
      <w:sz w:val="13"/>
      <w:szCs w:val="13"/>
      <w:lang w:val="en-US" w:eastAsia="en-US" w:bidi="ar-SA"/>
    </w:rPr>
  </w:style>
  <w:style w:type="character" w:customStyle="1" w:styleId="268">
    <w:name w:val="NormalCharacter"/>
    <w:autoRedefine/>
    <w:qFormat/>
    <w:uiPriority w:val="0"/>
  </w:style>
  <w:style w:type="paragraph" w:customStyle="1" w:styleId="269">
    <w:name w:val="表格文字"/>
    <w:basedOn w:val="1"/>
    <w:autoRedefine/>
    <w:qFormat/>
    <w:uiPriority w:val="99"/>
    <w:pPr>
      <w:spacing w:before="25" w:after="25"/>
      <w:jc w:val="left"/>
    </w:pPr>
    <w:rPr>
      <w:bCs/>
      <w:spacing w:val="10"/>
      <w:kern w:val="0"/>
      <w:sz w:val="24"/>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kwzb</Company>
  <Pages>31</Pages>
  <Words>2882</Words>
  <Characters>3384</Characters>
  <Lines>1</Lines>
  <Paragraphs>1</Paragraphs>
  <TotalTime>8</TotalTime>
  <ScaleCrop>false</ScaleCrop>
  <LinksUpToDate>false</LinksUpToDate>
  <CharactersWithSpaces>3463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2020-08-05T17:22:00Z</dcterms:created>
  <dc:creator>GT</dc:creator>
  <cp:lastModifiedBy>Lee</cp:lastModifiedBy>
  <cp:lastPrinted>2025-08-13T07:12:00Z</cp:lastPrinted>
  <dcterms:modified xsi:type="dcterms:W3CDTF">2025-11-07T00:37:26Z</dcterms:modified>
  <dc:title>广西国泰招标咨询有限公司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5714756D1FB2493EBA6FB5253C8E18F5_13</vt:lpwstr>
  </property>
  <property fmtid="{D5CDD505-2E9C-101B-9397-08002B2CF9AE}" pid="4" name="KSOTemplateDocerSaveRecord">
    <vt:lpwstr>eyJoZGlkIjoiMTRhNTg1ZDRjODM4NmRjOTU4NGI1MmNjY2I0ZjlmZDUiLCJ1c2VySWQiOiIyOTM3OTAwMjUifQ==</vt:lpwstr>
  </property>
</Properties>
</file>