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F61DA3">
      <w:pPr>
        <w:rPr>
          <w:rFonts w:hint="eastAsia" w:ascii="仿宋_GB2312" w:eastAsia="仿宋_GB2312" w:cs="ArialUnicodeMS"/>
          <w:kern w:val="0"/>
          <w:sz w:val="32"/>
          <w:szCs w:val="32"/>
          <w:lang w:val="en-US" w:eastAsia="zh-CN"/>
        </w:rPr>
      </w:pPr>
    </w:p>
    <w:p w14:paraId="2E619FCF">
      <w:pPr>
        <w:rPr>
          <w:rFonts w:hint="eastAsia" w:ascii="黑体" w:eastAsia="黑体" w:cs="ArialUnicodeMS"/>
          <w:kern w:val="0"/>
          <w:sz w:val="72"/>
          <w:szCs w:val="72"/>
        </w:rPr>
      </w:pPr>
    </w:p>
    <w:p w14:paraId="58176C4A">
      <w:pPr>
        <w:rPr>
          <w:rFonts w:hint="eastAsia" w:ascii="黑体" w:eastAsia="黑体" w:cs="ArialUnicodeMS"/>
          <w:kern w:val="0"/>
          <w:sz w:val="72"/>
          <w:szCs w:val="72"/>
        </w:rPr>
      </w:pPr>
    </w:p>
    <w:p w14:paraId="3D0F6B7D">
      <w:pPr>
        <w:jc w:val="center"/>
        <w:rPr>
          <w:rFonts w:hint="eastAsia" w:ascii="方正小标宋简体" w:hAnsi="黑体" w:eastAsia="方正小标宋简体"/>
          <w:bCs/>
          <w:color w:val="000000"/>
          <w:sz w:val="52"/>
          <w:szCs w:val="52"/>
        </w:rPr>
      </w:pPr>
      <w:r>
        <w:rPr>
          <w:rFonts w:hint="eastAsia" w:ascii="方正小标宋简体" w:eastAsia="方正小标宋简体" w:cs="ArialUnicodeMS"/>
          <w:kern w:val="0"/>
          <w:sz w:val="52"/>
          <w:szCs w:val="52"/>
        </w:rPr>
        <w:t>广西壮族自治区中医骨伤科研究所</w:t>
      </w:r>
    </w:p>
    <w:p w14:paraId="50AD3AE9">
      <w:pPr>
        <w:jc w:val="center"/>
        <w:rPr>
          <w:rFonts w:hint="eastAsia" w:ascii="方正小标宋简体" w:eastAsia="方正小标宋简体" w:cs="ArialUnicodeMS"/>
          <w:kern w:val="0"/>
          <w:sz w:val="52"/>
          <w:szCs w:val="52"/>
        </w:rPr>
      </w:pPr>
      <w:r>
        <w:rPr>
          <w:rFonts w:hint="eastAsia" w:ascii="方正小标宋简体" w:eastAsia="方正小标宋简体"/>
          <w:kern w:val="0"/>
          <w:sz w:val="52"/>
          <w:szCs w:val="52"/>
          <w:lang w:eastAsia="zh-CN"/>
        </w:rPr>
        <w:t>2024</w:t>
      </w:r>
      <w:r>
        <w:rPr>
          <w:rFonts w:hint="eastAsia" w:ascii="方正小标宋简体" w:eastAsia="方正小标宋简体" w:cs="ArialUnicodeMS"/>
          <w:kern w:val="0"/>
          <w:sz w:val="52"/>
          <w:szCs w:val="52"/>
        </w:rPr>
        <w:t>年度部门决算</w:t>
      </w:r>
    </w:p>
    <w:p w14:paraId="3017A9AB">
      <w:pPr>
        <w:rPr>
          <w:rFonts w:hint="eastAsia" w:ascii="方正小标宋简体" w:eastAsia="方正小标宋简体" w:cs="ArialUnicodeMS"/>
          <w:kern w:val="0"/>
          <w:sz w:val="84"/>
          <w:szCs w:val="84"/>
        </w:rPr>
      </w:pPr>
    </w:p>
    <w:p w14:paraId="1A697196">
      <w:pPr>
        <w:rPr>
          <w:rFonts w:hint="eastAsia" w:ascii="ArialUnicodeMS" w:eastAsia="ArialUnicodeMS" w:cs="ArialUnicodeMS"/>
          <w:kern w:val="0"/>
          <w:sz w:val="84"/>
          <w:szCs w:val="84"/>
        </w:rPr>
      </w:pPr>
    </w:p>
    <w:p w14:paraId="5AEC494C">
      <w:pPr>
        <w:rPr>
          <w:rFonts w:hint="eastAsia" w:ascii="ArialUnicodeMS" w:eastAsia="ArialUnicodeMS" w:cs="ArialUnicodeMS"/>
          <w:kern w:val="0"/>
          <w:sz w:val="84"/>
          <w:szCs w:val="84"/>
        </w:rPr>
      </w:pPr>
    </w:p>
    <w:p w14:paraId="0FF1C21C">
      <w:pPr>
        <w:rPr>
          <w:rFonts w:hint="eastAsia" w:ascii="ArialUnicodeMS" w:eastAsia="ArialUnicodeMS" w:cs="ArialUnicodeMS"/>
          <w:kern w:val="0"/>
          <w:sz w:val="84"/>
          <w:szCs w:val="84"/>
        </w:rPr>
      </w:pPr>
    </w:p>
    <w:p w14:paraId="0DDDBA70">
      <w:pPr>
        <w:rPr>
          <w:rFonts w:hint="eastAsia" w:ascii="ArialUnicodeMS" w:eastAsia="ArialUnicodeMS" w:cs="ArialUnicodeMS"/>
          <w:kern w:val="0"/>
          <w:sz w:val="84"/>
          <w:szCs w:val="84"/>
        </w:rPr>
      </w:pPr>
    </w:p>
    <w:p w14:paraId="59D3A346">
      <w:pPr>
        <w:jc w:val="center"/>
        <w:rPr>
          <w:rFonts w:hint="eastAsia" w:ascii="黑体" w:eastAsia="黑体" w:cs="黑体"/>
          <w:kern w:val="0"/>
          <w:sz w:val="44"/>
          <w:szCs w:val="44"/>
        </w:rPr>
      </w:pPr>
    </w:p>
    <w:p w14:paraId="41E05A8F">
      <w:pPr>
        <w:jc w:val="center"/>
        <w:rPr>
          <w:rFonts w:hint="eastAsia" w:ascii="黑体" w:eastAsia="黑体" w:cs="黑体"/>
          <w:kern w:val="0"/>
          <w:sz w:val="44"/>
          <w:szCs w:val="44"/>
        </w:rPr>
      </w:pPr>
    </w:p>
    <w:p w14:paraId="5ECA24E6">
      <w:pPr>
        <w:spacing w:line="560" w:lineRule="exact"/>
        <w:ind w:firstLine="646"/>
        <w:jc w:val="center"/>
        <w:rPr>
          <w:rFonts w:hint="eastAsia" w:ascii="方正小标宋简体" w:eastAsia="方正小标宋简体"/>
          <w:b/>
          <w:sz w:val="44"/>
          <w:szCs w:val="44"/>
        </w:rPr>
      </w:pPr>
      <w:r>
        <w:rPr>
          <w:rFonts w:hint="eastAsia" w:ascii="方正小标宋简体" w:eastAsia="方正小标宋简体"/>
          <w:b/>
          <w:sz w:val="44"/>
          <w:szCs w:val="44"/>
        </w:rPr>
        <w:t>目    录</w:t>
      </w:r>
    </w:p>
    <w:p w14:paraId="5D160303">
      <w:pPr>
        <w:spacing w:line="560" w:lineRule="exact"/>
        <w:ind w:firstLine="645"/>
        <w:rPr>
          <w:rFonts w:hint="eastAsia" w:ascii="仿宋_GB2312" w:eastAsia="仿宋_GB2312"/>
          <w:b/>
          <w:sz w:val="32"/>
          <w:szCs w:val="32"/>
        </w:rPr>
      </w:pPr>
    </w:p>
    <w:p w14:paraId="3F4BF052">
      <w:pPr>
        <w:spacing w:line="560" w:lineRule="exact"/>
        <w:ind w:firstLine="645"/>
        <w:rPr>
          <w:rFonts w:hint="eastAsia" w:ascii="黑体" w:hAnsi="黑体" w:eastAsia="黑体"/>
          <w:sz w:val="32"/>
          <w:szCs w:val="32"/>
        </w:rPr>
      </w:pPr>
      <w:r>
        <w:rPr>
          <w:rFonts w:hint="eastAsia" w:ascii="黑体" w:hAnsi="黑体" w:eastAsia="黑体"/>
          <w:sz w:val="32"/>
          <w:szCs w:val="32"/>
        </w:rPr>
        <w:t>第一部分：</w:t>
      </w:r>
      <w:r>
        <w:rPr>
          <w:rFonts w:hint="eastAsia" w:ascii="黑体" w:hAnsi="黑体" w:eastAsia="黑体" w:cs="黑体"/>
          <w:b w:val="0"/>
          <w:bCs w:val="0"/>
          <w:sz w:val="32"/>
          <w:szCs w:val="32"/>
          <w:lang w:bidi="ar-SA"/>
        </w:rPr>
        <w:t>广西壮族自治区中医骨伤科研究所</w:t>
      </w:r>
      <w:r>
        <w:rPr>
          <w:rFonts w:hint="eastAsia" w:ascii="黑体" w:hAnsi="黑体" w:eastAsia="黑体"/>
          <w:sz w:val="32"/>
          <w:szCs w:val="32"/>
        </w:rPr>
        <w:t>概况</w:t>
      </w:r>
    </w:p>
    <w:p w14:paraId="0F4486A1">
      <w:pPr>
        <w:spacing w:line="560" w:lineRule="exact"/>
        <w:ind w:firstLine="645"/>
        <w:rPr>
          <w:rFonts w:hint="eastAsia" w:ascii="仿宋_GB2312" w:eastAsia="仿宋_GB2312"/>
          <w:sz w:val="32"/>
          <w:szCs w:val="32"/>
          <w:lang w:eastAsia="zh-CN"/>
        </w:rPr>
      </w:pPr>
      <w:r>
        <w:rPr>
          <w:rFonts w:hint="eastAsia" w:ascii="仿宋_GB2312" w:eastAsia="仿宋_GB2312"/>
          <w:sz w:val="32"/>
          <w:szCs w:val="32"/>
        </w:rPr>
        <w:t>一、</w:t>
      </w:r>
      <w:r>
        <w:rPr>
          <w:rFonts w:hint="eastAsia" w:ascii="仿宋_GB2312" w:eastAsia="仿宋_GB2312"/>
          <w:sz w:val="32"/>
          <w:szCs w:val="32"/>
          <w:lang w:val="en-US" w:eastAsia="zh-CN"/>
        </w:rPr>
        <w:t>主要职能</w:t>
      </w:r>
    </w:p>
    <w:p w14:paraId="2AF71F38">
      <w:pPr>
        <w:spacing w:line="560" w:lineRule="exact"/>
        <w:ind w:firstLine="645"/>
        <w:rPr>
          <w:rFonts w:hint="eastAsia" w:ascii="仿宋_GB2312" w:eastAsia="仿宋_GB2312"/>
          <w:sz w:val="32"/>
          <w:szCs w:val="32"/>
          <w:lang w:eastAsia="zh-CN"/>
        </w:rPr>
      </w:pPr>
      <w:r>
        <w:rPr>
          <w:rFonts w:hint="eastAsia" w:ascii="仿宋_GB2312" w:eastAsia="仿宋_GB2312"/>
          <w:sz w:val="32"/>
          <w:szCs w:val="32"/>
        </w:rPr>
        <w:t>二、</w:t>
      </w:r>
      <w:r>
        <w:rPr>
          <w:rFonts w:hint="eastAsia" w:ascii="仿宋_GB2312" w:eastAsia="仿宋_GB2312"/>
          <w:sz w:val="32"/>
          <w:szCs w:val="32"/>
          <w:lang w:eastAsia="zh-CN"/>
        </w:rPr>
        <w:t>机构设置情况</w:t>
      </w:r>
    </w:p>
    <w:p w14:paraId="53C7F8B0">
      <w:pPr>
        <w:spacing w:line="560" w:lineRule="exact"/>
        <w:ind w:firstLine="645"/>
        <w:rPr>
          <w:rFonts w:hint="default" w:ascii="仿宋_GB2312" w:eastAsia="仿宋_GB2312"/>
          <w:sz w:val="32"/>
          <w:szCs w:val="32"/>
          <w:lang w:val="en-US" w:eastAsia="zh-CN"/>
        </w:rPr>
      </w:pPr>
      <w:r>
        <w:rPr>
          <w:rFonts w:hint="eastAsia" w:ascii="仿宋_GB2312" w:eastAsia="仿宋_GB2312"/>
          <w:sz w:val="32"/>
          <w:szCs w:val="32"/>
          <w:lang w:val="en-US" w:eastAsia="zh-CN"/>
        </w:rPr>
        <w:t>三、人员构成情况</w:t>
      </w:r>
    </w:p>
    <w:p w14:paraId="3A451E91">
      <w:pPr>
        <w:spacing w:line="560" w:lineRule="exact"/>
        <w:ind w:firstLine="645"/>
        <w:rPr>
          <w:rFonts w:hint="eastAsia" w:ascii="黑体" w:hAnsi="黑体" w:eastAsia="黑体"/>
          <w:sz w:val="32"/>
          <w:szCs w:val="32"/>
        </w:rPr>
      </w:pPr>
      <w:r>
        <w:rPr>
          <w:rFonts w:hint="eastAsia" w:ascii="黑体" w:hAnsi="黑体" w:eastAsia="黑体"/>
          <w:sz w:val="32"/>
          <w:szCs w:val="32"/>
        </w:rPr>
        <w:t>第二部分：</w:t>
      </w:r>
      <w:r>
        <w:rPr>
          <w:rFonts w:hint="eastAsia" w:ascii="黑体" w:hAnsi="黑体" w:eastAsia="黑体"/>
          <w:sz w:val="32"/>
          <w:szCs w:val="32"/>
          <w:lang w:eastAsia="zh-CN"/>
        </w:rPr>
        <w:t>2024</w:t>
      </w:r>
      <w:r>
        <w:rPr>
          <w:rFonts w:hint="eastAsia" w:ascii="黑体" w:hAnsi="黑体" w:eastAsia="黑体"/>
          <w:sz w:val="32"/>
          <w:szCs w:val="32"/>
        </w:rPr>
        <w:t>年度部门决算报表</w:t>
      </w:r>
    </w:p>
    <w:p w14:paraId="4B6FC38E">
      <w:pPr>
        <w:spacing w:line="560" w:lineRule="exact"/>
        <w:ind w:left="645"/>
        <w:rPr>
          <w:rFonts w:hint="eastAsia" w:ascii="仿宋_GB2312" w:eastAsia="仿宋_GB2312"/>
          <w:sz w:val="32"/>
          <w:szCs w:val="32"/>
        </w:rPr>
      </w:pPr>
      <w:r>
        <w:rPr>
          <w:rFonts w:hint="eastAsia" w:ascii="仿宋_GB2312" w:eastAsia="仿宋_GB2312"/>
          <w:sz w:val="32"/>
          <w:szCs w:val="32"/>
        </w:rPr>
        <w:t>表一：收入支出决算总表</w:t>
      </w:r>
    </w:p>
    <w:p w14:paraId="6621C633">
      <w:pPr>
        <w:spacing w:line="560" w:lineRule="exact"/>
        <w:ind w:left="645"/>
        <w:rPr>
          <w:rFonts w:hint="eastAsia" w:ascii="仿宋_GB2312" w:eastAsia="仿宋_GB2312"/>
          <w:sz w:val="32"/>
          <w:szCs w:val="32"/>
        </w:rPr>
      </w:pPr>
      <w:r>
        <w:rPr>
          <w:rFonts w:hint="eastAsia" w:ascii="仿宋_GB2312" w:eastAsia="仿宋_GB2312"/>
          <w:sz w:val="32"/>
          <w:szCs w:val="32"/>
        </w:rPr>
        <w:t>表二：收入决算表</w:t>
      </w:r>
    </w:p>
    <w:p w14:paraId="0F54F50E">
      <w:pPr>
        <w:spacing w:line="560" w:lineRule="exact"/>
        <w:ind w:left="645"/>
        <w:rPr>
          <w:rFonts w:hint="eastAsia" w:ascii="仿宋_GB2312" w:eastAsia="仿宋_GB2312"/>
          <w:sz w:val="32"/>
          <w:szCs w:val="32"/>
        </w:rPr>
      </w:pPr>
      <w:r>
        <w:rPr>
          <w:rFonts w:hint="eastAsia" w:ascii="仿宋_GB2312" w:eastAsia="仿宋_GB2312"/>
          <w:sz w:val="32"/>
          <w:szCs w:val="32"/>
        </w:rPr>
        <w:t>表三：支出决算表</w:t>
      </w:r>
    </w:p>
    <w:p w14:paraId="6F5D9F1F">
      <w:pPr>
        <w:spacing w:line="560" w:lineRule="exact"/>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76F6EBC3">
      <w:pPr>
        <w:spacing w:line="560" w:lineRule="exact"/>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690DBB84">
      <w:pPr>
        <w:spacing w:line="560" w:lineRule="exact"/>
        <w:ind w:left="645"/>
        <w:rPr>
          <w:rFonts w:hint="eastAsia" w:ascii="仿宋_GB2312" w:eastAsia="仿宋_GB2312"/>
          <w:sz w:val="32"/>
          <w:szCs w:val="32"/>
        </w:rPr>
      </w:pPr>
      <w:r>
        <w:rPr>
          <w:rFonts w:hint="eastAsia" w:ascii="仿宋_GB2312" w:eastAsia="仿宋_GB2312"/>
          <w:sz w:val="32"/>
          <w:szCs w:val="32"/>
        </w:rPr>
        <w:t>表六：一般公共预算财政拨款基本支出决算明细表</w:t>
      </w:r>
    </w:p>
    <w:p w14:paraId="7C219F98">
      <w:pPr>
        <w:spacing w:line="560" w:lineRule="exact"/>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bookmarkStart w:id="0" w:name="_GoBack"/>
      <w:bookmarkEnd w:id="0"/>
    </w:p>
    <w:p w14:paraId="33D7E173">
      <w:pPr>
        <w:spacing w:line="560" w:lineRule="exact"/>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支出决算表</w:t>
      </w:r>
    </w:p>
    <w:p w14:paraId="13CA4403">
      <w:pPr>
        <w:spacing w:line="560" w:lineRule="exact"/>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25C7DF9A">
      <w:pPr>
        <w:spacing w:line="560" w:lineRule="exact"/>
        <w:ind w:firstLine="645"/>
        <w:rPr>
          <w:rFonts w:hint="eastAsia"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eastAsia="zh-CN"/>
        </w:rPr>
        <w:t>2024</w:t>
      </w:r>
      <w:r>
        <w:rPr>
          <w:rFonts w:hint="eastAsia" w:ascii="黑体" w:hAnsi="黑体" w:eastAsia="黑体"/>
          <w:sz w:val="32"/>
          <w:szCs w:val="32"/>
        </w:rPr>
        <w:t>年度部门决算情况说明</w:t>
      </w:r>
    </w:p>
    <w:p w14:paraId="2A06C51B">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年度收入支出决算总体情况。</w:t>
      </w:r>
    </w:p>
    <w:p w14:paraId="6756FAB1">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5A7113CF">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年度一般公共预算财政拨款基本支出决算情况说明。</w:t>
      </w:r>
    </w:p>
    <w:p w14:paraId="2C435084">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2024</w:t>
      </w:r>
      <w:r>
        <w:rPr>
          <w:rFonts w:hint="eastAsia" w:ascii="仿宋_GB2312" w:eastAsia="仿宋_GB2312" w:cs="仿宋_GB2312"/>
          <w:kern w:val="0"/>
          <w:sz w:val="32"/>
          <w:szCs w:val="32"/>
        </w:rPr>
        <w:t>年度政府性基金支出决算情况。</w:t>
      </w:r>
    </w:p>
    <w:p w14:paraId="0264E936">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2024</w:t>
      </w:r>
      <w:r>
        <w:rPr>
          <w:rFonts w:hint="eastAsia" w:ascii="仿宋_GB2312" w:eastAsia="仿宋_GB2312" w:cs="仿宋_GB2312"/>
          <w:kern w:val="0"/>
          <w:sz w:val="32"/>
          <w:szCs w:val="32"/>
        </w:rPr>
        <w:t>年度国有资本经营预算支出决算情况</w:t>
      </w:r>
    </w:p>
    <w:p w14:paraId="421AED15">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4423140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0E7B5A53">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276F5D5A">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第四部分：名词解释</w:t>
      </w:r>
    </w:p>
    <w:p w14:paraId="22A7DE7C">
      <w:pPr>
        <w:spacing w:line="560" w:lineRule="exact"/>
        <w:jc w:val="center"/>
        <w:rPr>
          <w:rFonts w:hint="eastAsia" w:ascii="仿宋_GB2312" w:eastAsia="仿宋_GB2312"/>
        </w:rPr>
      </w:pPr>
    </w:p>
    <w:p w14:paraId="58098F3B">
      <w:pPr>
        <w:rPr>
          <w:rFonts w:hint="eastAsia" w:ascii="仿宋_GB2312" w:eastAsia="仿宋_GB2312"/>
          <w:b/>
          <w:sz w:val="32"/>
          <w:szCs w:val="32"/>
        </w:rPr>
      </w:pPr>
    </w:p>
    <w:p w14:paraId="3E7B648D">
      <w:pPr>
        <w:rPr>
          <w:rFonts w:hint="eastAsia" w:ascii="仿宋_GB2312" w:eastAsia="仿宋_GB2312"/>
          <w:b/>
          <w:sz w:val="32"/>
          <w:szCs w:val="32"/>
        </w:rPr>
      </w:pPr>
    </w:p>
    <w:p w14:paraId="205A74B7">
      <w:pPr>
        <w:rPr>
          <w:rFonts w:hint="eastAsia" w:ascii="仿宋_GB2312" w:eastAsia="仿宋_GB2312"/>
          <w:b/>
          <w:sz w:val="32"/>
          <w:szCs w:val="32"/>
        </w:rPr>
      </w:pPr>
    </w:p>
    <w:p w14:paraId="4A3D3531">
      <w:pPr>
        <w:rPr>
          <w:rFonts w:hint="eastAsia" w:ascii="仿宋_GB2312" w:eastAsia="仿宋_GB2312"/>
          <w:b/>
          <w:sz w:val="32"/>
          <w:szCs w:val="32"/>
        </w:rPr>
      </w:pPr>
    </w:p>
    <w:p w14:paraId="5CFEC8B7">
      <w:pPr>
        <w:rPr>
          <w:rFonts w:hint="eastAsia" w:ascii="仿宋_GB2312" w:eastAsia="仿宋_GB2312"/>
          <w:b/>
          <w:sz w:val="32"/>
          <w:szCs w:val="32"/>
        </w:rPr>
      </w:pPr>
    </w:p>
    <w:p w14:paraId="56CD4778">
      <w:pPr>
        <w:rPr>
          <w:rFonts w:hint="eastAsia" w:ascii="仿宋_GB2312" w:eastAsia="仿宋_GB2312"/>
          <w:b/>
          <w:sz w:val="32"/>
          <w:szCs w:val="32"/>
        </w:rPr>
      </w:pPr>
    </w:p>
    <w:p w14:paraId="744EDBBB">
      <w:pPr>
        <w:rPr>
          <w:rFonts w:hint="eastAsia" w:ascii="仿宋_GB2312" w:eastAsia="仿宋_GB2312"/>
          <w:b/>
          <w:sz w:val="32"/>
          <w:szCs w:val="32"/>
        </w:rPr>
      </w:pPr>
    </w:p>
    <w:p w14:paraId="458CA1BD">
      <w:pPr>
        <w:rPr>
          <w:rFonts w:hint="eastAsia" w:ascii="仿宋_GB2312" w:eastAsia="仿宋_GB2312"/>
          <w:b/>
          <w:sz w:val="32"/>
          <w:szCs w:val="32"/>
        </w:rPr>
      </w:pPr>
    </w:p>
    <w:p w14:paraId="3006DF97">
      <w:pPr>
        <w:rPr>
          <w:rFonts w:hint="eastAsia" w:ascii="仿宋_GB2312" w:eastAsia="仿宋_GB2312"/>
          <w:b/>
          <w:sz w:val="32"/>
          <w:szCs w:val="32"/>
        </w:rPr>
      </w:pPr>
    </w:p>
    <w:p w14:paraId="3245C1F6">
      <w:pPr>
        <w:rPr>
          <w:rFonts w:hint="eastAsia" w:ascii="仿宋_GB2312" w:eastAsia="仿宋_GB2312"/>
          <w:b/>
          <w:sz w:val="32"/>
          <w:szCs w:val="32"/>
        </w:rPr>
      </w:pPr>
    </w:p>
    <w:p w14:paraId="215198E9">
      <w:pPr>
        <w:rPr>
          <w:rFonts w:hint="eastAsia" w:ascii="仿宋_GB2312" w:eastAsia="仿宋_GB2312"/>
          <w:b/>
          <w:sz w:val="32"/>
          <w:szCs w:val="32"/>
        </w:rPr>
      </w:pPr>
    </w:p>
    <w:p w14:paraId="20EE2713">
      <w:pPr>
        <w:rPr>
          <w:rFonts w:hint="eastAsia" w:ascii="仿宋_GB2312" w:eastAsia="仿宋_GB2312"/>
          <w:b/>
          <w:sz w:val="32"/>
          <w:szCs w:val="32"/>
        </w:rPr>
      </w:pPr>
    </w:p>
    <w:p w14:paraId="3ACB5248">
      <w:pPr>
        <w:rPr>
          <w:rFonts w:hint="eastAsia" w:ascii="仿宋_GB2312" w:eastAsia="仿宋_GB2312"/>
          <w:b/>
          <w:sz w:val="32"/>
          <w:szCs w:val="32"/>
        </w:rPr>
      </w:pPr>
    </w:p>
    <w:p w14:paraId="3C6F38F4">
      <w:pPr>
        <w:rPr>
          <w:rFonts w:hint="eastAsia" w:ascii="仿宋_GB2312" w:eastAsia="仿宋_GB2312"/>
          <w:b/>
          <w:sz w:val="32"/>
          <w:szCs w:val="32"/>
        </w:rPr>
      </w:pPr>
    </w:p>
    <w:p w14:paraId="7BFFB7C8">
      <w:pPr>
        <w:rPr>
          <w:rFonts w:hint="eastAsia" w:ascii="仿宋_GB2312" w:eastAsia="仿宋_GB2312"/>
          <w:b/>
          <w:sz w:val="32"/>
          <w:szCs w:val="32"/>
        </w:rPr>
      </w:pPr>
    </w:p>
    <w:p w14:paraId="5A3BC64E">
      <w:pPr>
        <w:rPr>
          <w:rFonts w:hint="eastAsia" w:ascii="仿宋_GB2312" w:eastAsia="仿宋_GB2312"/>
          <w:b/>
          <w:sz w:val="32"/>
          <w:szCs w:val="32"/>
        </w:rPr>
      </w:pPr>
    </w:p>
    <w:p w14:paraId="55A5D902">
      <w:pPr>
        <w:rPr>
          <w:rFonts w:hint="eastAsia" w:ascii="仿宋_GB2312" w:eastAsia="仿宋_GB2312"/>
          <w:b/>
          <w:sz w:val="32"/>
          <w:szCs w:val="32"/>
        </w:rPr>
      </w:pPr>
    </w:p>
    <w:p w14:paraId="6D0BEB95">
      <w:pPr>
        <w:rPr>
          <w:rFonts w:hint="eastAsia" w:ascii="仿宋_GB2312" w:eastAsia="仿宋_GB2312"/>
          <w:b/>
          <w:sz w:val="32"/>
          <w:szCs w:val="32"/>
        </w:rPr>
      </w:pPr>
    </w:p>
    <w:p w14:paraId="23F7B65A">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sz w:val="32"/>
          <w:szCs w:val="32"/>
          <w:lang w:bidi="ar-SA"/>
        </w:rPr>
      </w:pPr>
      <w:r>
        <w:rPr>
          <w:rFonts w:hint="eastAsia" w:ascii="黑体" w:hAnsi="黑体" w:eastAsia="黑体" w:cs="黑体"/>
          <w:b w:val="0"/>
          <w:bCs w:val="0"/>
          <w:sz w:val="32"/>
          <w:szCs w:val="32"/>
          <w:lang w:bidi="ar-SA"/>
        </w:rPr>
        <w:t>第一部分：广西壮族自治区中医骨伤科研究所概况</w:t>
      </w:r>
    </w:p>
    <w:p w14:paraId="4B40C722">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一、主要职能</w:t>
      </w:r>
    </w:p>
    <w:p w14:paraId="4B22835D">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000000"/>
          <w:sz w:val="32"/>
          <w:szCs w:val="32"/>
        </w:rPr>
        <w:t>广西壮族自治区中医骨伤科研究所成立于1986年，1995年增挂广西骨伤医院牌子，是一所集临床、医疗、预防、保健和中医骨伤研究为一体的自治区级医疗科研单位，是自治区中医药管理局直属的国家三级甲等中西医结合骨科医院、广西中医药大学附属骨伤医院、广西红十字会骨伤医院、高等医学院校临床教学基地和骨伤专业硕士点。</w:t>
      </w:r>
      <w:r>
        <w:rPr>
          <w:rFonts w:hint="eastAsia" w:ascii="仿宋_GB2312" w:hAnsi="仿宋" w:eastAsia="仿宋_GB2312" w:cs="Times New Roman"/>
          <w:sz w:val="32"/>
          <w:szCs w:val="32"/>
        </w:rPr>
        <w:t>长期以来，医院坚持“大专科、小综合”与中西医结合的办院方向，把骨伤科作为医院建设重点来抓。坚持“所院合一、科教兴院”的方针，不断引进新技术、新项目，努力提高科研水平。医院骨伤科是国家中医药管理局“十一五”重点专科，骨伤康复科是自治区中医药管理局“十二五”重点建设项目</w:t>
      </w:r>
      <w:r>
        <w:rPr>
          <w:rFonts w:hint="eastAsia" w:ascii="仿宋_GB2312" w:hAnsi="仿宋" w:eastAsia="仿宋_GB2312" w:cs="Times New Roman"/>
          <w:kern w:val="2"/>
          <w:sz w:val="32"/>
          <w:szCs w:val="32"/>
          <w:lang w:val="en-US" w:eastAsia="zh-CN" w:bidi="ar-SA"/>
        </w:rPr>
        <w:t>。</w:t>
      </w:r>
    </w:p>
    <w:p w14:paraId="3AF81E1F">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二、机构设置情况</w:t>
      </w:r>
    </w:p>
    <w:p w14:paraId="1D26EA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广西壮族自治区中医骨伤科研究所内设机构有：1.行政部门：党政办公室、纪检监察室、人力资源部、医务部、护理部、科教部、财务运营部、保障部、审计科、采购办、工会。2.临床科室：四肢创伤科、脊柱骨病科、康复科、关节科、麻醉科、</w:t>
      </w:r>
      <w:r>
        <w:rPr>
          <w:rFonts w:hint="eastAsia" w:ascii="仿宋_GB2312" w:hAnsi="仿宋" w:eastAsia="仿宋_GB2312"/>
          <w:sz w:val="32"/>
          <w:szCs w:val="32"/>
        </w:rPr>
        <w:t>内科•老年病科</w:t>
      </w:r>
      <w:r>
        <w:rPr>
          <w:rFonts w:hint="eastAsia" w:ascii="仿宋_GB2312" w:hAnsi="宋体" w:eastAsia="仿宋_GB2312" w:cs="Times New Roman"/>
          <w:kern w:val="2"/>
          <w:sz w:val="32"/>
          <w:szCs w:val="32"/>
          <w:lang w:val="en-US" w:eastAsia="zh-CN" w:bidi="ar-SA"/>
        </w:rPr>
        <w:t>、重症医学科、治未病科、筋伤科（传统疗法科）、正骨科、急诊科。3.门诊科室：骨科门诊、</w:t>
      </w:r>
      <w:r>
        <w:rPr>
          <w:rFonts w:hint="eastAsia" w:ascii="仿宋_GB2312" w:hAnsi="仿宋" w:eastAsia="仿宋_GB2312"/>
          <w:sz w:val="32"/>
          <w:szCs w:val="32"/>
        </w:rPr>
        <w:t>内科•老年病科</w:t>
      </w:r>
      <w:r>
        <w:rPr>
          <w:rFonts w:hint="eastAsia" w:ascii="仿宋_GB2312" w:hAnsi="宋体" w:eastAsia="仿宋_GB2312" w:cs="Times New Roman"/>
          <w:kern w:val="2"/>
          <w:sz w:val="32"/>
          <w:szCs w:val="32"/>
          <w:lang w:val="en-US" w:eastAsia="zh-CN" w:bidi="ar-SA"/>
        </w:rPr>
        <w:t>门诊、外科门诊、疼痛科门诊、感染性疾病科门诊、口腔科门诊（民生路）、皮肤科门诊（民生路）、便民门诊、儿科门诊。4.医技科室：药学部、放射科、心电超声科、检验科、输血科、病理科、手术室。5.社区卫生服务中心：方园社区卫生服务中心、长虹社区卫生服务中心。</w:t>
      </w:r>
    </w:p>
    <w:p w14:paraId="00C2B90D">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三、人员构成情况</w:t>
      </w:r>
    </w:p>
    <w:p w14:paraId="2B56462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1.在职实有人数488人。其中：事业编制168人、机关后勤控制数1人。</w:t>
      </w:r>
    </w:p>
    <w:p w14:paraId="49E6BA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2.离退休人员154人。其中：离休人员0人、退休人员154人。</w:t>
      </w:r>
    </w:p>
    <w:p w14:paraId="526F2ACF">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sz w:val="32"/>
          <w:szCs w:val="32"/>
          <w:lang w:bidi="ar-SA"/>
        </w:rPr>
        <w:t>第二部分：广西壮族自治区中医骨伤科研究所</w:t>
      </w:r>
      <w:r>
        <w:rPr>
          <w:rFonts w:hint="eastAsia" w:ascii="黑体" w:hAnsi="黑体" w:eastAsia="黑体" w:cs="黑体"/>
          <w:b w:val="0"/>
          <w:bCs w:val="0"/>
          <w:kern w:val="2"/>
          <w:sz w:val="32"/>
          <w:szCs w:val="32"/>
          <w:lang w:val="en-US" w:eastAsia="zh-CN" w:bidi="ar-SA"/>
        </w:rPr>
        <w:t>2024年度部门决算报表</w:t>
      </w:r>
    </w:p>
    <w:p w14:paraId="2E8D4A3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_GB2312" w:eastAsia="仿宋_GB2312" w:cs="仿宋_GB2312"/>
          <w:i w:val="0"/>
          <w:iCs w:val="0"/>
          <w:caps w:val="0"/>
          <w:color w:val="auto"/>
          <w:spacing w:val="0"/>
          <w:sz w:val="31"/>
          <w:szCs w:val="31"/>
          <w:shd w:val="clear" w:fill="F6F3EA"/>
        </w:rPr>
      </w:pPr>
      <w:r>
        <w:rPr>
          <w:rFonts w:hint="eastAsia" w:ascii="仿宋_GB2312" w:hAnsi="宋体" w:eastAsia="仿宋_GB2312" w:cs="Times New Roman"/>
          <w:kern w:val="2"/>
          <w:sz w:val="32"/>
          <w:szCs w:val="32"/>
          <w:lang w:val="en-US" w:eastAsia="zh-CN" w:bidi="ar-SA"/>
        </w:rPr>
        <w:t>《收入支出决算总表》《收入决算表》《支出决算表》《财政拨款收入支出决算总表》《一般公共预算财政拨款支出决算表》《一般公共预算财政拨款基本支出决算明细表》《政府性基金预算财政拨款收入支出决算表》《国有资本经营预算财政拨款支出决算表》《财政拨款“三公”经费支出决算表》(此部分另附表格，详见附件：广西壮族自治区中医骨伤科研究所2024年度部门决算公开附表)</w:t>
      </w:r>
    </w:p>
    <w:p w14:paraId="52A36A9E">
      <w:pPr>
        <w:pStyle w:val="2"/>
        <w:keepNext/>
        <w:keepLines/>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0"/>
        <w:rPr>
          <w:rFonts w:hint="eastAsia" w:ascii="黑体" w:hAnsi="黑体" w:eastAsia="黑体" w:cs="黑体"/>
          <w:b w:val="0"/>
          <w:bCs w:val="0"/>
          <w:sz w:val="32"/>
          <w:szCs w:val="32"/>
          <w:highlight w:val="none"/>
          <w:lang w:bidi="ar-SA"/>
        </w:rPr>
      </w:pPr>
      <w:r>
        <w:rPr>
          <w:rFonts w:hint="eastAsia" w:ascii="黑体" w:hAnsi="黑体" w:eastAsia="黑体" w:cs="黑体"/>
          <w:b w:val="0"/>
          <w:bCs w:val="0"/>
          <w:sz w:val="32"/>
          <w:szCs w:val="32"/>
          <w:lang w:bidi="ar-SA"/>
        </w:rPr>
        <w:t>第三部分：</w:t>
      </w:r>
      <w:r>
        <w:rPr>
          <w:rFonts w:hint="eastAsia" w:ascii="黑体" w:hAnsi="黑体" w:eastAsia="黑体" w:cs="黑体"/>
          <w:b w:val="0"/>
          <w:bCs w:val="0"/>
          <w:sz w:val="32"/>
          <w:szCs w:val="32"/>
          <w:highlight w:val="none"/>
          <w:lang w:bidi="ar-SA"/>
        </w:rPr>
        <w:t>广西壮族自治区中医骨伤科研究所</w:t>
      </w:r>
      <w:r>
        <w:rPr>
          <w:rFonts w:hint="eastAsia" w:ascii="黑体" w:hAnsi="黑体" w:eastAsia="黑体" w:cs="黑体"/>
          <w:b w:val="0"/>
          <w:bCs w:val="0"/>
          <w:sz w:val="32"/>
          <w:szCs w:val="32"/>
          <w:highlight w:val="none"/>
          <w:lang w:eastAsia="zh-CN" w:bidi="ar-SA"/>
        </w:rPr>
        <w:t>2024年度</w:t>
      </w:r>
      <w:r>
        <w:rPr>
          <w:rFonts w:hint="eastAsia" w:ascii="黑体" w:hAnsi="黑体" w:eastAsia="黑体" w:cs="黑体"/>
          <w:b w:val="0"/>
          <w:bCs w:val="0"/>
          <w:sz w:val="32"/>
          <w:szCs w:val="32"/>
          <w:highlight w:val="none"/>
          <w:lang w:bidi="ar-SA"/>
        </w:rPr>
        <w:t>部门决算情况说明</w:t>
      </w:r>
    </w:p>
    <w:p w14:paraId="6513C85C">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一、</w:t>
      </w:r>
      <w:r>
        <w:rPr>
          <w:rFonts w:hint="eastAsia" w:ascii="黑体" w:hAnsi="黑体" w:cs="黑体"/>
          <w:b w:val="0"/>
          <w:bCs w:val="0"/>
          <w:sz w:val="32"/>
          <w:lang w:eastAsia="zh-CN"/>
        </w:rPr>
        <w:t>2024年</w:t>
      </w:r>
      <w:r>
        <w:rPr>
          <w:rFonts w:hint="eastAsia" w:ascii="黑体" w:hAnsi="黑体" w:eastAsia="黑体" w:cs="黑体"/>
          <w:b w:val="0"/>
          <w:bCs w:val="0"/>
          <w:sz w:val="32"/>
          <w:lang w:eastAsia="zh-CN"/>
        </w:rPr>
        <w:t>度</w:t>
      </w:r>
      <w:r>
        <w:rPr>
          <w:rFonts w:hint="eastAsia" w:ascii="黑体" w:hAnsi="黑体" w:eastAsia="黑体" w:cs="黑体"/>
          <w:b w:val="0"/>
          <w:bCs w:val="0"/>
          <w:sz w:val="32"/>
        </w:rPr>
        <w:t>收入支出决算总体情况</w:t>
      </w:r>
    </w:p>
    <w:p w14:paraId="344E3F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（一）本</w:t>
      </w:r>
      <w:r>
        <w:rPr>
          <w:rFonts w:hint="eastAsia" w:ascii="仿宋_GB2312" w:hAnsi="仿宋" w:eastAsia="仿宋_GB2312" w:cs="Times New Roman"/>
          <w:color w:val="auto"/>
          <w:kern w:val="2"/>
          <w:sz w:val="32"/>
          <w:szCs w:val="32"/>
          <w:lang w:val="en-US" w:eastAsia="zh-CN" w:bidi="ar-SA"/>
        </w:rPr>
        <w:t>单位2024年度总收入17618.90万元，其中本年收入17439.20万元,较上年度总收入决算数19724.80万元减少2105.90万元，下降10.68%。收入</w:t>
      </w:r>
      <w:r>
        <w:rPr>
          <w:rFonts w:hint="eastAsia" w:ascii="仿宋_GB2312" w:hAnsi="仿宋" w:eastAsia="仿宋_GB2312" w:cs="Times New Roman"/>
          <w:kern w:val="2"/>
          <w:sz w:val="32"/>
          <w:szCs w:val="32"/>
          <w:lang w:val="en-US" w:eastAsia="zh-CN" w:bidi="ar-SA"/>
        </w:rPr>
        <w:t>具体情况如下。</w:t>
      </w:r>
    </w:p>
    <w:p w14:paraId="76233B4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1.</w:t>
      </w:r>
      <w:r>
        <w:rPr>
          <w:rFonts w:hint="eastAsia" w:ascii="仿宋_GB2312" w:eastAsia="仿宋_GB2312" w:cs="仿宋_GB2312"/>
          <w:kern w:val="0"/>
          <w:sz w:val="32"/>
          <w:szCs w:val="32"/>
        </w:rPr>
        <w:t>一般公共预算</w:t>
      </w:r>
      <w:r>
        <w:rPr>
          <w:rFonts w:hint="eastAsia" w:ascii="仿宋_GB2312" w:hAnsi="仿宋" w:eastAsia="仿宋_GB2312" w:cs="Times New Roman"/>
          <w:kern w:val="2"/>
          <w:sz w:val="32"/>
          <w:szCs w:val="32"/>
          <w:lang w:val="en-US" w:eastAsia="zh-CN" w:bidi="ar-SA"/>
        </w:rPr>
        <w:t>拨款收入1625.32万元，为中央及自治区本级财政当年拨付的资金。较上年度决算数1912.38万元减少287.06万元，下降15.01%，</w:t>
      </w:r>
      <w:r>
        <w:rPr>
          <w:rFonts w:hint="eastAsia" w:ascii="仿宋_GB2312" w:hAnsi="仿宋" w:eastAsia="仿宋_GB2312" w:cs="Times New Roman"/>
          <w:color w:val="auto"/>
          <w:kern w:val="2"/>
          <w:sz w:val="32"/>
          <w:szCs w:val="32"/>
          <w:lang w:val="en-US" w:eastAsia="zh-CN" w:bidi="ar-SA"/>
        </w:rPr>
        <w:t>主要原因是本年一般公共预算拨款项目减少。</w:t>
      </w:r>
    </w:p>
    <w:p w14:paraId="66B871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2.事业收入15342.58万元，为单位开展业务活动取得的收入。较上年度决算数15495.08万元下降152.50万元，下降0.98%。</w:t>
      </w:r>
    </w:p>
    <w:p w14:paraId="52AC1B8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3.其他收入471.30万元，为单位在“财政拨款收入”“事业收入”“经营收入”之外取得的收入。较上年度决算数386.54增加</w:t>
      </w:r>
      <w:r>
        <w:rPr>
          <w:rFonts w:hint="eastAsia" w:ascii="仿宋_GB2312" w:hAnsi="仿宋" w:eastAsia="仿宋_GB2312" w:cs="Times New Roman"/>
          <w:kern w:val="2"/>
          <w:sz w:val="32"/>
          <w:szCs w:val="32"/>
          <w:highlight w:val="none"/>
          <w:lang w:val="en-US" w:eastAsia="zh-CN" w:bidi="ar-SA"/>
        </w:rPr>
        <w:t>84.76万元，增长21.93%，主要原因是当年方园社区卫生服务中心收到基本</w:t>
      </w:r>
      <w:r>
        <w:rPr>
          <w:rFonts w:hint="eastAsia" w:ascii="仿宋_GB2312" w:hAnsi="仿宋" w:eastAsia="仿宋_GB2312" w:cs="Times New Roman"/>
          <w:kern w:val="2"/>
          <w:sz w:val="32"/>
          <w:szCs w:val="32"/>
          <w:lang w:val="en-US" w:eastAsia="zh-CN" w:bidi="ar-SA"/>
        </w:rPr>
        <w:t>公共卫生补助资金较上年增加。</w:t>
      </w:r>
    </w:p>
    <w:p w14:paraId="34389E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4.</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（含专用结余）</w:t>
      </w:r>
      <w:r>
        <w:rPr>
          <w:rFonts w:hint="eastAsia" w:ascii="仿宋_GB2312" w:hAnsi="仿宋" w:eastAsia="仿宋_GB2312" w:cs="Times New Roman"/>
          <w:kern w:val="2"/>
          <w:sz w:val="32"/>
          <w:szCs w:val="32"/>
          <w:lang w:val="en-US" w:eastAsia="zh-CN" w:bidi="ar-SA"/>
        </w:rPr>
        <w:t>0万元，主</w:t>
      </w:r>
      <w:r>
        <w:rPr>
          <w:rFonts w:hint="eastAsia" w:ascii="仿宋_GB2312" w:hAnsi="仿宋" w:eastAsia="仿宋_GB2312" w:cs="Times New Roman"/>
          <w:color w:val="auto"/>
          <w:kern w:val="2"/>
          <w:sz w:val="32"/>
          <w:szCs w:val="32"/>
          <w:lang w:val="en-US" w:eastAsia="zh-CN" w:bidi="ar-SA"/>
        </w:rPr>
        <w:t>要是单位在当年的“财政拨款收入”“事业收入”“经营收入”及“其他收入”不能保证支出的情况下，</w:t>
      </w:r>
      <w:r>
        <w:rPr>
          <w:rFonts w:hint="eastAsia" w:ascii="仿宋_GB2312" w:eastAsia="仿宋_GB2312" w:cs="仿宋_GB2312"/>
          <w:color w:val="auto"/>
          <w:kern w:val="0"/>
          <w:sz w:val="32"/>
          <w:szCs w:val="32"/>
        </w:rPr>
        <w:t>使用以前年度积累的非财政拨款结余</w:t>
      </w:r>
      <w:r>
        <w:rPr>
          <w:rFonts w:hint="eastAsia" w:ascii="仿宋_GB2312" w:eastAsia="仿宋_GB2312" w:cs="仿宋_GB2312"/>
          <w:color w:val="auto"/>
          <w:kern w:val="0"/>
          <w:sz w:val="32"/>
          <w:szCs w:val="32"/>
          <w:lang w:eastAsia="zh-CN"/>
        </w:rPr>
        <w:t>、</w:t>
      </w:r>
      <w:r>
        <w:rPr>
          <w:rFonts w:hint="eastAsia" w:ascii="仿宋_GB2312" w:eastAsia="仿宋_GB2312"/>
          <w:color w:val="auto"/>
          <w:sz w:val="32"/>
          <w:szCs w:val="32"/>
        </w:rPr>
        <w:t>专用结余</w:t>
      </w:r>
      <w:r>
        <w:rPr>
          <w:rFonts w:hint="eastAsia" w:ascii="仿宋_GB2312" w:eastAsia="仿宋_GB2312" w:cs="仿宋_GB2312"/>
          <w:color w:val="auto"/>
          <w:kern w:val="0"/>
          <w:sz w:val="32"/>
          <w:szCs w:val="32"/>
        </w:rPr>
        <w:t>弥补本年度收支缺口的资金。</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减少1732.94</w:t>
      </w:r>
      <w:r>
        <w:rPr>
          <w:rFonts w:hint="eastAsia" w:ascii="仿宋_GB2312" w:hAnsi="黑体" w:eastAsia="仿宋_GB2312" w:cs="仿宋_GB2312"/>
          <w:color w:val="auto"/>
          <w:kern w:val="0"/>
          <w:sz w:val="32"/>
          <w:szCs w:val="32"/>
        </w:rPr>
        <w:t>万元，主要原因是</w:t>
      </w:r>
      <w:r>
        <w:rPr>
          <w:rFonts w:hint="eastAsia" w:ascii="仿宋_GB2312" w:hAnsi="黑体" w:eastAsia="仿宋_GB2312" w:cs="仿宋_GB2312"/>
          <w:color w:val="auto"/>
          <w:kern w:val="0"/>
          <w:sz w:val="32"/>
          <w:szCs w:val="32"/>
          <w:lang w:val="en-US" w:eastAsia="zh-CN"/>
        </w:rPr>
        <w:t>当年收支平衡，不需使用</w:t>
      </w:r>
      <w:r>
        <w:rPr>
          <w:rFonts w:hint="eastAsia" w:ascii="仿宋_GB2312" w:eastAsia="仿宋_GB2312" w:cs="仿宋_GB2312"/>
          <w:kern w:val="0"/>
          <w:sz w:val="32"/>
          <w:szCs w:val="32"/>
        </w:rPr>
        <w:t>非财政拨款结余</w:t>
      </w:r>
      <w:r>
        <w:rPr>
          <w:rFonts w:hint="eastAsia" w:ascii="仿宋_GB2312" w:hAnsi="黑体" w:eastAsia="仿宋_GB2312" w:cs="仿宋_GB2312"/>
          <w:color w:val="auto"/>
          <w:kern w:val="0"/>
          <w:sz w:val="32"/>
          <w:szCs w:val="32"/>
          <w:lang w:val="en-US" w:eastAsia="zh-CN"/>
        </w:rPr>
        <w:t>弥补预算收支差额</w:t>
      </w:r>
      <w:r>
        <w:rPr>
          <w:rFonts w:hint="eastAsia" w:ascii="仿宋_GB2312" w:hAnsi="黑体" w:eastAsia="仿宋_GB2312" w:cs="仿宋_GB2312"/>
          <w:color w:val="auto"/>
          <w:kern w:val="0"/>
          <w:sz w:val="32"/>
          <w:szCs w:val="32"/>
        </w:rPr>
        <w:t>。</w:t>
      </w:r>
    </w:p>
    <w:p w14:paraId="0A1C8996">
      <w:pPr>
        <w:pageBreakBefore w:val="0"/>
        <w:kinsoku/>
        <w:wordWrap/>
        <w:overflowPunct/>
        <w:topLinePunct w:val="0"/>
        <w:autoSpaceDE w:val="0"/>
        <w:autoSpaceDN w:val="0"/>
        <w:bidi w:val="0"/>
        <w:adjustRightInd w:val="0"/>
        <w:snapToGrid/>
        <w:spacing w:beforeAutospacing="0" w:afterAutospacing="0" w:line="560" w:lineRule="exact"/>
        <w:ind w:firstLine="627" w:firstLineChars="196"/>
        <w:jc w:val="both"/>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kern w:val="2"/>
          <w:sz w:val="32"/>
          <w:szCs w:val="32"/>
          <w:lang w:val="en-US" w:eastAsia="zh-CN" w:bidi="ar-SA"/>
        </w:rPr>
        <w:t>5.年初结转和结余179.70万元，为单位上年结转本年使用的基本支出结转、项目支出结转和结余，不包括事业单位的非财政拨款结余（累计结余）及专用结余（累计结余）。</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18.16</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9.18</w:t>
      </w:r>
      <w:r>
        <w:rPr>
          <w:rFonts w:hint="eastAsia" w:ascii="仿宋_GB2312" w:hAnsi="黑体" w:eastAsia="仿宋_GB2312" w:cs="仿宋_GB2312"/>
          <w:color w:val="auto"/>
          <w:kern w:val="0"/>
          <w:sz w:val="32"/>
          <w:szCs w:val="32"/>
        </w:rPr>
        <w:t>%，主要原因是</w:t>
      </w:r>
      <w:r>
        <w:rPr>
          <w:rFonts w:hint="eastAsia" w:ascii="仿宋_GB2312" w:hAnsi="宋体" w:eastAsia="仿宋_GB2312" w:cs="Times New Roman"/>
          <w:color w:val="auto"/>
          <w:kern w:val="2"/>
          <w:sz w:val="32"/>
          <w:szCs w:val="32"/>
          <w:highlight w:val="none"/>
          <w:lang w:val="en-US" w:eastAsia="zh-CN" w:bidi="ar-SA"/>
        </w:rPr>
        <w:t>单位可使用的累计结转结余资金减少</w:t>
      </w:r>
      <w:r>
        <w:rPr>
          <w:rFonts w:hint="eastAsia" w:ascii="仿宋_GB2312" w:hAnsi="黑体" w:eastAsia="仿宋_GB2312" w:cs="仿宋_GB2312"/>
          <w:color w:val="auto"/>
          <w:kern w:val="0"/>
          <w:sz w:val="32"/>
          <w:szCs w:val="32"/>
        </w:rPr>
        <w:t>。</w:t>
      </w:r>
    </w:p>
    <w:p w14:paraId="0B64D2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highlight w:val="none"/>
          <w:lang w:val="en-US" w:eastAsia="zh-CN" w:bidi="ar-SA"/>
        </w:rPr>
        <w:t>（二）</w:t>
      </w:r>
      <w:r>
        <w:rPr>
          <w:rFonts w:hint="eastAsia" w:ascii="仿宋_GB2312" w:hAnsi="仿宋" w:eastAsia="仿宋_GB2312" w:cs="Times New Roman"/>
          <w:color w:val="auto"/>
          <w:kern w:val="2"/>
          <w:sz w:val="32"/>
          <w:szCs w:val="32"/>
          <w:lang w:val="en-US" w:eastAsia="zh-CN" w:bidi="ar-SA"/>
        </w:rPr>
        <w:t>本单位2024年度总支出17618.90万元，其中本年度支出16967.26万元，较上年度总支出决算数19724.80万元减少2105.9万元，下降10.68%。支出具体情况如下：</w:t>
      </w:r>
    </w:p>
    <w:p w14:paraId="75728D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1.按支出功能科目划分，分为“201一般公共服务支出”、“208社会保障和就业支出”、“210卫生健康支出”、“221住房保障支出”3类，其中：</w:t>
      </w:r>
    </w:p>
    <w:p w14:paraId="0D0967B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（1）201一般公共服务支出140万元：主要是年中追加的自治区本级预算内项目前期费，主要用于经开区医院项目前期费。</w:t>
      </w:r>
    </w:p>
    <w:p w14:paraId="062C53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（2）208社会保障和就业支出551.85万元：主要用于退休干部工资、死亡抚恤金、机关事业单位职业年金缴费、机关事业单位基本养老保险缴费支出。</w:t>
      </w:r>
    </w:p>
    <w:p w14:paraId="2E7C39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（3）210卫生健康支出15935.78万元：主要用于医院日常运行经费、设备购置、人员工资和福利、对个人和家庭的补助。较上年度决算数18447.17万元减少2511.39万元，下降13.61%。</w:t>
      </w:r>
    </w:p>
    <w:p w14:paraId="77B6A0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（4）221住房保障支出339.63万元：主要用于医院在编人员住房公积金。</w:t>
      </w:r>
    </w:p>
    <w:p w14:paraId="3D2EE5E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2.按支出结构分类划分。本年支出决算分为基本支出、项目支出和结转下年支出。</w:t>
      </w:r>
    </w:p>
    <w:p w14:paraId="73C0996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（1）基本支出决算。基本支出6718.66万元，占本年支出39.60%。其中：</w:t>
      </w:r>
    </w:p>
    <w:p w14:paraId="6A55F28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①工资福利支出6192.43万元，占基本支出的92.17%，同比上年1175.58万元增加5016.85万元，增长426.76%，增长的主要原因是按照预算编制要求本年编外长聘人员经费由项目支出编入基本支出。</w:t>
      </w:r>
    </w:p>
    <w:p w14:paraId="39A04A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②商品和服务支出242.57万元，占本年基本支出的3.61%，同比上年155.60万元增加86.97万元，增长55.89%，</w:t>
      </w:r>
      <w:r>
        <w:rPr>
          <w:rFonts w:hint="eastAsia" w:ascii="仿宋_GB2312" w:hAnsi="仿宋" w:eastAsia="仿宋_GB2312" w:cs="Times New Roman"/>
          <w:kern w:val="2"/>
          <w:sz w:val="32"/>
          <w:szCs w:val="32"/>
          <w:lang w:val="en-US" w:eastAsia="zh-CN" w:bidi="ar-SA"/>
        </w:rPr>
        <w:t>增长的主要原因是按照预算编制要求本年编外长聘人员经费由项目支出编入基本支出。</w:t>
      </w:r>
    </w:p>
    <w:p w14:paraId="33CB39B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③对个人和家庭补助支出283.66万元，占本年基本支出的4.22%，同比上年232.59万元增加51.07万元，增长21.96%，增长的主要原因是年中追加抚恤金支出。</w:t>
      </w:r>
    </w:p>
    <w:p w14:paraId="58F6CDF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（2）项目支出决算。项目支出10248.59万元，占本年支出总额的60.40%。其中：</w:t>
      </w:r>
    </w:p>
    <w:p w14:paraId="48F360D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①工资福利支出2949.11万元，占本年项目支出的28.78%，同比上年8406.11万元减少5457万元，下降64.92%，下降</w:t>
      </w:r>
      <w:r>
        <w:rPr>
          <w:rFonts w:hint="eastAsia" w:ascii="仿宋_GB2312" w:hAnsi="仿宋" w:eastAsia="仿宋_GB2312" w:cs="Times New Roman"/>
          <w:kern w:val="2"/>
          <w:sz w:val="32"/>
          <w:szCs w:val="32"/>
          <w:lang w:val="en-US" w:eastAsia="zh-CN" w:bidi="ar-SA"/>
        </w:rPr>
        <w:t>的主要原因是按照预算编制要求本年编外长聘人员经费由项目支出编入基本支出</w:t>
      </w:r>
      <w:r>
        <w:rPr>
          <w:rFonts w:hint="eastAsia" w:ascii="仿宋_GB2312" w:hAnsi="仿宋" w:eastAsia="仿宋_GB2312" w:cs="Times New Roman"/>
          <w:color w:val="auto"/>
          <w:kern w:val="2"/>
          <w:sz w:val="32"/>
          <w:szCs w:val="32"/>
          <w:lang w:val="en-US" w:eastAsia="zh-CN" w:bidi="ar-SA"/>
        </w:rPr>
        <w:t>。</w:t>
      </w:r>
    </w:p>
    <w:p w14:paraId="6FD37B3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②商品和服务支出6072.64万元，占本年项目支出的59.25%，同比上年7682.60万元减少1609.96万元，下降20.96%，下降的主要原因一是本年获得一般公共预算拨款项目较上年减少；二是根据收入情况部分项目未安排支出。</w:t>
      </w:r>
    </w:p>
    <w:p w14:paraId="7B41C5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③对个人和家庭补助支出0万元，占本年项目支出预算的0%，同比上年215.30万元减少215.30万元，主要是较上年减少了相关</w:t>
      </w:r>
      <w:r>
        <w:rPr>
          <w:rFonts w:hint="eastAsia" w:ascii="仿宋_GB2312" w:hAnsi="仿宋" w:eastAsia="仿宋_GB2312"/>
          <w:color w:val="auto"/>
          <w:sz w:val="32"/>
          <w:szCs w:val="32"/>
          <w:lang w:val="en-US" w:eastAsia="zh-CN"/>
        </w:rPr>
        <w:t>医务人员临时性工作补助项目资金以及</w:t>
      </w:r>
      <w:r>
        <w:rPr>
          <w:rFonts w:hint="eastAsia" w:ascii="仿宋_GB2312" w:hAnsi="仿宋" w:eastAsia="仿宋_GB2312" w:cs="Times New Roman"/>
          <w:kern w:val="2"/>
          <w:sz w:val="32"/>
          <w:szCs w:val="32"/>
          <w:lang w:val="en-US" w:eastAsia="zh-CN" w:bidi="ar-SA"/>
        </w:rPr>
        <w:t>按照预算编制要求本年编外长聘人员经费由项目支出编入基本支出</w:t>
      </w:r>
      <w:r>
        <w:rPr>
          <w:rFonts w:hint="eastAsia" w:ascii="仿宋_GB2312" w:hAnsi="仿宋" w:eastAsia="仿宋_GB2312" w:cs="Times New Roman"/>
          <w:color w:val="auto"/>
          <w:kern w:val="2"/>
          <w:sz w:val="32"/>
          <w:szCs w:val="32"/>
          <w:lang w:val="en-US" w:eastAsia="zh-CN" w:bidi="ar-SA"/>
        </w:rPr>
        <w:t>。</w:t>
      </w:r>
    </w:p>
    <w:p w14:paraId="3A7DAA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④债务利息支出0万元，占本年项目支出的0%，与上年度持平。</w:t>
      </w:r>
    </w:p>
    <w:p w14:paraId="614BF8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⑤资本性支出1226.85万元，占本年项目支出的11.97%，同比上年1674.04万元减少447.19万元，下降26.71%，主要是较上年大型修缮支、信息网络及软件购置更新支出减少。</w:t>
      </w:r>
    </w:p>
    <w:p w14:paraId="596A5D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（3）结余分配499.36万元，</w:t>
      </w:r>
      <w:r>
        <w:rPr>
          <w:rFonts w:hint="eastAsia" w:ascii="仿宋_GB2312" w:eastAsia="仿宋_GB2312" w:cs="仿宋_GB2312"/>
          <w:color w:val="auto"/>
          <w:kern w:val="0"/>
          <w:sz w:val="32"/>
          <w:szCs w:val="32"/>
        </w:rPr>
        <w:t>为事业单位按规定提取的专用结余、缴纳所得税和转入非财政拨款结余等。</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val="en-US" w:eastAsia="zh-CN"/>
        </w:rPr>
        <w:t>上</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w:t>
      </w:r>
      <w:r>
        <w:rPr>
          <w:rFonts w:hint="eastAsia" w:ascii="仿宋_GB2312" w:hAnsi="仿宋" w:eastAsia="仿宋_GB2312" w:cs="Times New Roman"/>
          <w:color w:val="auto"/>
          <w:kern w:val="2"/>
          <w:sz w:val="32"/>
          <w:szCs w:val="32"/>
          <w:lang w:val="en-US" w:eastAsia="zh-CN" w:bidi="ar-SA"/>
        </w:rPr>
        <w:t>497.55</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增长274.89</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当年收支平衡预算结余增加</w:t>
      </w:r>
      <w:r>
        <w:rPr>
          <w:rFonts w:hint="eastAsia" w:ascii="仿宋_GB2312" w:hAnsi="黑体" w:eastAsia="仿宋_GB2312" w:cs="仿宋_GB2312"/>
          <w:color w:val="auto"/>
          <w:kern w:val="0"/>
          <w:sz w:val="32"/>
          <w:szCs w:val="32"/>
        </w:rPr>
        <w:t>。</w:t>
      </w:r>
    </w:p>
    <w:p w14:paraId="406B6E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（4）年末结转和结余152.29万元，为单位结转下年使用的基本支出结转、项目支出结转和结余，不包括事业单位的非财政拨款结余（累计结余）及专用结余（累计结余）。</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val="en-US" w:eastAsia="zh-CN"/>
        </w:rPr>
        <w:t>上</w:t>
      </w:r>
      <w:r>
        <w:rPr>
          <w:rFonts w:hint="eastAsia" w:ascii="仿宋_GB2312" w:hAnsi="黑体" w:eastAsia="仿宋_GB2312" w:cs="仿宋_GB2312"/>
          <w:color w:val="auto"/>
          <w:kern w:val="0"/>
          <w:sz w:val="32"/>
          <w:szCs w:val="32"/>
        </w:rPr>
        <w:t>年度决算数减少</w:t>
      </w:r>
      <w:r>
        <w:rPr>
          <w:rFonts w:hint="eastAsia" w:ascii="仿宋_GB2312" w:eastAsia="仿宋_GB2312" w:cs="仿宋_GB2312"/>
          <w:color w:val="auto"/>
          <w:kern w:val="0"/>
          <w:sz w:val="32"/>
          <w:szCs w:val="32"/>
          <w:lang w:val="en-US" w:eastAsia="zh-CN"/>
        </w:rPr>
        <w:t>28.87</w:t>
      </w:r>
      <w:r>
        <w:rPr>
          <w:rFonts w:hint="eastAsia" w:ascii="仿宋_GB2312" w:hAnsi="黑体" w:eastAsia="仿宋_GB2312" w:cs="仿宋_GB2312"/>
          <w:color w:val="auto"/>
          <w:kern w:val="0"/>
          <w:sz w:val="32"/>
          <w:szCs w:val="32"/>
        </w:rPr>
        <w:t>万元，下降</w:t>
      </w:r>
      <w:r>
        <w:rPr>
          <w:rFonts w:hint="eastAsia" w:ascii="仿宋_GB2312" w:eastAsia="仿宋_GB2312" w:cs="仿宋_GB2312"/>
          <w:color w:val="auto"/>
          <w:kern w:val="0"/>
          <w:sz w:val="32"/>
          <w:szCs w:val="32"/>
          <w:lang w:val="en-US" w:eastAsia="zh-CN"/>
        </w:rPr>
        <w:t>15.94</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val="en-US" w:eastAsia="zh-CN"/>
        </w:rPr>
        <w:t>当年课题项目结转减少</w:t>
      </w:r>
      <w:r>
        <w:rPr>
          <w:rFonts w:hint="eastAsia" w:ascii="仿宋_GB2312" w:hAnsi="黑体" w:eastAsia="仿宋_GB2312" w:cs="仿宋_GB2312"/>
          <w:color w:val="auto"/>
          <w:kern w:val="0"/>
          <w:sz w:val="32"/>
          <w:szCs w:val="32"/>
        </w:rPr>
        <w:t>。</w:t>
      </w:r>
    </w:p>
    <w:p w14:paraId="482FCD4A">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二、</w:t>
      </w:r>
      <w:r>
        <w:rPr>
          <w:rFonts w:hint="eastAsia" w:ascii="黑体" w:hAnsi="黑体" w:cs="黑体"/>
          <w:b w:val="0"/>
          <w:bCs w:val="0"/>
          <w:color w:val="auto"/>
          <w:sz w:val="32"/>
          <w:lang w:eastAsia="zh-CN"/>
        </w:rPr>
        <w:t>2024年</w:t>
      </w:r>
      <w:r>
        <w:rPr>
          <w:rFonts w:hint="eastAsia" w:ascii="黑体" w:hAnsi="黑体" w:eastAsia="黑体" w:cs="黑体"/>
          <w:b w:val="0"/>
          <w:bCs w:val="0"/>
          <w:color w:val="auto"/>
          <w:sz w:val="32"/>
          <w:lang w:eastAsia="zh-CN"/>
        </w:rPr>
        <w:t>度</w:t>
      </w:r>
      <w:r>
        <w:rPr>
          <w:rFonts w:hint="eastAsia" w:ascii="黑体" w:hAnsi="黑体" w:eastAsia="黑体" w:cs="黑体"/>
          <w:b w:val="0"/>
          <w:bCs w:val="0"/>
          <w:color w:val="auto"/>
          <w:sz w:val="32"/>
        </w:rPr>
        <w:t>一般公共预算财政拨款支出决算情况</w:t>
      </w:r>
    </w:p>
    <w:p w14:paraId="700DF3F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2024年度一般公共预算财政拨款支出1628.43万元，较上年度决算数1920.48万元减少292.05万元，下降15.21%，下降的主要原因是本年获得一般公共预算拨款项目较上年减少。其中：基本支出176.88万元，项目支出1451.55万元。</w:t>
      </w:r>
    </w:p>
    <w:p w14:paraId="4B9B7A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本单位2024年度一般公共预算财政拨款支出年初预算为841.32万元，支出决算为1628.43万元，完成年初预算的193.56%。主要原因是一般公共预算拨款年中追加预算。</w:t>
      </w:r>
    </w:p>
    <w:p w14:paraId="5943E9E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（一）工资福利支出年初预算为130.57万元，支出决算为131.85万元，完成年初预算的100.98%。差异原因为年中追加过渡期前医务人员临时性工作补助资金。</w:t>
      </w:r>
    </w:p>
    <w:p w14:paraId="00D525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（二）商品和服务支出年初预算为190.36万元，支出决算为356.48万元，完成年初预算的187.27%。差异原因为年中追加项目经费，经费主要用于医院能力建设发展。</w:t>
      </w:r>
    </w:p>
    <w:p w14:paraId="64B6F0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（三）对个人和家庭的补助年初预算为13.19万元，支出决算为62.31万元，完成年初预算的472.4%。差异原因为年中追加死亡抚恤金。经费主要用于退休干部补助、抚恤金。</w:t>
      </w:r>
    </w:p>
    <w:p w14:paraId="6EC2D1B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四）资本性支出年初预算为507.20万元，支出决算为1077.79万元，完成年初预算的212.5%。差异原因为年中追加项目经费。经费主要用于项目前期费、设备购置、大型修缮、信息网络及软件购置更新、无形资产购置。</w:t>
      </w:r>
    </w:p>
    <w:p w14:paraId="0228AE49">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color w:val="auto"/>
          <w:sz w:val="32"/>
        </w:rPr>
      </w:pPr>
      <w:r>
        <w:rPr>
          <w:rFonts w:hint="eastAsia" w:ascii="黑体" w:hAnsi="黑体" w:eastAsia="黑体" w:cs="黑体"/>
          <w:b w:val="0"/>
          <w:bCs w:val="0"/>
          <w:color w:val="auto"/>
          <w:sz w:val="32"/>
        </w:rPr>
        <w:t>三、</w:t>
      </w:r>
      <w:r>
        <w:rPr>
          <w:rFonts w:hint="eastAsia" w:ascii="黑体" w:hAnsi="黑体" w:cs="黑体"/>
          <w:b w:val="0"/>
          <w:bCs w:val="0"/>
          <w:color w:val="auto"/>
          <w:sz w:val="32"/>
          <w:lang w:eastAsia="zh-CN"/>
        </w:rPr>
        <w:t>2024年</w:t>
      </w:r>
      <w:r>
        <w:rPr>
          <w:rFonts w:hint="eastAsia" w:ascii="黑体" w:hAnsi="黑体" w:eastAsia="黑体" w:cs="黑体"/>
          <w:b w:val="0"/>
          <w:bCs w:val="0"/>
          <w:color w:val="auto"/>
          <w:sz w:val="32"/>
          <w:lang w:eastAsia="zh-CN"/>
        </w:rPr>
        <w:t>度</w:t>
      </w:r>
      <w:r>
        <w:rPr>
          <w:rFonts w:hint="eastAsia" w:ascii="黑体" w:hAnsi="黑体" w:eastAsia="黑体" w:cs="黑体"/>
          <w:b w:val="0"/>
          <w:bCs w:val="0"/>
          <w:color w:val="auto"/>
          <w:sz w:val="32"/>
        </w:rPr>
        <w:t>一般公共预算财政拨款基本支出决算情况说明</w:t>
      </w:r>
    </w:p>
    <w:p w14:paraId="259CB37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2024年度一般公共预算财政拨款基本支出176.88万元，支出具体情况如下：</w:t>
      </w:r>
    </w:p>
    <w:p w14:paraId="1DFBBC2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default"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（一）工资福利支出114.57万元，其中职工基本医疗保险缴费58.07万元，住房公积金56.50万元。完成年初预算114.57万元的100%。</w:t>
      </w:r>
    </w:p>
    <w:p w14:paraId="1EB92A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（二）商品和服务支出0万元，未安排财政拨款。</w:t>
      </w:r>
    </w:p>
    <w:p w14:paraId="590EC72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（三）个人和家庭补助支出62.31万元，其中退休费13.59万元，抚恤金48.72万元，完成年初预算13.19万元的472.4%，差异原因为年中追加死亡抚恤金。</w:t>
      </w:r>
    </w:p>
    <w:p w14:paraId="2813EA33">
      <w:pPr>
        <w:pStyle w:val="3"/>
        <w:pageBreakBefore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黑体" w:hAnsi="黑体" w:eastAsia="黑体" w:cs="黑体"/>
          <w:b w:val="0"/>
          <w:bCs w:val="0"/>
          <w:sz w:val="32"/>
        </w:rPr>
      </w:pPr>
      <w:r>
        <w:rPr>
          <w:rFonts w:hint="eastAsia" w:ascii="黑体" w:hAnsi="黑体" w:eastAsia="黑体" w:cs="黑体"/>
          <w:b w:val="0"/>
          <w:bCs w:val="0"/>
          <w:sz w:val="32"/>
        </w:rPr>
        <w:t>四、</w:t>
      </w:r>
      <w:r>
        <w:rPr>
          <w:rFonts w:hint="eastAsia" w:ascii="黑体" w:hAnsi="黑体" w:cs="黑体"/>
          <w:b w:val="0"/>
          <w:bCs w:val="0"/>
          <w:sz w:val="32"/>
          <w:lang w:eastAsia="zh-CN"/>
        </w:rPr>
        <w:t>2024年</w:t>
      </w:r>
      <w:r>
        <w:rPr>
          <w:rFonts w:hint="eastAsia" w:ascii="黑体" w:hAnsi="黑体" w:eastAsia="黑体" w:cs="黑体"/>
          <w:b w:val="0"/>
          <w:bCs w:val="0"/>
          <w:sz w:val="32"/>
          <w:lang w:eastAsia="zh-CN"/>
        </w:rPr>
        <w:t>度</w:t>
      </w:r>
      <w:r>
        <w:rPr>
          <w:rFonts w:hint="eastAsia" w:ascii="黑体" w:hAnsi="黑体" w:eastAsia="黑体" w:cs="黑体"/>
          <w:b w:val="0"/>
          <w:bCs w:val="0"/>
          <w:sz w:val="32"/>
        </w:rPr>
        <w:t>政府性基金支出决算情况</w:t>
      </w:r>
    </w:p>
    <w:p w14:paraId="31250DB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本单位2024年度未安排政府性基金支出预算，</w:t>
      </w:r>
      <w:r>
        <w:rPr>
          <w:rFonts w:hint="eastAsia" w:ascii="仿宋_GB2312" w:hAnsi="黑体" w:eastAsia="仿宋_GB2312" w:cs="仿宋_GB2312"/>
          <w:kern w:val="0"/>
          <w:sz w:val="32"/>
          <w:szCs w:val="32"/>
        </w:rPr>
        <w:t>支出决算</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仿宋" w:eastAsia="仿宋_GB2312" w:cs="Times New Roman"/>
          <w:kern w:val="2"/>
          <w:sz w:val="32"/>
          <w:szCs w:val="32"/>
          <w:lang w:val="en-US" w:eastAsia="zh-CN" w:bidi="ar-SA"/>
        </w:rPr>
        <w:t>与上年度决算数无增减。</w:t>
      </w:r>
    </w:p>
    <w:p w14:paraId="06C4DF3B">
      <w:pPr>
        <w:pStyle w:val="3"/>
        <w:bidi w:val="0"/>
        <w:rPr>
          <w:rFonts w:hint="eastAsia" w:ascii="黑体" w:hAnsi="黑体" w:eastAsia="黑体" w:cs="黑体"/>
        </w:rPr>
      </w:pPr>
      <w:r>
        <w:rPr>
          <w:rFonts w:hint="eastAsia" w:ascii="黑体" w:hAnsi="黑体" w:eastAsia="黑体" w:cs="黑体"/>
        </w:rPr>
        <w:t>五、</w:t>
      </w:r>
      <w:r>
        <w:rPr>
          <w:rFonts w:hint="eastAsia" w:ascii="黑体" w:hAnsi="黑体" w:cs="黑体"/>
          <w:lang w:eastAsia="zh-CN"/>
        </w:rPr>
        <w:t>2024年</w:t>
      </w:r>
      <w:r>
        <w:rPr>
          <w:rFonts w:hint="eastAsia" w:ascii="黑体" w:hAnsi="黑体" w:eastAsia="黑体" w:cs="黑体"/>
        </w:rPr>
        <w:t>度国有资本经营预算支出决算情况</w:t>
      </w:r>
    </w:p>
    <w:p w14:paraId="52DC70D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黑体" w:hAnsi="黑体" w:eastAsia="黑体" w:cs="仿宋_GB2312"/>
          <w:kern w:val="0"/>
          <w:sz w:val="32"/>
          <w:szCs w:val="32"/>
        </w:rPr>
      </w:pPr>
      <w:r>
        <w:rPr>
          <w:rFonts w:hint="eastAsia" w:ascii="仿宋_GB2312" w:hAnsi="仿宋" w:eastAsia="仿宋_GB2312" w:cs="Times New Roman"/>
          <w:kern w:val="2"/>
          <w:sz w:val="32"/>
          <w:szCs w:val="32"/>
          <w:lang w:val="en-US" w:eastAsia="zh-CN" w:bidi="ar-SA"/>
        </w:rPr>
        <w:t>本单位2024年度未安排国有资本经营支出预算，</w:t>
      </w:r>
      <w:r>
        <w:rPr>
          <w:rFonts w:hint="eastAsia" w:ascii="仿宋_GB2312" w:hAnsi="黑体" w:eastAsia="仿宋_GB2312" w:cs="仿宋_GB2312"/>
          <w:kern w:val="0"/>
          <w:sz w:val="32"/>
          <w:szCs w:val="32"/>
        </w:rPr>
        <w:t>支出决算</w:t>
      </w:r>
      <w:r>
        <w:rPr>
          <w:rFonts w:hint="eastAsia" w:ascii="仿宋_GB2312" w:hAnsi="黑体" w:eastAsia="仿宋_GB2312" w:cs="仿宋_GB2312"/>
          <w:kern w:val="0"/>
          <w:sz w:val="32"/>
          <w:szCs w:val="32"/>
          <w:lang w:val="en-US" w:eastAsia="zh-CN"/>
        </w:rPr>
        <w:t>0</w:t>
      </w:r>
      <w:r>
        <w:rPr>
          <w:rFonts w:hint="eastAsia" w:ascii="仿宋_GB2312" w:hAnsi="黑体" w:eastAsia="仿宋_GB2312" w:cs="仿宋_GB2312"/>
          <w:kern w:val="0"/>
          <w:sz w:val="32"/>
          <w:szCs w:val="32"/>
        </w:rPr>
        <w:t>万元</w:t>
      </w:r>
      <w:r>
        <w:rPr>
          <w:rFonts w:hint="eastAsia" w:ascii="仿宋_GB2312" w:hAnsi="黑体" w:eastAsia="仿宋_GB2312" w:cs="仿宋_GB2312"/>
          <w:kern w:val="0"/>
          <w:sz w:val="32"/>
          <w:szCs w:val="32"/>
          <w:lang w:eastAsia="zh-CN"/>
        </w:rPr>
        <w:t>，</w:t>
      </w:r>
      <w:r>
        <w:rPr>
          <w:rFonts w:hint="eastAsia" w:ascii="仿宋_GB2312" w:hAnsi="仿宋" w:eastAsia="仿宋_GB2312" w:cs="Times New Roman"/>
          <w:kern w:val="2"/>
          <w:sz w:val="32"/>
          <w:szCs w:val="32"/>
          <w:lang w:val="en-US" w:eastAsia="zh-CN" w:bidi="ar-SA"/>
        </w:rPr>
        <w:t>与上年度决算数无增减。</w:t>
      </w:r>
    </w:p>
    <w:p w14:paraId="115EEDAA">
      <w:pPr>
        <w:pStyle w:val="3"/>
        <w:bidi w:val="0"/>
        <w:rPr>
          <w:rFonts w:hint="eastAsia"/>
        </w:rPr>
      </w:pPr>
      <w:r>
        <w:rPr>
          <w:rFonts w:hint="eastAsia"/>
        </w:rPr>
        <w:t>六、财政拨款安排的“三公”经费支出决算情况说明</w:t>
      </w:r>
    </w:p>
    <w:p w14:paraId="6C96E21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2024年</w:t>
      </w:r>
      <w:r>
        <w:rPr>
          <w:rFonts w:hint="eastAsia" w:ascii="仿宋_GB2312" w:eastAsia="仿宋_GB2312" w:cs="仿宋_GB2312"/>
          <w:kern w:val="0"/>
          <w:sz w:val="32"/>
          <w:szCs w:val="32"/>
        </w:rPr>
        <w:t>财政拨款安排的</w:t>
      </w:r>
      <w:r>
        <w:rPr>
          <w:rFonts w:hint="eastAsia" w:ascii="仿宋_GB2312" w:hAnsi="仿宋" w:eastAsia="仿宋_GB2312" w:cs="Times New Roman"/>
          <w:kern w:val="2"/>
          <w:sz w:val="32"/>
          <w:szCs w:val="32"/>
          <w:lang w:val="en-US" w:eastAsia="zh-CN" w:bidi="ar-SA"/>
        </w:rPr>
        <w:t>的“三公”经费支出预算0万元，实际支出0万元。</w:t>
      </w:r>
    </w:p>
    <w:p w14:paraId="1BCD3993">
      <w:pPr>
        <w:pStyle w:val="3"/>
        <w:bidi w:val="0"/>
        <w:rPr>
          <w:rFonts w:hint="eastAsia"/>
        </w:rPr>
      </w:pPr>
      <w:r>
        <w:rPr>
          <w:rFonts w:hint="eastAsia"/>
        </w:rPr>
        <w:t>七、其他重要事项情况说明</w:t>
      </w:r>
    </w:p>
    <w:p w14:paraId="67887E1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（一）机关运行经费支出情况说明。</w:t>
      </w:r>
    </w:p>
    <w:p w14:paraId="0CEFFDE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color w:val="auto"/>
          <w:kern w:val="2"/>
          <w:sz w:val="32"/>
          <w:szCs w:val="32"/>
          <w:lang w:val="en-US" w:eastAsia="zh-CN" w:bidi="ar-SA"/>
        </w:rPr>
      </w:pPr>
      <w:r>
        <w:rPr>
          <w:rFonts w:hint="eastAsia" w:ascii="仿宋_GB2312" w:hAnsi="仿宋" w:eastAsia="仿宋_GB2312" w:cs="Times New Roman"/>
          <w:color w:val="auto"/>
          <w:kern w:val="2"/>
          <w:sz w:val="32"/>
          <w:szCs w:val="32"/>
          <w:lang w:val="en-US" w:eastAsia="zh-CN" w:bidi="ar-SA"/>
        </w:rPr>
        <w:t>本单位无机关运行经费支出。</w:t>
      </w:r>
    </w:p>
    <w:p w14:paraId="660AF7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（二）政府采购支出情况说明。</w:t>
      </w:r>
    </w:p>
    <w:p w14:paraId="08D666B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本单位2024年度政府采购支出总额1037.13万元，其中：政府采购货物支出1035.32万元、政府采购工程支出0万元、政府采购服务支出1.81万元。授予中小企业合同金额273.92万元，占政府采购支出总额的26.41%，其中：授予小微企业合同金额270.81万元，占政府采购支出总额的26.11%。</w:t>
      </w:r>
    </w:p>
    <w:p w14:paraId="384C5C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（三）国有资产占用情况说明。</w:t>
      </w:r>
    </w:p>
    <w:p w14:paraId="08A85CF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5"/>
        <w:textAlignment w:val="auto"/>
        <w:rPr>
          <w:rFonts w:hint="eastAsia" w:ascii="仿宋_GB2312" w:hAnsi="仿宋" w:eastAsia="仿宋_GB2312" w:cs="Times New Roman"/>
          <w:kern w:val="2"/>
          <w:sz w:val="32"/>
          <w:szCs w:val="32"/>
          <w:lang w:val="en-US" w:eastAsia="zh-CN" w:bidi="ar-SA"/>
        </w:rPr>
      </w:pPr>
      <w:r>
        <w:rPr>
          <w:rFonts w:hint="eastAsia" w:ascii="仿宋_GB2312" w:hAnsi="仿宋" w:eastAsia="仿宋_GB2312" w:cs="Times New Roman"/>
          <w:kern w:val="2"/>
          <w:sz w:val="32"/>
          <w:szCs w:val="32"/>
          <w:lang w:val="en-US" w:eastAsia="zh-CN" w:bidi="ar-SA"/>
        </w:rPr>
        <w:t>截至2024年12月31日，本单位共有车辆6辆，其中：救护车4辆、公务用车2辆。单位价值100万元以上设备（不含车辆）18台。</w:t>
      </w:r>
    </w:p>
    <w:p w14:paraId="387ED47C">
      <w:pPr>
        <w:pStyle w:val="3"/>
        <w:bidi w:val="0"/>
        <w:rPr>
          <w:rFonts w:hint="eastAsia"/>
        </w:rPr>
      </w:pPr>
      <w:r>
        <w:rPr>
          <w:rFonts w:hint="eastAsia"/>
          <w:lang w:eastAsia="zh-CN"/>
        </w:rPr>
        <w:t>八、</w:t>
      </w:r>
      <w:r>
        <w:rPr>
          <w:rFonts w:hint="eastAsia"/>
        </w:rPr>
        <w:t>预算绩效管理工作开展情况。</w:t>
      </w:r>
    </w:p>
    <w:p w14:paraId="41A78545">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default" w:ascii="仿宋_GB2312" w:hAnsi="Times New Roman" w:eastAsia="仿宋_GB2312" w:cs="仿宋_GB2312"/>
          <w:b w:val="0"/>
          <w:bCs w:val="0"/>
          <w:caps w:val="0"/>
          <w:color w:val="auto"/>
          <w:kern w:val="0"/>
          <w:sz w:val="32"/>
          <w:szCs w:val="32"/>
          <w:vertAlign w:val="baseline"/>
          <w:lang w:val="en-US"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整体支出绩效自评结果。</w:t>
      </w:r>
    </w:p>
    <w:p w14:paraId="5D3BE9C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本单位2024年度部门财政资金项目预算数</w:t>
      </w:r>
      <w:r>
        <w:rPr>
          <w:rFonts w:hint="eastAsia" w:ascii="仿宋_GB2312" w:eastAsia="仿宋_GB2312" w:cs="仿宋_GB2312"/>
          <w:kern w:val="0"/>
          <w:sz w:val="32"/>
          <w:szCs w:val="32"/>
          <w:lang w:val="en-US" w:eastAsia="zh-CN"/>
        </w:rPr>
        <w:t>1479.51</w:t>
      </w:r>
      <w:r>
        <w:rPr>
          <w:rFonts w:hint="eastAsia" w:ascii="仿宋_GB2312" w:hAnsi="Times New Roman" w:eastAsia="仿宋_GB2312" w:cs="仿宋_GB2312"/>
          <w:b w:val="0"/>
          <w:bCs w:val="0"/>
          <w:caps w:val="0"/>
          <w:color w:val="auto"/>
          <w:kern w:val="0"/>
          <w:sz w:val="32"/>
          <w:szCs w:val="32"/>
          <w:vertAlign w:val="baseline"/>
          <w:lang w:val="en-US" w:eastAsia="zh-CN" w:bidi="ar"/>
        </w:rPr>
        <w:t>万元，执行数</w:t>
      </w:r>
      <w:r>
        <w:rPr>
          <w:rFonts w:hint="eastAsia" w:ascii="仿宋_GB2312" w:eastAsia="仿宋_GB2312" w:cs="仿宋_GB2312"/>
          <w:kern w:val="0"/>
          <w:sz w:val="32"/>
          <w:szCs w:val="32"/>
          <w:lang w:val="en-US" w:eastAsia="zh-CN"/>
        </w:rPr>
        <w:t>1446.54</w:t>
      </w:r>
      <w:r>
        <w:rPr>
          <w:rFonts w:hint="eastAsia" w:ascii="仿宋_GB2312" w:hAnsi="Times New Roman" w:eastAsia="仿宋_GB2312" w:cs="仿宋_GB2312"/>
          <w:b w:val="0"/>
          <w:bCs w:val="0"/>
          <w:caps w:val="0"/>
          <w:color w:val="auto"/>
          <w:kern w:val="0"/>
          <w:sz w:val="32"/>
          <w:szCs w:val="32"/>
          <w:vertAlign w:val="baseline"/>
          <w:lang w:val="en-US" w:eastAsia="zh-CN" w:bidi="ar"/>
        </w:rPr>
        <w:t>万元，财政资金项目总体预算执行率97.77%。整体支出绩效自评结果为</w:t>
      </w:r>
      <w:r>
        <w:rPr>
          <w:rFonts w:hint="eastAsia" w:ascii="仿宋_GB2312" w:eastAsia="仿宋_GB2312" w:cs="仿宋_GB2312"/>
          <w:kern w:val="0"/>
          <w:sz w:val="32"/>
          <w:szCs w:val="32"/>
          <w:lang w:val="en-US" w:eastAsia="zh-CN"/>
        </w:rPr>
        <w:t>一</w:t>
      </w:r>
      <w:r>
        <w:rPr>
          <w:rFonts w:hint="eastAsia" w:ascii="仿宋_GB2312" w:hAnsi="Times New Roman" w:eastAsia="仿宋_GB2312" w:cs="仿宋_GB2312"/>
          <w:b w:val="0"/>
          <w:bCs w:val="0"/>
          <w:caps w:val="0"/>
          <w:color w:val="auto"/>
          <w:kern w:val="0"/>
          <w:sz w:val="32"/>
          <w:szCs w:val="32"/>
          <w:vertAlign w:val="baseline"/>
          <w:lang w:val="en-US" w:eastAsia="zh-CN" w:bidi="ar"/>
        </w:rPr>
        <w:t>等。</w:t>
      </w:r>
    </w:p>
    <w:p w14:paraId="129D1B2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2.项目支出绩效自评结果。</w:t>
      </w:r>
    </w:p>
    <w:p w14:paraId="69B2C757">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Autospacing="0" w:afterAutospacing="0" w:line="560" w:lineRule="exact"/>
        <w:ind w:left="0" w:leftChars="0" w:right="0" w:firstLine="480" w:firstLineChars="150"/>
        <w:jc w:val="both"/>
        <w:textAlignment w:val="auto"/>
        <w:outlineLvl w:val="9"/>
        <w:rPr>
          <w:rFonts w:hint="eastAsia" w:ascii="仿宋_GB2312" w:eastAsia="仿宋_GB2312" w:cs="仿宋_GB2312"/>
          <w:caps w:val="0"/>
          <w:color w:val="auto"/>
          <w:kern w:val="0"/>
          <w:sz w:val="32"/>
          <w:szCs w:val="32"/>
          <w:vertAlign w:val="baseline"/>
          <w:lang w:eastAsia="zh-CN" w:bidi="ar"/>
        </w:rPr>
      </w:pPr>
      <w:r>
        <w:rPr>
          <w:rFonts w:hint="default" w:ascii="仿宋_GB2312" w:hAnsi="Times New Roman" w:eastAsia="仿宋_GB2312" w:cs="仿宋_GB2312"/>
          <w:b w:val="0"/>
          <w:bCs w:val="0"/>
          <w:caps w:val="0"/>
          <w:color w:val="auto"/>
          <w:kern w:val="0"/>
          <w:sz w:val="32"/>
          <w:szCs w:val="32"/>
          <w:vertAlign w:val="baseline"/>
          <w:lang w:val="en" w:eastAsia="zh-CN" w:bidi="ar"/>
        </w:rPr>
        <w:t>(1)</w:t>
      </w:r>
      <w:r>
        <w:rPr>
          <w:rFonts w:hint="eastAsia" w:ascii="仿宋_GB2312" w:hAnsi="Times New Roman" w:eastAsia="仿宋_GB2312" w:cs="仿宋_GB2312"/>
          <w:b w:val="0"/>
          <w:bCs w:val="0"/>
          <w:caps w:val="0"/>
          <w:color w:val="auto"/>
          <w:kern w:val="0"/>
          <w:sz w:val="32"/>
          <w:szCs w:val="32"/>
          <w:vertAlign w:val="baseline"/>
          <w:lang w:val="en-US" w:eastAsia="zh-CN" w:bidi="ar"/>
        </w:rPr>
        <w:t>项目绩效自评总体情况：</w:t>
      </w:r>
    </w:p>
    <w:p w14:paraId="59D8BEDC">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eastAsia="仿宋_GB2312" w:cs="仿宋_GB2312"/>
          <w:caps w:val="0"/>
          <w:color w:val="auto"/>
          <w:kern w:val="0"/>
          <w:sz w:val="32"/>
          <w:szCs w:val="32"/>
          <w:vertAlign w:val="baseline"/>
          <w:lang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本单位所有财政资金项目均开展了绩效自评，自评结果为</w:t>
      </w:r>
      <w:r>
        <w:rPr>
          <w:rFonts w:hint="eastAsia" w:ascii="仿宋_GB2312" w:eastAsia="仿宋_GB2312" w:cs="仿宋_GB2312"/>
          <w:kern w:val="0"/>
          <w:sz w:val="32"/>
          <w:szCs w:val="32"/>
          <w:lang w:val="en-US" w:eastAsia="zh-CN"/>
        </w:rPr>
        <w:t>9</w:t>
      </w:r>
      <w:r>
        <w:rPr>
          <w:rFonts w:hint="eastAsia" w:ascii="仿宋_GB2312" w:hAnsi="Times New Roman" w:eastAsia="仿宋_GB2312" w:cs="仿宋_GB2312"/>
          <w:b w:val="0"/>
          <w:bCs w:val="0"/>
          <w:caps w:val="0"/>
          <w:color w:val="auto"/>
          <w:kern w:val="0"/>
          <w:sz w:val="32"/>
          <w:szCs w:val="32"/>
          <w:vertAlign w:val="baseline"/>
          <w:lang w:val="en-US" w:eastAsia="zh-CN" w:bidi="ar"/>
        </w:rPr>
        <w:t>个项目评为一等，占项目总数比例</w:t>
      </w:r>
      <w:r>
        <w:rPr>
          <w:rFonts w:hint="eastAsia" w:ascii="仿宋_GB2312" w:eastAsia="仿宋_GB2312" w:cs="仿宋_GB2312"/>
          <w:kern w:val="0"/>
          <w:sz w:val="32"/>
          <w:szCs w:val="32"/>
          <w:lang w:val="en-US" w:eastAsia="zh-CN"/>
        </w:rPr>
        <w:t>100</w:t>
      </w:r>
      <w:r>
        <w:rPr>
          <w:rFonts w:hint="eastAsia" w:ascii="仿宋_GB2312" w:hAnsi="Times New Roman" w:eastAsia="仿宋_GB2312" w:cs="仿宋_GB2312"/>
          <w:b w:val="0"/>
          <w:bCs w:val="0"/>
          <w:caps w:val="0"/>
          <w:color w:val="auto"/>
          <w:kern w:val="0"/>
          <w:sz w:val="32"/>
          <w:szCs w:val="32"/>
          <w:vertAlign w:val="baseline"/>
          <w:lang w:val="en-US" w:eastAsia="zh-CN" w:bidi="ar"/>
        </w:rPr>
        <w:t>%。自评发现的主要问题及原因：部分项目未在年内完成资金支出，预算执行率未达100%。下一步改进措施：及时跟进项目支出情况，督促项目支出进度，对未达支出进度的项目及时反馈项目责任科室并跟进项目支出计划。</w:t>
      </w:r>
    </w:p>
    <w:p w14:paraId="654170DA">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5" w:firstLineChars="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重点项目绩效自评情况：</w:t>
      </w:r>
    </w:p>
    <w:p w14:paraId="44711518">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Autospacing="0" w:afterAutospacing="0" w:line="560" w:lineRule="exact"/>
        <w:ind w:left="0" w:right="0" w:firstLine="640" w:firstLineChars="200"/>
        <w:jc w:val="both"/>
        <w:textAlignment w:val="auto"/>
        <w:outlineLvl w:val="9"/>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根据年初设定的绩效目标，2024年中央财政医疗服务与保障能力提升补助资金项目自评得分为99.39分，自评等级为一等，项目全年预算数为680万元，执行数为647.70万元，完成预算的95.25%。项目绩效目标完成情况：</w:t>
      </w:r>
    </w:p>
    <w:p w14:paraId="0B137E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①第七批全国老中医药专家学术经验继承工作项目总体绩效目标完成情况：2024年度总体绩效目标完成情况良好，参加中医药相关学习培训6人次以上，支持学术继承人赴钦州参加广西中医药高层次人才研修班、赴无锡参加五运六气基础知识与临床应用培训班、赴广州参加国家传承基地师承培训班。按实施方案要求，跟随指导老师临床（实践）的时间平均每周不少于1.5个工作日，独立从事临床（实践）的时间平均每周不少于2个工作日。</w:t>
      </w:r>
    </w:p>
    <w:p w14:paraId="0F99BF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②中医药高层次人才项目总体绩效目标完成情况：通过项目的实施，人才培养成效显著,支持医院人员外出业务学习交流70余人次；从北京、广东等地柔性引进3个专家团队，学科包括康复医学、骨质疏松、脊柱骨病等；邀请院外专家进行业务授课4次。</w:t>
      </w:r>
    </w:p>
    <w:p w14:paraId="650B6B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③中医药特色人才培养项目总体绩效目标完成情况：支持医院人员参加中医药特色专业培训74人次。从北京、广东柔性引进3个专家团队，学科包括康复医学、骨质疏松、脊柱骨病等，联合开展科研及临床诊疗工作，专家对医院的学科发展及相关疾病临床诊疗做了较好的指导。通过“引进来，走出去”的学习模式以及“学进来，用出去”的应用模式，有力促进了我院诊疗水平及科学研究的能力，提高我院专业人才的学术理论、专业技术、科研教学水平。</w:t>
      </w:r>
    </w:p>
    <w:p w14:paraId="16C306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④基于重点研究室研究领域的中医临床疗效提升项目总体绩效目标完成情况：硬件设施完善方面，通过采购中医类的医疗设备，提升了中医临床诊疗能力。学术水平提升方面，通过参与高水平学术会议和发表科研论文，增强了团队的学术影响力。人才培养与引进方面，通过柔性引进高层次人才和加强团队培训，提升了团队的整体素质。资源整合与协同方面，项目成功整合了中西医资源，形成了多学科协作的研究模式。</w:t>
      </w:r>
    </w:p>
    <w:p w14:paraId="19F69E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⑤中医药壮瑶医药康养人才培养基地项目总体绩效目标完成情况：探索建立广西医药壮瑶医药健康养生保健服务人才培养标准，规范建立阶梯式人才培养管理模式，提高从业人员素质及中医养生保健机构服务能力。编制形成1套中医药壮瑶医药健康养生保健服务教材，完善制定相关培训考核标准等。完善中医药壮瑶医药健康养生教学养生场馆设施设备，优化健养体验学习区，提升数学实验室服务能力等。加强中医药传统文化推广，推广中医药壮瑶医药健康养生功法。年度举办培训班两期，培训140人次，学员至少熟练掌握运用按摩、艾灸、拔罐、刮痧等4项以上中医壮瑶医养生专项技能，不断提升中医药康养人才素养及服务能力。组织开展康养人才建设宣传推广展示等活动，年度推介3次，助推广西中药壮瑶药康养产业发展。</w:t>
      </w:r>
    </w:p>
    <w:p w14:paraId="71BD0D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⑥中医护理优秀工作者能力建设项目总体绩效目标完成情况：培养对象通过参加相关会议，深入学习护理管理领域的前沿理念与创新技术，为优化单位的护理管理体系、提升管理效率提供了有力的理论与实践支持。在中医护理方面，系统学习了该领域的最新研究成果与临床应用进展，进一步提升了中医临床护理水平，丰富了中医护理技术手段，为临床实践提供了更多选择。同时掌握了铜锤综合技术、拔筋疗法、刘氏火熨术等操作要点与临床应用，进一步拓展了中医护理技术范围，并为后续的内部培训与技术推广奠定了坚实基础。</w:t>
      </w:r>
    </w:p>
    <w:p w14:paraId="34C0F2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⑦中医优势专科建设项目总体绩效目标完成情况：本项目围绕优势专科建设目标，经费主要用于专科设备购置、人才培养、学术交流及基层医疗服务三大方向。完善专科设备方面,购置了关节骨科手术机器人、关节镜及配套器械设备、除颤监护仪、悬吊双板DR等高端设备，显著提升骨伤专科的诊疗技术能力，补充社区骨科病床等基础设施，优化患者住院条件；人才培养方面，支持人员外出参会学习5人次，提升专业理论水平和实践能力。覆盖护理、中医、医疗质量管理等多领域，强化专科人才梯队建设；基层医疗服务及学术交流方面，医院派出专家团队与凌云县人民医院、凌云县中医医院的医务人员合作，开展疾病诊疗和健康宣教服务，共计服务群众553人次。在凌云县人民医院、凌云县中医医院进行了疑难病历查房51人次，在临床专科服务能力建设、骨科临床技术水平、围术期临床和医疗管理等方面进行了4场培训，共计培训医务人员235人次，提升了基层医疗机构对常见病、多发病和慢性病的诊疗能力及水平，加速了基层首诊制度的实施；推广了3项中医药适宜技术，开展了2次医院全面医疗质量水平管理培训，提升了凌云县人民医院和凌云县中医医院的综合服务能力，增强了医务人员的疾病规范化诊疗意识和临床技术水平。</w:t>
      </w:r>
    </w:p>
    <w:p w14:paraId="4590C9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⑧中医医院感控能力建设项目总体绩效目标完成情况：通过项目建设全面提升医院的感染防控水平和应急处置能力，避免医院感染暴发恶性事件发生。2024年医务人员感控知识培训率达到100%；医院感染发病率0.31%（感控指标要求≤10%）；医院感染漏报率0.00%（感控指标要求≤20%）；医院感染病原学送检率100%（感控指标要求≥90%），手卫生依从率97.95%（感控指标要求≥95%）；Ⅰ类手术切口感染率0.35%（感控指标要求≤1.5%）；职业暴露报告时间性≤30分钟。</w:t>
      </w:r>
    </w:p>
    <w:p w14:paraId="70509C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⑨中医药（壮瑶医药）综合服务能力建设项目总体绩效目标完成情况：人才培养与学术交流方面，支持医院外出进修培训学习100人次以上，支持医院开展技术推广、巡回医疗工作，培养一批中医思维牢、实践能力强的技术骨干，建立后备人才队伍，学术交流活动提升了医护人员的专业知识和技能水平，促进了学术交流与合作。设备购置与更新方面，</w:t>
      </w:r>
      <w:r>
        <w:rPr>
          <w:rFonts w:hint="eastAsia" w:ascii="仿宋_GB2312" w:hAnsi="仿宋_GB2312" w:eastAsia="仿宋_GB2312" w:cs="仿宋_GB2312"/>
          <w:snapToGrid w:val="0"/>
          <w:kern w:val="0"/>
          <w:sz w:val="32"/>
          <w:szCs w:val="32"/>
          <w:lang w:val="en-US" w:eastAsia="zh-CN"/>
        </w:rPr>
        <w:t>项目支持购置骨质疏松治疗仪、V型多通道脊柱手术器械、40度窥镜咬骨鞘管、勺型活检钳、悬吊双板DR等医疗设备，为医院</w:t>
      </w:r>
      <w:r>
        <w:rPr>
          <w:rFonts w:hint="default" w:ascii="仿宋_GB2312" w:hAnsi="仿宋_GB2312" w:eastAsia="仿宋_GB2312" w:cs="仿宋_GB2312"/>
          <w:snapToGrid w:val="0"/>
          <w:kern w:val="0"/>
          <w:sz w:val="32"/>
          <w:szCs w:val="32"/>
          <w:lang w:val="en-US" w:eastAsia="zh-CN"/>
        </w:rPr>
        <w:t>增添射频消融、V通道等新技术，</w:t>
      </w:r>
      <w:r>
        <w:rPr>
          <w:rFonts w:hint="eastAsia" w:ascii="仿宋_GB2312" w:hAnsi="仿宋_GB2312" w:eastAsia="仿宋_GB2312" w:cs="仿宋_GB2312"/>
          <w:snapToGrid w:val="0"/>
          <w:kern w:val="0"/>
          <w:sz w:val="32"/>
          <w:szCs w:val="32"/>
          <w:lang w:val="en-US" w:eastAsia="zh-CN"/>
        </w:rPr>
        <w:t>提升了骨科微创诊疗技术能力，</w:t>
      </w:r>
      <w:r>
        <w:rPr>
          <w:rFonts w:hint="default" w:ascii="仿宋_GB2312" w:hAnsi="仿宋_GB2312" w:eastAsia="仿宋_GB2312" w:cs="仿宋_GB2312"/>
          <w:snapToGrid w:val="0"/>
          <w:kern w:val="0"/>
          <w:sz w:val="32"/>
          <w:szCs w:val="32"/>
          <w:lang w:val="en-US" w:eastAsia="zh-CN"/>
        </w:rPr>
        <w:t>精准微创的骨科手术品牌厚度深度进一步提升。</w:t>
      </w:r>
      <w:r>
        <w:rPr>
          <w:rFonts w:hint="eastAsia" w:ascii="仿宋_GB2312" w:hAnsi="仿宋_GB2312" w:eastAsia="仿宋_GB2312" w:cs="仿宋_GB2312"/>
          <w:snapToGrid w:val="0"/>
          <w:kern w:val="0"/>
          <w:sz w:val="32"/>
          <w:szCs w:val="32"/>
          <w:lang w:val="en-US" w:eastAsia="zh-CN"/>
        </w:rPr>
        <w:t>项目还支持购置旋提手法智能教学机器人、脉象教学训练系统、推拿模拟训练仪、全身针灸仿真训练仪等教学设备，为中医药（壮瑶医药）人才培养提供了有力支持，提高了教学质量和效果，助力名中医传承工作室建设与传承发展。</w:t>
      </w:r>
      <w:r>
        <w:rPr>
          <w:rFonts w:hint="eastAsia" w:ascii="仿宋_GB2312" w:hAnsi="仿宋_GB2312" w:eastAsia="仿宋_GB2312" w:cs="仿宋_GB2312"/>
          <w:kern w:val="0"/>
          <w:sz w:val="32"/>
          <w:szCs w:val="32"/>
          <w:lang w:val="en-US" w:eastAsia="zh-CN"/>
        </w:rPr>
        <w:t>信息化建设与管理提升方面，引进了医院供应链管理系统，为做好医院物资供应链管理打下基础，提升医院骨伤疾病诊疗服务效率，以及支持医院感染实时监控管理系统维护、医院信息系统网络安全等级保护测评、护理管理数字化系统（天使云管家）等信息化建设内容。总体而言，中医药（壮瑶医药）综合服务能力建设项目在人才培养、设备购置、信息化建设、医疗服务拓展等方面取得了显著成效，提升了广西骨伤医院的综合服务能力和中医药（壮瑶医药）服务水平，为患者提供了更优质、高效、便捷的医疗服务。</w:t>
      </w:r>
    </w:p>
    <w:p w14:paraId="218B0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⑩中医药经济管理人才培养项目总体绩效目标完成情况：2024年度举办一期广西全区中医药经济管理人员能力提升培训班，培训对象包括自治区中医药局各处室相关人员、全区各市卫生健康委、各市中医药局分管领导或中医药资金管理负责人、各市（县）中医医疗卫生机构、区直有关单位分管领导或经济管理相关部门负责人及业务骨干，本次培训覆盖了全区90余家单位130名学员。围绕高质量发展及运营管理设计培训内容，通过理论教学与沙盘模拟实战演练相结合的方式，为中医药经济管理人才培养提供了有力指导，同时为各级中医医院运营管理工作提供了启示，推进各层级中医药经济管理建设。同时还采用网络培训的方式为中医药经济管理人才长期学习提供平台，扩大培训范围和覆盖面，提升人才培养的质量和效率。</w:t>
      </w:r>
    </w:p>
    <w:p w14:paraId="499608B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Times New Roman" w:eastAsia="仿宋_GB2312" w:cs="仿宋_GB2312"/>
          <w:b w:val="0"/>
          <w:bCs w:val="0"/>
          <w:caps w:val="0"/>
          <w:color w:val="auto"/>
          <w:kern w:val="0"/>
          <w:sz w:val="32"/>
          <w:szCs w:val="32"/>
          <w:vertAlign w:val="baseline"/>
          <w:lang w:val="en-US" w:eastAsia="zh-CN" w:bidi="ar"/>
        </w:rPr>
      </w:pPr>
      <w:r>
        <w:rPr>
          <w:rFonts w:hint="eastAsia" w:ascii="仿宋_GB2312" w:hAnsi="Times New Roman" w:eastAsia="仿宋_GB2312" w:cs="仿宋_GB2312"/>
          <w:b w:val="0"/>
          <w:bCs w:val="0"/>
          <w:caps w:val="0"/>
          <w:color w:val="auto"/>
          <w:kern w:val="0"/>
          <w:sz w:val="32"/>
          <w:szCs w:val="32"/>
          <w:vertAlign w:val="baseline"/>
          <w:lang w:val="en-US" w:eastAsia="zh-CN" w:bidi="ar"/>
        </w:rPr>
        <w:t>（</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说明：八、预算绩效管理工作开展情况，资金统计口径均为财政资金。</w:t>
      </w:r>
      <w:r>
        <w:rPr>
          <w:rFonts w:hint="eastAsia" w:ascii="仿宋_GB2312" w:hAnsi="Times New Roman" w:eastAsia="仿宋_GB2312" w:cs="仿宋_GB2312"/>
          <w:b w:val="0"/>
          <w:bCs w:val="0"/>
          <w:caps w:val="0"/>
          <w:color w:val="auto"/>
          <w:kern w:val="0"/>
          <w:sz w:val="32"/>
          <w:szCs w:val="32"/>
          <w:vertAlign w:val="baseline"/>
          <w:lang w:val="en-US" w:eastAsia="zh-CN" w:bidi="ar"/>
        </w:rPr>
        <w:t>）</w:t>
      </w:r>
    </w:p>
    <w:p w14:paraId="27131E2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0125DDA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3620C50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6D9A970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4A0C1C4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2EF376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27221E4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269D2D0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71ED86D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168A4B3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0446886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eastAsia" w:ascii="仿宋_GB2312" w:hAnsi="仿宋" w:eastAsia="仿宋_GB2312" w:cs="Times New Roman"/>
          <w:kern w:val="2"/>
          <w:sz w:val="32"/>
          <w:szCs w:val="32"/>
          <w:lang w:val="en-US" w:eastAsia="zh-CN" w:bidi="ar-SA"/>
        </w:rPr>
      </w:pPr>
    </w:p>
    <w:p w14:paraId="388E0DAA">
      <w:pPr>
        <w:pageBreakBefore w:val="0"/>
        <w:kinsoku/>
        <w:wordWrap/>
        <w:overflowPunct/>
        <w:topLinePunct w:val="0"/>
        <w:autoSpaceDE w:val="0"/>
        <w:autoSpaceDN w:val="0"/>
        <w:bidi w:val="0"/>
        <w:adjustRightInd w:val="0"/>
        <w:snapToGrid/>
        <w:spacing w:beforeAutospacing="0" w:afterAutospacing="0" w:line="560" w:lineRule="exact"/>
        <w:jc w:val="center"/>
        <w:textAlignment w:val="auto"/>
        <w:rPr>
          <w:rFonts w:hint="eastAsia" w:ascii="黑体" w:hAnsi="黑体" w:eastAsia="黑体" w:cs="仿宋_GB2312"/>
          <w:kern w:val="0"/>
          <w:sz w:val="32"/>
          <w:szCs w:val="32"/>
        </w:rPr>
      </w:pPr>
      <w:r>
        <w:rPr>
          <w:rFonts w:hint="eastAsia" w:ascii="黑体" w:hAnsi="黑体" w:eastAsia="黑体" w:cs="仿宋_GB2312"/>
          <w:kern w:val="0"/>
          <w:sz w:val="32"/>
          <w:szCs w:val="32"/>
        </w:rPr>
        <w:t>第四部分  名词解释</w:t>
      </w:r>
    </w:p>
    <w:p w14:paraId="25B0D716">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 xml:space="preserve">一、财政拨款收入：指自治区财政部门当年拨付的资金。 </w:t>
      </w:r>
    </w:p>
    <w:p w14:paraId="5F4D862A">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2C2CDD6C">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313594AE">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750223A3">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五、使用非财政拨款结余</w:t>
      </w:r>
      <w:r>
        <w:rPr>
          <w:rFonts w:hint="eastAsia" w:ascii="仿宋_GB2312" w:eastAsia="仿宋_GB2312"/>
          <w:sz w:val="32"/>
          <w:szCs w:val="32"/>
          <w:lang w:eastAsia="zh-CN"/>
        </w:rPr>
        <w:t>（含专用结余）</w:t>
      </w:r>
      <w:r>
        <w:rPr>
          <w:rFonts w:hint="eastAsia" w:ascii="仿宋_GB2312" w:eastAsia="仿宋_GB2312"/>
          <w:sz w:val="32"/>
          <w:szCs w:val="32"/>
        </w:rPr>
        <w:t>：指事业单位在当年的“财政拨款收入”“事业收入”“经营收入”“其他收入”不足以安排当年支出的情况下，使用非财政拨款结余、专用结余弥补本年度收支缺口的资金。</w:t>
      </w:r>
    </w:p>
    <w:p w14:paraId="351DE9AA">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六、年初结转和结余：指以前年度尚未完成、结转到本年 按有关规定继续使用的资金。</w:t>
      </w:r>
    </w:p>
    <w:p w14:paraId="0DBE061F">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七、结余分配：指事业单位按规定提取的职工福利基金、事业基金和缴纳的所得税，以及建设单位按规定应交回的基本建设竣工项目结余资金。</w:t>
      </w:r>
    </w:p>
    <w:p w14:paraId="6884C963">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八、年末结转和结余：指本年度或以前年度预算安排、因客观条件发生变化无法按原计划实施，需要延迟到以后年度按有关规定继续使用的资金。 </w:t>
      </w:r>
    </w:p>
    <w:p w14:paraId="330F26B2">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 xml:space="preserve">九、基本支出：指为保障机构正常运转、完成日常工作任务而发生的人员支出和公用支出。 </w:t>
      </w:r>
    </w:p>
    <w:p w14:paraId="57803038">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十、项目支出：指在基本支出之外为完成特定行政任务和事业发展目标所发生的支出。</w:t>
      </w:r>
    </w:p>
    <w:p w14:paraId="76D7C1CA">
      <w:pPr>
        <w:pageBreakBefore w:val="0"/>
        <w:kinsoku/>
        <w:wordWrap/>
        <w:overflowPunct/>
        <w:topLinePunct w:val="0"/>
        <w:bidi w:val="0"/>
        <w:snapToGrid/>
        <w:spacing w:beforeAutospacing="0" w:afterAutospacing="0" w:line="560" w:lineRule="exact"/>
        <w:ind w:firstLine="640"/>
        <w:textAlignment w:val="auto"/>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0419B62F">
      <w:pPr>
        <w:pageBreakBefore w:val="0"/>
        <w:kinsoku/>
        <w:wordWrap/>
        <w:overflowPunct/>
        <w:topLinePunct w:val="0"/>
        <w:bidi w:val="0"/>
        <w:snapToGrid/>
        <w:spacing w:beforeAutospacing="0" w:afterAutospacing="0" w:line="56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F3E5792">
      <w:pPr>
        <w:pageBreakBefore w:val="0"/>
        <w:kinsoku/>
        <w:wordWrap/>
        <w:overflowPunct/>
        <w:topLinePunct w:val="0"/>
        <w:bidi w:val="0"/>
        <w:snapToGrid/>
        <w:spacing w:beforeAutospacing="0" w:afterAutospacing="0" w:line="560" w:lineRule="exact"/>
        <w:ind w:firstLine="420" w:firstLineChars="200"/>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ArialUnicodeMS">
    <w:altName w:val="方正小标宋简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01AE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8EDD9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8EDD91">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D61EE6"/>
    <w:multiLevelType w:val="singleLevel"/>
    <w:tmpl w:val="2DD61EE6"/>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MzkxYWQ5ODQwZGNlN2U2ZjA4YWViYjBiYzVkOTQifQ=="/>
  </w:docVars>
  <w:rsids>
    <w:rsidRoot w:val="0C306BDD"/>
    <w:rsid w:val="008F6EB2"/>
    <w:rsid w:val="01965497"/>
    <w:rsid w:val="0363634D"/>
    <w:rsid w:val="038C76D9"/>
    <w:rsid w:val="0413761B"/>
    <w:rsid w:val="05DD246D"/>
    <w:rsid w:val="076E412D"/>
    <w:rsid w:val="07AA2823"/>
    <w:rsid w:val="08F57ACE"/>
    <w:rsid w:val="0C306BDD"/>
    <w:rsid w:val="125910CE"/>
    <w:rsid w:val="14412A34"/>
    <w:rsid w:val="14D964F6"/>
    <w:rsid w:val="15925044"/>
    <w:rsid w:val="1AC468FB"/>
    <w:rsid w:val="1DF73FA2"/>
    <w:rsid w:val="218D2B42"/>
    <w:rsid w:val="21EB7868"/>
    <w:rsid w:val="229E3BBB"/>
    <w:rsid w:val="23792145"/>
    <w:rsid w:val="25981AB5"/>
    <w:rsid w:val="2C491D5B"/>
    <w:rsid w:val="2DCF32D9"/>
    <w:rsid w:val="31107BDC"/>
    <w:rsid w:val="33266952"/>
    <w:rsid w:val="353E4E8E"/>
    <w:rsid w:val="363D547E"/>
    <w:rsid w:val="38AB1E84"/>
    <w:rsid w:val="390F0874"/>
    <w:rsid w:val="3B1564CD"/>
    <w:rsid w:val="3D8250CD"/>
    <w:rsid w:val="3E933CB6"/>
    <w:rsid w:val="409A44DC"/>
    <w:rsid w:val="40BB7F20"/>
    <w:rsid w:val="41093A88"/>
    <w:rsid w:val="42D511FA"/>
    <w:rsid w:val="43F80CF6"/>
    <w:rsid w:val="44C935E1"/>
    <w:rsid w:val="45796DB6"/>
    <w:rsid w:val="47DB3D58"/>
    <w:rsid w:val="4AB10DA0"/>
    <w:rsid w:val="4C521055"/>
    <w:rsid w:val="4C9C6E1F"/>
    <w:rsid w:val="4FF5001B"/>
    <w:rsid w:val="51510BE7"/>
    <w:rsid w:val="52C165A5"/>
    <w:rsid w:val="57092A3B"/>
    <w:rsid w:val="57B679F5"/>
    <w:rsid w:val="5A3A21A5"/>
    <w:rsid w:val="5AD21774"/>
    <w:rsid w:val="5B86074B"/>
    <w:rsid w:val="5C200945"/>
    <w:rsid w:val="5DA8487E"/>
    <w:rsid w:val="5F67039A"/>
    <w:rsid w:val="5F8360AB"/>
    <w:rsid w:val="616F0E15"/>
    <w:rsid w:val="62540156"/>
    <w:rsid w:val="661E49D4"/>
    <w:rsid w:val="67DF7753"/>
    <w:rsid w:val="68CC52CB"/>
    <w:rsid w:val="691A52A7"/>
    <w:rsid w:val="6A5812E3"/>
    <w:rsid w:val="6D2B3E12"/>
    <w:rsid w:val="6EFB03A1"/>
    <w:rsid w:val="6FE3639E"/>
    <w:rsid w:val="74482308"/>
    <w:rsid w:val="75956A44"/>
    <w:rsid w:val="75D43A11"/>
    <w:rsid w:val="7C3074C7"/>
    <w:rsid w:val="7C5C6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autoSpaceDE w:val="0"/>
      <w:autoSpaceDN w:val="0"/>
      <w:spacing w:line="560" w:lineRule="exact"/>
      <w:ind w:firstLine="880" w:firstLineChars="200"/>
      <w:outlineLvl w:val="1"/>
    </w:pPr>
    <w:rPr>
      <w:rFonts w:ascii="Cambria" w:hAnsi="Cambria" w:eastAsia="黑体" w:cs="Times New Roman"/>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cs="Calibri"/>
    </w:rPr>
  </w:style>
  <w:style w:type="paragraph" w:styleId="5">
    <w:name w:val="Body Text"/>
    <w:basedOn w:val="1"/>
    <w:next w:val="1"/>
    <w:qFormat/>
    <w:uiPriority w:val="0"/>
    <w:pPr>
      <w:widowControl/>
      <w:spacing w:before="100" w:beforeAutospacing="1" w:after="100" w:afterAutospacing="1"/>
      <w:jc w:val="left"/>
    </w:pPr>
    <w:rPr>
      <w:rFonts w:ascii="宋体" w:hAnsi="宋体" w:cs="宋体"/>
      <w:kern w:val="0"/>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Title"/>
    <w:basedOn w:val="1"/>
    <w:next w:val="1"/>
    <w:qFormat/>
    <w:uiPriority w:val="0"/>
    <w:pPr>
      <w:spacing w:before="240" w:after="60"/>
      <w:jc w:val="center"/>
      <w:outlineLvl w:val="0"/>
    </w:pPr>
    <w:rPr>
      <w:rFonts w:ascii="Cambria" w:hAnsi="Cambria"/>
      <w:b/>
      <w:sz w:val="32"/>
      <w:szCs w:val="20"/>
    </w:r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3703</Words>
  <Characters>4387</Characters>
  <Lines>0</Lines>
  <Paragraphs>0</Paragraphs>
  <TotalTime>127</TotalTime>
  <ScaleCrop>false</ScaleCrop>
  <LinksUpToDate>false</LinksUpToDate>
  <CharactersWithSpaces>4394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2023-08-23T01:24:00Z</dcterms:created>
  <dc:creator>BBQ◑▂◐</dc:creator>
  <cp:lastModifiedBy>BBQ◑▂◐</cp:lastModifiedBy>
  <cp:lastPrinted>2025-08-22T00:13:33Z</cp:lastPrinted>
  <dcterms:modified xsi:type="dcterms:W3CDTF">2025-08-22T03:08:01Z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7953ABD2AC91467F869B71D2C5F889E0_13</vt:lpwstr>
  </property>
  <property fmtid="{D5CDD505-2E9C-101B-9397-08002B2CF9AE}" pid="4" name="KSOTemplateDocerSaveRecord">
    <vt:lpwstr>eyJoZGlkIjoiY2Q3MzkxYWQ5ODQwZGNlN2U2ZjA4YWViYjBiYzVkOTQiLCJ1c2VySWQiOiI1MzU3MjE4MDUifQ==</vt:lpwstr>
  </property>
</Properties>
</file>