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before="312" w:beforeLines="100" w:line="600" w:lineRule="exact"/>
        <w:jc w:val="center"/>
        <w:rPr>
          <w:rFonts w:ascii="方正小标宋简体" w:hAnsi="宋体" w:eastAsia="方正小标宋简体" w:cs="Times New Roman"/>
          <w:b/>
          <w:sz w:val="72"/>
          <w:szCs w:val="72"/>
        </w:rPr>
      </w:pPr>
      <w:r>
        <w:rPr>
          <w:rFonts w:hint="eastAsia" w:ascii="方正小标宋简体" w:hAnsi="宋体" w:eastAsia="方正小标宋简体" w:cs="Times New Roman"/>
          <w:b/>
          <w:sz w:val="72"/>
          <w:szCs w:val="72"/>
        </w:rPr>
        <w:t>竞争性磋商文件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项目名称：广西骨伤医院</w:t>
      </w:r>
      <w:r>
        <w:rPr>
          <w:rFonts w:hint="eastAsia" w:ascii="仿宋_GB2312" w:hAnsi="宋体" w:eastAsia="仿宋_GB2312" w:cs="Times New Roman"/>
          <w:b/>
          <w:color w:val="000000"/>
          <w:sz w:val="32"/>
          <w:szCs w:val="32"/>
          <w:lang w:val="en-US" w:eastAsia="zh-CN"/>
        </w:rPr>
        <w:t>DRG智慧运营软件服务</w:t>
      </w:r>
      <w:r>
        <w:rPr>
          <w:rFonts w:hint="eastAsia" w:ascii="仿宋_GB2312" w:hAnsi="宋体" w:eastAsia="仿宋_GB2312" w:cs="Times New Roman"/>
          <w:b/>
          <w:color w:val="000000"/>
          <w:sz w:val="32"/>
          <w:szCs w:val="32"/>
        </w:rPr>
        <w:t>采购项目</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center"/>
        <w:textAlignment w:val="auto"/>
        <w:rPr>
          <w:rFonts w:ascii="仿宋_GB2312" w:hAnsi="宋体" w:eastAsia="仿宋_GB2312" w:cs="Times New Roman"/>
          <w:b/>
          <w:color w:val="000000"/>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宋体" w:eastAsia="仿宋_GB2312" w:cs="Times New Roman"/>
          <w:b w:val="0"/>
          <w:bCs/>
          <w:color w:val="000000"/>
          <w:sz w:val="32"/>
          <w:szCs w:val="32"/>
          <w:lang w:val="en-US" w:eastAsia="zh-CN"/>
        </w:rPr>
      </w:pPr>
      <w:r>
        <w:rPr>
          <w:rFonts w:hint="eastAsia" w:ascii="仿宋_GB2312" w:hAnsi="宋体" w:eastAsia="仿宋_GB2312" w:cs="Times New Roman"/>
          <w:b/>
          <w:color w:val="000000"/>
          <w:sz w:val="32"/>
          <w:szCs w:val="32"/>
        </w:rPr>
        <w:t>项目编号：</w:t>
      </w:r>
      <w:r>
        <w:rPr>
          <w:rFonts w:hint="eastAsia" w:ascii="仿宋_GB2312" w:hAnsi="宋体" w:eastAsia="仿宋_GB2312" w:cs="Times New Roman"/>
          <w:b w:val="0"/>
          <w:bCs/>
          <w:color w:val="000000"/>
          <w:sz w:val="32"/>
          <w:szCs w:val="32"/>
        </w:rPr>
        <w:t>GXGSYY-CGB-CWYYB-2025-06</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center"/>
        <w:textAlignment w:val="auto"/>
        <w:rPr>
          <w:rFonts w:ascii="仿宋_GB2312" w:hAnsi="宋体" w:eastAsia="仿宋_GB2312" w:cs="Times New Roman"/>
          <w:b/>
          <w:color w:val="000000"/>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hint="eastAsia"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hint="eastAsia" w:ascii="仿宋_GB2312" w:hAnsi="宋体" w:eastAsia="仿宋_GB2312" w:cs="Times New Roman"/>
          <w:b/>
          <w:color w:val="000000"/>
          <w:sz w:val="32"/>
          <w:szCs w:val="32"/>
          <w:lang w:val="en-US" w:eastAsia="zh-CN"/>
        </w:rPr>
        <w:t>5</w:t>
      </w:r>
      <w:r>
        <w:rPr>
          <w:rFonts w:hint="eastAsia" w:ascii="仿宋_GB2312" w:hAnsi="宋体" w:eastAsia="仿宋_GB2312" w:cs="Times New Roman"/>
          <w:b/>
          <w:color w:val="000000"/>
          <w:sz w:val="32"/>
          <w:szCs w:val="32"/>
        </w:rPr>
        <w:t>年</w:t>
      </w:r>
      <w:r>
        <w:rPr>
          <w:rFonts w:hint="eastAsia" w:ascii="仿宋_GB2312" w:hAnsi="宋体" w:eastAsia="仿宋_GB2312" w:cs="Times New Roman"/>
          <w:b/>
          <w:color w:val="000000"/>
          <w:sz w:val="32"/>
          <w:szCs w:val="32"/>
          <w:lang w:val="en-US" w:eastAsia="zh-CN"/>
        </w:rPr>
        <w:t>7</w:t>
      </w:r>
      <w:r>
        <w:rPr>
          <w:rFonts w:hint="eastAsia" w:ascii="仿宋_GB2312" w:hAnsi="宋体" w:eastAsia="仿宋_GB2312" w:cs="Times New Roman"/>
          <w:b/>
          <w:color w:val="000000"/>
          <w:sz w:val="32"/>
          <w:szCs w:val="32"/>
        </w:rPr>
        <w:t>月</w:t>
      </w:r>
    </w:p>
    <w:p>
      <w:pPr>
        <w:pStyle w:val="26"/>
        <w:keepNext w:val="0"/>
        <w:keepLines w:val="0"/>
        <w:pageBreakBefore w:val="0"/>
        <w:kinsoku/>
        <w:overflowPunct/>
        <w:topLinePunct w:val="0"/>
        <w:bidi w:val="0"/>
        <w:snapToGrid w:val="0"/>
        <w:spacing w:line="360" w:lineRule="auto"/>
        <w:jc w:val="center"/>
        <w:textAlignment w:val="auto"/>
        <w:rPr>
          <w:rFonts w:hAnsi="宋体"/>
          <w:color w:val="auto"/>
          <w:sz w:val="21"/>
          <w:szCs w:val="21"/>
          <w:highlight w:val="none"/>
        </w:rPr>
      </w:pPr>
    </w:p>
    <w:p>
      <w:pPr>
        <w:pStyle w:val="26"/>
        <w:keepNext w:val="0"/>
        <w:keepLines w:val="0"/>
        <w:pageBreakBefore w:val="0"/>
        <w:kinsoku/>
        <w:overflowPunct/>
        <w:topLinePunct w:val="0"/>
        <w:bidi w:val="0"/>
        <w:snapToGrid w:val="0"/>
        <w:spacing w:line="360" w:lineRule="auto"/>
        <w:jc w:val="both"/>
        <w:textAlignment w:val="auto"/>
        <w:rPr>
          <w:rFonts w:hint="eastAsia" w:hAnsi="宋体"/>
          <w:color w:val="auto"/>
          <w:sz w:val="21"/>
          <w:szCs w:val="21"/>
          <w:highlight w:val="none"/>
        </w:rPr>
      </w:pPr>
    </w:p>
    <w:sdt>
      <w:sdtPr>
        <w:rPr>
          <w:rFonts w:ascii="宋体" w:hAnsi="宋体" w:eastAsia="宋体" w:cs="Times New Roman"/>
          <w:kern w:val="2"/>
          <w:sz w:val="44"/>
          <w:szCs w:val="44"/>
          <w:lang w:val="en-US" w:eastAsia="zh-CN" w:bidi="ar-SA"/>
        </w:rPr>
        <w:id w:val="147458409"/>
        <w15:color w:val="DBDBDB"/>
        <w:docPartObj>
          <w:docPartGallery w:val="Table of Contents"/>
          <w:docPartUnique/>
        </w:docPartObj>
      </w:sdtPr>
      <w:sdtEndPr>
        <w:rPr>
          <w:rFonts w:hint="eastAsia" w:ascii="宋体" w:hAnsi="宋体" w:eastAsia="宋体" w:cs="Times New Roman"/>
          <w:color w:val="auto"/>
          <w:kern w:val="2"/>
          <w:sz w:val="28"/>
          <w:szCs w:val="28"/>
          <w:highlight w:val="none"/>
          <w:lang w:val="en-US" w:eastAsia="zh-CN" w:bidi="ar-SA"/>
        </w:rPr>
      </w:sdtEndPr>
      <w:sdtContent>
        <w:sdt>
          <w:sdtPr>
            <w:rPr>
              <w:rFonts w:ascii="宋体" w:hAnsi="宋体" w:eastAsia="宋体" w:cs="Times New Roman"/>
              <w:kern w:val="2"/>
              <w:sz w:val="44"/>
              <w:szCs w:val="44"/>
              <w:lang w:val="en-US" w:eastAsia="zh-CN" w:bidi="ar-SA"/>
            </w:rPr>
            <w:id w:val="147466283"/>
            <w15:color w:val="DBDBDB"/>
            <w:docPartObj>
              <w:docPartGallery w:val="Table of Contents"/>
              <w:docPartUnique/>
            </w:docPartObj>
          </w:sdtPr>
          <w:sdtEndPr>
            <w:rPr>
              <w:rFonts w:hint="eastAsia" w:ascii="宋体" w:hAnsi="宋体" w:eastAsia="宋体" w:cs="Times New Roman"/>
              <w:color w:val="auto"/>
              <w:kern w:val="2"/>
              <w:sz w:val="28"/>
              <w:szCs w:val="28"/>
              <w:highlight w:val="none"/>
              <w:lang w:val="en-US" w:eastAsia="zh-CN" w:bidi="ar-SA"/>
            </w:rPr>
          </w:sdtEndPr>
          <w:sdtContent>
            <w:p>
              <w:pPr>
                <w:keepNext w:val="0"/>
                <w:keepLines w:val="0"/>
                <w:pageBreakBefore w:val="0"/>
                <w:kinsoku/>
                <w:overflowPunct/>
                <w:topLinePunct w:val="0"/>
                <w:bidi w:val="0"/>
                <w:spacing w:before="0" w:beforeLines="0" w:after="0" w:afterLines="0" w:line="360" w:lineRule="auto"/>
                <w:ind w:left="0" w:leftChars="0" w:right="0" w:rightChars="0" w:firstLine="0" w:firstLineChars="0"/>
                <w:jc w:val="center"/>
                <w:textAlignment w:val="auto"/>
                <w:rPr>
                  <w:sz w:val="44"/>
                  <w:szCs w:val="44"/>
                </w:rPr>
              </w:pPr>
              <w:r>
                <w:rPr>
                  <w:rFonts w:ascii="宋体" w:hAnsi="宋体" w:eastAsia="宋体"/>
                  <w:b/>
                  <w:bCs/>
                  <w:sz w:val="44"/>
                  <w:szCs w:val="44"/>
                </w:rPr>
                <w:t>目</w:t>
              </w:r>
              <w:r>
                <w:rPr>
                  <w:rFonts w:hint="eastAsia" w:ascii="宋体" w:hAnsi="宋体" w:eastAsia="宋体"/>
                  <w:b/>
                  <w:bCs/>
                  <w:sz w:val="44"/>
                  <w:szCs w:val="44"/>
                  <w:lang w:val="en-US" w:eastAsia="zh-CN"/>
                </w:rPr>
                <w:t xml:space="preserve"> </w:t>
              </w:r>
              <w:r>
                <w:rPr>
                  <w:rFonts w:ascii="宋体" w:hAnsi="宋体" w:eastAsia="宋体"/>
                  <w:b/>
                  <w:bCs/>
                  <w:sz w:val="44"/>
                  <w:szCs w:val="44"/>
                </w:rPr>
                <w:t>录</w:t>
              </w:r>
            </w:p>
            <w:p>
              <w:pPr>
                <w:pStyle w:val="32"/>
                <w:tabs>
                  <w:tab w:val="right" w:leader="dot" w:pos="9638"/>
                  <w:tab w:val="clear" w:pos="8398"/>
                </w:tabs>
              </w:pPr>
              <w:r>
                <w:rPr>
                  <w:rFonts w:hint="eastAsia" w:hAnsi="宋体"/>
                  <w:color w:val="auto"/>
                  <w:sz w:val="28"/>
                  <w:szCs w:val="28"/>
                  <w:highlight w:val="none"/>
                </w:rPr>
                <w:fldChar w:fldCharType="begin"/>
              </w:r>
              <w:r>
                <w:rPr>
                  <w:rFonts w:hint="eastAsia" w:hAnsi="宋体"/>
                  <w:color w:val="auto"/>
                  <w:sz w:val="28"/>
                  <w:szCs w:val="28"/>
                  <w:highlight w:val="none"/>
                </w:rPr>
                <w:instrText xml:space="preserve">TOC \o "1-1" \h \u </w:instrText>
              </w:r>
              <w:r>
                <w:rPr>
                  <w:rFonts w:hint="eastAsia" w:hAnsi="宋体"/>
                  <w:color w:val="auto"/>
                  <w:sz w:val="28"/>
                  <w:szCs w:val="28"/>
                  <w:highlight w:val="none"/>
                </w:rPr>
                <w:fldChar w:fldCharType="separate"/>
              </w:r>
            </w:p>
            <w:p>
              <w:pPr>
                <w:pStyle w:val="32"/>
                <w:tabs>
                  <w:tab w:val="right" w:leader="dot" w:pos="9638"/>
                  <w:tab w:val="clear" w:pos="8398"/>
                </w:tabs>
                <w:rPr>
                  <w:rFonts w:hint="default" w:ascii="宋体" w:hAnsi="宋体" w:eastAsia="宋体" w:cs="宋体"/>
                  <w:b w:val="0"/>
                  <w:bCs w:val="0"/>
                  <w:sz w:val="28"/>
                  <w:szCs w:val="28"/>
                  <w:lang w:val="en-US" w:eastAsia="zh-CN"/>
                </w:rPr>
              </w:pPr>
              <w:r>
                <w:rPr>
                  <w:rFonts w:hint="eastAsia" w:ascii="黑体" w:hAnsi="黑体" w:eastAsia="黑体" w:cs="黑体"/>
                  <w:b w:val="0"/>
                  <w:bCs w:val="0"/>
                  <w:color w:val="auto"/>
                  <w:sz w:val="30"/>
                  <w:szCs w:val="30"/>
                  <w:highlight w:val="none"/>
                </w:rPr>
                <w:fldChar w:fldCharType="begin"/>
              </w:r>
              <w:r>
                <w:rPr>
                  <w:rFonts w:hint="eastAsia" w:ascii="黑体" w:hAnsi="黑体" w:eastAsia="黑体" w:cs="黑体"/>
                  <w:b w:val="0"/>
                  <w:bCs w:val="0"/>
                  <w:sz w:val="30"/>
                  <w:szCs w:val="30"/>
                  <w:highlight w:val="none"/>
                </w:rPr>
                <w:instrText xml:space="preserve"> HYPERLINK \l _Toc16882 </w:instrText>
              </w:r>
              <w:r>
                <w:rPr>
                  <w:rFonts w:hint="eastAsia" w:ascii="黑体" w:hAnsi="黑体" w:eastAsia="黑体" w:cs="黑体"/>
                  <w:b w:val="0"/>
                  <w:bCs w:val="0"/>
                  <w:sz w:val="30"/>
                  <w:szCs w:val="30"/>
                  <w:highlight w:val="none"/>
                </w:rPr>
                <w:fldChar w:fldCharType="separate"/>
              </w:r>
              <w:r>
                <w:rPr>
                  <w:rFonts w:hint="eastAsia" w:ascii="黑体" w:hAnsi="黑体" w:eastAsia="黑体" w:cs="黑体"/>
                  <w:b w:val="0"/>
                  <w:bCs w:val="0"/>
                  <w:color w:val="auto"/>
                  <w:sz w:val="30"/>
                  <w:szCs w:val="30"/>
                  <w:highlight w:val="none"/>
                </w:rPr>
                <w:t xml:space="preserve">第一章  </w:t>
              </w:r>
              <w:r>
                <w:rPr>
                  <w:rFonts w:hint="eastAsia" w:ascii="黑体" w:hAnsi="黑体" w:eastAsia="黑体" w:cs="黑体"/>
                  <w:b w:val="0"/>
                  <w:bCs w:val="0"/>
                  <w:color w:val="auto"/>
                  <w:sz w:val="30"/>
                  <w:szCs w:val="30"/>
                  <w:highlight w:val="none"/>
                  <w:lang w:val="en-US" w:eastAsia="zh-CN"/>
                </w:rPr>
                <w:t>磋商</w:t>
              </w:r>
              <w:r>
                <w:rPr>
                  <w:rFonts w:hint="eastAsia" w:ascii="黑体" w:hAnsi="黑体" w:eastAsia="黑体" w:cs="黑体"/>
                  <w:b w:val="0"/>
                  <w:bCs w:val="0"/>
                  <w:color w:val="auto"/>
                  <w:sz w:val="30"/>
                  <w:szCs w:val="30"/>
                  <w:highlight w:val="none"/>
                </w:rPr>
                <w:t>公告</w:t>
              </w:r>
              <w:r>
                <w:rPr>
                  <w:rFonts w:hint="eastAsia" w:ascii="黑体" w:hAnsi="黑体" w:eastAsia="黑体" w:cs="黑体"/>
                  <w:b w:val="0"/>
                  <w:bCs w:val="0"/>
                  <w:color w:val="auto"/>
                  <w:sz w:val="30"/>
                  <w:szCs w:val="30"/>
                  <w:highlight w:val="none"/>
                </w:rPr>
                <w:fldChar w:fldCharType="end"/>
              </w:r>
              <w:r>
                <w:rPr>
                  <w:rFonts w:hint="eastAsia" w:cs="宋体"/>
                  <w:b w:val="0"/>
                  <w:bCs w:val="0"/>
                  <w:color w:val="auto"/>
                  <w:sz w:val="21"/>
                  <w:szCs w:val="21"/>
                  <w:highlight w:val="none"/>
                  <w:lang w:val="en-US" w:eastAsia="zh-CN"/>
                </w:rPr>
                <w:t>................................................</w:t>
              </w:r>
            </w:p>
            <w:p>
              <w:pPr>
                <w:pStyle w:val="32"/>
                <w:tabs>
                  <w:tab w:val="right" w:leader="dot" w:pos="9638"/>
                  <w:tab w:val="clear" w:pos="8398"/>
                </w:tabs>
                <w:rPr>
                  <w:rFonts w:hint="default" w:ascii="宋体" w:hAnsi="宋体" w:eastAsia="宋体" w:cs="宋体"/>
                  <w:b w:val="0"/>
                  <w:bCs w:val="0"/>
                  <w:sz w:val="30"/>
                  <w:szCs w:val="30"/>
                  <w:lang w:val="en-US" w:eastAsia="zh-CN"/>
                </w:rPr>
              </w:pPr>
              <w:r>
                <w:rPr>
                  <w:rFonts w:hint="eastAsia" w:ascii="黑体" w:hAnsi="黑体" w:eastAsia="黑体" w:cs="黑体"/>
                  <w:b w:val="0"/>
                  <w:bCs w:val="0"/>
                  <w:color w:val="auto"/>
                  <w:sz w:val="30"/>
                  <w:szCs w:val="30"/>
                  <w:highlight w:val="none"/>
                </w:rPr>
                <w:fldChar w:fldCharType="begin"/>
              </w:r>
              <w:r>
                <w:rPr>
                  <w:rFonts w:hint="eastAsia" w:ascii="黑体" w:hAnsi="黑体" w:eastAsia="黑体" w:cs="黑体"/>
                  <w:b w:val="0"/>
                  <w:bCs w:val="0"/>
                  <w:color w:val="auto"/>
                  <w:sz w:val="30"/>
                  <w:szCs w:val="30"/>
                  <w:highlight w:val="none"/>
                </w:rPr>
                <w:instrText xml:space="preserve"> HYPERLINK \l _Toc11927 </w:instrText>
              </w:r>
              <w:r>
                <w:rPr>
                  <w:rFonts w:hint="eastAsia" w:ascii="黑体" w:hAnsi="黑体" w:eastAsia="黑体" w:cs="黑体"/>
                  <w:b w:val="0"/>
                  <w:bCs w:val="0"/>
                  <w:color w:val="auto"/>
                  <w:sz w:val="30"/>
                  <w:szCs w:val="30"/>
                  <w:highlight w:val="none"/>
                </w:rPr>
                <w:fldChar w:fldCharType="separate"/>
              </w:r>
              <w:r>
                <w:rPr>
                  <w:rFonts w:hint="eastAsia" w:ascii="黑体" w:hAnsi="黑体" w:eastAsia="黑体" w:cs="黑体"/>
                  <w:b w:val="0"/>
                  <w:bCs w:val="0"/>
                  <w:color w:val="auto"/>
                  <w:sz w:val="30"/>
                  <w:szCs w:val="30"/>
                  <w:highlight w:val="none"/>
                </w:rPr>
                <w:t xml:space="preserve">第二章  </w:t>
              </w:r>
              <w:r>
                <w:rPr>
                  <w:rFonts w:hint="eastAsia" w:ascii="黑体" w:hAnsi="黑体" w:eastAsia="黑体" w:cs="黑体"/>
                  <w:b w:val="0"/>
                  <w:bCs w:val="0"/>
                  <w:color w:val="auto"/>
                  <w:sz w:val="30"/>
                  <w:szCs w:val="30"/>
                  <w:highlight w:val="none"/>
                  <w:lang w:val="en-US" w:eastAsia="zh-CN"/>
                </w:rPr>
                <w:t>投标人</w:t>
              </w:r>
              <w:r>
                <w:rPr>
                  <w:rFonts w:hint="eastAsia" w:ascii="黑体" w:hAnsi="黑体" w:eastAsia="黑体" w:cs="黑体"/>
                  <w:b w:val="0"/>
                  <w:bCs w:val="0"/>
                  <w:color w:val="auto"/>
                  <w:sz w:val="30"/>
                  <w:szCs w:val="30"/>
                  <w:highlight w:val="none"/>
                </w:rPr>
                <w:t>须知</w:t>
              </w:r>
              <w:r>
                <w:rPr>
                  <w:rFonts w:hint="eastAsia" w:ascii="黑体" w:hAnsi="黑体" w:eastAsia="黑体" w:cs="黑体"/>
                  <w:b w:val="0"/>
                  <w:bCs w:val="0"/>
                  <w:color w:val="auto"/>
                  <w:sz w:val="30"/>
                  <w:szCs w:val="30"/>
                  <w:highlight w:val="none"/>
                </w:rPr>
                <w:fldChar w:fldCharType="end"/>
              </w:r>
              <w:r>
                <w:rPr>
                  <w:rFonts w:hint="eastAsia" w:cs="宋体"/>
                  <w:b w:val="0"/>
                  <w:bCs w:val="0"/>
                  <w:color w:val="auto"/>
                  <w:sz w:val="21"/>
                  <w:szCs w:val="21"/>
                  <w:highlight w:val="none"/>
                  <w:lang w:val="en-US" w:eastAsia="zh-CN"/>
                </w:rPr>
                <w:t>.............................................</w:t>
              </w:r>
            </w:p>
            <w:p>
              <w:pPr>
                <w:pStyle w:val="32"/>
                <w:tabs>
                  <w:tab w:val="right" w:leader="dot" w:pos="9638"/>
                  <w:tab w:val="clear" w:pos="8398"/>
                </w:tabs>
                <w:rPr>
                  <w:rFonts w:hint="default" w:ascii="宋体" w:hAnsi="宋体" w:eastAsia="宋体" w:cs="宋体"/>
                  <w:b w:val="0"/>
                  <w:bCs w:val="0"/>
                  <w:sz w:val="30"/>
                  <w:szCs w:val="30"/>
                  <w:lang w:val="en-US" w:eastAsia="zh-CN"/>
                </w:rPr>
              </w:pPr>
              <w:r>
                <w:rPr>
                  <w:rFonts w:hint="eastAsia" w:ascii="黑体" w:hAnsi="黑体" w:eastAsia="黑体" w:cs="黑体"/>
                  <w:b w:val="0"/>
                  <w:bCs w:val="0"/>
                  <w:color w:val="auto"/>
                  <w:sz w:val="30"/>
                  <w:szCs w:val="30"/>
                  <w:highlight w:val="none"/>
                </w:rPr>
                <w:fldChar w:fldCharType="begin"/>
              </w:r>
              <w:r>
                <w:rPr>
                  <w:rFonts w:hint="eastAsia" w:ascii="黑体" w:hAnsi="黑体" w:eastAsia="黑体" w:cs="黑体"/>
                  <w:b w:val="0"/>
                  <w:bCs w:val="0"/>
                  <w:color w:val="auto"/>
                  <w:sz w:val="30"/>
                  <w:szCs w:val="30"/>
                  <w:highlight w:val="none"/>
                </w:rPr>
                <w:instrText xml:space="preserve"> HYPERLINK \l _Toc9309 </w:instrText>
              </w:r>
              <w:r>
                <w:rPr>
                  <w:rFonts w:hint="eastAsia" w:ascii="黑体" w:hAnsi="黑体" w:eastAsia="黑体" w:cs="黑体"/>
                  <w:b w:val="0"/>
                  <w:bCs w:val="0"/>
                  <w:color w:val="auto"/>
                  <w:sz w:val="30"/>
                  <w:szCs w:val="30"/>
                  <w:highlight w:val="none"/>
                </w:rPr>
                <w:fldChar w:fldCharType="separate"/>
              </w:r>
              <w:r>
                <w:rPr>
                  <w:rFonts w:hint="eastAsia" w:ascii="黑体" w:hAnsi="黑体" w:eastAsia="黑体" w:cs="黑体"/>
                  <w:b w:val="0"/>
                  <w:bCs w:val="0"/>
                  <w:color w:val="auto"/>
                  <w:sz w:val="30"/>
                  <w:szCs w:val="30"/>
                  <w:highlight w:val="none"/>
                </w:rPr>
                <w:t xml:space="preserve">第三章  </w:t>
              </w:r>
              <w:r>
                <w:rPr>
                  <w:rFonts w:hint="eastAsia" w:ascii="黑体" w:hAnsi="黑体" w:eastAsia="黑体" w:cs="黑体"/>
                  <w:b w:val="0"/>
                  <w:bCs w:val="0"/>
                  <w:color w:val="auto"/>
                  <w:sz w:val="30"/>
                  <w:szCs w:val="30"/>
                  <w:highlight w:val="none"/>
                  <w:lang w:eastAsia="zh-CN"/>
                </w:rPr>
                <w:t>项目需求</w:t>
              </w:r>
              <w:r>
                <w:rPr>
                  <w:rFonts w:hint="eastAsia" w:ascii="黑体" w:hAnsi="黑体" w:eastAsia="黑体" w:cs="黑体"/>
                  <w:b w:val="0"/>
                  <w:bCs w:val="0"/>
                  <w:color w:val="auto"/>
                  <w:sz w:val="30"/>
                  <w:szCs w:val="30"/>
                  <w:highlight w:val="none"/>
                  <w:lang w:val="en-US" w:eastAsia="zh-CN"/>
                </w:rPr>
                <w:t>参数</w:t>
              </w:r>
              <w:r>
                <w:rPr>
                  <w:rFonts w:hint="eastAsia" w:ascii="黑体" w:hAnsi="黑体" w:eastAsia="黑体" w:cs="黑体"/>
                  <w:b w:val="0"/>
                  <w:bCs w:val="0"/>
                  <w:color w:val="auto"/>
                  <w:sz w:val="30"/>
                  <w:szCs w:val="30"/>
                  <w:highlight w:val="none"/>
                </w:rPr>
                <w:fldChar w:fldCharType="end"/>
              </w:r>
              <w:r>
                <w:rPr>
                  <w:rFonts w:hint="eastAsia" w:cs="宋体"/>
                  <w:b w:val="0"/>
                  <w:bCs w:val="0"/>
                  <w:color w:val="auto"/>
                  <w:sz w:val="21"/>
                  <w:szCs w:val="21"/>
                  <w:highlight w:val="none"/>
                  <w:lang w:val="en-US" w:eastAsia="zh-CN"/>
                </w:rPr>
                <w:t>..........................................</w:t>
              </w:r>
            </w:p>
            <w:p>
              <w:pPr>
                <w:pStyle w:val="32"/>
                <w:tabs>
                  <w:tab w:val="right" w:leader="dot" w:pos="9638"/>
                  <w:tab w:val="clear" w:pos="8398"/>
                </w:tabs>
                <w:rPr>
                  <w:rFonts w:hint="default" w:ascii="宋体" w:hAnsi="宋体" w:eastAsia="宋体" w:cs="宋体"/>
                  <w:b w:val="0"/>
                  <w:bCs w:val="0"/>
                  <w:color w:val="auto"/>
                  <w:sz w:val="30"/>
                  <w:szCs w:val="30"/>
                  <w:highlight w:val="none"/>
                  <w:lang w:val="en-US" w:eastAsia="zh-CN"/>
                </w:rPr>
              </w:pPr>
              <w:r>
                <w:rPr>
                  <w:rFonts w:hint="eastAsia" w:ascii="黑体" w:hAnsi="黑体" w:eastAsia="黑体" w:cs="黑体"/>
                  <w:b w:val="0"/>
                  <w:bCs w:val="0"/>
                  <w:color w:val="auto"/>
                  <w:sz w:val="30"/>
                  <w:szCs w:val="30"/>
                  <w:highlight w:val="none"/>
                </w:rPr>
                <w:fldChar w:fldCharType="begin"/>
              </w:r>
              <w:r>
                <w:rPr>
                  <w:rFonts w:hint="eastAsia" w:ascii="黑体" w:hAnsi="黑体" w:eastAsia="黑体" w:cs="黑体"/>
                  <w:b w:val="0"/>
                  <w:bCs w:val="0"/>
                  <w:color w:val="auto"/>
                  <w:sz w:val="30"/>
                  <w:szCs w:val="30"/>
                  <w:highlight w:val="none"/>
                </w:rPr>
                <w:instrText xml:space="preserve"> HYPERLINK \l _Toc16541 </w:instrText>
              </w:r>
              <w:r>
                <w:rPr>
                  <w:rFonts w:hint="eastAsia" w:ascii="黑体" w:hAnsi="黑体" w:eastAsia="黑体" w:cs="黑体"/>
                  <w:b w:val="0"/>
                  <w:bCs w:val="0"/>
                  <w:color w:val="auto"/>
                  <w:sz w:val="30"/>
                  <w:szCs w:val="30"/>
                  <w:highlight w:val="none"/>
                </w:rPr>
                <w:fldChar w:fldCharType="separate"/>
              </w:r>
              <w:r>
                <w:rPr>
                  <w:rFonts w:hint="eastAsia" w:ascii="黑体" w:hAnsi="黑体" w:eastAsia="黑体" w:cs="黑体"/>
                  <w:b w:val="0"/>
                  <w:bCs w:val="0"/>
                  <w:color w:val="auto"/>
                  <w:sz w:val="30"/>
                  <w:szCs w:val="30"/>
                  <w:highlight w:val="none"/>
                </w:rPr>
                <w:t>第四章  评</w:t>
              </w:r>
              <w:r>
                <w:rPr>
                  <w:rFonts w:hint="eastAsia" w:ascii="黑体" w:hAnsi="黑体" w:eastAsia="黑体" w:cs="黑体"/>
                  <w:b w:val="0"/>
                  <w:bCs w:val="0"/>
                  <w:color w:val="auto"/>
                  <w:sz w:val="30"/>
                  <w:szCs w:val="30"/>
                  <w:highlight w:val="none"/>
                  <w:lang w:val="en-US" w:eastAsia="zh-CN"/>
                </w:rPr>
                <w:t>审方法</w:t>
              </w:r>
              <w:r>
                <w:rPr>
                  <w:rFonts w:hint="eastAsia" w:ascii="黑体" w:hAnsi="黑体" w:eastAsia="黑体" w:cs="黑体"/>
                  <w:b w:val="0"/>
                  <w:bCs w:val="0"/>
                  <w:color w:val="auto"/>
                  <w:sz w:val="30"/>
                  <w:szCs w:val="30"/>
                  <w:highlight w:val="none"/>
                </w:rPr>
                <w:fldChar w:fldCharType="end"/>
              </w:r>
              <w:r>
                <w:rPr>
                  <w:rFonts w:hint="eastAsia" w:cs="宋体"/>
                  <w:b w:val="0"/>
                  <w:bCs w:val="0"/>
                  <w:color w:val="auto"/>
                  <w:sz w:val="21"/>
                  <w:szCs w:val="21"/>
                  <w:highlight w:val="none"/>
                  <w:lang w:val="en-US" w:eastAsia="zh-CN"/>
                </w:rPr>
                <w:t>...............................................</w:t>
              </w:r>
            </w:p>
            <w:p>
              <w:pPr>
                <w:ind w:firstLine="300" w:firstLineChars="100"/>
                <w:rPr>
                  <w:rFonts w:hint="default" w:ascii="宋体" w:hAnsi="宋体" w:eastAsia="宋体" w:cs="宋体"/>
                  <w:b w:val="0"/>
                  <w:bCs w:val="0"/>
                  <w:caps/>
                  <w:color w:val="auto"/>
                  <w:kern w:val="2"/>
                  <w:sz w:val="21"/>
                  <w:szCs w:val="21"/>
                  <w:highlight w:val="none"/>
                  <w:lang w:val="en-US" w:eastAsia="zh-CN" w:bidi="ar-SA"/>
                </w:rPr>
              </w:pPr>
              <w:r>
                <w:rPr>
                  <w:rFonts w:hint="eastAsia" w:ascii="黑体" w:hAnsi="黑体" w:eastAsia="黑体" w:cs="黑体"/>
                  <w:b w:val="0"/>
                  <w:bCs w:val="0"/>
                  <w:caps/>
                  <w:color w:val="auto"/>
                  <w:kern w:val="2"/>
                  <w:sz w:val="30"/>
                  <w:szCs w:val="30"/>
                  <w:highlight w:val="none"/>
                  <w:lang w:val="en-US" w:eastAsia="zh-CN" w:bidi="ar-SA"/>
                </w:rPr>
                <w:t>第五章  拟签订合同文本</w:t>
              </w:r>
              <w:r>
                <w:rPr>
                  <w:rFonts w:hint="eastAsia" w:ascii="宋体" w:hAnsi="宋体" w:eastAsia="宋体" w:cs="宋体"/>
                  <w:b w:val="0"/>
                  <w:bCs w:val="0"/>
                  <w:caps/>
                  <w:color w:val="auto"/>
                  <w:kern w:val="2"/>
                  <w:sz w:val="21"/>
                  <w:szCs w:val="21"/>
                  <w:highlight w:val="none"/>
                  <w:lang w:val="en-US" w:eastAsia="zh-CN" w:bidi="ar-SA"/>
                </w:rPr>
                <w:t>.......................................</w:t>
              </w:r>
            </w:p>
            <w:p>
              <w:pPr>
                <w:pStyle w:val="32"/>
                <w:tabs>
                  <w:tab w:val="right" w:leader="dot" w:pos="9638"/>
                  <w:tab w:val="clear" w:pos="8398"/>
                </w:tabs>
                <w:rPr>
                  <w:rFonts w:hint="default" w:ascii="宋体" w:hAnsi="宋体" w:eastAsia="宋体" w:cs="宋体"/>
                  <w:b w:val="0"/>
                  <w:bCs w:val="0"/>
                  <w:sz w:val="30"/>
                  <w:szCs w:val="30"/>
                  <w:lang w:val="en-US" w:eastAsia="zh-CN"/>
                </w:rPr>
              </w:pPr>
              <w:r>
                <w:rPr>
                  <w:rFonts w:hint="eastAsia" w:ascii="黑体" w:hAnsi="黑体" w:eastAsia="黑体" w:cs="黑体"/>
                  <w:b w:val="0"/>
                  <w:bCs w:val="0"/>
                  <w:caps/>
                  <w:color w:val="auto"/>
                  <w:kern w:val="2"/>
                  <w:sz w:val="30"/>
                  <w:szCs w:val="30"/>
                  <w:highlight w:val="none"/>
                  <w:lang w:val="en-US" w:eastAsia="zh-CN" w:bidi="ar-SA"/>
                </w:rPr>
                <w:fldChar w:fldCharType="begin"/>
              </w:r>
              <w:r>
                <w:rPr>
                  <w:rFonts w:hint="eastAsia" w:ascii="黑体" w:hAnsi="黑体" w:eastAsia="黑体" w:cs="黑体"/>
                  <w:b w:val="0"/>
                  <w:bCs w:val="0"/>
                  <w:caps/>
                  <w:color w:val="auto"/>
                  <w:kern w:val="2"/>
                  <w:sz w:val="30"/>
                  <w:szCs w:val="30"/>
                  <w:highlight w:val="none"/>
                  <w:lang w:val="en-US" w:eastAsia="zh-CN" w:bidi="ar-SA"/>
                </w:rPr>
                <w:instrText xml:space="preserve"> HYPERLINK \l _Toc26063 </w:instrText>
              </w:r>
              <w:r>
                <w:rPr>
                  <w:rFonts w:hint="eastAsia" w:ascii="黑体" w:hAnsi="黑体" w:eastAsia="黑体" w:cs="黑体"/>
                  <w:b w:val="0"/>
                  <w:bCs w:val="0"/>
                  <w:caps/>
                  <w:color w:val="auto"/>
                  <w:kern w:val="2"/>
                  <w:sz w:val="30"/>
                  <w:szCs w:val="30"/>
                  <w:highlight w:val="none"/>
                  <w:lang w:val="en-US" w:eastAsia="zh-CN" w:bidi="ar-SA"/>
                </w:rPr>
                <w:fldChar w:fldCharType="separate"/>
              </w:r>
              <w:r>
                <w:rPr>
                  <w:rFonts w:hint="eastAsia" w:ascii="黑体" w:hAnsi="黑体" w:eastAsia="黑体" w:cs="黑体"/>
                  <w:b w:val="0"/>
                  <w:bCs w:val="0"/>
                  <w:caps/>
                  <w:color w:val="auto"/>
                  <w:kern w:val="2"/>
                  <w:sz w:val="30"/>
                  <w:szCs w:val="30"/>
                  <w:highlight w:val="none"/>
                  <w:lang w:val="en-US" w:eastAsia="zh-CN" w:bidi="ar-SA"/>
                </w:rPr>
                <w:t>第六章  响应文件格式</w:t>
              </w:r>
              <w:r>
                <w:rPr>
                  <w:rFonts w:hint="eastAsia" w:ascii="黑体" w:hAnsi="黑体" w:eastAsia="黑体" w:cs="黑体"/>
                  <w:b w:val="0"/>
                  <w:bCs w:val="0"/>
                  <w:caps/>
                  <w:color w:val="auto"/>
                  <w:kern w:val="2"/>
                  <w:sz w:val="30"/>
                  <w:szCs w:val="30"/>
                  <w:highlight w:val="none"/>
                  <w:lang w:val="en-US" w:eastAsia="zh-CN" w:bidi="ar-SA"/>
                </w:rPr>
                <w:fldChar w:fldCharType="end"/>
              </w:r>
              <w:r>
                <w:rPr>
                  <w:rFonts w:hint="eastAsia" w:cs="宋体"/>
                  <w:b w:val="0"/>
                  <w:bCs w:val="0"/>
                  <w:color w:val="auto"/>
                  <w:sz w:val="21"/>
                  <w:szCs w:val="21"/>
                  <w:highlight w:val="none"/>
                  <w:lang w:val="en-US" w:eastAsia="zh-CN"/>
                </w:rPr>
                <w:t>..........................................</w:t>
              </w:r>
            </w:p>
            <w:p>
              <w:pPr>
                <w:rPr>
                  <w:rFonts w:hint="eastAsia" w:ascii="宋体" w:hAnsi="宋体" w:eastAsia="宋体" w:cs="Times New Roman"/>
                  <w:color w:val="auto"/>
                  <w:kern w:val="2"/>
                  <w:sz w:val="28"/>
                  <w:szCs w:val="28"/>
                  <w:highlight w:val="none"/>
                  <w:lang w:val="en-US" w:eastAsia="zh-CN" w:bidi="ar-SA"/>
                </w:rPr>
              </w:pPr>
              <w:r>
                <w:rPr>
                  <w:rFonts w:hint="eastAsia" w:hAnsi="宋体"/>
                  <w:color w:val="auto"/>
                  <w:szCs w:val="28"/>
                  <w:highlight w:val="none"/>
                </w:rPr>
                <w:fldChar w:fldCharType="end"/>
              </w:r>
            </w:p>
          </w:sdtContent>
        </w:sdt>
        <w:p>
          <w:pPr>
            <w:rPr>
              <w:rFonts w:hint="eastAsia" w:ascii="Cambria" w:hAnsi="Cambria" w:eastAsia="宋体" w:cs="Times New Roman"/>
              <w:b/>
              <w:bCs/>
              <w:color w:val="000000"/>
              <w:sz w:val="32"/>
              <w:szCs w:val="32"/>
              <w:lang w:val="zh-CN" w:eastAsia="zh-CN"/>
            </w:rPr>
          </w:pPr>
          <w:r>
            <w:rPr>
              <w:rFonts w:hint="eastAsia" w:ascii="Cambria" w:hAnsi="Cambria" w:eastAsia="宋体" w:cs="Times New Roman"/>
              <w:b/>
              <w:bCs/>
              <w:color w:val="000000"/>
              <w:sz w:val="32"/>
              <w:szCs w:val="32"/>
              <w:lang w:val="zh-CN" w:eastAsia="zh-CN"/>
            </w:rPr>
            <w:br w:type="page"/>
          </w:r>
        </w:p>
        <w:p>
          <w:pPr>
            <w:keepNext/>
            <w:keepLines/>
            <w:spacing w:before="260" w:after="260" w:line="416" w:lineRule="auto"/>
            <w:jc w:val="center"/>
            <w:outlineLvl w:val="1"/>
            <w:rPr>
              <w:rFonts w:ascii="Cambria" w:hAnsi="Cambria" w:eastAsia="宋体" w:cs="Times New Roman"/>
              <w:b/>
              <w:bCs/>
              <w:color w:val="000000"/>
              <w:sz w:val="32"/>
              <w:szCs w:val="32"/>
              <w:lang w:val="zh-CN" w:eastAsia="zh-CN"/>
            </w:rPr>
          </w:pPr>
          <w:r>
            <w:rPr>
              <w:rFonts w:hint="eastAsia" w:ascii="Cambria" w:hAnsi="Cambria" w:eastAsia="宋体" w:cs="Times New Roman"/>
              <w:b/>
              <w:bCs/>
              <w:color w:val="000000"/>
              <w:sz w:val="32"/>
              <w:szCs w:val="32"/>
              <w:lang w:val="zh-CN" w:eastAsia="zh-CN"/>
            </w:rPr>
            <w:t>第一章 竞争性磋商公告</w:t>
          </w:r>
        </w:p>
        <w:p>
          <w:pPr>
            <w:keepNext/>
            <w:keepLines/>
            <w:spacing w:line="320" w:lineRule="exact"/>
            <w:ind w:firstLine="420" w:firstLineChars="200"/>
            <w:outlineLvl w:val="1"/>
            <w:rPr>
              <w:rFonts w:hint="eastAsia" w:ascii="宋体" w:hAnsi="宋体" w:eastAsia="宋体" w:cs="宋体"/>
              <w:b w:val="0"/>
              <w:bCs/>
              <w:color w:val="000000"/>
              <w:szCs w:val="21"/>
              <w:lang w:val="zh-CN" w:eastAsia="zh-CN"/>
            </w:rPr>
          </w:pPr>
          <w:bookmarkStart w:id="0" w:name="_Toc28359012"/>
          <w:bookmarkStart w:id="1" w:name="_Toc44229878"/>
          <w:bookmarkStart w:id="2" w:name="_Toc35393798"/>
          <w:bookmarkStart w:id="3" w:name="_Toc35393629"/>
          <w:bookmarkStart w:id="4" w:name="_Toc47452205"/>
          <w:bookmarkStart w:id="5" w:name="_Toc28359089"/>
          <w:r>
            <w:rPr>
              <w:rFonts w:hint="eastAsia" w:ascii="宋体" w:hAnsi="宋体" w:eastAsia="宋体" w:cs="宋体"/>
              <w:b w:val="0"/>
              <w:bCs/>
              <w:color w:val="000000"/>
              <w:szCs w:val="21"/>
              <w:lang w:val="zh-CN" w:eastAsia="zh-CN"/>
            </w:rPr>
            <w:t>根据医院业务需要，拟</w:t>
          </w:r>
          <w:r>
            <w:rPr>
              <w:rFonts w:hint="eastAsia" w:ascii="宋体" w:hAnsi="宋体" w:eastAsia="宋体" w:cs="宋体"/>
              <w:b w:val="0"/>
              <w:bCs/>
              <w:color w:val="000000"/>
              <w:szCs w:val="21"/>
              <w:lang w:val="en-US" w:eastAsia="zh-CN"/>
            </w:rPr>
            <w:t>进行</w:t>
          </w:r>
          <w:r>
            <w:rPr>
              <w:rFonts w:hint="eastAsia" w:ascii="宋体" w:hAnsi="宋体" w:eastAsia="宋体" w:cs="宋体"/>
              <w:b w:val="0"/>
              <w:bCs/>
              <w:color w:val="000000"/>
              <w:szCs w:val="21"/>
              <w:lang w:val="zh-CN" w:eastAsia="zh-CN"/>
            </w:rPr>
            <w:t>DRG智慧运营软件</w:t>
          </w:r>
          <w:r>
            <w:rPr>
              <w:rFonts w:hint="eastAsia" w:ascii="宋体" w:hAnsi="宋体" w:eastAsia="宋体" w:cs="宋体"/>
              <w:b w:val="0"/>
              <w:bCs/>
              <w:color w:val="000000"/>
              <w:szCs w:val="21"/>
              <w:lang w:val="en-US" w:eastAsia="zh-CN"/>
            </w:rPr>
            <w:t>采购项目院内竞争性磋商</w:t>
          </w:r>
          <w:r>
            <w:rPr>
              <w:rFonts w:hint="eastAsia" w:ascii="宋体" w:hAnsi="宋体" w:eastAsia="宋体" w:cs="宋体"/>
              <w:b w:val="0"/>
              <w:bCs/>
              <w:color w:val="000000"/>
              <w:szCs w:val="21"/>
              <w:lang w:val="zh-CN" w:eastAsia="zh-CN"/>
            </w:rPr>
            <w:t>，</w:t>
          </w:r>
          <w:r>
            <w:rPr>
              <w:rFonts w:hint="eastAsia" w:ascii="宋体" w:hAnsi="宋体" w:eastAsia="宋体" w:cs="宋体"/>
              <w:b w:val="0"/>
              <w:bCs/>
              <w:color w:val="000000"/>
              <w:szCs w:val="21"/>
              <w:lang w:val="en-US" w:eastAsia="zh-CN"/>
            </w:rPr>
            <w:t>请符合条件的供应商在规定时间内获取磋商文件，并按要求提交响应文件</w:t>
          </w:r>
          <w:r>
            <w:rPr>
              <w:rFonts w:hint="eastAsia" w:ascii="宋体" w:hAnsi="宋体" w:eastAsia="宋体" w:cs="宋体"/>
              <w:b w:val="0"/>
              <w:bCs/>
              <w:color w:val="000000"/>
              <w:szCs w:val="21"/>
              <w:lang w:val="zh-CN" w:eastAsia="zh-CN"/>
            </w:rPr>
            <w:t>。</w:t>
          </w:r>
        </w:p>
        <w:p>
          <w:pPr>
            <w:keepNext/>
            <w:keepLines/>
            <w:spacing w:line="320" w:lineRule="exact"/>
            <w:ind w:firstLine="422" w:firstLineChars="200"/>
            <w:outlineLvl w:val="1"/>
            <w:rPr>
              <w:rFonts w:ascii="宋体" w:hAnsi="宋体" w:eastAsia="宋体" w:cs="宋体"/>
              <w:b/>
              <w:color w:val="000000"/>
              <w:szCs w:val="21"/>
              <w:lang w:val="zh-CN" w:eastAsia="zh-CN"/>
            </w:rPr>
          </w:pPr>
          <w:r>
            <w:rPr>
              <w:rFonts w:hint="eastAsia" w:ascii="宋体" w:hAnsi="宋体" w:eastAsia="宋体" w:cs="宋体"/>
              <w:b/>
              <w:color w:val="000000"/>
              <w:szCs w:val="21"/>
              <w:lang w:val="zh-CN" w:eastAsia="zh-CN"/>
            </w:rPr>
            <w:t>一、项目基本情况</w:t>
          </w:r>
          <w:bookmarkEnd w:id="0"/>
          <w:bookmarkEnd w:id="1"/>
          <w:bookmarkEnd w:id="2"/>
          <w:bookmarkEnd w:id="3"/>
          <w:bookmarkEnd w:id="4"/>
          <w:bookmarkEnd w:id="5"/>
        </w:p>
        <w:p>
          <w:pPr>
            <w:spacing w:line="320" w:lineRule="exact"/>
            <w:ind w:firstLine="420" w:firstLineChars="200"/>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w:t>
          </w:r>
          <w:r>
            <w:rPr>
              <w:rFonts w:hint="eastAsia" w:ascii="宋体" w:hAnsi="宋体" w:eastAsia="宋体" w:cs="Times New Roman"/>
              <w:color w:val="000000"/>
              <w:szCs w:val="21"/>
              <w:highlight w:val="none"/>
            </w:rPr>
            <w:t>GXGSYY-CGB-</w:t>
          </w:r>
          <w:r>
            <w:rPr>
              <w:rFonts w:hint="eastAsia" w:ascii="宋体" w:hAnsi="宋体" w:eastAsia="宋体" w:cs="Times New Roman"/>
              <w:color w:val="000000"/>
              <w:szCs w:val="21"/>
              <w:highlight w:val="none"/>
              <w:lang w:val="en-US" w:eastAsia="zh-CN"/>
            </w:rPr>
            <w:t>CWYYB</w:t>
          </w:r>
          <w:r>
            <w:rPr>
              <w:rFonts w:hint="eastAsia" w:ascii="宋体" w:hAnsi="宋体" w:eastAsia="宋体" w:cs="Times New Roman"/>
              <w:color w:val="000000"/>
              <w:szCs w:val="21"/>
              <w:highlight w:val="none"/>
            </w:rPr>
            <w:t>-202</w:t>
          </w:r>
          <w:r>
            <w:rPr>
              <w:rFonts w:hint="eastAsia" w:ascii="宋体" w:hAnsi="宋体" w:eastAsia="宋体" w:cs="Times New Roman"/>
              <w:color w:val="000000"/>
              <w:szCs w:val="21"/>
              <w:highlight w:val="none"/>
              <w:lang w:val="en-US" w:eastAsia="zh-CN"/>
            </w:rPr>
            <w:t>5</w:t>
          </w:r>
          <w:r>
            <w:rPr>
              <w:rFonts w:hint="eastAsia" w:ascii="宋体" w:hAnsi="宋体" w:eastAsia="宋体" w:cs="Times New Roman"/>
              <w:color w:val="000000"/>
              <w:szCs w:val="21"/>
              <w:highlight w:val="none"/>
            </w:rPr>
            <w:t>-</w:t>
          </w:r>
          <w:r>
            <w:rPr>
              <w:rFonts w:hint="eastAsia" w:ascii="宋体" w:hAnsi="宋体" w:cs="Times New Roman"/>
              <w:color w:val="000000"/>
              <w:szCs w:val="21"/>
              <w:highlight w:val="none"/>
              <w:lang w:val="en-US" w:eastAsia="zh-CN"/>
            </w:rPr>
            <w:t>06</w:t>
          </w:r>
        </w:p>
        <w:p>
          <w:pPr>
            <w:spacing w:line="320" w:lineRule="exact"/>
            <w:ind w:firstLine="420" w:firstLineChars="200"/>
            <w:rPr>
              <w:rFonts w:ascii="宋体" w:hAnsi="宋体" w:eastAsia="宋体" w:cs="Times New Roman"/>
              <w:color w:val="000000"/>
              <w:szCs w:val="21"/>
              <w:u w:val="single"/>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项目名称：广西骨伤医院</w:t>
          </w:r>
          <w:r>
            <w:rPr>
              <w:rFonts w:hint="eastAsia" w:ascii="宋体" w:hAnsi="宋体" w:eastAsia="宋体" w:cs="Times New Roman"/>
              <w:color w:val="000000"/>
              <w:szCs w:val="21"/>
              <w:lang w:val="en-US" w:eastAsia="zh-CN"/>
            </w:rPr>
            <w:t>DRG智慧运营软件服务</w:t>
          </w:r>
          <w:r>
            <w:rPr>
              <w:rFonts w:hint="eastAsia" w:ascii="宋体" w:hAnsi="宋体" w:eastAsia="宋体" w:cs="Times New Roman"/>
              <w:color w:val="000000"/>
              <w:szCs w:val="21"/>
            </w:rPr>
            <w:t>采购项目</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采购方式：竞争性磋商</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lang w:val="en-US" w:eastAsia="zh-CN"/>
            </w:rPr>
            <w:t>4</w:t>
          </w:r>
          <w:r>
            <w:rPr>
              <w:rFonts w:ascii="宋体" w:hAnsi="宋体" w:eastAsia="宋体" w:cs="Times New Roman"/>
              <w:color w:val="000000"/>
              <w:szCs w:val="21"/>
            </w:rPr>
            <w:t>.</w:t>
          </w:r>
          <w:r>
            <w:rPr>
              <w:rFonts w:hint="eastAsia" w:ascii="宋体" w:hAnsi="宋体" w:eastAsia="宋体" w:cs="Times New Roman"/>
              <w:color w:val="000000"/>
              <w:szCs w:val="21"/>
              <w:lang w:val="en-US" w:eastAsia="zh-CN"/>
            </w:rPr>
            <w:t>采购上控价</w:t>
          </w:r>
          <w:r>
            <w:rPr>
              <w:rFonts w:hint="eastAsia" w:ascii="宋体" w:hAnsi="宋体" w:eastAsia="宋体" w:cs="Times New Roman"/>
              <w:color w:val="000000"/>
              <w:szCs w:val="21"/>
            </w:rPr>
            <w:t>：</w:t>
          </w:r>
          <w:r>
            <w:rPr>
              <w:rFonts w:hint="eastAsia" w:ascii="宋体" w:hAnsi="宋体" w:eastAsia="宋体" w:cs="Times New Roman"/>
              <w:color w:val="000000"/>
              <w:szCs w:val="21"/>
              <w:lang w:val="en-US" w:eastAsia="zh-CN"/>
            </w:rPr>
            <w:t>13.8万元</w:t>
          </w:r>
          <w:r>
            <w:rPr>
              <w:rFonts w:hint="eastAsia" w:ascii="宋体" w:hAnsi="宋体" w:eastAsia="宋体" w:cs="Times New Roman"/>
              <w:color w:val="000000"/>
              <w:szCs w:val="21"/>
            </w:rPr>
            <w:t>。</w:t>
          </w:r>
          <w:bookmarkStart w:id="6" w:name="_Toc35393630"/>
          <w:bookmarkStart w:id="7" w:name="_Toc47452206"/>
          <w:bookmarkStart w:id="8" w:name="_Toc35393799"/>
          <w:bookmarkStart w:id="9" w:name="_Toc28359090"/>
          <w:bookmarkStart w:id="10" w:name="_Toc44229879"/>
          <w:bookmarkStart w:id="11" w:name="_Toc28359013"/>
        </w:p>
        <w:p>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lang w:val="en-US" w:eastAsia="zh-CN"/>
            </w:rPr>
            <w:t>5</w:t>
          </w:r>
          <w:r>
            <w:rPr>
              <w:rFonts w:ascii="宋体" w:hAnsi="宋体" w:eastAsia="宋体" w:cs="Times New Roman"/>
              <w:color w:val="000000"/>
              <w:szCs w:val="21"/>
            </w:rPr>
            <w:t>.</w:t>
          </w:r>
          <w:r>
            <w:rPr>
              <w:rFonts w:hint="eastAsia" w:ascii="宋体" w:hAnsi="宋体" w:eastAsia="宋体" w:cs="Times New Roman"/>
              <w:color w:val="000000"/>
              <w:szCs w:val="21"/>
            </w:rPr>
            <w:t>采购需求</w:t>
          </w:r>
        </w:p>
        <w:p>
          <w:pPr>
            <w:pStyle w:val="2"/>
            <w:ind w:firstLine="420" w:firstLineChars="200"/>
            <w:rPr>
              <w:rFonts w:hint="default" w:ascii="宋体" w:hAnsi="宋体" w:eastAsia="宋体" w:cs="Times New Roman"/>
              <w:color w:val="000000"/>
              <w:kern w:val="2"/>
              <w:sz w:val="21"/>
              <w:szCs w:val="21"/>
              <w:lang w:val="en-US" w:eastAsia="zh-CN" w:bidi="ar-SA"/>
            </w:rPr>
          </w:pPr>
        </w:p>
        <w:tbl>
          <w:tblPr>
            <w:tblStyle w:val="4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992"/>
            <w:gridCol w:w="574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标的名称</w:t>
                </w:r>
              </w:p>
            </w:tc>
            <w:tc>
              <w:tcPr>
                <w:tcW w:w="992"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数量及单位</w:t>
                </w:r>
              </w:p>
            </w:tc>
            <w:tc>
              <w:tcPr>
                <w:tcW w:w="5742"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简要技术需求或服务要求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tcPr>
              <w:p>
                <w:pPr>
                  <w:spacing w:line="440" w:lineRule="exact"/>
                  <w:rPr>
                    <w:rFonts w:ascii="宋体" w:hAnsi="宋体" w:eastAsia="宋体" w:cs="Calibri"/>
                    <w:color w:val="000000"/>
                    <w:szCs w:val="21"/>
                  </w:rPr>
                </w:pPr>
                <w:r>
                  <w:rPr>
                    <w:rFonts w:hint="eastAsia" w:ascii="宋体" w:hAnsi="宋体" w:eastAsia="宋体" w:cs="Times New Roman"/>
                    <w:color w:val="000000"/>
                    <w:szCs w:val="21"/>
                    <w:lang w:val="en-US" w:eastAsia="zh-CN"/>
                  </w:rPr>
                  <w:t>院DRG智慧运营软件服务</w:t>
                </w:r>
              </w:p>
            </w:tc>
            <w:tc>
              <w:tcPr>
                <w:tcW w:w="992" w:type="dxa"/>
                <w:tcBorders>
                  <w:top w:val="single" w:color="auto" w:sz="4" w:space="0"/>
                  <w:left w:val="nil"/>
                  <w:bottom w:val="single" w:color="auto" w:sz="4" w:space="0"/>
                  <w:right w:val="single" w:color="auto" w:sz="4" w:space="0"/>
                </w:tcBorders>
              </w:tcPr>
              <w:p>
                <w:pPr>
                  <w:spacing w:line="440" w:lineRule="exact"/>
                  <w:jc w:val="center"/>
                  <w:rPr>
                    <w:rFonts w:ascii="宋体" w:hAnsi="宋体" w:eastAsia="宋体" w:cs="Calibri"/>
                    <w:color w:val="000000"/>
                    <w:szCs w:val="21"/>
                  </w:rPr>
                </w:pPr>
                <w:r>
                  <w:rPr>
                    <w:rFonts w:hint="eastAsia" w:ascii="宋体" w:hAnsi="宋体" w:eastAsia="宋体" w:cs="Calibri"/>
                    <w:color w:val="000000"/>
                    <w:szCs w:val="21"/>
                  </w:rPr>
                  <w:t>1项</w:t>
                </w:r>
              </w:p>
            </w:tc>
            <w:tc>
              <w:tcPr>
                <w:tcW w:w="5742" w:type="dxa"/>
                <w:tcBorders>
                  <w:top w:val="single" w:color="auto" w:sz="4" w:space="0"/>
                  <w:left w:val="nil"/>
                  <w:bottom w:val="single" w:color="auto" w:sz="4" w:space="0"/>
                  <w:right w:val="single" w:color="auto" w:sz="4" w:space="0"/>
                </w:tcBorders>
              </w:tcPr>
              <w:p>
                <w:pPr>
                  <w:spacing w:line="440" w:lineRule="exact"/>
                  <w:rPr>
                    <w:rFonts w:hint="default" w:ascii="宋体" w:hAnsi="宋体" w:eastAsia="宋体" w:cs="Calibri"/>
                    <w:color w:val="000000"/>
                    <w:szCs w:val="21"/>
                    <w:lang w:val="en-US"/>
                  </w:rPr>
                </w:pPr>
                <w:r>
                  <w:rPr>
                    <w:rFonts w:hint="eastAsia" w:ascii="宋体" w:hAnsi="宋体" w:eastAsia="宋体" w:cs="Times New Roman"/>
                    <w:color w:val="000000"/>
                    <w:szCs w:val="21"/>
                    <w:lang w:val="en-US" w:eastAsia="zh-CN"/>
                  </w:rPr>
                  <w:t>软件整体涵盖了结算清单管理系统、DRG分组检测预警系统、DRG医院智能管理系统等三大模块功能，两个月内完成系统软件上线、测试、验收。</w:t>
                </w:r>
                <w:r>
                  <w:rPr>
                    <w:rFonts w:hint="eastAsia" w:ascii="宋体" w:hAnsi="宋体" w:eastAsia="宋体" w:cs="Times New Roman"/>
                    <w:b/>
                    <w:bCs/>
                    <w:color w:val="000000"/>
                    <w:szCs w:val="21"/>
                    <w:lang w:val="en-US" w:eastAsia="zh-CN"/>
                  </w:rPr>
                  <w:t>（详细需求参数见磋商文件）</w:t>
                </w:r>
              </w:p>
            </w:tc>
          </w:tr>
        </w:tbl>
        <w:p>
          <w:pPr>
            <w:pStyle w:val="2"/>
            <w:rPr>
              <w:rFonts w:hint="default" w:ascii="宋体" w:hAnsi="宋体" w:eastAsia="宋体" w:cs="Times New Roman"/>
              <w:b/>
              <w:bCs/>
              <w:color w:val="000000"/>
              <w:szCs w:val="21"/>
              <w:lang w:val="en-US" w:eastAsia="zh-CN"/>
            </w:rPr>
          </w:pPr>
        </w:p>
        <w:p>
          <w:pPr>
            <w:keepNext/>
            <w:keepLines/>
            <w:spacing w:line="320" w:lineRule="exact"/>
            <w:ind w:firstLine="422" w:firstLineChars="200"/>
            <w:outlineLvl w:val="1"/>
            <w:rPr>
              <w:rFonts w:ascii="宋体" w:hAnsi="宋体" w:eastAsia="宋体" w:cs="宋体"/>
              <w:b/>
              <w:color w:val="000000"/>
              <w:szCs w:val="21"/>
              <w:lang w:val="zh-CN" w:eastAsia="zh-CN"/>
            </w:rPr>
          </w:pPr>
          <w:r>
            <w:rPr>
              <w:rFonts w:hint="eastAsia" w:ascii="宋体" w:hAnsi="宋体" w:eastAsia="宋体" w:cs="宋体"/>
              <w:b/>
              <w:color w:val="000000"/>
              <w:szCs w:val="21"/>
              <w:lang w:val="zh-CN"/>
            </w:rPr>
            <w:t>二</w:t>
          </w:r>
          <w:r>
            <w:rPr>
              <w:rFonts w:hint="eastAsia" w:ascii="宋体" w:hAnsi="宋体" w:eastAsia="宋体" w:cs="宋体"/>
              <w:b/>
              <w:color w:val="000000"/>
              <w:szCs w:val="21"/>
              <w:lang w:val="zh-CN" w:eastAsia="zh-CN"/>
            </w:rPr>
            <w:t>、供应商的</w:t>
          </w:r>
          <w:bookmarkEnd w:id="6"/>
          <w:bookmarkEnd w:id="7"/>
          <w:bookmarkEnd w:id="8"/>
          <w:bookmarkEnd w:id="9"/>
          <w:bookmarkEnd w:id="10"/>
          <w:bookmarkEnd w:id="11"/>
          <w:r>
            <w:rPr>
              <w:rFonts w:hint="eastAsia" w:ascii="宋体" w:hAnsi="宋体" w:eastAsia="宋体" w:cs="宋体"/>
              <w:b/>
              <w:color w:val="000000"/>
              <w:szCs w:val="21"/>
              <w:lang w:val="zh-CN"/>
            </w:rPr>
            <w:t>资格条件</w:t>
          </w:r>
        </w:p>
        <w:p>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szCs w:val="21"/>
              <w:highlight w:val="none"/>
            </w:rPr>
          </w:pPr>
          <w:bookmarkStart w:id="12" w:name="_Toc28359091"/>
          <w:bookmarkStart w:id="13" w:name="_Toc28359014"/>
          <w:r>
            <w:rPr>
              <w:rFonts w:hint="eastAsia" w:ascii="宋体" w:hAnsi="宋体" w:eastAsia="宋体" w:cs="宋体"/>
              <w:kern w:val="2"/>
              <w:sz w:val="21"/>
              <w:szCs w:val="21"/>
              <w:lang w:val="en-US" w:eastAsia="zh-CN" w:bidi="ar-SA"/>
            </w:rPr>
            <w:t>1.</w:t>
          </w:r>
          <w:r>
            <w:rPr>
              <w:rFonts w:hint="eastAsia" w:ascii="宋体" w:hAnsi="宋体" w:eastAsia="宋体" w:cs="宋体"/>
              <w:szCs w:val="21"/>
              <w:highlight w:val="none"/>
              <w:lang w:val="en-US" w:eastAsia="zh-CN"/>
            </w:rPr>
            <w:t>符合</w:t>
          </w:r>
          <w:r>
            <w:rPr>
              <w:rFonts w:hint="eastAsia" w:ascii="宋体" w:hAnsi="宋体" w:eastAsia="宋体" w:cs="宋体"/>
              <w:szCs w:val="21"/>
              <w:highlight w:val="none"/>
            </w:rPr>
            <w:t>政府采购法第二十二条第一款规定的条件，提供下列材料</w:t>
          </w:r>
          <w:r>
            <w:rPr>
              <w:rFonts w:hint="eastAsia" w:ascii="宋体" w:hAnsi="宋体" w:cs="宋体"/>
              <w:szCs w:val="21"/>
              <w:highlight w:val="none"/>
              <w:lang w:eastAsia="zh-CN"/>
            </w:rPr>
            <w:t>：</w:t>
          </w:r>
        </w:p>
        <w:p>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szCs w:val="21"/>
              <w:highlight w:val="none"/>
              <w:lang w:eastAsia="zh-CN"/>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1</w:t>
          </w:r>
          <w:r>
            <w:rPr>
              <w:rFonts w:hint="eastAsia" w:ascii="宋体" w:hAnsi="宋体" w:eastAsia="宋体" w:cs="宋体"/>
              <w:szCs w:val="21"/>
              <w:highlight w:val="none"/>
              <w:lang w:eastAsia="zh-CN"/>
            </w:rPr>
            <w:t>）</w:t>
          </w:r>
          <w:r>
            <w:rPr>
              <w:rFonts w:hint="eastAsia" w:ascii="宋体" w:hAnsi="宋体" w:eastAsia="宋体" w:cs="宋体"/>
              <w:szCs w:val="21"/>
              <w:highlight w:val="none"/>
            </w:rPr>
            <w:t>法人或者其他组织的营业执照等证明文件，自然人的身份证明</w:t>
          </w:r>
          <w:r>
            <w:rPr>
              <w:rFonts w:hint="eastAsia" w:ascii="宋体" w:hAnsi="宋体" w:eastAsia="宋体" w:cs="宋体"/>
              <w:szCs w:val="21"/>
              <w:highlight w:val="none"/>
              <w:lang w:eastAsia="zh-CN"/>
            </w:rPr>
            <w:t>；</w:t>
          </w:r>
        </w:p>
        <w:p>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szCs w:val="21"/>
              <w:highlight w:val="none"/>
              <w:lang w:eastAsia="zh-CN"/>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2</w:t>
          </w:r>
          <w:r>
            <w:rPr>
              <w:rFonts w:hint="eastAsia" w:ascii="宋体" w:hAnsi="宋体" w:eastAsia="宋体" w:cs="宋体"/>
              <w:szCs w:val="21"/>
              <w:highlight w:val="none"/>
              <w:lang w:eastAsia="zh-CN"/>
            </w:rPr>
            <w:t>）</w:t>
          </w:r>
          <w:r>
            <w:rPr>
              <w:rFonts w:hint="eastAsia" w:ascii="宋体" w:hAnsi="宋体" w:eastAsia="宋体" w:cs="宋体"/>
              <w:szCs w:val="21"/>
              <w:highlight w:val="none"/>
            </w:rPr>
            <w:t>财务状况报告，依法缴纳税收和社会保障资金的相关材料</w:t>
          </w:r>
          <w:r>
            <w:rPr>
              <w:rFonts w:hint="eastAsia" w:ascii="宋体" w:hAnsi="宋体" w:eastAsia="宋体" w:cs="宋体"/>
              <w:szCs w:val="21"/>
              <w:highlight w:val="none"/>
              <w:lang w:eastAsia="zh-CN"/>
            </w:rPr>
            <w:t>；</w:t>
          </w:r>
        </w:p>
        <w:p>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szCs w:val="21"/>
              <w:highlight w:val="none"/>
              <w:lang w:eastAsia="zh-CN"/>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3</w:t>
          </w:r>
          <w:r>
            <w:rPr>
              <w:rFonts w:hint="eastAsia" w:ascii="宋体" w:hAnsi="宋体" w:eastAsia="宋体" w:cs="宋体"/>
              <w:szCs w:val="21"/>
              <w:highlight w:val="none"/>
              <w:lang w:eastAsia="zh-CN"/>
            </w:rPr>
            <w:t>）</w:t>
          </w:r>
          <w:r>
            <w:rPr>
              <w:rFonts w:hint="eastAsia" w:ascii="宋体" w:hAnsi="宋体" w:eastAsia="宋体" w:cs="宋体"/>
              <w:szCs w:val="21"/>
              <w:highlight w:val="none"/>
            </w:rPr>
            <w:t>具备履行合同所必需的设备和专业技术能力的证明材料</w:t>
          </w:r>
          <w:r>
            <w:rPr>
              <w:rFonts w:hint="eastAsia" w:ascii="宋体" w:hAnsi="宋体" w:eastAsia="宋体" w:cs="宋体"/>
              <w:szCs w:val="21"/>
              <w:highlight w:val="none"/>
              <w:lang w:eastAsia="zh-CN"/>
            </w:rPr>
            <w:t>；</w:t>
          </w:r>
        </w:p>
        <w:p>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szCs w:val="21"/>
              <w:highlight w:val="none"/>
              <w:lang w:eastAsia="zh-CN"/>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4</w:t>
          </w:r>
          <w:r>
            <w:rPr>
              <w:rFonts w:hint="eastAsia" w:ascii="宋体" w:hAnsi="宋体" w:eastAsia="宋体" w:cs="宋体"/>
              <w:szCs w:val="21"/>
              <w:highlight w:val="none"/>
              <w:lang w:eastAsia="zh-CN"/>
            </w:rPr>
            <w:t>）</w:t>
          </w:r>
          <w:r>
            <w:rPr>
              <w:rFonts w:hint="eastAsia" w:ascii="宋体" w:hAnsi="宋体" w:eastAsia="宋体" w:cs="宋体"/>
              <w:szCs w:val="21"/>
              <w:highlight w:val="none"/>
            </w:rPr>
            <w:t>参加政府采购活动前3年内在经营活动中没有重大违法记录的书面声明</w:t>
          </w:r>
          <w:r>
            <w:rPr>
              <w:rFonts w:hint="eastAsia" w:ascii="宋体" w:hAnsi="宋体" w:eastAsia="宋体" w:cs="宋体"/>
              <w:szCs w:val="21"/>
              <w:highlight w:val="none"/>
              <w:lang w:val="en-US" w:eastAsia="zh-CN"/>
            </w:rPr>
            <w:t>和失信行为的证明</w:t>
          </w:r>
          <w:r>
            <w:rPr>
              <w:rFonts w:hint="eastAsia" w:ascii="宋体" w:hAnsi="宋体" w:eastAsia="宋体" w:cs="宋体"/>
              <w:szCs w:val="21"/>
              <w:highlight w:val="none"/>
              <w:lang w:eastAsia="zh-CN"/>
            </w:rPr>
            <w:t>；</w:t>
          </w:r>
        </w:p>
        <w:p>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2.本项目特定要求：</w:t>
          </w:r>
        </w:p>
        <w:p>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firstLine="420" w:firstLineChars="200"/>
            <w:textAlignment w:val="auto"/>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（1）具有履行合同所必需的条件，在南宁市有固定的服务团队和经营场所；</w:t>
          </w:r>
        </w:p>
        <w:p>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3.是否接收联合体投标：□是   ☑否</w:t>
          </w:r>
        </w:p>
        <w:p>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4.是否面向中小微企业预留份额：☑是     □否</w:t>
          </w:r>
        </w:p>
        <w:p>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szCs w:val="21"/>
              <w:highlight w:val="none"/>
            </w:rPr>
          </w:pPr>
          <w:r>
            <w:rPr>
              <w:rFonts w:hint="eastAsia" w:ascii="宋体" w:hAnsi="宋体" w:eastAsia="宋体" w:cs="宋体"/>
              <w:szCs w:val="21"/>
              <w:highlight w:val="none"/>
              <w:lang w:val="en-US" w:eastAsia="zh-CN"/>
            </w:rPr>
            <w:t>5.是否允许分包/转包：□是   ☑否</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三、获取竞争性磋商文件</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ascii="宋体" w:hAnsi="宋体" w:eastAsia="宋体" w:cs="Times New Roman"/>
              <w:b/>
              <w:bCs/>
              <w:color w:val="000000"/>
              <w:szCs w:val="21"/>
            </w:rPr>
            <w:t>获取时间</w:t>
          </w:r>
          <w:r>
            <w:rPr>
              <w:rFonts w:ascii="宋体" w:hAnsi="宋体" w:eastAsia="宋体" w:cs="Times New Roman"/>
              <w:color w:val="000000"/>
              <w:szCs w:val="21"/>
            </w:rPr>
            <w:t>：自本公告发布之时起至</w:t>
          </w:r>
          <w:r>
            <w:rPr>
              <w:rFonts w:ascii="宋体" w:hAnsi="宋体" w:eastAsia="宋体" w:cs="Times New Roman"/>
              <w:color w:val="000000"/>
              <w:szCs w:val="21"/>
              <w:highlight w:val="none"/>
            </w:rPr>
            <w:t>202</w:t>
          </w:r>
          <w:r>
            <w:rPr>
              <w:rFonts w:hint="eastAsia" w:ascii="宋体" w:hAnsi="宋体" w:eastAsia="宋体" w:cs="Times New Roman"/>
              <w:color w:val="000000"/>
              <w:szCs w:val="21"/>
              <w:highlight w:val="none"/>
              <w:lang w:val="en-US" w:eastAsia="zh-CN"/>
            </w:rPr>
            <w:t>5</w:t>
          </w:r>
          <w:r>
            <w:rPr>
              <w:rFonts w:ascii="宋体" w:hAnsi="宋体" w:eastAsia="宋体" w:cs="Times New Roman"/>
              <w:color w:val="000000"/>
              <w:szCs w:val="21"/>
              <w:highlight w:val="none"/>
            </w:rPr>
            <w:t>年</w:t>
          </w:r>
          <w:r>
            <w:rPr>
              <w:rFonts w:hint="eastAsia" w:ascii="宋体" w:hAnsi="宋体" w:eastAsia="宋体" w:cs="Times New Roman"/>
              <w:color w:val="000000"/>
              <w:szCs w:val="21"/>
              <w:highlight w:val="yellow"/>
              <w:lang w:val="en-US" w:eastAsia="zh-CN"/>
            </w:rPr>
            <w:t xml:space="preserve"> </w:t>
          </w:r>
          <w:r>
            <w:rPr>
              <w:rFonts w:ascii="宋体" w:hAnsi="宋体" w:eastAsia="宋体" w:cs="Times New Roman"/>
              <w:color w:val="000000"/>
              <w:szCs w:val="21"/>
              <w:highlight w:val="none"/>
            </w:rPr>
            <w:t>月</w:t>
          </w:r>
          <w:r>
            <w:rPr>
              <w:rFonts w:hint="eastAsia" w:ascii="宋体" w:hAnsi="宋体" w:eastAsia="宋体" w:cs="Times New Roman"/>
              <w:color w:val="000000"/>
              <w:szCs w:val="21"/>
              <w:highlight w:val="yellow"/>
              <w:lang w:val="en-US" w:eastAsia="zh-CN"/>
            </w:rPr>
            <w:t xml:space="preserve">  </w:t>
          </w:r>
          <w:r>
            <w:rPr>
              <w:rFonts w:ascii="宋体" w:hAnsi="宋体" w:eastAsia="宋体" w:cs="Times New Roman"/>
              <w:color w:val="000000"/>
              <w:szCs w:val="21"/>
              <w:highlight w:val="none"/>
            </w:rPr>
            <w:t>日18时00分。</w:t>
          </w:r>
        </w:p>
        <w:p>
          <w:pPr>
            <w:spacing w:line="320" w:lineRule="exact"/>
            <w:ind w:firstLine="420" w:firstLineChars="200"/>
            <w:rPr>
              <w:rFonts w:hint="eastAsia" w:ascii="宋体" w:hAnsi="宋体" w:eastAsia="宋体" w:cs="Times New Roman"/>
              <w:color w:val="000000"/>
              <w:szCs w:val="21"/>
              <w:highlight w:val="none"/>
            </w:rPr>
          </w:pPr>
          <w:r>
            <w:rPr>
              <w:rFonts w:ascii="宋体" w:hAnsi="宋体" w:eastAsia="宋体" w:cs="Times New Roman"/>
              <w:color w:val="000000"/>
              <w:szCs w:val="21"/>
              <w:highlight w:val="none"/>
            </w:rPr>
            <w:t>2.</w:t>
          </w:r>
          <w:r>
            <w:rPr>
              <w:rFonts w:hint="eastAsia" w:ascii="宋体" w:hAnsi="宋体" w:eastAsia="宋体" w:cs="Times New Roman"/>
              <w:b/>
              <w:bCs/>
              <w:color w:val="000000"/>
              <w:szCs w:val="21"/>
              <w:highlight w:val="none"/>
            </w:rPr>
            <w:t>获取方式</w:t>
          </w:r>
          <w:r>
            <w:rPr>
              <w:rFonts w:hint="eastAsia" w:ascii="宋体" w:hAnsi="宋体" w:eastAsia="宋体" w:cs="Times New Roman"/>
              <w:color w:val="000000"/>
              <w:szCs w:val="21"/>
              <w:highlight w:val="none"/>
            </w:rPr>
            <w:t>：</w:t>
          </w:r>
        </w:p>
        <w:p>
          <w:pPr>
            <w:spacing w:line="320" w:lineRule="exact"/>
            <w:ind w:firstLine="420" w:firstLineChars="200"/>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eastAsia="zh-CN"/>
            </w:rPr>
            <w:t>（</w:t>
          </w:r>
          <w:r>
            <w:rPr>
              <w:rFonts w:hint="eastAsia" w:ascii="宋体" w:hAnsi="宋体" w:eastAsia="宋体" w:cs="Times New Roman"/>
              <w:color w:val="000000"/>
              <w:szCs w:val="21"/>
              <w:highlight w:val="none"/>
              <w:lang w:val="en-US" w:eastAsia="zh-CN"/>
            </w:rPr>
            <w:t>1</w:t>
          </w:r>
          <w:r>
            <w:rPr>
              <w:rFonts w:hint="eastAsia" w:ascii="宋体" w:hAnsi="宋体" w:eastAsia="宋体" w:cs="Times New Roman"/>
              <w:color w:val="000000"/>
              <w:szCs w:val="21"/>
              <w:highlight w:val="none"/>
              <w:lang w:eastAsia="zh-CN"/>
            </w:rPr>
            <w:t>）</w:t>
          </w:r>
          <w:r>
            <w:rPr>
              <w:rFonts w:hint="eastAsia" w:ascii="宋体" w:hAnsi="宋体" w:eastAsia="宋体" w:cs="Times New Roman"/>
              <w:color w:val="000000"/>
              <w:szCs w:val="21"/>
              <w:highlight w:val="none"/>
              <w:lang w:val="en-US" w:eastAsia="zh-CN"/>
            </w:rPr>
            <w:t>投标人将报名材料（如下要求）、授权委托书及受委托人身份证复印件（如委托代理投标须提供）纸质版（正本一份加盖公章）报送至：广西骨伤医院采购办（广西南宁市东葛路1号锦华前楼401）；</w:t>
          </w:r>
        </w:p>
        <w:p>
          <w:pPr>
            <w:spacing w:line="320" w:lineRule="exact"/>
            <w:ind w:firstLine="420" w:firstLineChars="200"/>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（2）采购人进行资质审查通过后，将</w:t>
          </w:r>
          <w:r>
            <w:rPr>
              <w:rFonts w:hint="eastAsia" w:ascii="宋体" w:hAnsi="宋体" w:cs="Times New Roman"/>
              <w:color w:val="000000"/>
              <w:szCs w:val="21"/>
              <w:highlight w:val="none"/>
              <w:lang w:val="en-US" w:eastAsia="zh-CN"/>
            </w:rPr>
            <w:t>磋商</w:t>
          </w:r>
          <w:r>
            <w:rPr>
              <w:rFonts w:hint="eastAsia" w:ascii="宋体" w:hAnsi="宋体" w:eastAsia="宋体" w:cs="Times New Roman"/>
              <w:color w:val="000000"/>
              <w:szCs w:val="21"/>
              <w:highlight w:val="none"/>
              <w:lang w:val="en-US" w:eastAsia="zh-CN"/>
            </w:rPr>
            <w:t>文件发送至投标人邮箱（请在报名材料封面中留好联系人、电话及邮箱）；</w:t>
          </w:r>
        </w:p>
        <w:p>
          <w:pPr>
            <w:keepNext w:val="0"/>
            <w:keepLines w:val="0"/>
            <w:pageBreakBefore w:val="0"/>
            <w:kinsoku/>
            <w:overflowPunct/>
            <w:topLinePunct w:val="0"/>
            <w:bidi w:val="0"/>
            <w:spacing w:line="360" w:lineRule="auto"/>
            <w:ind w:firstLine="422" w:firstLineChars="200"/>
            <w:textAlignment w:val="auto"/>
            <w:rPr>
              <w:rFonts w:hint="eastAsia" w:ascii="宋体" w:hAnsi="宋体" w:eastAsia="宋体" w:cs="Times New Roman"/>
              <w:b/>
              <w:bCs/>
              <w:color w:val="000000"/>
              <w:szCs w:val="21"/>
              <w:highlight w:val="none"/>
              <w:lang w:val="en-US" w:eastAsia="zh-CN"/>
            </w:rPr>
          </w:pPr>
          <w:r>
            <w:rPr>
              <w:rFonts w:hint="eastAsia" w:ascii="宋体" w:hAnsi="宋体" w:eastAsia="宋体" w:cs="Times New Roman"/>
              <w:b/>
              <w:bCs/>
              <w:color w:val="000000"/>
              <w:szCs w:val="21"/>
              <w:highlight w:val="none"/>
              <w:lang w:val="en-US" w:eastAsia="zh-CN"/>
            </w:rPr>
            <w:t>3.报名材料：</w:t>
          </w:r>
        </w:p>
        <w:p>
          <w:pPr>
            <w:spacing w:line="320" w:lineRule="exact"/>
            <w:ind w:firstLine="420" w:firstLineChars="200"/>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（1）提供有效的营业执照复印件（加盖公章）；</w:t>
          </w:r>
        </w:p>
        <w:p>
          <w:pPr>
            <w:spacing w:line="320" w:lineRule="exact"/>
            <w:ind w:firstLine="420" w:firstLineChars="200"/>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（2）提供有效的法人证书复印件及法人代表身份证复印件（加盖公章）；</w:t>
          </w:r>
        </w:p>
        <w:p>
          <w:pPr>
            <w:spacing w:line="320" w:lineRule="exact"/>
            <w:ind w:firstLine="420" w:firstLineChars="200"/>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（3）提供投标截止日期前的供应商近三年依法纳税证明（加盖公章）；</w:t>
          </w:r>
        </w:p>
        <w:p>
          <w:pPr>
            <w:spacing w:line="320" w:lineRule="exact"/>
            <w:ind w:firstLine="420" w:firstLineChars="200"/>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（4）提供投标截止日期前的供应商近三个月连续缴纳社保证明（加盖公章）；</w:t>
          </w:r>
        </w:p>
        <w:p>
          <w:pPr>
            <w:spacing w:line="320" w:lineRule="exact"/>
            <w:ind w:firstLine="420" w:firstLineChars="200"/>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（5）提供投标截止日期前近2年财务审计报告（含资产负债表、利润表、现金流量表）或银行资信证明（加盖公章）；</w:t>
          </w:r>
        </w:p>
        <w:bookmarkEnd w:id="12"/>
        <w:bookmarkEnd w:id="13"/>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四</w:t>
          </w:r>
          <w:r>
            <w:rPr>
              <w:rFonts w:hint="eastAsia" w:ascii="宋体" w:hAnsi="宋体" w:eastAsia="宋体" w:cs="宋体"/>
              <w:b/>
              <w:bCs/>
              <w:color w:val="000000"/>
              <w:szCs w:val="21"/>
            </w:rPr>
            <w:t>、响应文件提交</w:t>
          </w:r>
        </w:p>
        <w:p>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lang w:val="en-US" w:eastAsia="zh-CN"/>
            </w:rPr>
            <w:t>1</w:t>
          </w:r>
          <w:r>
            <w:rPr>
              <w:rFonts w:hint="eastAsia" w:ascii="宋体" w:hAnsi="宋体" w:eastAsia="宋体" w:cs="Times New Roman"/>
              <w:color w:val="000000"/>
              <w:szCs w:val="21"/>
            </w:rPr>
            <w:t>.响应文件提交截止时间：202</w:t>
          </w:r>
          <w:r>
            <w:rPr>
              <w:rFonts w:hint="eastAsia" w:ascii="宋体" w:hAnsi="宋体" w:eastAsia="宋体" w:cs="Times New Roman"/>
              <w:color w:val="000000"/>
              <w:szCs w:val="21"/>
              <w:lang w:val="en-US" w:eastAsia="zh-CN"/>
            </w:rPr>
            <w:t>5</w:t>
          </w:r>
          <w:r>
            <w:rPr>
              <w:rFonts w:hint="eastAsia" w:ascii="宋体" w:hAnsi="宋体" w:eastAsia="宋体" w:cs="Times New Roman"/>
              <w:color w:val="000000"/>
              <w:szCs w:val="21"/>
            </w:rPr>
            <w:t>年</w:t>
          </w:r>
          <w:r>
            <w:rPr>
              <w:rFonts w:hint="eastAsia" w:ascii="宋体" w:hAnsi="宋体" w:cs="Times New Roman"/>
              <w:color w:val="000000"/>
              <w:szCs w:val="21"/>
              <w:lang w:val="en-US" w:eastAsia="zh-CN"/>
            </w:rPr>
            <w:t>8</w:t>
          </w:r>
          <w:r>
            <w:rPr>
              <w:rFonts w:hint="eastAsia" w:ascii="宋体" w:hAnsi="宋体" w:eastAsia="宋体" w:cs="Times New Roman"/>
              <w:color w:val="000000"/>
              <w:szCs w:val="21"/>
            </w:rPr>
            <w:t>月</w:t>
          </w:r>
          <w:r>
            <w:rPr>
              <w:rFonts w:hint="eastAsia" w:ascii="宋体" w:hAnsi="宋体" w:cs="Times New Roman"/>
              <w:color w:val="000000"/>
              <w:szCs w:val="21"/>
              <w:highlight w:val="yellow"/>
              <w:lang w:val="en-US" w:eastAsia="zh-CN"/>
            </w:rPr>
            <w:t>7</w:t>
          </w:r>
          <w:r>
            <w:rPr>
              <w:rFonts w:hint="eastAsia" w:ascii="宋体" w:hAnsi="宋体" w:eastAsia="宋体" w:cs="Times New Roman"/>
              <w:color w:val="000000"/>
              <w:szCs w:val="21"/>
            </w:rPr>
            <w:t>日</w:t>
          </w:r>
          <w:r>
            <w:rPr>
              <w:rFonts w:hint="eastAsia" w:ascii="宋体" w:hAnsi="宋体" w:cs="Times New Roman"/>
              <w:color w:val="000000"/>
              <w:szCs w:val="21"/>
              <w:lang w:val="en-US" w:eastAsia="zh-CN"/>
            </w:rPr>
            <w:t>8</w:t>
          </w:r>
          <w:r>
            <w:rPr>
              <w:rFonts w:hint="eastAsia" w:ascii="宋体" w:hAnsi="宋体" w:eastAsia="宋体" w:cs="Times New Roman"/>
              <w:color w:val="000000"/>
              <w:szCs w:val="21"/>
            </w:rPr>
            <w:t>时</w:t>
          </w:r>
          <w:r>
            <w:rPr>
              <w:rFonts w:hint="eastAsia" w:ascii="宋体" w:hAnsi="宋体" w:cs="Times New Roman"/>
              <w:color w:val="000000"/>
              <w:szCs w:val="21"/>
              <w:lang w:val="en-US" w:eastAsia="zh-CN"/>
            </w:rPr>
            <w:t>3</w:t>
          </w:r>
          <w:bookmarkStart w:id="100" w:name="_GoBack"/>
          <w:bookmarkEnd w:id="100"/>
          <w:r>
            <w:rPr>
              <w:rFonts w:hint="eastAsia" w:ascii="宋体" w:hAnsi="宋体" w:eastAsia="宋体" w:cs="Times New Roman"/>
              <w:color w:val="000000"/>
              <w:szCs w:val="21"/>
            </w:rPr>
            <w:t>0分（北京时间）</w:t>
          </w:r>
        </w:p>
        <w:p>
          <w:pPr>
            <w:spacing w:line="320" w:lineRule="exact"/>
            <w:ind w:firstLine="420" w:firstLineChars="200"/>
            <w:rPr>
              <w:rFonts w:ascii="宋体" w:hAnsi="宋体" w:eastAsia="宋体" w:cs="Calibri"/>
              <w:bCs/>
              <w:color w:val="000000"/>
              <w:szCs w:val="21"/>
            </w:rPr>
          </w:pPr>
          <w:r>
            <w:rPr>
              <w:rFonts w:hint="eastAsia" w:ascii="宋体" w:hAnsi="宋体" w:eastAsia="宋体" w:cs="Calibri"/>
              <w:color w:val="000000"/>
              <w:szCs w:val="21"/>
              <w:lang w:val="en-US" w:eastAsia="zh-CN"/>
            </w:rPr>
            <w:t>2</w:t>
          </w:r>
          <w:r>
            <w:rPr>
              <w:rFonts w:hint="eastAsia" w:ascii="宋体" w:hAnsi="宋体" w:eastAsia="宋体" w:cs="Calibri"/>
              <w:color w:val="000000"/>
              <w:szCs w:val="21"/>
            </w:rPr>
            <w:t>.首次响应文件提交地点：广西骨伤医院采购办（广西南宁市东葛路1号锦华大酒店副楼4楼4</w:t>
          </w:r>
          <w:r>
            <w:rPr>
              <w:rFonts w:ascii="宋体" w:hAnsi="宋体" w:eastAsia="宋体" w:cs="Calibri"/>
              <w:color w:val="000000"/>
              <w:szCs w:val="21"/>
            </w:rPr>
            <w:t>01</w:t>
          </w:r>
          <w:r>
            <w:rPr>
              <w:rFonts w:hint="eastAsia" w:ascii="宋体" w:hAnsi="宋体" w:eastAsia="宋体" w:cs="Calibri"/>
              <w:color w:val="000000"/>
              <w:szCs w:val="21"/>
            </w:rPr>
            <w:t>号）</w:t>
          </w:r>
          <w:r>
            <w:rPr>
              <w:rFonts w:hint="eastAsia" w:ascii="宋体" w:hAnsi="宋体" w:eastAsia="宋体" w:cs="Calibri"/>
              <w:bCs/>
              <w:color w:val="000000"/>
              <w:szCs w:val="21"/>
            </w:rPr>
            <w:t>注：供应商应当在首次响应文件提交截止时间前，将响应文件密封送达首次响应文件提交地点。在首次响应文件提交截止时间后送达的响应文件为无效文件，将被拒收。</w:t>
          </w:r>
        </w:p>
        <w:p>
          <w:pPr>
            <w:spacing w:line="320" w:lineRule="exact"/>
            <w:ind w:firstLine="420" w:firstLineChars="200"/>
            <w:rPr>
              <w:rFonts w:hint="eastAsia" w:ascii="宋体" w:hAnsi="宋体" w:eastAsia="宋体" w:cs="Calibri"/>
              <w:color w:val="000000"/>
              <w:szCs w:val="21"/>
            </w:rPr>
          </w:pPr>
          <w:r>
            <w:rPr>
              <w:rFonts w:hint="eastAsia" w:ascii="宋体" w:hAnsi="宋体" w:eastAsia="宋体" w:cs="Calibri"/>
              <w:color w:val="000000"/>
              <w:szCs w:val="21"/>
            </w:rPr>
            <w:t>另行通知</w:t>
          </w:r>
          <w:r>
            <w:rPr>
              <w:rFonts w:hint="eastAsia" w:ascii="宋体" w:hAnsi="宋体" w:eastAsia="宋体" w:cs="Calibri"/>
              <w:color w:val="000000"/>
              <w:szCs w:val="21"/>
              <w:lang w:eastAsia="zh-CN"/>
            </w:rPr>
            <w:t>，</w:t>
          </w:r>
          <w:r>
            <w:rPr>
              <w:rFonts w:hint="eastAsia" w:ascii="宋体" w:hAnsi="宋体" w:eastAsia="宋体" w:cs="Calibri"/>
              <w:color w:val="000000"/>
              <w:szCs w:val="21"/>
              <w:lang w:val="en-US" w:eastAsia="zh-CN"/>
            </w:rPr>
            <w:t>请投标人注意接收电话和信息</w:t>
          </w:r>
          <w:r>
            <w:rPr>
              <w:rFonts w:hint="eastAsia" w:ascii="宋体" w:hAnsi="宋体" w:eastAsia="宋体" w:cs="Calibri"/>
              <w:color w:val="000000"/>
              <w:szCs w:val="21"/>
            </w:rPr>
            <w:t>。</w:t>
          </w:r>
        </w:p>
        <w:p>
          <w:pPr>
            <w:spacing w:line="320" w:lineRule="exact"/>
            <w:ind w:firstLine="422" w:firstLineChars="200"/>
            <w:rPr>
              <w:rFonts w:hint="default" w:ascii="宋体" w:hAnsi="宋体" w:eastAsia="宋体" w:cs="Calibri"/>
              <w:b/>
              <w:bCs/>
              <w:color w:val="000000"/>
              <w:szCs w:val="21"/>
              <w:lang w:val="en-US" w:eastAsia="zh-CN"/>
            </w:rPr>
          </w:pPr>
          <w:r>
            <w:rPr>
              <w:rFonts w:hint="eastAsia" w:ascii="宋体" w:hAnsi="宋体" w:eastAsia="宋体" w:cs="Calibri"/>
              <w:b/>
              <w:bCs/>
              <w:color w:val="000000"/>
              <w:szCs w:val="21"/>
              <w:lang w:val="en-US" w:eastAsia="zh-CN"/>
            </w:rPr>
            <w:t>注：参与现场评标的人员须为项目负责人或熟悉项目的授权代理人，以确保评标的准确性。如参与评标人员不能现场阐明或澄清投标文件内容和评委质疑的，按投标文件无效响应处理。</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lang w:val="en-US" w:eastAsia="zh-CN"/>
            </w:rPr>
            <w:t>五</w:t>
          </w:r>
          <w:r>
            <w:rPr>
              <w:rFonts w:hint="eastAsia" w:ascii="宋体" w:hAnsi="宋体" w:eastAsia="宋体" w:cs="宋体"/>
              <w:b/>
              <w:color w:val="000000"/>
              <w:szCs w:val="21"/>
            </w:rPr>
            <w:t>、公告期限</w:t>
          </w:r>
        </w:p>
        <w:p>
          <w:pPr>
            <w:spacing w:line="32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自本公告发布之日起5个工作日。</w:t>
          </w:r>
        </w:p>
        <w:p>
          <w:pPr>
            <w:widowControl/>
            <w:ind w:firstLine="422" w:firstLineChars="200"/>
            <w:rPr>
              <w:rFonts w:ascii="Calibri" w:hAnsi="Calibri" w:eastAsia="宋体" w:cs="Times New Roman"/>
              <w:b/>
              <w:szCs w:val="24"/>
            </w:rPr>
          </w:pPr>
          <w:r>
            <w:rPr>
              <w:rFonts w:hint="eastAsia" w:ascii="Calibri" w:hAnsi="Calibri" w:eastAsia="宋体" w:cs="Times New Roman"/>
              <w:b/>
              <w:bCs/>
              <w:szCs w:val="24"/>
              <w:lang w:val="en-US" w:eastAsia="zh-CN"/>
            </w:rPr>
            <w:t>六</w:t>
          </w:r>
          <w:r>
            <w:rPr>
              <w:rFonts w:hint="eastAsia" w:ascii="Calibri" w:hAnsi="Calibri" w:eastAsia="宋体" w:cs="Times New Roman"/>
              <w:b/>
              <w:bCs/>
              <w:szCs w:val="24"/>
            </w:rPr>
            <w:t>、</w:t>
          </w:r>
          <w:r>
            <w:rPr>
              <w:rFonts w:hint="eastAsia" w:ascii="Calibri" w:hAnsi="Calibri" w:eastAsia="宋体" w:cs="Times New Roman"/>
              <w:b/>
              <w:szCs w:val="24"/>
            </w:rPr>
            <w:t>凡对本次采购提出询问，请按以下方式联系。</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名    称：</w:t>
          </w:r>
          <w:r>
            <w:rPr>
              <w:rFonts w:hint="eastAsia" w:ascii="Calibri" w:hAnsi="Calibri" w:eastAsia="宋体" w:cs="Times New Roman"/>
              <w:szCs w:val="24"/>
              <w:u w:val="single"/>
            </w:rPr>
            <w:t>广西骨伤医院</w:t>
          </w:r>
        </w:p>
        <w:p>
          <w:pPr>
            <w:spacing w:line="320" w:lineRule="exact"/>
            <w:ind w:firstLine="420" w:firstLineChars="200"/>
            <w:rPr>
              <w:rFonts w:ascii="Calibri" w:hAnsi="Calibri" w:eastAsia="宋体" w:cs="Times New Roman"/>
              <w:szCs w:val="24"/>
              <w:u w:val="single"/>
            </w:rPr>
          </w:pPr>
          <w:r>
            <w:rPr>
              <w:rFonts w:hint="eastAsia" w:ascii="Calibri" w:hAnsi="Calibri" w:eastAsia="宋体" w:cs="Times New Roman"/>
              <w:szCs w:val="24"/>
            </w:rPr>
            <w:t>地    址：</w:t>
          </w:r>
          <w:r>
            <w:rPr>
              <w:rFonts w:hint="eastAsia" w:ascii="Calibri" w:hAnsi="Calibri" w:eastAsia="宋体" w:cs="Times New Roman"/>
              <w:szCs w:val="24"/>
              <w:u w:val="single"/>
            </w:rPr>
            <w:t>广西南宁市青秀区新民路32号</w:t>
          </w:r>
        </w:p>
        <w:p>
          <w:pPr>
            <w:spacing w:line="320" w:lineRule="exact"/>
            <w:ind w:firstLine="420" w:firstLineChars="200"/>
            <w:rPr>
              <w:rFonts w:hint="default" w:ascii="Calibri" w:hAnsi="Calibri" w:eastAsia="宋体" w:cs="Times New Roman"/>
              <w:szCs w:val="24"/>
              <w:lang w:val="en-US" w:eastAsia="zh-CN"/>
            </w:rPr>
          </w:pPr>
          <w:r>
            <w:rPr>
              <w:rFonts w:hint="eastAsia" w:ascii="Calibri" w:hAnsi="Calibri" w:eastAsia="宋体" w:cs="Times New Roman"/>
              <w:szCs w:val="24"/>
            </w:rPr>
            <w:t>联系方式：</w:t>
          </w:r>
          <w:r>
            <w:rPr>
              <w:rFonts w:hint="eastAsia" w:ascii="Calibri" w:hAnsi="Calibri" w:eastAsia="宋体" w:cs="Times New Roman"/>
              <w:szCs w:val="24"/>
              <w:u w:val="single"/>
              <w:lang w:val="en-US" w:eastAsia="zh-CN"/>
            </w:rPr>
            <w:t>刘老师  0771-2622251</w:t>
          </w:r>
        </w:p>
        <w:p>
          <w:pPr>
            <w:spacing w:line="320" w:lineRule="exact"/>
            <w:ind w:firstLine="560" w:firstLineChars="200"/>
            <w:rPr>
              <w:rFonts w:hint="default" w:ascii="Calibri" w:hAnsi="Calibri" w:eastAsia="宋体" w:cs="Times New Roman"/>
              <w:szCs w:val="24"/>
              <w:lang w:val="en-US" w:eastAsia="zh-CN"/>
            </w:rPr>
          </w:pPr>
        </w:p>
      </w:sdtContent>
    </w:sdt>
    <w:p>
      <w:pPr>
        <w:rPr>
          <w:rFonts w:ascii="宋体" w:hAnsi="宋体"/>
          <w:b/>
          <w:color w:val="auto"/>
          <w:sz w:val="21"/>
          <w:szCs w:val="21"/>
          <w:highlight w:val="none"/>
        </w:rPr>
      </w:pPr>
      <w:r>
        <w:rPr>
          <w:rFonts w:ascii="宋体" w:hAnsi="宋体"/>
          <w:b/>
          <w:color w:val="auto"/>
          <w:sz w:val="21"/>
          <w:szCs w:val="21"/>
          <w:highlight w:val="none"/>
        </w:rPr>
        <w:br w:type="page"/>
      </w:r>
    </w:p>
    <w:p>
      <w:pPr>
        <w:pStyle w:val="47"/>
      </w:pPr>
    </w:p>
    <w:p>
      <w:pPr>
        <w:keepNext w:val="0"/>
        <w:keepLines w:val="0"/>
        <w:pageBreakBefore w:val="0"/>
        <w:kinsoku/>
        <w:overflowPunct/>
        <w:topLinePunct w:val="0"/>
        <w:bidi w:val="0"/>
        <w:spacing w:line="360" w:lineRule="auto"/>
        <w:jc w:val="center"/>
        <w:textAlignment w:val="auto"/>
        <w:outlineLvl w:val="0"/>
        <w:rPr>
          <w:rFonts w:ascii="宋体" w:hAnsi="宋体"/>
          <w:b/>
          <w:color w:val="auto"/>
          <w:sz w:val="32"/>
          <w:szCs w:val="32"/>
          <w:highlight w:val="none"/>
        </w:rPr>
      </w:pPr>
      <w:bookmarkStart w:id="14" w:name="_Toc11927"/>
      <w:r>
        <w:rPr>
          <w:rFonts w:hint="eastAsia" w:ascii="宋体" w:hAnsi="宋体"/>
          <w:b/>
          <w:color w:val="auto"/>
          <w:sz w:val="32"/>
          <w:szCs w:val="32"/>
          <w:highlight w:val="none"/>
        </w:rPr>
        <w:t xml:space="preserve">第二章  </w:t>
      </w:r>
      <w:r>
        <w:rPr>
          <w:rFonts w:hint="eastAsia" w:ascii="宋体" w:hAnsi="宋体"/>
          <w:b/>
          <w:color w:val="auto"/>
          <w:sz w:val="32"/>
          <w:szCs w:val="32"/>
          <w:highlight w:val="none"/>
          <w:lang w:val="en-US" w:eastAsia="zh-CN"/>
        </w:rPr>
        <w:t>投标人</w:t>
      </w:r>
      <w:r>
        <w:rPr>
          <w:rFonts w:hint="eastAsia" w:ascii="宋体" w:hAnsi="宋体"/>
          <w:b/>
          <w:color w:val="auto"/>
          <w:sz w:val="32"/>
          <w:szCs w:val="32"/>
          <w:highlight w:val="none"/>
        </w:rPr>
        <w:t>须知</w:t>
      </w:r>
      <w:bookmarkEnd w:id="14"/>
    </w:p>
    <w:p>
      <w:pPr>
        <w:keepNext w:val="0"/>
        <w:keepLines w:val="0"/>
        <w:pageBreakBefore w:val="0"/>
        <w:kinsoku/>
        <w:overflowPunct/>
        <w:topLinePunct w:val="0"/>
        <w:bidi w:val="0"/>
        <w:spacing w:line="360" w:lineRule="auto"/>
        <w:jc w:val="center"/>
        <w:textAlignment w:val="auto"/>
        <w:rPr>
          <w:rFonts w:ascii="宋体" w:hAnsi="宋体"/>
          <w:b/>
          <w:color w:val="auto"/>
          <w:sz w:val="21"/>
          <w:szCs w:val="21"/>
          <w:highlight w:val="none"/>
        </w:rPr>
      </w:pPr>
      <w:r>
        <w:rPr>
          <w:rFonts w:hint="eastAsia" w:ascii="宋体" w:hAnsi="宋体"/>
          <w:b/>
          <w:color w:val="auto"/>
          <w:sz w:val="30"/>
          <w:szCs w:val="30"/>
          <w:highlight w:val="none"/>
        </w:rPr>
        <w:t>前附表</w:t>
      </w:r>
    </w:p>
    <w:tbl>
      <w:tblPr>
        <w:tblStyle w:val="48"/>
        <w:tblW w:w="97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
        <w:gridCol w:w="945"/>
        <w:gridCol w:w="78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945" w:type="dxa"/>
            <w:vAlign w:val="center"/>
          </w:tcPr>
          <w:p>
            <w:pPr>
              <w:keepNext w:val="0"/>
              <w:keepLines w:val="0"/>
              <w:pageBreakBefore w:val="0"/>
              <w:kinsoku/>
              <w:overflowPunct/>
              <w:topLinePunct w:val="0"/>
              <w:bidi w:val="0"/>
              <w:spacing w:line="360" w:lineRule="auto"/>
              <w:jc w:val="center"/>
              <w:textAlignment w:val="auto"/>
              <w:rPr>
                <w:rFonts w:hint="eastAsia" w:ascii="宋体" w:hAnsi="宋体" w:eastAsia="宋体"/>
                <w:b/>
                <w:color w:val="auto"/>
                <w:sz w:val="21"/>
                <w:szCs w:val="21"/>
                <w:highlight w:val="none"/>
                <w:lang w:val="en-US" w:eastAsia="zh-CN"/>
              </w:rPr>
            </w:pPr>
            <w:r>
              <w:rPr>
                <w:rFonts w:hint="eastAsia" w:ascii="宋体" w:hAnsi="宋体"/>
                <w:b/>
                <w:color w:val="auto"/>
                <w:sz w:val="21"/>
                <w:szCs w:val="21"/>
                <w:highlight w:val="none"/>
                <w:lang w:val="en-US" w:eastAsia="zh-CN"/>
              </w:rPr>
              <w:t>序号</w:t>
            </w:r>
          </w:p>
        </w:tc>
        <w:tc>
          <w:tcPr>
            <w:tcW w:w="945" w:type="dxa"/>
            <w:vAlign w:val="center"/>
          </w:tcPr>
          <w:p>
            <w:pPr>
              <w:keepNext w:val="0"/>
              <w:keepLines w:val="0"/>
              <w:pageBreakBefore w:val="0"/>
              <w:kinsoku/>
              <w:overflowPunct/>
              <w:topLinePunct w:val="0"/>
              <w:bidi w:val="0"/>
              <w:spacing w:line="360" w:lineRule="auto"/>
              <w:jc w:val="center"/>
              <w:textAlignment w:val="auto"/>
              <w:rPr>
                <w:rFonts w:ascii="宋体" w:hAnsi="宋体"/>
                <w:b/>
                <w:color w:val="auto"/>
                <w:sz w:val="21"/>
                <w:szCs w:val="21"/>
                <w:highlight w:val="none"/>
              </w:rPr>
            </w:pPr>
            <w:r>
              <w:rPr>
                <w:rFonts w:hint="eastAsia" w:ascii="宋体" w:hAnsi="宋体"/>
                <w:b/>
                <w:color w:val="auto"/>
                <w:sz w:val="21"/>
                <w:szCs w:val="21"/>
                <w:highlight w:val="none"/>
              </w:rPr>
              <w:t>条款号</w:t>
            </w:r>
          </w:p>
        </w:tc>
        <w:tc>
          <w:tcPr>
            <w:tcW w:w="7862" w:type="dxa"/>
            <w:vAlign w:val="center"/>
          </w:tcPr>
          <w:p>
            <w:pPr>
              <w:keepNext w:val="0"/>
              <w:keepLines w:val="0"/>
              <w:pageBreakBefore w:val="0"/>
              <w:kinsoku/>
              <w:overflowPunct/>
              <w:topLinePunct w:val="0"/>
              <w:bidi w:val="0"/>
              <w:spacing w:line="360" w:lineRule="auto"/>
              <w:jc w:val="center"/>
              <w:textAlignment w:val="auto"/>
              <w:rPr>
                <w:rFonts w:ascii="宋体" w:hAnsi="宋体"/>
                <w:b/>
                <w:color w:val="auto"/>
                <w:sz w:val="21"/>
                <w:szCs w:val="21"/>
                <w:highlight w:val="none"/>
              </w:rPr>
            </w:pPr>
            <w:r>
              <w:rPr>
                <w:rFonts w:hint="eastAsia" w:ascii="宋体" w:hAnsi="宋体"/>
                <w:b/>
                <w:color w:val="auto"/>
                <w:sz w:val="21"/>
                <w:szCs w:val="21"/>
                <w:highlight w:val="none"/>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945" w:type="dxa"/>
            <w:vAlign w:val="center"/>
          </w:tcPr>
          <w:p>
            <w:pPr>
              <w:keepNext w:val="0"/>
              <w:keepLines w:val="0"/>
              <w:pageBreakBefore w:val="0"/>
              <w:kinsoku/>
              <w:overflowPunct/>
              <w:topLinePunct w:val="0"/>
              <w:bidi w:val="0"/>
              <w:spacing w:line="240" w:lineRule="auto"/>
              <w:jc w:val="center"/>
              <w:textAlignment w:val="auto"/>
              <w:rPr>
                <w:rFonts w:hint="eastAsia"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1</w:t>
            </w:r>
          </w:p>
        </w:tc>
        <w:tc>
          <w:tcPr>
            <w:tcW w:w="945" w:type="dxa"/>
            <w:vAlign w:val="center"/>
          </w:tcPr>
          <w:p>
            <w:pPr>
              <w:keepNext w:val="0"/>
              <w:keepLines w:val="0"/>
              <w:pageBreakBefore w:val="0"/>
              <w:kinsoku/>
              <w:overflowPunct/>
              <w:topLinePunct w:val="0"/>
              <w:bidi w:val="0"/>
              <w:spacing w:line="240" w:lineRule="auto"/>
              <w:jc w:val="center"/>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1.1</w:t>
            </w:r>
          </w:p>
        </w:tc>
        <w:tc>
          <w:tcPr>
            <w:tcW w:w="7862" w:type="dxa"/>
            <w:vAlign w:val="center"/>
          </w:tcPr>
          <w:p>
            <w:pPr>
              <w:spacing w:line="240" w:lineRule="auto"/>
              <w:rPr>
                <w:rFonts w:hint="default" w:ascii="宋体" w:hAnsi="宋体" w:eastAsia="宋体"/>
                <w:color w:val="auto"/>
                <w:sz w:val="21"/>
                <w:szCs w:val="21"/>
                <w:highlight w:val="none"/>
                <w:lang w:val="en-US" w:eastAsia="zh-CN"/>
              </w:rPr>
            </w:pPr>
            <w:r>
              <w:rPr>
                <w:rFonts w:hint="default" w:ascii="宋体" w:hAnsi="宋体" w:eastAsia="宋体"/>
                <w:color w:val="auto"/>
                <w:sz w:val="21"/>
                <w:szCs w:val="21"/>
                <w:highlight w:val="none"/>
                <w:lang w:val="en-US" w:eastAsia="zh-CN"/>
              </w:rPr>
              <w:t>项目名称：</w:t>
            </w:r>
            <w:r>
              <w:rPr>
                <w:rFonts w:hint="eastAsia" w:ascii="宋体" w:hAnsi="宋体"/>
                <w:color w:val="auto"/>
                <w:sz w:val="21"/>
                <w:szCs w:val="21"/>
                <w:highlight w:val="none"/>
                <w:lang w:val="en-US" w:eastAsia="zh-CN"/>
              </w:rPr>
              <w:t>广西骨伤医院DRG智慧运营软件服务采购项目</w:t>
            </w:r>
            <w:r>
              <w:rPr>
                <w:rFonts w:hint="default" w:ascii="宋体" w:hAnsi="宋体" w:eastAsia="宋体"/>
                <w:color w:val="auto"/>
                <w:sz w:val="21"/>
                <w:szCs w:val="21"/>
                <w:highlight w:val="none"/>
                <w:lang w:val="en-US" w:eastAsia="zh-CN"/>
              </w:rPr>
              <w:t xml:space="preserve"> </w:t>
            </w:r>
          </w:p>
          <w:p>
            <w:pPr>
              <w:spacing w:line="240" w:lineRule="auto"/>
              <w:rPr>
                <w:rFonts w:hint="default" w:ascii="宋体" w:hAnsi="宋体" w:eastAsia="宋体"/>
                <w:color w:val="auto"/>
                <w:sz w:val="21"/>
                <w:szCs w:val="21"/>
                <w:highlight w:val="none"/>
                <w:lang w:val="en-US" w:eastAsia="zh-CN"/>
              </w:rPr>
            </w:pPr>
            <w:r>
              <w:rPr>
                <w:rFonts w:hint="default" w:ascii="宋体" w:hAnsi="宋体" w:eastAsia="宋体"/>
                <w:color w:val="auto"/>
                <w:sz w:val="21"/>
                <w:szCs w:val="21"/>
                <w:highlight w:val="none"/>
                <w:lang w:val="en-US" w:eastAsia="zh-CN"/>
              </w:rPr>
              <w:t>项目编号：</w:t>
            </w:r>
            <w:r>
              <w:rPr>
                <w:rFonts w:hint="eastAsia" w:ascii="宋体" w:hAnsi="宋体"/>
                <w:color w:val="auto"/>
                <w:sz w:val="21"/>
                <w:szCs w:val="21"/>
                <w:highlight w:val="yellow"/>
                <w:lang w:val="en-US" w:eastAsia="zh-CN"/>
              </w:rPr>
              <w:t>GXGSYY-CGB-CWYYB-2025-06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945" w:type="dxa"/>
            <w:vAlign w:val="center"/>
          </w:tcPr>
          <w:p>
            <w:pPr>
              <w:keepNext w:val="0"/>
              <w:keepLines w:val="0"/>
              <w:pageBreakBefore w:val="0"/>
              <w:kinsoku/>
              <w:overflowPunct/>
              <w:topLinePunct w:val="0"/>
              <w:bidi w:val="0"/>
              <w:spacing w:line="240" w:lineRule="auto"/>
              <w:jc w:val="center"/>
              <w:textAlignment w:val="auto"/>
              <w:rPr>
                <w:rFonts w:hint="eastAsia"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2</w:t>
            </w:r>
          </w:p>
        </w:tc>
        <w:tc>
          <w:tcPr>
            <w:tcW w:w="945" w:type="dxa"/>
            <w:vAlign w:val="center"/>
          </w:tcPr>
          <w:p>
            <w:pPr>
              <w:keepNext w:val="0"/>
              <w:keepLines w:val="0"/>
              <w:pageBreakBefore w:val="0"/>
              <w:kinsoku/>
              <w:overflowPunct/>
              <w:topLinePunct w:val="0"/>
              <w:bidi w:val="0"/>
              <w:spacing w:line="240" w:lineRule="auto"/>
              <w:jc w:val="center"/>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2.1</w:t>
            </w:r>
          </w:p>
        </w:tc>
        <w:tc>
          <w:tcPr>
            <w:tcW w:w="7862" w:type="dxa"/>
            <w:vAlign w:val="center"/>
          </w:tcPr>
          <w:p>
            <w:pPr>
              <w:adjustRightInd w:val="0"/>
              <w:spacing w:line="240" w:lineRule="auto"/>
              <w:rPr>
                <w:rFonts w:hint="default" w:ascii="宋体" w:hAnsi="宋体"/>
                <w:b/>
                <w:color w:val="auto"/>
                <w:sz w:val="21"/>
                <w:szCs w:val="21"/>
                <w:highlight w:val="none"/>
                <w:lang w:val="en-US"/>
              </w:rPr>
            </w:pPr>
            <w:r>
              <w:rPr>
                <w:rFonts w:hint="eastAsia" w:ascii="宋体" w:hAnsi="宋体" w:cs="宋体"/>
                <w:b/>
                <w:szCs w:val="21"/>
              </w:rPr>
              <w:t>项目</w:t>
            </w:r>
            <w:r>
              <w:rPr>
                <w:rFonts w:hint="eastAsia" w:ascii="宋体" w:hAnsi="宋体" w:cs="宋体"/>
                <w:b/>
                <w:szCs w:val="21"/>
                <w:lang w:val="en-US" w:eastAsia="zh-CN"/>
              </w:rPr>
              <w:t>预算</w:t>
            </w:r>
            <w:r>
              <w:rPr>
                <w:rFonts w:hint="eastAsia" w:ascii="宋体" w:hAnsi="宋体" w:cs="宋体"/>
                <w:b/>
                <w:szCs w:val="21"/>
              </w:rPr>
              <w:t>：</w:t>
            </w:r>
            <w:r>
              <w:rPr>
                <w:rFonts w:hint="eastAsia" w:ascii="宋体" w:hAnsi="宋体"/>
                <w:b w:val="0"/>
                <w:bCs/>
                <w:color w:val="auto"/>
                <w:sz w:val="21"/>
                <w:szCs w:val="21"/>
                <w:highlight w:val="none"/>
                <w:lang w:val="en-US" w:eastAsia="zh-CN"/>
              </w:rPr>
              <w:t>13.8万元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945" w:type="dxa"/>
            <w:vAlign w:val="center"/>
          </w:tcPr>
          <w:p>
            <w:pPr>
              <w:keepNext w:val="0"/>
              <w:keepLines w:val="0"/>
              <w:pageBreakBefore w:val="0"/>
              <w:kinsoku/>
              <w:overflowPunct/>
              <w:topLinePunct w:val="0"/>
              <w:bidi w:val="0"/>
              <w:spacing w:line="240" w:lineRule="auto"/>
              <w:jc w:val="center"/>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3</w:t>
            </w:r>
          </w:p>
        </w:tc>
        <w:tc>
          <w:tcPr>
            <w:tcW w:w="945" w:type="dxa"/>
            <w:shd w:val="clear" w:color="auto" w:fill="auto"/>
            <w:vAlign w:val="center"/>
          </w:tcPr>
          <w:p>
            <w:pPr>
              <w:keepNext w:val="0"/>
              <w:keepLines w:val="0"/>
              <w:pageBreakBefore w:val="0"/>
              <w:kinsoku/>
              <w:overflowPunct/>
              <w:topLinePunct w:val="0"/>
              <w:bidi w:val="0"/>
              <w:spacing w:line="240" w:lineRule="auto"/>
              <w:jc w:val="center"/>
              <w:textAlignment w:val="auto"/>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sz w:val="21"/>
                <w:szCs w:val="21"/>
                <w:highlight w:val="none"/>
              </w:rPr>
              <w:t>3.1</w:t>
            </w:r>
          </w:p>
        </w:tc>
        <w:tc>
          <w:tcPr>
            <w:tcW w:w="7862" w:type="dxa"/>
            <w:shd w:val="clear" w:color="auto" w:fill="auto"/>
            <w:vAlign w:val="center"/>
          </w:tcPr>
          <w:p>
            <w:pPr>
              <w:keepNext w:val="0"/>
              <w:keepLines w:val="0"/>
              <w:pageBreakBefore w:val="0"/>
              <w:kinsoku/>
              <w:overflowPunct/>
              <w:topLinePunct w:val="0"/>
              <w:bidi w:val="0"/>
              <w:adjustRightInd w:val="0"/>
              <w:spacing w:line="240" w:lineRule="auto"/>
              <w:textAlignment w:val="auto"/>
              <w:rPr>
                <w:rFonts w:hint="eastAsia" w:ascii="宋体" w:hAnsi="宋体" w:eastAsia="宋体" w:cs="Times New Roman"/>
                <w:color w:val="auto"/>
                <w:kern w:val="2"/>
                <w:sz w:val="21"/>
                <w:szCs w:val="21"/>
                <w:highlight w:val="none"/>
                <w:lang w:val="en-US" w:eastAsia="zh-CN" w:bidi="ar-SA"/>
              </w:rPr>
            </w:pPr>
            <w:r>
              <w:rPr>
                <w:rFonts w:hint="eastAsia" w:ascii="宋体" w:hAnsi="宋体"/>
                <w:b/>
                <w:color w:val="auto"/>
                <w:sz w:val="21"/>
                <w:szCs w:val="21"/>
                <w:highlight w:val="none"/>
              </w:rPr>
              <w:t>供应商资格</w:t>
            </w:r>
            <w:r>
              <w:rPr>
                <w:rFonts w:hint="eastAsia" w:ascii="宋体" w:hAnsi="宋体"/>
                <w:b/>
                <w:color w:val="auto"/>
                <w:sz w:val="21"/>
                <w:szCs w:val="21"/>
                <w:highlight w:val="none"/>
                <w:lang w:val="en-US" w:eastAsia="zh-CN"/>
              </w:rPr>
              <w:t>要求</w:t>
            </w:r>
            <w:r>
              <w:rPr>
                <w:rFonts w:hint="eastAsia" w:ascii="宋体" w:hAnsi="宋体"/>
                <w:b w:val="0"/>
                <w:bCs/>
                <w:color w:val="auto"/>
                <w:sz w:val="21"/>
                <w:szCs w:val="21"/>
                <w:highlight w:val="none"/>
              </w:rPr>
              <w:t>：</w:t>
            </w:r>
            <w:r>
              <w:rPr>
                <w:rFonts w:hint="eastAsia" w:ascii="宋体" w:hAnsi="宋体"/>
                <w:b w:val="0"/>
                <w:bCs/>
                <w:color w:val="auto"/>
                <w:sz w:val="21"/>
                <w:szCs w:val="21"/>
                <w:highlight w:val="none"/>
                <w:lang w:val="en-US" w:eastAsia="zh-CN"/>
              </w:rPr>
              <w:t>详见磋商公告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945" w:type="dxa"/>
            <w:vAlign w:val="center"/>
          </w:tcPr>
          <w:p>
            <w:pPr>
              <w:keepNext w:val="0"/>
              <w:keepLines w:val="0"/>
              <w:pageBreakBefore w:val="0"/>
              <w:kinsoku/>
              <w:overflowPunct/>
              <w:topLinePunct w:val="0"/>
              <w:bidi w:val="0"/>
              <w:spacing w:line="240" w:lineRule="auto"/>
              <w:jc w:val="center"/>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4</w:t>
            </w:r>
          </w:p>
        </w:tc>
        <w:tc>
          <w:tcPr>
            <w:tcW w:w="945" w:type="dxa"/>
            <w:vAlign w:val="center"/>
          </w:tcPr>
          <w:p>
            <w:pPr>
              <w:keepNext w:val="0"/>
              <w:keepLines w:val="0"/>
              <w:pageBreakBefore w:val="0"/>
              <w:kinsoku/>
              <w:overflowPunct/>
              <w:topLinePunct w:val="0"/>
              <w:bidi w:val="0"/>
              <w:spacing w:line="240" w:lineRule="auto"/>
              <w:jc w:val="center"/>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4.1</w:t>
            </w:r>
          </w:p>
        </w:tc>
        <w:tc>
          <w:tcPr>
            <w:tcW w:w="7862" w:type="dxa"/>
            <w:vAlign w:val="center"/>
          </w:tcPr>
          <w:p>
            <w:pPr>
              <w:keepNext w:val="0"/>
              <w:keepLines w:val="0"/>
              <w:pageBreakBefore w:val="0"/>
              <w:kinsoku/>
              <w:overflowPunct/>
              <w:topLinePunct w:val="0"/>
              <w:bidi w:val="0"/>
              <w:spacing w:line="240" w:lineRule="auto"/>
              <w:textAlignment w:val="auto"/>
              <w:rPr>
                <w:rFonts w:ascii="宋体" w:hAnsi="宋体"/>
                <w:color w:val="auto"/>
                <w:sz w:val="21"/>
                <w:szCs w:val="21"/>
                <w:highlight w:val="none"/>
              </w:rPr>
            </w:pPr>
            <w:r>
              <w:rPr>
                <w:rFonts w:hint="eastAsia" w:ascii="宋体" w:hAnsi="宋体"/>
                <w:b/>
                <w:bCs/>
                <w:color w:val="auto"/>
                <w:sz w:val="21"/>
                <w:szCs w:val="21"/>
                <w:highlight w:val="none"/>
                <w:lang w:eastAsia="zh-CN"/>
              </w:rPr>
              <w:t>磋商响应文件</w:t>
            </w:r>
            <w:r>
              <w:rPr>
                <w:rFonts w:hint="eastAsia" w:ascii="宋体" w:hAnsi="宋体"/>
                <w:b/>
                <w:bCs/>
                <w:color w:val="auto"/>
                <w:sz w:val="21"/>
                <w:szCs w:val="21"/>
                <w:highlight w:val="none"/>
              </w:rPr>
              <w:t>的组成</w:t>
            </w:r>
            <w:r>
              <w:rPr>
                <w:rFonts w:hint="eastAsia" w:ascii="宋体" w:hAnsi="宋体"/>
                <w:color w:val="auto"/>
                <w:sz w:val="21"/>
                <w:szCs w:val="21"/>
                <w:highlight w:val="none"/>
              </w:rPr>
              <w:t>：</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应分为价格文件和商务技术文件两个部分组成。</w:t>
            </w:r>
          </w:p>
          <w:p>
            <w:pPr>
              <w:keepNext w:val="0"/>
              <w:keepLines w:val="0"/>
              <w:pageBreakBefore w:val="0"/>
              <w:kinsoku/>
              <w:overflowPunct/>
              <w:topLinePunct w:val="0"/>
              <w:bidi w:val="0"/>
              <w:spacing w:line="240" w:lineRule="auto"/>
              <w:textAlignment w:val="auto"/>
              <w:rPr>
                <w:rFonts w:ascii="宋体" w:hAnsi="宋体"/>
                <w:b/>
                <w:bCs/>
                <w:color w:val="auto"/>
                <w:sz w:val="21"/>
                <w:szCs w:val="21"/>
                <w:highlight w:val="none"/>
              </w:rPr>
            </w:pPr>
            <w:r>
              <w:rPr>
                <w:rFonts w:hint="eastAsia" w:ascii="宋体" w:hAnsi="宋体"/>
                <w:b/>
                <w:bCs/>
                <w:color w:val="auto"/>
                <w:sz w:val="21"/>
                <w:szCs w:val="21"/>
                <w:highlight w:val="none"/>
              </w:rPr>
              <w:t>1</w:t>
            </w:r>
            <w:r>
              <w:rPr>
                <w:rFonts w:hint="eastAsia" w:ascii="宋体" w:hAnsi="宋体"/>
                <w:b/>
                <w:bCs/>
                <w:color w:val="auto"/>
                <w:sz w:val="21"/>
                <w:szCs w:val="21"/>
                <w:highlight w:val="none"/>
                <w:lang w:val="en-US" w:eastAsia="zh-CN"/>
              </w:rPr>
              <w:t>.</w:t>
            </w:r>
            <w:r>
              <w:rPr>
                <w:rFonts w:hint="eastAsia" w:ascii="宋体" w:hAnsi="宋体"/>
                <w:b/>
                <w:bCs/>
                <w:color w:val="auto"/>
                <w:sz w:val="21"/>
                <w:szCs w:val="21"/>
                <w:highlight w:val="none"/>
              </w:rPr>
              <w:t>价格文件</w:t>
            </w:r>
          </w:p>
          <w:p>
            <w:pPr>
              <w:keepNext w:val="0"/>
              <w:keepLines w:val="0"/>
              <w:pageBreakBefore w:val="0"/>
              <w:kinsoku/>
              <w:overflowPunct/>
              <w:topLinePunct w:val="0"/>
              <w:bidi w:val="0"/>
              <w:spacing w:line="240" w:lineRule="auto"/>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磋商</w:t>
            </w:r>
            <w:r>
              <w:rPr>
                <w:rFonts w:hint="eastAsia" w:ascii="宋体" w:hAnsi="宋体"/>
                <w:color w:val="auto"/>
                <w:sz w:val="21"/>
                <w:szCs w:val="21"/>
                <w:highlight w:val="none"/>
              </w:rPr>
              <w:t>报价表</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格式后附</w:t>
            </w:r>
            <w:r>
              <w:rPr>
                <w:rFonts w:hint="eastAsia" w:ascii="宋体" w:hAnsi="宋体"/>
                <w:color w:val="auto"/>
                <w:sz w:val="21"/>
                <w:szCs w:val="21"/>
                <w:highlight w:val="none"/>
                <w:lang w:eastAsia="zh-CN"/>
              </w:rPr>
              <w:t>）</w:t>
            </w:r>
            <w:r>
              <w:rPr>
                <w:rFonts w:hint="eastAsia" w:ascii="宋体" w:hAnsi="宋体"/>
                <w:color w:val="auto"/>
                <w:sz w:val="21"/>
                <w:szCs w:val="21"/>
                <w:highlight w:val="none"/>
              </w:rPr>
              <w:t>；（</w:t>
            </w:r>
            <w:r>
              <w:rPr>
                <w:rFonts w:hint="eastAsia" w:ascii="宋体" w:hAnsi="宋体"/>
                <w:b/>
                <w:color w:val="auto"/>
                <w:sz w:val="21"/>
                <w:szCs w:val="21"/>
                <w:highlight w:val="none"/>
              </w:rPr>
              <w:t>必须提供</w:t>
            </w:r>
            <w:r>
              <w:rPr>
                <w:rFonts w:hint="eastAsia" w:ascii="宋体" w:hAnsi="宋体"/>
                <w:color w:val="auto"/>
                <w:sz w:val="21"/>
                <w:szCs w:val="21"/>
                <w:highlight w:val="none"/>
              </w:rPr>
              <w:t>）；</w:t>
            </w:r>
          </w:p>
          <w:p>
            <w:pPr>
              <w:keepNext w:val="0"/>
              <w:keepLines w:val="0"/>
              <w:pageBreakBefore w:val="0"/>
              <w:kinsoku/>
              <w:overflowPunct/>
              <w:topLinePunct w:val="0"/>
              <w:bidi w:val="0"/>
              <w:spacing w:line="240" w:lineRule="auto"/>
              <w:textAlignment w:val="auto"/>
              <w:rPr>
                <w:rFonts w:ascii="宋体" w:hAnsi="宋体"/>
                <w:b/>
                <w:bCs/>
                <w:color w:val="auto"/>
                <w:sz w:val="21"/>
                <w:szCs w:val="21"/>
                <w:highlight w:val="none"/>
              </w:rPr>
            </w:pPr>
            <w:r>
              <w:rPr>
                <w:rFonts w:hint="eastAsia" w:ascii="宋体" w:hAnsi="宋体"/>
                <w:b/>
                <w:bCs/>
                <w:color w:val="auto"/>
                <w:sz w:val="21"/>
                <w:szCs w:val="21"/>
                <w:highlight w:val="none"/>
              </w:rPr>
              <w:t>2</w:t>
            </w:r>
            <w:r>
              <w:rPr>
                <w:rFonts w:hint="eastAsia" w:ascii="宋体" w:hAnsi="宋体"/>
                <w:b/>
                <w:bCs/>
                <w:color w:val="auto"/>
                <w:sz w:val="21"/>
                <w:szCs w:val="21"/>
                <w:highlight w:val="none"/>
                <w:lang w:val="en-US" w:eastAsia="zh-CN"/>
              </w:rPr>
              <w:t>.</w:t>
            </w:r>
            <w:r>
              <w:rPr>
                <w:rFonts w:hint="eastAsia" w:ascii="宋体" w:hAnsi="宋体"/>
                <w:b/>
                <w:bCs/>
                <w:color w:val="auto"/>
                <w:sz w:val="21"/>
                <w:szCs w:val="21"/>
                <w:highlight w:val="none"/>
              </w:rPr>
              <w:t>商务技术文件</w:t>
            </w:r>
          </w:p>
          <w:p>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投标函</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格式后附</w:t>
            </w:r>
            <w:r>
              <w:rPr>
                <w:rFonts w:hint="eastAsia" w:ascii="宋体" w:hAnsi="宋体"/>
                <w:color w:val="auto"/>
                <w:sz w:val="21"/>
                <w:szCs w:val="21"/>
                <w:highlight w:val="none"/>
                <w:lang w:eastAsia="zh-CN"/>
              </w:rPr>
              <w:t>）</w:t>
            </w:r>
            <w:r>
              <w:rPr>
                <w:rFonts w:hint="eastAsia" w:ascii="宋体" w:hAnsi="宋体"/>
                <w:color w:val="auto"/>
                <w:sz w:val="21"/>
                <w:szCs w:val="21"/>
                <w:highlight w:val="none"/>
              </w:rPr>
              <w:t>；（</w:t>
            </w:r>
            <w:r>
              <w:rPr>
                <w:rFonts w:hint="eastAsia" w:ascii="宋体" w:hAnsi="宋体"/>
                <w:b/>
                <w:color w:val="auto"/>
                <w:sz w:val="21"/>
                <w:szCs w:val="21"/>
                <w:highlight w:val="none"/>
              </w:rPr>
              <w:t>必须提供</w:t>
            </w:r>
            <w:r>
              <w:rPr>
                <w:rFonts w:hint="eastAsia" w:ascii="宋体" w:hAnsi="宋体"/>
                <w:color w:val="auto"/>
                <w:sz w:val="21"/>
                <w:szCs w:val="21"/>
                <w:highlight w:val="none"/>
              </w:rPr>
              <w:t>）</w:t>
            </w:r>
          </w:p>
          <w:p>
            <w:pPr>
              <w:pStyle w:val="57"/>
              <w:keepNext w:val="0"/>
              <w:keepLines w:val="0"/>
              <w:pageBreakBefore w:val="0"/>
              <w:kinsoku/>
              <w:wordWrap/>
              <w:overflowPunct/>
              <w:topLinePunct w:val="0"/>
              <w:autoSpaceDE/>
              <w:autoSpaceDN/>
              <w:bidi w:val="0"/>
              <w:adjustRightInd/>
              <w:snapToGrid/>
              <w:spacing w:beforeLines="0" w:afterLines="0" w:line="240" w:lineRule="auto"/>
              <w:textAlignment w:val="auto"/>
              <w:rPr>
                <w:rFonts w:hint="eastAsia" w:ascii="宋体" w:hAnsi="宋体" w:eastAsia="宋体" w:cs="Times New Roman"/>
                <w:b/>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2）授权委托书及受委托人身份证复印件；</w:t>
            </w:r>
            <w:r>
              <w:rPr>
                <w:rFonts w:hint="eastAsia" w:ascii="宋体" w:hAnsi="宋体" w:eastAsia="宋体" w:cs="Times New Roman"/>
                <w:b/>
                <w:color w:val="auto"/>
                <w:kern w:val="2"/>
                <w:sz w:val="21"/>
                <w:szCs w:val="21"/>
                <w:highlight w:val="none"/>
                <w:lang w:val="en-US" w:eastAsia="zh-CN" w:bidi="ar-SA"/>
              </w:rPr>
              <w:t>（如委托代理投标须提供）</w:t>
            </w:r>
          </w:p>
          <w:p>
            <w:pPr>
              <w:rPr>
                <w:rFonts w:hint="default"/>
                <w:lang w:val="en-US" w:eastAsia="zh-CN"/>
              </w:rPr>
            </w:pPr>
            <w:r>
              <w:rPr>
                <w:rFonts w:hint="eastAsia" w:ascii="宋体" w:hAnsi="宋体" w:cs="Times New Roman"/>
                <w:b w:val="0"/>
                <w:bCs/>
                <w:color w:val="auto"/>
                <w:kern w:val="2"/>
                <w:sz w:val="21"/>
                <w:szCs w:val="21"/>
                <w:highlight w:val="none"/>
                <w:lang w:val="en-US" w:eastAsia="zh-CN" w:bidi="ar-SA"/>
              </w:rPr>
              <w:t>3）投标人基本情况介绍及项目标的的详细介绍</w:t>
            </w:r>
            <w:r>
              <w:rPr>
                <w:rFonts w:hint="eastAsia" w:ascii="宋体" w:hAnsi="宋体" w:cs="Times New Roman"/>
                <w:b/>
                <w:bCs w:val="0"/>
                <w:color w:val="auto"/>
                <w:kern w:val="2"/>
                <w:sz w:val="21"/>
                <w:szCs w:val="21"/>
                <w:highlight w:val="none"/>
                <w:lang w:val="en-US" w:eastAsia="zh-CN" w:bidi="ar-SA"/>
              </w:rPr>
              <w:t>（含硬件、软件）</w:t>
            </w:r>
          </w:p>
          <w:p>
            <w:pPr>
              <w:keepNext w:val="0"/>
              <w:keepLines w:val="0"/>
              <w:pageBreakBefore w:val="0"/>
              <w:kinsoku/>
              <w:wordWrap/>
              <w:overflowPunct/>
              <w:topLinePunct w:val="0"/>
              <w:autoSpaceDE/>
              <w:autoSpaceDN/>
              <w:bidi w:val="0"/>
              <w:adjustRightInd/>
              <w:snapToGrid/>
              <w:spacing w:line="240" w:lineRule="auto"/>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4</w:t>
            </w:r>
            <w:r>
              <w:rPr>
                <w:rFonts w:hint="eastAsia" w:ascii="宋体" w:hAnsi="宋体"/>
                <w:color w:val="auto"/>
                <w:sz w:val="21"/>
                <w:szCs w:val="21"/>
                <w:highlight w:val="none"/>
              </w:rPr>
              <w:t>）技术</w:t>
            </w:r>
            <w:r>
              <w:rPr>
                <w:rFonts w:hint="eastAsia" w:ascii="宋体" w:hAnsi="宋体"/>
                <w:color w:val="auto"/>
                <w:sz w:val="21"/>
                <w:szCs w:val="21"/>
                <w:highlight w:val="none"/>
                <w:lang w:val="en-US" w:eastAsia="zh-CN"/>
              </w:rPr>
              <w:t>参数</w:t>
            </w:r>
            <w:r>
              <w:rPr>
                <w:rFonts w:hint="eastAsia" w:ascii="宋体" w:hAnsi="宋体"/>
                <w:color w:val="auto"/>
                <w:sz w:val="21"/>
                <w:szCs w:val="21"/>
                <w:highlight w:val="none"/>
              </w:rPr>
              <w:t>响应及偏离情况说明表</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格式后附</w:t>
            </w:r>
            <w:r>
              <w:rPr>
                <w:rFonts w:hint="eastAsia" w:ascii="宋体" w:hAnsi="宋体"/>
                <w:color w:val="auto"/>
                <w:sz w:val="21"/>
                <w:szCs w:val="21"/>
                <w:highlight w:val="none"/>
                <w:lang w:eastAsia="zh-CN"/>
              </w:rPr>
              <w:t>）</w:t>
            </w:r>
            <w:r>
              <w:rPr>
                <w:rFonts w:hint="eastAsia" w:ascii="宋体" w:hAnsi="宋体"/>
                <w:color w:val="auto"/>
                <w:sz w:val="21"/>
                <w:szCs w:val="21"/>
                <w:highlight w:val="none"/>
              </w:rPr>
              <w:t>；（</w:t>
            </w:r>
            <w:r>
              <w:rPr>
                <w:rFonts w:hint="eastAsia" w:ascii="宋体" w:hAnsi="宋体"/>
                <w:b/>
                <w:color w:val="auto"/>
                <w:sz w:val="21"/>
                <w:szCs w:val="21"/>
                <w:highlight w:val="none"/>
              </w:rPr>
              <w:t>必须提供</w:t>
            </w:r>
            <w:r>
              <w:rPr>
                <w:rFonts w:hint="eastAsia" w:ascii="宋体" w:hAnsi="宋体"/>
                <w:color w:val="auto"/>
                <w:sz w:val="21"/>
                <w:szCs w:val="21"/>
                <w:highlight w:val="none"/>
              </w:rPr>
              <w:t>）</w:t>
            </w:r>
          </w:p>
          <w:p>
            <w:pPr>
              <w:keepNext w:val="0"/>
              <w:keepLines w:val="0"/>
              <w:pageBreakBefore w:val="0"/>
              <w:kinsoku/>
              <w:wordWrap/>
              <w:overflowPunct/>
              <w:topLinePunct w:val="0"/>
              <w:autoSpaceDE/>
              <w:autoSpaceDN/>
              <w:bidi w:val="0"/>
              <w:adjustRightInd/>
              <w:snapToGrid/>
              <w:spacing w:line="240" w:lineRule="auto"/>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）商务</w:t>
            </w:r>
            <w:r>
              <w:rPr>
                <w:rFonts w:hint="eastAsia" w:ascii="宋体" w:hAnsi="宋体"/>
                <w:color w:val="auto"/>
                <w:sz w:val="21"/>
                <w:szCs w:val="21"/>
                <w:highlight w:val="none"/>
                <w:lang w:val="en-US" w:eastAsia="zh-CN"/>
              </w:rPr>
              <w:t>参数</w:t>
            </w:r>
            <w:r>
              <w:rPr>
                <w:rFonts w:hint="eastAsia" w:ascii="宋体" w:hAnsi="宋体"/>
                <w:color w:val="auto"/>
                <w:sz w:val="21"/>
                <w:szCs w:val="21"/>
                <w:highlight w:val="none"/>
              </w:rPr>
              <w:t>响应及偏离情况说明表</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格式后附</w:t>
            </w:r>
            <w:r>
              <w:rPr>
                <w:rFonts w:hint="eastAsia" w:ascii="宋体" w:hAnsi="宋体"/>
                <w:color w:val="auto"/>
                <w:sz w:val="21"/>
                <w:szCs w:val="21"/>
                <w:highlight w:val="none"/>
                <w:lang w:eastAsia="zh-CN"/>
              </w:rPr>
              <w:t>）</w:t>
            </w:r>
            <w:r>
              <w:rPr>
                <w:rFonts w:hint="eastAsia" w:ascii="宋体" w:hAnsi="宋体"/>
                <w:color w:val="auto"/>
                <w:sz w:val="21"/>
                <w:szCs w:val="21"/>
                <w:highlight w:val="none"/>
              </w:rPr>
              <w:t>；（</w:t>
            </w:r>
            <w:r>
              <w:rPr>
                <w:rFonts w:hint="eastAsia" w:ascii="宋体" w:hAnsi="宋体"/>
                <w:b/>
                <w:color w:val="auto"/>
                <w:sz w:val="21"/>
                <w:szCs w:val="21"/>
                <w:highlight w:val="none"/>
              </w:rPr>
              <w:t>必须提供</w:t>
            </w:r>
            <w:r>
              <w:rPr>
                <w:rFonts w:hint="eastAsia" w:ascii="宋体" w:hAnsi="宋体"/>
                <w:color w:val="auto"/>
                <w:sz w:val="21"/>
                <w:szCs w:val="21"/>
                <w:highlight w:val="none"/>
              </w:rPr>
              <w:t>）</w:t>
            </w:r>
          </w:p>
          <w:p>
            <w:pPr>
              <w:keepNext w:val="0"/>
              <w:keepLines w:val="0"/>
              <w:pageBreakBefore w:val="0"/>
              <w:kinsoku/>
              <w:overflowPunct/>
              <w:topLinePunct w:val="0"/>
              <w:bidi w:val="0"/>
              <w:spacing w:line="240" w:lineRule="auto"/>
              <w:textAlignment w:val="auto"/>
              <w:rPr>
                <w:rFonts w:hint="default" w:eastAsia="宋体"/>
                <w:sz w:val="21"/>
                <w:szCs w:val="21"/>
                <w:lang w:val="en-US" w:eastAsia="zh-CN"/>
              </w:rPr>
            </w:pP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）供应商有效的</w:t>
            </w:r>
            <w:r>
              <w:rPr>
                <w:rFonts w:hint="eastAsia" w:ascii="宋体" w:hAnsi="宋体"/>
                <w:color w:val="auto"/>
                <w:sz w:val="21"/>
                <w:szCs w:val="21"/>
                <w:highlight w:val="none"/>
                <w:lang w:val="en-US" w:eastAsia="zh-CN"/>
              </w:rPr>
              <w:t>资质及证明文件</w:t>
            </w:r>
            <w:r>
              <w:rPr>
                <w:rFonts w:hint="eastAsia" w:ascii="宋体" w:hAnsi="宋体"/>
                <w:b w:val="0"/>
                <w:bCs w:val="0"/>
                <w:color w:val="auto"/>
                <w:sz w:val="21"/>
                <w:szCs w:val="21"/>
                <w:highlight w:val="none"/>
                <w:lang w:val="en-US" w:eastAsia="zh-CN"/>
              </w:rPr>
              <w:t>（按磋商公告中供应商资质要求提交的材料）</w:t>
            </w:r>
            <w:r>
              <w:rPr>
                <w:rFonts w:hint="eastAsia" w:ascii="宋体" w:hAnsi="宋体"/>
                <w:color w:val="auto"/>
                <w:sz w:val="21"/>
                <w:szCs w:val="21"/>
                <w:highlight w:val="none"/>
              </w:rPr>
              <w:t>（</w:t>
            </w:r>
            <w:r>
              <w:rPr>
                <w:rFonts w:hint="eastAsia" w:ascii="宋体" w:hAnsi="宋体"/>
                <w:b/>
                <w:color w:val="auto"/>
                <w:sz w:val="21"/>
                <w:szCs w:val="21"/>
                <w:highlight w:val="none"/>
              </w:rPr>
              <w:t>必须提供</w:t>
            </w:r>
            <w:r>
              <w:rPr>
                <w:rFonts w:hint="eastAsia" w:ascii="宋体" w:hAnsi="宋体"/>
                <w:color w:val="auto"/>
                <w:sz w:val="21"/>
                <w:szCs w:val="21"/>
                <w:highlight w:val="none"/>
              </w:rPr>
              <w:t>）</w:t>
            </w:r>
          </w:p>
          <w:p>
            <w:pPr>
              <w:keepNext w:val="0"/>
              <w:keepLines w:val="0"/>
              <w:pageBreakBefore w:val="0"/>
              <w:kinsoku/>
              <w:overflowPunct/>
              <w:topLinePunct w:val="0"/>
              <w:bidi w:val="0"/>
              <w:spacing w:line="240" w:lineRule="auto"/>
              <w:textAlignment w:val="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lang w:val="en-US" w:eastAsia="zh-CN"/>
              </w:rPr>
              <w:t>7</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项目实施方案（提供详细的实施本项目的实施方案，如日期规划、人员培训、应急处置、风险预案等方案）</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格式目录自拟，</w:t>
            </w:r>
            <w:r>
              <w:rPr>
                <w:rFonts w:hint="eastAsia" w:ascii="宋体" w:hAnsi="宋体"/>
                <w:b/>
                <w:color w:val="auto"/>
                <w:sz w:val="21"/>
                <w:szCs w:val="21"/>
                <w:highlight w:val="none"/>
              </w:rPr>
              <w:t>必须提供</w:t>
            </w:r>
            <w:r>
              <w:rPr>
                <w:rFonts w:hint="eastAsia" w:ascii="宋体" w:hAnsi="宋体"/>
                <w:color w:val="auto"/>
                <w:sz w:val="21"/>
                <w:szCs w:val="21"/>
                <w:highlight w:val="none"/>
              </w:rPr>
              <w:t>）</w:t>
            </w:r>
            <w:r>
              <w:rPr>
                <w:rFonts w:hint="eastAsia" w:ascii="宋体" w:hAnsi="宋体"/>
                <w:color w:val="auto"/>
                <w:sz w:val="21"/>
                <w:szCs w:val="21"/>
                <w:highlight w:val="none"/>
                <w:lang w:eastAsia="zh-CN"/>
              </w:rPr>
              <w:t>；</w:t>
            </w:r>
          </w:p>
          <w:p>
            <w:pPr>
              <w:keepNext w:val="0"/>
              <w:keepLines w:val="0"/>
              <w:pageBreakBefore w:val="0"/>
              <w:kinsoku/>
              <w:overflowPunct/>
              <w:topLinePunct w:val="0"/>
              <w:bidi w:val="0"/>
              <w:spacing w:line="240" w:lineRule="auto"/>
              <w:textAlignment w:val="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lang w:val="en-US" w:eastAsia="zh-CN"/>
              </w:rPr>
              <w:t>8</w:t>
            </w:r>
            <w:r>
              <w:rPr>
                <w:rFonts w:hint="eastAsia" w:ascii="宋体" w:hAnsi="宋体"/>
                <w:color w:val="auto"/>
                <w:sz w:val="21"/>
                <w:szCs w:val="21"/>
                <w:highlight w:val="none"/>
              </w:rPr>
              <w:t>）</w:t>
            </w:r>
            <w:r>
              <w:rPr>
                <w:rFonts w:hint="eastAsia" w:ascii="宋体" w:hAnsi="宋体"/>
                <w:bCs/>
                <w:color w:val="auto"/>
                <w:sz w:val="21"/>
                <w:szCs w:val="21"/>
                <w:highlight w:val="none"/>
              </w:rPr>
              <w:t>售后服务方案，</w:t>
            </w:r>
            <w:r>
              <w:rPr>
                <w:rFonts w:hint="eastAsia" w:ascii="宋体" w:hAnsi="宋体"/>
                <w:color w:val="auto"/>
                <w:sz w:val="21"/>
                <w:szCs w:val="21"/>
                <w:highlight w:val="none"/>
              </w:rPr>
              <w:t>提供的切实可行的售后服务和优惠承诺</w:t>
            </w:r>
            <w:r>
              <w:rPr>
                <w:rFonts w:hint="eastAsia" w:ascii="宋体" w:hAnsi="宋体"/>
                <w:b/>
                <w:bCs/>
                <w:color w:val="auto"/>
                <w:sz w:val="21"/>
                <w:szCs w:val="21"/>
                <w:highlight w:val="none"/>
              </w:rPr>
              <w:t>（格式</w:t>
            </w:r>
            <w:r>
              <w:rPr>
                <w:rFonts w:hint="eastAsia" w:ascii="宋体" w:hAnsi="宋体"/>
                <w:b/>
                <w:bCs/>
                <w:color w:val="auto"/>
                <w:sz w:val="21"/>
                <w:szCs w:val="21"/>
                <w:highlight w:val="none"/>
                <w:lang w:val="en-US" w:eastAsia="zh-CN"/>
              </w:rPr>
              <w:t>目录</w:t>
            </w:r>
            <w:r>
              <w:rPr>
                <w:rFonts w:hint="eastAsia" w:ascii="宋体" w:hAnsi="宋体"/>
                <w:b/>
                <w:bCs/>
                <w:color w:val="auto"/>
                <w:sz w:val="21"/>
                <w:szCs w:val="21"/>
                <w:highlight w:val="none"/>
              </w:rPr>
              <w:t>自拟）</w:t>
            </w:r>
            <w:r>
              <w:rPr>
                <w:rFonts w:hint="eastAsia" w:ascii="宋体" w:hAnsi="宋体"/>
                <w:color w:val="auto"/>
                <w:sz w:val="21"/>
                <w:szCs w:val="21"/>
                <w:highlight w:val="none"/>
                <w:lang w:eastAsia="zh-CN"/>
              </w:rPr>
              <w:t>（</w:t>
            </w:r>
            <w:r>
              <w:rPr>
                <w:rFonts w:hint="eastAsia" w:ascii="宋体" w:hAnsi="宋体"/>
                <w:b/>
                <w:color w:val="auto"/>
                <w:sz w:val="21"/>
                <w:szCs w:val="21"/>
                <w:highlight w:val="none"/>
              </w:rPr>
              <w:t>必须提供</w:t>
            </w:r>
            <w:r>
              <w:rPr>
                <w:rFonts w:hint="eastAsia" w:ascii="宋体" w:hAnsi="宋体"/>
                <w:color w:val="auto"/>
                <w:sz w:val="21"/>
                <w:szCs w:val="21"/>
                <w:highlight w:val="none"/>
              </w:rPr>
              <w:t>）</w:t>
            </w:r>
            <w:r>
              <w:rPr>
                <w:rFonts w:hint="eastAsia" w:ascii="宋体" w:hAnsi="宋体"/>
                <w:color w:val="auto"/>
                <w:sz w:val="21"/>
                <w:szCs w:val="21"/>
                <w:highlight w:val="none"/>
                <w:lang w:eastAsia="zh-CN"/>
              </w:rPr>
              <w:t>；</w:t>
            </w:r>
          </w:p>
          <w:p>
            <w:pPr>
              <w:keepNext w:val="0"/>
              <w:keepLines w:val="0"/>
              <w:pageBreakBefore w:val="0"/>
              <w:kinsoku/>
              <w:overflowPunct/>
              <w:topLinePunct w:val="0"/>
              <w:bidi w:val="0"/>
              <w:spacing w:line="240" w:lineRule="auto"/>
              <w:textAlignment w:val="auto"/>
              <w:rPr>
                <w:rFonts w:hint="eastAsia" w:ascii="宋体" w:hAnsi="宋体"/>
                <w:color w:val="auto"/>
                <w:sz w:val="21"/>
                <w:szCs w:val="21"/>
                <w:highlight w:val="none"/>
              </w:rPr>
            </w:pPr>
            <w:r>
              <w:rPr>
                <w:rFonts w:hint="eastAsia" w:ascii="宋体" w:hAnsi="宋体"/>
                <w:color w:val="auto"/>
                <w:sz w:val="21"/>
                <w:szCs w:val="21"/>
                <w:highlight w:val="none"/>
                <w:lang w:val="en-US" w:eastAsia="zh-CN"/>
              </w:rPr>
              <w:t>9</w:t>
            </w:r>
            <w:r>
              <w:rPr>
                <w:rFonts w:hint="eastAsia" w:ascii="宋体" w:hAnsi="宋体"/>
                <w:color w:val="auto"/>
                <w:sz w:val="21"/>
                <w:szCs w:val="21"/>
                <w:highlight w:val="none"/>
              </w:rPr>
              <w:t>）项目实施人员一览表</w:t>
            </w: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lang w:val="en-US" w:eastAsia="zh-CN"/>
              </w:rPr>
              <w:t>格式后附</w:t>
            </w:r>
            <w:r>
              <w:rPr>
                <w:rFonts w:hint="eastAsia" w:ascii="宋体" w:hAnsi="宋体"/>
                <w:b/>
                <w:bCs/>
                <w:color w:val="auto"/>
                <w:sz w:val="21"/>
                <w:szCs w:val="21"/>
                <w:highlight w:val="none"/>
                <w:lang w:eastAsia="zh-CN"/>
              </w:rPr>
              <w:t>）</w:t>
            </w:r>
            <w:r>
              <w:rPr>
                <w:rFonts w:hint="eastAsia" w:ascii="宋体" w:hAnsi="宋体"/>
                <w:color w:val="auto"/>
                <w:sz w:val="21"/>
                <w:szCs w:val="21"/>
                <w:highlight w:val="none"/>
                <w:lang w:eastAsia="zh-CN"/>
              </w:rPr>
              <w:t>（</w:t>
            </w:r>
            <w:r>
              <w:rPr>
                <w:rFonts w:hint="eastAsia" w:ascii="宋体" w:hAnsi="宋体"/>
                <w:b/>
                <w:color w:val="auto"/>
                <w:sz w:val="21"/>
                <w:szCs w:val="21"/>
                <w:highlight w:val="none"/>
              </w:rPr>
              <w:t>必须提供</w:t>
            </w:r>
            <w:r>
              <w:rPr>
                <w:rFonts w:hint="eastAsia" w:ascii="宋体" w:hAnsi="宋体"/>
                <w:color w:val="auto"/>
                <w:sz w:val="21"/>
                <w:szCs w:val="21"/>
                <w:highlight w:val="none"/>
              </w:rPr>
              <w:t>）。</w:t>
            </w:r>
          </w:p>
          <w:p>
            <w:pPr>
              <w:keepNext w:val="0"/>
              <w:keepLines w:val="0"/>
              <w:pageBreakBefore w:val="0"/>
              <w:kinsoku/>
              <w:overflowPunct/>
              <w:topLinePunct w:val="0"/>
              <w:bidi w:val="0"/>
              <w:spacing w:line="240" w:lineRule="auto"/>
              <w:textAlignment w:val="auto"/>
              <w:rPr>
                <w:rFonts w:hint="eastAsia" w:ascii="宋体" w:hAnsi="宋体"/>
                <w:color w:val="auto"/>
                <w:sz w:val="21"/>
                <w:szCs w:val="21"/>
                <w:highlight w:val="none"/>
              </w:rPr>
            </w:pPr>
            <w:r>
              <w:rPr>
                <w:rFonts w:hint="eastAsia" w:ascii="宋体" w:hAnsi="宋体"/>
                <w:color w:val="auto"/>
                <w:sz w:val="21"/>
                <w:szCs w:val="21"/>
                <w:highlight w:val="none"/>
                <w:lang w:val="en-US" w:eastAsia="zh-CN"/>
              </w:rPr>
              <w:t>10）业绩材料，</w:t>
            </w:r>
            <w:r>
              <w:rPr>
                <w:rFonts w:hint="eastAsia" w:ascii="宋体" w:hAnsi="宋体"/>
                <w:color w:val="auto"/>
                <w:sz w:val="21"/>
                <w:szCs w:val="21"/>
                <w:highlight w:val="none"/>
              </w:rPr>
              <w:t>供应商认为可以证明其能力或业绩的其他材料以及供应商认为需要提供的其他有关资料。</w:t>
            </w:r>
          </w:p>
          <w:p>
            <w:pPr>
              <w:keepNext w:val="0"/>
              <w:keepLines w:val="0"/>
              <w:pageBreakBefore w:val="0"/>
              <w:kinsoku/>
              <w:overflowPunct/>
              <w:topLinePunct w:val="0"/>
              <w:bidi w:val="0"/>
              <w:spacing w:line="240" w:lineRule="auto"/>
              <w:textAlignment w:val="auto"/>
              <w:rPr>
                <w:rFonts w:hint="eastAsia" w:ascii="宋体" w:hAnsi="宋体" w:eastAsia="宋体"/>
                <w:b/>
                <w:bCs/>
                <w:color w:val="auto"/>
                <w:sz w:val="21"/>
                <w:szCs w:val="21"/>
                <w:highlight w:val="none"/>
                <w:lang w:val="en-US" w:eastAsia="zh-CN"/>
              </w:rPr>
            </w:pPr>
            <w:r>
              <w:rPr>
                <w:rFonts w:hint="eastAsia" w:ascii="宋体" w:hAnsi="宋体"/>
                <w:color w:val="auto"/>
                <w:sz w:val="21"/>
                <w:szCs w:val="21"/>
                <w:highlight w:val="none"/>
                <w:lang w:val="en-US" w:eastAsia="zh-CN"/>
              </w:rPr>
              <w:t>11</w:t>
            </w:r>
            <w:r>
              <w:rPr>
                <w:rFonts w:hint="eastAsia" w:ascii="宋体" w:hAnsi="宋体" w:eastAsia="宋体"/>
                <w:color w:val="auto"/>
                <w:sz w:val="21"/>
                <w:szCs w:val="21"/>
                <w:highlight w:val="none"/>
                <w:lang w:val="en-US" w:eastAsia="zh-CN"/>
              </w:rPr>
              <w:t>）</w:t>
            </w:r>
            <w:r>
              <w:rPr>
                <w:rFonts w:hint="eastAsia" w:ascii="宋体" w:hAnsi="宋体"/>
                <w:color w:val="auto"/>
                <w:sz w:val="21"/>
                <w:szCs w:val="21"/>
                <w:highlight w:val="none"/>
                <w:lang w:val="en-US" w:eastAsia="zh-CN"/>
              </w:rPr>
              <w:t>供应商</w:t>
            </w:r>
            <w:r>
              <w:rPr>
                <w:rFonts w:hint="eastAsia" w:ascii="宋体" w:hAnsi="宋体" w:eastAsia="宋体"/>
                <w:color w:val="auto"/>
                <w:sz w:val="21"/>
                <w:szCs w:val="21"/>
                <w:highlight w:val="none"/>
                <w:lang w:val="en-US" w:eastAsia="zh-CN"/>
              </w:rPr>
              <w:t>根据“</w:t>
            </w:r>
            <w:r>
              <w:rPr>
                <w:rFonts w:hint="eastAsia" w:ascii="宋体" w:hAnsi="宋体"/>
                <w:color w:val="auto"/>
                <w:sz w:val="21"/>
                <w:szCs w:val="21"/>
                <w:highlight w:val="none"/>
                <w:lang w:val="en-US" w:eastAsia="zh-CN"/>
              </w:rPr>
              <w:t>第四章 评审方法</w:t>
            </w:r>
            <w:r>
              <w:rPr>
                <w:rFonts w:hint="eastAsia" w:ascii="宋体" w:hAnsi="宋体" w:eastAsia="宋体"/>
                <w:color w:val="auto"/>
                <w:sz w:val="21"/>
                <w:szCs w:val="21"/>
                <w:highlight w:val="none"/>
                <w:lang w:val="en-US" w:eastAsia="zh-CN"/>
              </w:rPr>
              <w:t>”的评分要点提供相应证明材料</w:t>
            </w:r>
            <w:r>
              <w:rPr>
                <w:rFonts w:hint="eastAsia" w:ascii="宋体" w:hAnsi="宋体" w:eastAsia="宋体"/>
                <w:b/>
                <w:bCs/>
                <w:color w:val="auto"/>
                <w:sz w:val="21"/>
                <w:szCs w:val="21"/>
                <w:highlight w:val="none"/>
                <w:lang w:val="en-US" w:eastAsia="zh-CN"/>
              </w:rPr>
              <w:t>（格式目录自拟）</w:t>
            </w:r>
          </w:p>
          <w:p>
            <w:pPr>
              <w:keepNext w:val="0"/>
              <w:keepLines w:val="0"/>
              <w:pageBreakBefore w:val="0"/>
              <w:kinsoku/>
              <w:overflowPunct/>
              <w:topLinePunct w:val="0"/>
              <w:bidi w:val="0"/>
              <w:spacing w:line="240" w:lineRule="auto"/>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12）供应商认为其他需要提供的证明其履约能力和满足“采购需求”的相关材料。</w:t>
            </w:r>
          </w:p>
          <w:p>
            <w:pPr>
              <w:keepNext w:val="0"/>
              <w:keepLines w:val="0"/>
              <w:pageBreakBefore w:val="0"/>
              <w:kinsoku/>
              <w:overflowPunct/>
              <w:topLinePunct w:val="0"/>
              <w:bidi w:val="0"/>
              <w:spacing w:line="240" w:lineRule="auto"/>
              <w:textAlignment w:val="auto"/>
              <w:rPr>
                <w:rFonts w:hint="eastAsia" w:ascii="宋体" w:hAnsi="宋体" w:eastAsia="宋体"/>
                <w:b/>
                <w:color w:val="auto"/>
                <w:sz w:val="21"/>
                <w:szCs w:val="21"/>
                <w:highlight w:val="none"/>
                <w:lang w:eastAsia="zh-CN"/>
              </w:rPr>
            </w:pPr>
            <w:r>
              <w:rPr>
                <w:rFonts w:hint="eastAsia" w:ascii="宋体" w:hAnsi="宋体"/>
                <w:b/>
                <w:bCs/>
                <w:color w:val="auto"/>
                <w:sz w:val="21"/>
                <w:szCs w:val="21"/>
                <w:highlight w:val="none"/>
                <w:lang w:val="en-US" w:eastAsia="zh-CN"/>
              </w:rPr>
              <w:t>3.</w:t>
            </w:r>
            <w:r>
              <w:rPr>
                <w:rFonts w:hint="eastAsia" w:ascii="宋体" w:hAnsi="宋体"/>
                <w:b/>
                <w:bCs/>
                <w:color w:val="auto"/>
                <w:sz w:val="21"/>
                <w:szCs w:val="21"/>
                <w:highlight w:val="none"/>
                <w:lang w:eastAsia="zh-CN"/>
              </w:rPr>
              <w:t>磋商</w:t>
            </w:r>
            <w:r>
              <w:rPr>
                <w:rFonts w:hint="eastAsia" w:ascii="宋体" w:hAnsi="宋体"/>
                <w:b/>
                <w:bCs/>
                <w:color w:val="auto"/>
                <w:sz w:val="21"/>
                <w:szCs w:val="21"/>
                <w:highlight w:val="none"/>
              </w:rPr>
              <w:t>报价表、</w:t>
            </w:r>
            <w:r>
              <w:rPr>
                <w:rFonts w:hint="eastAsia" w:ascii="宋体" w:hAnsi="宋体"/>
                <w:b/>
                <w:bCs/>
                <w:color w:val="auto"/>
                <w:sz w:val="21"/>
                <w:szCs w:val="21"/>
                <w:highlight w:val="none"/>
                <w:lang w:val="en-US" w:eastAsia="zh-CN"/>
              </w:rPr>
              <w:t>投标函</w:t>
            </w:r>
            <w:r>
              <w:rPr>
                <w:rFonts w:hint="eastAsia" w:ascii="宋体" w:hAnsi="宋体"/>
                <w:b/>
                <w:bCs/>
                <w:color w:val="auto"/>
                <w:sz w:val="21"/>
                <w:szCs w:val="21"/>
                <w:highlight w:val="none"/>
              </w:rPr>
              <w:t>、法定代表人授权委托书、技术</w:t>
            </w:r>
            <w:r>
              <w:rPr>
                <w:rFonts w:hint="eastAsia" w:ascii="宋体" w:hAnsi="宋体"/>
                <w:b/>
                <w:bCs/>
                <w:color w:val="auto"/>
                <w:sz w:val="21"/>
                <w:szCs w:val="21"/>
                <w:highlight w:val="none"/>
                <w:lang w:val="en-US" w:eastAsia="zh-CN"/>
              </w:rPr>
              <w:t>参数</w:t>
            </w:r>
            <w:r>
              <w:rPr>
                <w:rFonts w:hint="eastAsia" w:ascii="宋体" w:hAnsi="宋体"/>
                <w:b/>
                <w:bCs/>
                <w:color w:val="auto"/>
                <w:sz w:val="21"/>
                <w:szCs w:val="21"/>
                <w:highlight w:val="none"/>
              </w:rPr>
              <w:t>响应及偏离情况说明表、商务</w:t>
            </w:r>
            <w:r>
              <w:rPr>
                <w:rFonts w:hint="eastAsia" w:ascii="宋体" w:hAnsi="宋体"/>
                <w:b/>
                <w:bCs/>
                <w:color w:val="auto"/>
                <w:sz w:val="21"/>
                <w:szCs w:val="21"/>
                <w:highlight w:val="none"/>
                <w:lang w:val="en-US" w:eastAsia="zh-CN"/>
              </w:rPr>
              <w:t>参数</w:t>
            </w:r>
            <w:r>
              <w:rPr>
                <w:rFonts w:hint="eastAsia" w:ascii="宋体" w:hAnsi="宋体"/>
                <w:b/>
                <w:bCs/>
                <w:color w:val="auto"/>
                <w:sz w:val="21"/>
                <w:szCs w:val="21"/>
                <w:highlight w:val="none"/>
              </w:rPr>
              <w:t>响应及偏离情况说明表必须按格式要求由法定代表人或委托代理人签名并加盖单位公章</w:t>
            </w:r>
            <w:r>
              <w:rPr>
                <w:rFonts w:hint="eastAsia" w:ascii="宋体" w:hAnsi="宋体"/>
                <w:b/>
                <w:color w:val="auto"/>
                <w:sz w:val="21"/>
                <w:szCs w:val="21"/>
                <w:highlight w:val="none"/>
              </w:rPr>
              <w:t>，否则</w:t>
            </w:r>
            <w:r>
              <w:rPr>
                <w:rFonts w:hint="eastAsia" w:ascii="宋体" w:hAnsi="宋体"/>
                <w:b/>
                <w:color w:val="auto"/>
                <w:sz w:val="21"/>
                <w:szCs w:val="21"/>
                <w:highlight w:val="none"/>
                <w:lang w:eastAsia="zh-CN"/>
              </w:rPr>
              <w:t>磋商</w:t>
            </w:r>
            <w:r>
              <w:rPr>
                <w:rFonts w:hint="eastAsia" w:ascii="宋体" w:hAnsi="宋体"/>
                <w:b/>
                <w:color w:val="auto"/>
                <w:sz w:val="21"/>
                <w:szCs w:val="21"/>
                <w:highlight w:val="none"/>
              </w:rPr>
              <w:t>响应无效。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5" w:type="dxa"/>
            <w:vAlign w:val="center"/>
          </w:tcPr>
          <w:p>
            <w:pPr>
              <w:keepNext w:val="0"/>
              <w:keepLines w:val="0"/>
              <w:pageBreakBefore w:val="0"/>
              <w:kinsoku/>
              <w:overflowPunct/>
              <w:topLinePunct w:val="0"/>
              <w:bidi w:val="0"/>
              <w:spacing w:line="240" w:lineRule="auto"/>
              <w:jc w:val="center"/>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5</w:t>
            </w:r>
          </w:p>
        </w:tc>
        <w:tc>
          <w:tcPr>
            <w:tcW w:w="945" w:type="dxa"/>
            <w:vAlign w:val="center"/>
          </w:tcPr>
          <w:p>
            <w:pPr>
              <w:keepNext w:val="0"/>
              <w:keepLines w:val="0"/>
              <w:pageBreakBefore w:val="0"/>
              <w:kinsoku/>
              <w:overflowPunct/>
              <w:topLinePunct w:val="0"/>
              <w:bidi w:val="0"/>
              <w:spacing w:line="240" w:lineRule="auto"/>
              <w:jc w:val="center"/>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.1</w:t>
            </w:r>
          </w:p>
        </w:tc>
        <w:tc>
          <w:tcPr>
            <w:tcW w:w="7862" w:type="dxa"/>
            <w:vAlign w:val="center"/>
          </w:tcPr>
          <w:p>
            <w:pPr>
              <w:wordWrap w:val="0"/>
              <w:topLinePunct/>
              <w:snapToGrid w:val="0"/>
              <w:spacing w:line="400" w:lineRule="exact"/>
              <w:rPr>
                <w:rFonts w:hint="eastAsia" w:ascii="宋体" w:hAnsi="宋体"/>
                <w:b/>
                <w:bCs/>
                <w:color w:val="auto"/>
                <w:sz w:val="21"/>
                <w:szCs w:val="21"/>
                <w:highlight w:val="none"/>
              </w:rPr>
            </w:pPr>
            <w:r>
              <w:rPr>
                <w:rFonts w:hint="eastAsia" w:ascii="宋体" w:hAnsi="宋体"/>
                <w:b/>
                <w:bCs/>
                <w:color w:val="auto"/>
                <w:sz w:val="21"/>
                <w:szCs w:val="21"/>
                <w:highlight w:val="none"/>
                <w:lang w:val="en-US" w:eastAsia="zh-CN"/>
              </w:rPr>
              <w:t>投标</w:t>
            </w:r>
            <w:r>
              <w:rPr>
                <w:rFonts w:hint="eastAsia" w:ascii="宋体" w:hAnsi="宋体"/>
                <w:b/>
                <w:bCs/>
                <w:color w:val="auto"/>
                <w:sz w:val="21"/>
                <w:szCs w:val="21"/>
                <w:highlight w:val="none"/>
              </w:rPr>
              <w:t>报价：</w:t>
            </w:r>
          </w:p>
          <w:p>
            <w:pPr>
              <w:pStyle w:val="19"/>
              <w:numPr>
                <w:ilvl w:val="-1"/>
                <w:numId w:val="0"/>
              </w:numPr>
              <w:tabs>
                <w:tab w:val="left" w:pos="312"/>
              </w:tabs>
              <w:rPr>
                <w:rFonts w:hint="eastAsia"/>
                <w:color w:val="000000"/>
                <w:sz w:val="21"/>
                <w:szCs w:val="21"/>
                <w:highlight w:val="none"/>
                <w:lang w:val="en-US" w:eastAsia="zh-CN"/>
              </w:rPr>
            </w:pPr>
            <w:r>
              <w:rPr>
                <w:rFonts w:hint="eastAsia"/>
                <w:color w:val="000000"/>
                <w:sz w:val="21"/>
                <w:szCs w:val="21"/>
                <w:highlight w:val="none"/>
                <w:lang w:val="en-US" w:eastAsia="zh-CN"/>
              </w:rPr>
              <w:t>1.本项目实行全包价报价，投标报价中已包含满足采购货物、服务以及保证项目顺利实施的各项费用，包括采购、运输、劳务、管理、利润、税金、保险、协调、培训、售后服务、配送产品以及所有的不定因素的风险等，其他未明确列明的费用采购人将不再予以支付。</w:t>
            </w:r>
          </w:p>
          <w:p>
            <w:pPr>
              <w:keepNext w:val="0"/>
              <w:keepLines w:val="0"/>
              <w:pageBreakBefore w:val="0"/>
              <w:kinsoku/>
              <w:overflowPunct/>
              <w:topLinePunct w:val="0"/>
              <w:bidi w:val="0"/>
              <w:spacing w:line="240" w:lineRule="auto"/>
              <w:textAlignment w:val="auto"/>
              <w:rPr>
                <w:rFonts w:hAnsi="宋体"/>
                <w:color w:val="auto"/>
                <w:sz w:val="21"/>
                <w:szCs w:val="21"/>
                <w:highlight w:val="none"/>
              </w:rPr>
            </w:pPr>
            <w:r>
              <w:rPr>
                <w:rFonts w:hint="eastAsia"/>
                <w:color w:val="000000"/>
                <w:sz w:val="21"/>
                <w:szCs w:val="21"/>
                <w:highlight w:val="none"/>
                <w:lang w:val="en-US" w:eastAsia="zh-CN"/>
              </w:rPr>
              <w:t>2.系统</w:t>
            </w:r>
            <w:r>
              <w:rPr>
                <w:rFonts w:hint="eastAsia" w:ascii="宋体" w:hAnsi="宋体" w:eastAsia="宋体" w:cs="宋体"/>
                <w:b w:val="0"/>
                <w:bCs w:val="0"/>
                <w:sz w:val="22"/>
                <w:szCs w:val="22"/>
                <w:highlight w:val="none"/>
                <w:lang w:val="en-US" w:eastAsia="zh-CN"/>
              </w:rPr>
              <w:t>需与</w:t>
            </w:r>
            <w:r>
              <w:rPr>
                <w:rFonts w:hint="eastAsia" w:ascii="宋体" w:hAnsi="宋体" w:cs="宋体"/>
                <w:b w:val="0"/>
                <w:bCs w:val="0"/>
                <w:sz w:val="22"/>
                <w:szCs w:val="22"/>
                <w:highlight w:val="none"/>
                <w:lang w:val="en-US" w:eastAsia="zh-CN"/>
              </w:rPr>
              <w:t>医院</w:t>
            </w:r>
            <w:r>
              <w:rPr>
                <w:rFonts w:hint="eastAsia" w:ascii="宋体" w:hAnsi="宋体" w:eastAsia="宋体" w:cs="宋体"/>
                <w:b w:val="0"/>
                <w:bCs w:val="0"/>
                <w:sz w:val="22"/>
                <w:szCs w:val="22"/>
                <w:highlight w:val="none"/>
                <w:lang w:val="en-US" w:eastAsia="zh-CN"/>
              </w:rPr>
              <w:t>HIS对接</w:t>
            </w:r>
            <w:r>
              <w:rPr>
                <w:rFonts w:hint="eastAsia" w:ascii="宋体" w:hAnsi="宋体" w:cs="宋体"/>
                <w:b w:val="0"/>
                <w:bCs w:val="0"/>
                <w:sz w:val="22"/>
                <w:szCs w:val="22"/>
                <w:highlight w:val="none"/>
                <w:lang w:val="en-US" w:eastAsia="zh-CN"/>
              </w:rPr>
              <w:t>，</w:t>
            </w:r>
            <w:r>
              <w:rPr>
                <w:rFonts w:hint="eastAsia" w:ascii="宋体" w:hAnsi="宋体" w:eastAsia="宋体" w:cs="宋体"/>
                <w:b w:val="0"/>
                <w:bCs w:val="0"/>
                <w:sz w:val="22"/>
                <w:szCs w:val="22"/>
                <w:highlight w:val="none"/>
                <w:lang w:val="en-US" w:eastAsia="zh-CN"/>
              </w:rPr>
              <w:t>实现数据传输，</w:t>
            </w:r>
            <w:r>
              <w:rPr>
                <w:rFonts w:hint="eastAsia" w:ascii="宋体" w:hAnsi="宋体" w:cs="宋体"/>
                <w:b w:val="0"/>
                <w:bCs w:val="0"/>
                <w:sz w:val="22"/>
                <w:szCs w:val="22"/>
                <w:highlight w:val="none"/>
                <w:lang w:val="en-US" w:eastAsia="zh-CN"/>
              </w:rPr>
              <w:t>接口费用包含在投标总价中。具体接口费用由投标人与HIS维保公司磋商谈判</w:t>
            </w:r>
            <w:r>
              <w:rPr>
                <w:rFonts w:hint="eastAsia" w:hAnsi="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945" w:type="dxa"/>
            <w:vAlign w:val="center"/>
          </w:tcPr>
          <w:p>
            <w:pPr>
              <w:keepNext w:val="0"/>
              <w:keepLines w:val="0"/>
              <w:pageBreakBefore w:val="0"/>
              <w:kinsoku/>
              <w:overflowPunct/>
              <w:topLinePunct w:val="0"/>
              <w:bidi w:val="0"/>
              <w:spacing w:line="240" w:lineRule="auto"/>
              <w:jc w:val="center"/>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6</w:t>
            </w:r>
          </w:p>
        </w:tc>
        <w:tc>
          <w:tcPr>
            <w:tcW w:w="945" w:type="dxa"/>
            <w:vAlign w:val="center"/>
          </w:tcPr>
          <w:p>
            <w:pPr>
              <w:keepNext w:val="0"/>
              <w:keepLines w:val="0"/>
              <w:pageBreakBefore w:val="0"/>
              <w:kinsoku/>
              <w:overflowPunct/>
              <w:topLinePunct w:val="0"/>
              <w:bidi w:val="0"/>
              <w:spacing w:line="240" w:lineRule="auto"/>
              <w:jc w:val="center"/>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.1</w:t>
            </w:r>
          </w:p>
        </w:tc>
        <w:tc>
          <w:tcPr>
            <w:tcW w:w="7862" w:type="dxa"/>
            <w:vAlign w:val="center"/>
          </w:tcPr>
          <w:p>
            <w:pPr>
              <w:keepNext w:val="0"/>
              <w:keepLines w:val="0"/>
              <w:pageBreakBefore w:val="0"/>
              <w:kinsoku/>
              <w:overflowPunct/>
              <w:topLinePunct w:val="0"/>
              <w:bidi w:val="0"/>
              <w:spacing w:line="240" w:lineRule="auto"/>
              <w:textAlignment w:val="auto"/>
              <w:rPr>
                <w:rFonts w:hint="default" w:ascii="宋体" w:hAnsi="宋体" w:eastAsia="宋体"/>
                <w:b/>
                <w:bCs/>
                <w:color w:val="auto"/>
                <w:sz w:val="21"/>
                <w:szCs w:val="21"/>
                <w:highlight w:val="none"/>
                <w:lang w:val="en-US" w:eastAsia="zh-CN"/>
              </w:rPr>
            </w:pPr>
            <w:r>
              <w:rPr>
                <w:rFonts w:hint="eastAsia" w:ascii="宋体" w:hAnsi="宋体"/>
                <w:b/>
                <w:bCs/>
                <w:color w:val="auto"/>
                <w:sz w:val="21"/>
                <w:szCs w:val="21"/>
                <w:highlight w:val="none"/>
                <w:lang w:val="en-US" w:eastAsia="zh-CN"/>
              </w:rPr>
              <w:t>磋商响应文件份数及封装：</w:t>
            </w:r>
          </w:p>
          <w:p>
            <w:pPr>
              <w:keepNext w:val="0"/>
              <w:keepLines w:val="0"/>
              <w:pageBreakBefore w:val="0"/>
              <w:kinsoku/>
              <w:overflowPunct/>
              <w:topLinePunct w:val="0"/>
              <w:bidi w:val="0"/>
              <w:spacing w:line="240" w:lineRule="auto"/>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val="en-US" w:eastAsia="zh-CN"/>
              </w:rPr>
              <w:t>1.</w:t>
            </w:r>
            <w:r>
              <w:rPr>
                <w:rFonts w:hint="eastAsia" w:ascii="宋体" w:hAnsi="宋体"/>
                <w:color w:val="auto"/>
                <w:sz w:val="21"/>
                <w:szCs w:val="21"/>
                <w:highlight w:val="none"/>
              </w:rPr>
              <w:t>供应商应将所有</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按第</w:t>
            </w:r>
            <w:r>
              <w:rPr>
                <w:rFonts w:hint="eastAsia" w:ascii="宋体" w:hAnsi="宋体"/>
                <w:color w:val="auto"/>
                <w:sz w:val="21"/>
                <w:szCs w:val="21"/>
                <w:highlight w:val="none"/>
                <w:lang w:val="en-US" w:eastAsia="zh-CN"/>
              </w:rPr>
              <w:t>六</w:t>
            </w:r>
            <w:r>
              <w:rPr>
                <w:rFonts w:hint="eastAsia" w:ascii="宋体" w:hAnsi="宋体"/>
                <w:color w:val="auto"/>
                <w:sz w:val="21"/>
                <w:szCs w:val="21"/>
                <w:highlight w:val="none"/>
              </w:rPr>
              <w:t>章“响应文件格式”的要求和顺序合并装订成一册</w:t>
            </w:r>
            <w:r>
              <w:rPr>
                <w:rFonts w:hint="eastAsia" w:ascii="宋体" w:hAnsi="宋体"/>
                <w:color w:val="auto"/>
                <w:sz w:val="21"/>
                <w:szCs w:val="21"/>
                <w:highlight w:val="none"/>
                <w:lang w:eastAsia="zh-CN"/>
              </w:rPr>
              <w:t>；</w:t>
            </w:r>
          </w:p>
          <w:p>
            <w:pPr>
              <w:keepNext w:val="0"/>
              <w:keepLines w:val="0"/>
              <w:pageBreakBefore w:val="0"/>
              <w:kinsoku/>
              <w:overflowPunct/>
              <w:topLinePunct w:val="0"/>
              <w:bidi w:val="0"/>
              <w:spacing w:line="240" w:lineRule="auto"/>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val="en-US" w:eastAsia="zh-CN"/>
              </w:rPr>
              <w:t>2.</w:t>
            </w:r>
            <w:r>
              <w:rPr>
                <w:rFonts w:hint="eastAsia" w:ascii="宋体" w:hAnsi="宋体"/>
                <w:b/>
                <w:bCs/>
                <w:color w:val="auto"/>
                <w:sz w:val="21"/>
                <w:szCs w:val="21"/>
                <w:highlight w:val="none"/>
              </w:rPr>
              <w:t>正本一份，副本四份</w:t>
            </w:r>
            <w:r>
              <w:rPr>
                <w:rFonts w:hint="eastAsia" w:ascii="宋体" w:hAnsi="宋体"/>
                <w:color w:val="auto"/>
                <w:sz w:val="21"/>
                <w:szCs w:val="21"/>
                <w:highlight w:val="none"/>
              </w:rPr>
              <w:t>，并</w:t>
            </w:r>
            <w:r>
              <w:rPr>
                <w:rFonts w:ascii="宋体" w:hAnsi="宋体"/>
                <w:color w:val="auto"/>
                <w:sz w:val="21"/>
                <w:szCs w:val="21"/>
                <w:highlight w:val="none"/>
              </w:rPr>
              <w:t>在每个文本封面上标明“正本”或“副本”</w:t>
            </w:r>
            <w:r>
              <w:rPr>
                <w:rFonts w:hint="eastAsia" w:ascii="宋体" w:hAnsi="宋体"/>
                <w:color w:val="auto"/>
                <w:sz w:val="21"/>
                <w:szCs w:val="21"/>
                <w:highlight w:val="none"/>
                <w:lang w:eastAsia="zh-CN"/>
              </w:rPr>
              <w:t>；</w:t>
            </w:r>
          </w:p>
          <w:p>
            <w:pPr>
              <w:keepNext w:val="0"/>
              <w:keepLines w:val="0"/>
              <w:pageBreakBefore w:val="0"/>
              <w:kinsoku/>
              <w:overflowPunct/>
              <w:topLinePunct w:val="0"/>
              <w:bidi w:val="0"/>
              <w:spacing w:line="240" w:lineRule="auto"/>
              <w:textAlignment w:val="auto"/>
              <w:rPr>
                <w:rFonts w:hint="default" w:ascii="宋体" w:hAnsi="宋体" w:cs="Times New Roman"/>
                <w:color w:val="auto"/>
                <w:sz w:val="21"/>
                <w:szCs w:val="21"/>
                <w:highlight w:val="none"/>
                <w:lang w:val="en-US" w:eastAsia="zh-CN"/>
              </w:rPr>
            </w:pPr>
            <w:r>
              <w:rPr>
                <w:rFonts w:hint="eastAsia" w:ascii="宋体" w:hAnsi="宋体" w:cs="Times New Roman"/>
                <w:color w:val="auto"/>
                <w:sz w:val="21"/>
                <w:szCs w:val="21"/>
                <w:highlight w:val="none"/>
                <w:lang w:val="en-US" w:eastAsia="zh-CN"/>
              </w:rPr>
              <w:t>3.副本可以为正本签字盖章后的复印件，如正副本不一致以正本为准；</w:t>
            </w:r>
          </w:p>
          <w:p>
            <w:pPr>
              <w:keepNext w:val="0"/>
              <w:keepLines w:val="0"/>
              <w:pageBreakBefore w:val="0"/>
              <w:kinsoku/>
              <w:overflowPunct/>
              <w:topLinePunct w:val="0"/>
              <w:bidi w:val="0"/>
              <w:spacing w:line="240" w:lineRule="auto"/>
              <w:textAlignment w:val="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lang w:val="en-US" w:eastAsia="zh-CN"/>
              </w:rPr>
              <w:t>4.</w:t>
            </w:r>
            <w:r>
              <w:rPr>
                <w:rFonts w:hint="eastAsia" w:ascii="宋体" w:hAnsi="宋体"/>
                <w:color w:val="auto"/>
                <w:sz w:val="21"/>
                <w:szCs w:val="21"/>
                <w:highlight w:val="none"/>
              </w:rPr>
              <w:t>供应商</w:t>
            </w:r>
            <w:r>
              <w:rPr>
                <w:rFonts w:ascii="宋体" w:hAnsi="宋体"/>
                <w:color w:val="auto"/>
                <w:sz w:val="21"/>
                <w:szCs w:val="21"/>
                <w:highlight w:val="none"/>
              </w:rPr>
              <w:t>应</w:t>
            </w:r>
            <w:r>
              <w:rPr>
                <w:rFonts w:hint="eastAsia" w:ascii="宋体" w:hAnsi="宋体"/>
                <w:color w:val="auto"/>
                <w:sz w:val="21"/>
                <w:szCs w:val="21"/>
                <w:highlight w:val="none"/>
              </w:rPr>
              <w:t>尽量</w:t>
            </w:r>
            <w:r>
              <w:rPr>
                <w:rFonts w:ascii="宋体" w:hAnsi="宋体"/>
                <w:color w:val="auto"/>
                <w:sz w:val="21"/>
                <w:szCs w:val="21"/>
                <w:highlight w:val="none"/>
              </w:rPr>
              <w:t>将正、副本一并装入一个文件袋中进行包装，</w:t>
            </w:r>
            <w:r>
              <w:rPr>
                <w:rFonts w:hint="eastAsia" w:ascii="宋体" w:hAnsi="宋体"/>
                <w:color w:val="auto"/>
                <w:sz w:val="21"/>
                <w:szCs w:val="21"/>
                <w:highlight w:val="none"/>
              </w:rPr>
              <w:t>同时</w:t>
            </w:r>
            <w:r>
              <w:rPr>
                <w:rFonts w:ascii="宋体" w:hAnsi="宋体"/>
                <w:color w:val="auto"/>
                <w:sz w:val="21"/>
                <w:szCs w:val="21"/>
                <w:highlight w:val="none"/>
              </w:rPr>
              <w:t>加以密封，并在封贴处密封签章（公章、密封章、法定代表人或</w:t>
            </w:r>
            <w:r>
              <w:rPr>
                <w:rFonts w:hint="eastAsia" w:ascii="宋体" w:hAnsi="宋体"/>
                <w:color w:val="auto"/>
                <w:sz w:val="21"/>
                <w:szCs w:val="21"/>
                <w:highlight w:val="none"/>
              </w:rPr>
              <w:t>委托代理人</w:t>
            </w:r>
            <w:r>
              <w:rPr>
                <w:rFonts w:ascii="宋体" w:hAnsi="宋体"/>
                <w:color w:val="auto"/>
                <w:sz w:val="21"/>
                <w:szCs w:val="21"/>
                <w:highlight w:val="none"/>
              </w:rPr>
              <w:t>签字均可</w:t>
            </w:r>
            <w:r>
              <w:rPr>
                <w:rFonts w:hint="eastAsia" w:ascii="宋体" w:hAnsi="宋体"/>
                <w:color w:val="auto"/>
                <w:sz w:val="21"/>
                <w:szCs w:val="21"/>
                <w:highlight w:val="none"/>
              </w:rPr>
              <w:t>，要求</w:t>
            </w:r>
            <w:r>
              <w:rPr>
                <w:rFonts w:hint="eastAsia" w:ascii="宋体" w:hAnsi="宋体"/>
                <w:color w:val="auto"/>
                <w:sz w:val="21"/>
                <w:szCs w:val="21"/>
                <w:highlight w:val="none"/>
                <w:lang w:val="en-US" w:eastAsia="zh-CN"/>
              </w:rPr>
              <w:t>响应</w:t>
            </w:r>
            <w:r>
              <w:rPr>
                <w:rFonts w:hint="eastAsia" w:ascii="宋体" w:hAnsi="宋体"/>
                <w:color w:val="auto"/>
                <w:sz w:val="21"/>
                <w:szCs w:val="21"/>
                <w:highlight w:val="none"/>
              </w:rPr>
              <w:t>文件袋无明显缝隙露出袋内文件</w:t>
            </w:r>
            <w:r>
              <w:rPr>
                <w:rFonts w:hint="eastAsia" w:ascii="宋体" w:hAnsi="宋体"/>
                <w:color w:val="auto"/>
                <w:sz w:val="21"/>
                <w:szCs w:val="21"/>
                <w:highlight w:val="none"/>
                <w:lang w:val="en-US" w:eastAsia="zh-CN"/>
              </w:rPr>
              <w:t>内容</w:t>
            </w:r>
            <w:r>
              <w:rPr>
                <w:rFonts w:ascii="宋体" w:hAnsi="宋体"/>
                <w:color w:val="auto"/>
                <w:sz w:val="21"/>
                <w:szCs w:val="21"/>
                <w:highlight w:val="none"/>
              </w:rPr>
              <w:t>）</w:t>
            </w:r>
            <w:r>
              <w:rPr>
                <w:rFonts w:hint="eastAsia" w:ascii="宋体" w:hAnsi="宋体"/>
                <w:color w:val="auto"/>
                <w:sz w:val="21"/>
                <w:szCs w:val="21"/>
                <w:highlight w:val="none"/>
                <w:lang w:eastAsia="zh-CN"/>
              </w:rPr>
              <w:t>；</w:t>
            </w:r>
          </w:p>
          <w:p>
            <w:pPr>
              <w:keepNext w:val="0"/>
              <w:keepLines w:val="0"/>
              <w:pageBreakBefore w:val="0"/>
              <w:kinsoku/>
              <w:overflowPunct/>
              <w:topLinePunct w:val="0"/>
              <w:bidi w:val="0"/>
              <w:snapToGrid w:val="0"/>
              <w:spacing w:line="240" w:lineRule="auto"/>
              <w:jc w:val="left"/>
              <w:textAlignment w:val="auto"/>
              <w:rPr>
                <w:rFonts w:hint="eastAsia" w:ascii="宋体" w:hAnsi="宋体" w:eastAsia="宋体" w:cs="Courier New"/>
                <w:color w:val="auto"/>
                <w:sz w:val="21"/>
                <w:szCs w:val="21"/>
                <w:highlight w:val="none"/>
                <w:lang w:eastAsia="zh-CN"/>
              </w:rPr>
            </w:pPr>
            <w:r>
              <w:rPr>
                <w:rFonts w:hint="eastAsia" w:ascii="宋体" w:hAnsi="宋体" w:cs="Courier New"/>
                <w:color w:val="auto"/>
                <w:sz w:val="21"/>
                <w:szCs w:val="21"/>
                <w:highlight w:val="none"/>
                <w:lang w:val="en-US" w:eastAsia="zh-CN"/>
              </w:rPr>
              <w:t>5.响应供应商</w:t>
            </w:r>
            <w:r>
              <w:rPr>
                <w:rFonts w:hint="eastAsia" w:ascii="宋体" w:hAnsi="宋体" w:cs="Courier New"/>
                <w:color w:val="auto"/>
                <w:sz w:val="21"/>
                <w:szCs w:val="21"/>
                <w:highlight w:val="none"/>
              </w:rPr>
              <w:t>在递交</w:t>
            </w:r>
            <w:r>
              <w:rPr>
                <w:rFonts w:hint="eastAsia" w:ascii="宋体" w:hAnsi="宋体" w:cs="Courier New"/>
                <w:color w:val="auto"/>
                <w:sz w:val="21"/>
                <w:szCs w:val="21"/>
                <w:highlight w:val="none"/>
                <w:lang w:val="en-US" w:eastAsia="zh-CN"/>
              </w:rPr>
              <w:t>响应</w:t>
            </w:r>
            <w:r>
              <w:rPr>
                <w:rFonts w:hint="eastAsia" w:ascii="宋体" w:hAnsi="宋体" w:cs="Courier New"/>
                <w:color w:val="auto"/>
                <w:sz w:val="21"/>
                <w:szCs w:val="21"/>
                <w:highlight w:val="none"/>
              </w:rPr>
              <w:t>文件时，</w:t>
            </w:r>
            <w:r>
              <w:rPr>
                <w:rFonts w:hint="eastAsia" w:ascii="宋体" w:hAnsi="宋体" w:cs="Courier New"/>
                <w:b/>
                <w:bCs/>
                <w:color w:val="auto"/>
                <w:sz w:val="21"/>
                <w:szCs w:val="21"/>
                <w:highlight w:val="none"/>
              </w:rPr>
              <w:t>同时递交</w:t>
            </w:r>
            <w:r>
              <w:rPr>
                <w:rFonts w:hint="eastAsia" w:ascii="宋体" w:hAnsi="宋体" w:cs="Courier New"/>
                <w:b/>
                <w:bCs/>
                <w:color w:val="auto"/>
                <w:sz w:val="21"/>
                <w:szCs w:val="21"/>
                <w:highlight w:val="none"/>
                <w:lang w:val="en-US" w:eastAsia="zh-CN"/>
              </w:rPr>
              <w:t>响应</w:t>
            </w:r>
            <w:r>
              <w:rPr>
                <w:rFonts w:hint="eastAsia" w:ascii="宋体" w:hAnsi="宋体" w:cs="Courier New"/>
                <w:b/>
                <w:bCs/>
                <w:color w:val="auto"/>
                <w:sz w:val="21"/>
                <w:szCs w:val="21"/>
                <w:highlight w:val="none"/>
              </w:rPr>
              <w:t>文件</w:t>
            </w:r>
            <w:r>
              <w:rPr>
                <w:rFonts w:hint="eastAsia" w:ascii="宋体" w:hAnsi="宋体" w:cs="Courier New"/>
                <w:b/>
                <w:bCs/>
                <w:color w:val="auto"/>
                <w:sz w:val="21"/>
                <w:szCs w:val="21"/>
                <w:highlight w:val="none"/>
                <w:lang w:val="en-US" w:eastAsia="zh-CN"/>
              </w:rPr>
              <w:t>盖章扫描件</w:t>
            </w:r>
            <w:r>
              <w:rPr>
                <w:rFonts w:hint="eastAsia" w:ascii="宋体" w:hAnsi="宋体" w:cs="Courier New"/>
                <w:b/>
                <w:bCs/>
                <w:color w:val="auto"/>
                <w:sz w:val="21"/>
                <w:szCs w:val="21"/>
                <w:highlight w:val="none"/>
              </w:rPr>
              <w:t>电子版1份</w:t>
            </w:r>
            <w:r>
              <w:rPr>
                <w:rFonts w:hint="eastAsia" w:ascii="宋体" w:hAnsi="宋体" w:cs="Courier New"/>
                <w:b/>
                <w:bCs/>
                <w:color w:val="auto"/>
                <w:sz w:val="21"/>
                <w:szCs w:val="21"/>
                <w:highlight w:val="none"/>
                <w:lang w:eastAsia="zh-CN"/>
              </w:rPr>
              <w:t>，</w:t>
            </w:r>
            <w:r>
              <w:rPr>
                <w:rFonts w:hint="eastAsia" w:ascii="宋体" w:hAnsi="宋体" w:cs="Courier New"/>
                <w:b/>
                <w:bCs/>
                <w:color w:val="auto"/>
                <w:sz w:val="21"/>
                <w:szCs w:val="21"/>
                <w:highlight w:val="none"/>
                <w:lang w:val="en-US" w:eastAsia="zh-CN"/>
              </w:rPr>
              <w:t>并以</w:t>
            </w:r>
            <w:r>
              <w:rPr>
                <w:rFonts w:hint="eastAsia" w:ascii="宋体" w:hAnsi="宋体" w:cs="Courier New"/>
                <w:b/>
                <w:bCs/>
                <w:color w:val="auto"/>
                <w:sz w:val="21"/>
                <w:szCs w:val="21"/>
                <w:highlight w:val="none"/>
              </w:rPr>
              <w:t>光盘或U盘</w:t>
            </w:r>
            <w:r>
              <w:rPr>
                <w:rFonts w:hint="eastAsia" w:ascii="宋体" w:hAnsi="宋体" w:cs="Courier New"/>
                <w:b/>
                <w:bCs/>
                <w:color w:val="auto"/>
                <w:sz w:val="21"/>
                <w:szCs w:val="21"/>
                <w:highlight w:val="none"/>
                <w:lang w:val="en-US" w:eastAsia="zh-CN"/>
              </w:rPr>
              <w:t>形式</w:t>
            </w:r>
            <w:r>
              <w:rPr>
                <w:rFonts w:hint="eastAsia" w:ascii="宋体" w:hAnsi="宋体" w:cs="Courier New"/>
                <w:b/>
                <w:bCs/>
                <w:color w:val="auto"/>
                <w:sz w:val="21"/>
                <w:szCs w:val="21"/>
                <w:highlight w:val="none"/>
              </w:rPr>
              <w:t>与纸质版</w:t>
            </w:r>
            <w:r>
              <w:rPr>
                <w:rFonts w:hint="eastAsia" w:ascii="宋体" w:hAnsi="宋体" w:cs="Courier New"/>
                <w:b/>
                <w:bCs/>
                <w:color w:val="auto"/>
                <w:sz w:val="21"/>
                <w:szCs w:val="21"/>
                <w:highlight w:val="none"/>
                <w:lang w:val="en-US" w:eastAsia="zh-CN"/>
              </w:rPr>
              <w:t>响应</w:t>
            </w:r>
            <w:r>
              <w:rPr>
                <w:rFonts w:hint="eastAsia" w:ascii="宋体" w:hAnsi="宋体" w:cs="Courier New"/>
                <w:b/>
                <w:bCs/>
                <w:color w:val="auto"/>
                <w:sz w:val="21"/>
                <w:szCs w:val="21"/>
                <w:highlight w:val="none"/>
              </w:rPr>
              <w:t>文件一并装入文件袋中</w:t>
            </w:r>
            <w:r>
              <w:rPr>
                <w:rFonts w:hint="eastAsia" w:ascii="宋体" w:hAnsi="宋体" w:cs="Courier New"/>
                <w:b/>
                <w:bCs/>
                <w:color w:val="auto"/>
                <w:sz w:val="21"/>
                <w:szCs w:val="21"/>
                <w:highlight w:val="none"/>
                <w:lang w:eastAsia="zh-CN"/>
              </w:rPr>
              <w:t>；</w:t>
            </w:r>
          </w:p>
          <w:p>
            <w:pPr>
              <w:keepNext w:val="0"/>
              <w:keepLines w:val="0"/>
              <w:pageBreakBefore w:val="0"/>
              <w:kinsoku/>
              <w:overflowPunct/>
              <w:topLinePunct w:val="0"/>
              <w:bidi w:val="0"/>
              <w:spacing w:line="240" w:lineRule="auto"/>
              <w:textAlignment w:val="auto"/>
              <w:rPr>
                <w:rFonts w:ascii="宋体" w:hAnsi="宋体"/>
                <w:color w:val="auto"/>
                <w:sz w:val="21"/>
                <w:szCs w:val="21"/>
                <w:highlight w:val="none"/>
              </w:rPr>
            </w:pPr>
            <w:r>
              <w:rPr>
                <w:rFonts w:hint="eastAsia" w:ascii="宋体" w:hAnsi="Courier New" w:cs="Courier New"/>
                <w:b/>
                <w:bCs/>
                <w:color w:val="auto"/>
                <w:sz w:val="21"/>
                <w:szCs w:val="21"/>
                <w:highlight w:val="none"/>
                <w:lang w:val="en-US" w:eastAsia="zh-CN"/>
              </w:rPr>
              <w:t>6.</w:t>
            </w:r>
            <w:r>
              <w:rPr>
                <w:rFonts w:hint="eastAsia" w:ascii="宋体" w:hAnsi="Courier New" w:cs="Courier New"/>
                <w:b/>
                <w:bCs/>
                <w:color w:val="auto"/>
                <w:sz w:val="21"/>
                <w:szCs w:val="21"/>
                <w:highlight w:val="none"/>
              </w:rPr>
              <w:t>不按</w:t>
            </w:r>
            <w:r>
              <w:rPr>
                <w:rFonts w:hint="eastAsia" w:ascii="宋体" w:hAnsi="Courier New" w:cs="Courier New"/>
                <w:b/>
                <w:bCs/>
                <w:color w:val="auto"/>
                <w:sz w:val="21"/>
                <w:szCs w:val="21"/>
                <w:highlight w:val="none"/>
                <w:lang w:val="en-US" w:eastAsia="zh-CN"/>
              </w:rPr>
              <w:t>磋商</w:t>
            </w:r>
            <w:r>
              <w:rPr>
                <w:rFonts w:hint="eastAsia" w:ascii="宋体" w:hAnsi="Courier New" w:cs="Courier New"/>
                <w:b/>
                <w:bCs/>
                <w:color w:val="auto"/>
                <w:sz w:val="21"/>
                <w:szCs w:val="21"/>
                <w:highlight w:val="none"/>
              </w:rPr>
              <w:t>文件份数要求提交</w:t>
            </w:r>
            <w:r>
              <w:rPr>
                <w:rFonts w:hint="eastAsia" w:ascii="宋体" w:hAnsi="Courier New" w:cs="Courier New"/>
                <w:b/>
                <w:bCs/>
                <w:color w:val="auto"/>
                <w:sz w:val="21"/>
                <w:szCs w:val="21"/>
                <w:highlight w:val="none"/>
                <w:lang w:val="en-US" w:eastAsia="zh-CN"/>
              </w:rPr>
              <w:t>磋商</w:t>
            </w:r>
            <w:r>
              <w:rPr>
                <w:rFonts w:hint="eastAsia" w:ascii="宋体" w:hAnsi="Courier New" w:cs="Courier New"/>
                <w:b/>
                <w:bCs/>
                <w:color w:val="auto"/>
                <w:sz w:val="21"/>
                <w:szCs w:val="21"/>
                <w:highlight w:val="none"/>
              </w:rPr>
              <w:t>文件的，视为无效</w:t>
            </w:r>
            <w:r>
              <w:rPr>
                <w:rFonts w:hint="eastAsia" w:ascii="宋体" w:hAnsi="Courier New" w:cs="Courier New"/>
                <w:b/>
                <w:bCs/>
                <w:color w:val="auto"/>
                <w:sz w:val="21"/>
                <w:szCs w:val="21"/>
                <w:highlight w:val="none"/>
                <w:lang w:val="en-US" w:eastAsia="zh-CN"/>
              </w:rPr>
              <w:t>响应</w:t>
            </w:r>
            <w:r>
              <w:rPr>
                <w:rFonts w:hint="eastAsia" w:ascii="宋体" w:hAnsi="Courier New" w:cs="Courier New"/>
                <w:b/>
                <w:bCs/>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945" w:type="dxa"/>
            <w:vAlign w:val="center"/>
          </w:tcPr>
          <w:p>
            <w:pPr>
              <w:keepNext w:val="0"/>
              <w:keepLines w:val="0"/>
              <w:pageBreakBefore w:val="0"/>
              <w:kinsoku/>
              <w:overflowPunct/>
              <w:topLinePunct w:val="0"/>
              <w:bidi w:val="0"/>
              <w:spacing w:line="240" w:lineRule="auto"/>
              <w:jc w:val="center"/>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7</w:t>
            </w:r>
          </w:p>
        </w:tc>
        <w:tc>
          <w:tcPr>
            <w:tcW w:w="945" w:type="dxa"/>
            <w:vAlign w:val="center"/>
          </w:tcPr>
          <w:p>
            <w:pPr>
              <w:keepNext w:val="0"/>
              <w:keepLines w:val="0"/>
              <w:pageBreakBefore w:val="0"/>
              <w:kinsoku/>
              <w:overflowPunct/>
              <w:topLinePunct w:val="0"/>
              <w:bidi w:val="0"/>
              <w:spacing w:line="240" w:lineRule="auto"/>
              <w:jc w:val="center"/>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7.1</w:t>
            </w:r>
          </w:p>
        </w:tc>
        <w:tc>
          <w:tcPr>
            <w:tcW w:w="7862" w:type="dxa"/>
            <w:vAlign w:val="center"/>
          </w:tcPr>
          <w:p>
            <w:pPr>
              <w:keepNext w:val="0"/>
              <w:keepLines w:val="0"/>
              <w:pageBreakBefore w:val="0"/>
              <w:kinsoku/>
              <w:overflowPunct/>
              <w:topLinePunct w:val="0"/>
              <w:bidi w:val="0"/>
              <w:spacing w:line="240" w:lineRule="auto"/>
              <w:textAlignment w:val="auto"/>
              <w:rPr>
                <w:rFonts w:ascii="宋体" w:hAnsi="宋体"/>
                <w:color w:val="auto"/>
                <w:sz w:val="21"/>
                <w:szCs w:val="21"/>
                <w:highlight w:val="none"/>
              </w:rPr>
            </w:pPr>
            <w:r>
              <w:rPr>
                <w:rFonts w:hint="eastAsia" w:ascii="宋体" w:hAnsi="宋体"/>
                <w:b/>
                <w:color w:val="auto"/>
                <w:sz w:val="21"/>
                <w:szCs w:val="21"/>
                <w:highlight w:val="none"/>
                <w:lang w:eastAsia="zh-CN"/>
              </w:rPr>
              <w:t>磋商</w:t>
            </w:r>
            <w:r>
              <w:rPr>
                <w:rFonts w:hint="eastAsia" w:ascii="宋体" w:hAnsi="宋体"/>
                <w:b/>
                <w:color w:val="auto"/>
                <w:sz w:val="21"/>
                <w:szCs w:val="21"/>
                <w:highlight w:val="none"/>
              </w:rPr>
              <w:t>有效期：</w:t>
            </w:r>
            <w:r>
              <w:rPr>
                <w:rFonts w:hint="eastAsia" w:ascii="宋体" w:hAnsi="宋体" w:cs="宋体"/>
                <w:color w:val="auto"/>
                <w:kern w:val="2"/>
                <w:sz w:val="21"/>
                <w:szCs w:val="21"/>
                <w:highlight w:val="none"/>
              </w:rPr>
              <w:t>自响应文件</w:t>
            </w:r>
            <w:r>
              <w:rPr>
                <w:rFonts w:hint="eastAsia" w:ascii="宋体" w:hAnsi="宋体" w:cs="宋体"/>
                <w:color w:val="auto"/>
                <w:kern w:val="2"/>
                <w:sz w:val="21"/>
                <w:szCs w:val="21"/>
                <w:highlight w:val="none"/>
                <w:lang w:val="en-US" w:eastAsia="zh-CN"/>
              </w:rPr>
              <w:t>递</w:t>
            </w:r>
            <w:r>
              <w:rPr>
                <w:rFonts w:hint="eastAsia" w:ascii="宋体" w:hAnsi="宋体" w:cs="宋体"/>
                <w:color w:val="auto"/>
                <w:kern w:val="2"/>
                <w:sz w:val="21"/>
                <w:szCs w:val="21"/>
                <w:highlight w:val="none"/>
              </w:rPr>
              <w:t>交截止之日起</w:t>
            </w:r>
            <w:r>
              <w:rPr>
                <w:rFonts w:hint="eastAsia" w:ascii="宋体" w:hAnsi="宋体" w:cs="宋体"/>
                <w:color w:val="auto"/>
                <w:kern w:val="2"/>
                <w:sz w:val="21"/>
                <w:szCs w:val="21"/>
                <w:highlight w:val="none"/>
                <w:u w:val="single"/>
              </w:rPr>
              <w:t>60</w:t>
            </w:r>
            <w:r>
              <w:rPr>
                <w:rFonts w:hint="eastAsia" w:ascii="宋体" w:hAnsi="宋体" w:cs="宋体"/>
                <w:color w:val="auto"/>
                <w:kern w:val="2"/>
                <w:sz w:val="21"/>
                <w:szCs w:val="21"/>
                <w:highlight w:val="none"/>
              </w:rPr>
              <w:t>日</w:t>
            </w:r>
            <w:r>
              <w:rPr>
                <w:rFonts w:hint="eastAsia" w:ascii="宋体" w:hAnsi="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945" w:type="dxa"/>
            <w:vAlign w:val="center"/>
          </w:tcPr>
          <w:p>
            <w:pPr>
              <w:keepNext w:val="0"/>
              <w:keepLines w:val="0"/>
              <w:pageBreakBefore w:val="0"/>
              <w:kinsoku/>
              <w:overflowPunct/>
              <w:topLinePunct w:val="0"/>
              <w:bidi w:val="0"/>
              <w:spacing w:line="240" w:lineRule="auto"/>
              <w:jc w:val="center"/>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8</w:t>
            </w:r>
          </w:p>
        </w:tc>
        <w:tc>
          <w:tcPr>
            <w:tcW w:w="945" w:type="dxa"/>
            <w:vAlign w:val="center"/>
          </w:tcPr>
          <w:p>
            <w:pPr>
              <w:keepNext w:val="0"/>
              <w:keepLines w:val="0"/>
              <w:pageBreakBefore w:val="0"/>
              <w:kinsoku/>
              <w:overflowPunct/>
              <w:topLinePunct w:val="0"/>
              <w:bidi w:val="0"/>
              <w:spacing w:line="240" w:lineRule="auto"/>
              <w:jc w:val="center"/>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8.1</w:t>
            </w:r>
          </w:p>
        </w:tc>
        <w:tc>
          <w:tcPr>
            <w:tcW w:w="7862" w:type="dxa"/>
            <w:vAlign w:val="center"/>
          </w:tcPr>
          <w:p>
            <w:pPr>
              <w:pStyle w:val="26"/>
              <w:keepNext w:val="0"/>
              <w:keepLines w:val="0"/>
              <w:pageBreakBefore w:val="0"/>
              <w:kinsoku/>
              <w:overflowPunct/>
              <w:topLinePunct w:val="0"/>
              <w:bidi w:val="0"/>
              <w:spacing w:line="240" w:lineRule="auto"/>
              <w:textAlignment w:val="auto"/>
              <w:rPr>
                <w:rFonts w:hAnsi="宋体"/>
                <w:color w:val="auto"/>
                <w:sz w:val="21"/>
                <w:szCs w:val="21"/>
                <w:highlight w:val="none"/>
              </w:rPr>
            </w:pPr>
            <w:r>
              <w:rPr>
                <w:rFonts w:hint="eastAsia" w:hAnsi="宋体"/>
                <w:b/>
                <w:color w:val="auto"/>
                <w:sz w:val="21"/>
                <w:szCs w:val="21"/>
                <w:highlight w:val="none"/>
                <w:lang w:eastAsia="zh-CN"/>
              </w:rPr>
              <w:t>磋商响应文件</w:t>
            </w:r>
            <w:r>
              <w:rPr>
                <w:rFonts w:hint="eastAsia" w:hAnsi="宋体"/>
                <w:b/>
                <w:color w:val="auto"/>
                <w:sz w:val="21"/>
                <w:szCs w:val="21"/>
                <w:highlight w:val="none"/>
              </w:rPr>
              <w:t>递交截止时间：</w:t>
            </w:r>
            <w:r>
              <w:rPr>
                <w:rFonts w:hint="eastAsia" w:ascii="宋体" w:hAnsi="宋体"/>
                <w:b w:val="0"/>
                <w:bCs/>
                <w:color w:val="auto"/>
                <w:sz w:val="21"/>
                <w:szCs w:val="21"/>
                <w:highlight w:val="none"/>
                <w:lang w:val="en-US" w:eastAsia="zh-CN"/>
              </w:rPr>
              <w:t>详见</w:t>
            </w:r>
            <w:r>
              <w:rPr>
                <w:rFonts w:hint="eastAsia" w:hAnsi="宋体"/>
                <w:b w:val="0"/>
                <w:bCs/>
                <w:color w:val="auto"/>
                <w:sz w:val="21"/>
                <w:szCs w:val="21"/>
                <w:highlight w:val="none"/>
                <w:lang w:val="en-US" w:eastAsia="zh-CN"/>
              </w:rPr>
              <w:t>磋商</w:t>
            </w:r>
            <w:r>
              <w:rPr>
                <w:rFonts w:hint="eastAsia" w:ascii="宋体" w:hAnsi="宋体"/>
                <w:b w:val="0"/>
                <w:bCs/>
                <w:color w:val="auto"/>
                <w:sz w:val="21"/>
                <w:szCs w:val="21"/>
                <w:highlight w:val="none"/>
                <w:lang w:val="en-US" w:eastAsia="zh-CN"/>
              </w:rPr>
              <w:t>公告</w:t>
            </w:r>
            <w:r>
              <w:rPr>
                <w:rFonts w:hint="eastAsia" w:hAnsi="宋体"/>
                <w:color w:val="auto"/>
                <w:sz w:val="21"/>
                <w:szCs w:val="21"/>
                <w:highlight w:val="none"/>
              </w:rPr>
              <w:t>。</w:t>
            </w:r>
          </w:p>
          <w:p>
            <w:pPr>
              <w:pStyle w:val="26"/>
              <w:keepNext w:val="0"/>
              <w:keepLines w:val="0"/>
              <w:pageBreakBefore w:val="0"/>
              <w:kinsoku/>
              <w:overflowPunct/>
              <w:topLinePunct w:val="0"/>
              <w:bidi w:val="0"/>
              <w:spacing w:line="240" w:lineRule="auto"/>
              <w:textAlignment w:val="auto"/>
              <w:rPr>
                <w:rFonts w:hAnsi="宋体"/>
                <w:color w:val="auto"/>
                <w:sz w:val="21"/>
                <w:szCs w:val="21"/>
                <w:highlight w:val="none"/>
              </w:rPr>
            </w:pPr>
            <w:r>
              <w:rPr>
                <w:rFonts w:hint="eastAsia" w:hAnsi="宋体"/>
                <w:b/>
                <w:color w:val="auto"/>
                <w:sz w:val="21"/>
                <w:szCs w:val="21"/>
                <w:highlight w:val="none"/>
                <w:lang w:eastAsia="zh-CN"/>
              </w:rPr>
              <w:t>磋商响应文件</w:t>
            </w:r>
            <w:r>
              <w:rPr>
                <w:rFonts w:hint="eastAsia" w:hAnsi="宋体"/>
                <w:b/>
                <w:color w:val="auto"/>
                <w:sz w:val="21"/>
                <w:szCs w:val="21"/>
                <w:highlight w:val="none"/>
              </w:rPr>
              <w:t>递交地址：</w:t>
            </w:r>
            <w:r>
              <w:rPr>
                <w:rFonts w:hint="eastAsia" w:ascii="宋体" w:hAnsi="宋体"/>
                <w:b w:val="0"/>
                <w:bCs/>
                <w:color w:val="auto"/>
                <w:sz w:val="21"/>
                <w:szCs w:val="21"/>
                <w:highlight w:val="none"/>
                <w:lang w:val="en-US" w:eastAsia="zh-CN"/>
              </w:rPr>
              <w:t>详见</w:t>
            </w:r>
            <w:r>
              <w:rPr>
                <w:rFonts w:hint="eastAsia" w:hAnsi="宋体"/>
                <w:b w:val="0"/>
                <w:bCs/>
                <w:color w:val="auto"/>
                <w:sz w:val="21"/>
                <w:szCs w:val="21"/>
                <w:highlight w:val="none"/>
                <w:lang w:val="en-US" w:eastAsia="zh-CN"/>
              </w:rPr>
              <w:t>磋商</w:t>
            </w:r>
            <w:r>
              <w:rPr>
                <w:rFonts w:hint="eastAsia" w:ascii="宋体" w:hAnsi="宋体"/>
                <w:b w:val="0"/>
                <w:bCs/>
                <w:color w:val="auto"/>
                <w:sz w:val="21"/>
                <w:szCs w:val="21"/>
                <w:highlight w:val="none"/>
                <w:lang w:val="en-US" w:eastAsia="zh-CN"/>
              </w:rPr>
              <w:t>公告</w:t>
            </w:r>
            <w:r>
              <w:rPr>
                <w:rFonts w:hint="eastAsia" w:hAnsi="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45" w:type="dxa"/>
            <w:vAlign w:val="center"/>
          </w:tcPr>
          <w:p>
            <w:pPr>
              <w:keepNext w:val="0"/>
              <w:keepLines w:val="0"/>
              <w:pageBreakBefore w:val="0"/>
              <w:kinsoku/>
              <w:overflowPunct/>
              <w:topLinePunct w:val="0"/>
              <w:bidi w:val="0"/>
              <w:spacing w:line="240" w:lineRule="auto"/>
              <w:jc w:val="center"/>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9</w:t>
            </w:r>
          </w:p>
        </w:tc>
        <w:tc>
          <w:tcPr>
            <w:tcW w:w="945" w:type="dxa"/>
            <w:vAlign w:val="center"/>
          </w:tcPr>
          <w:p>
            <w:pPr>
              <w:keepNext w:val="0"/>
              <w:keepLines w:val="0"/>
              <w:pageBreakBefore w:val="0"/>
              <w:kinsoku/>
              <w:overflowPunct/>
              <w:topLinePunct w:val="0"/>
              <w:bidi w:val="0"/>
              <w:spacing w:line="240" w:lineRule="auto"/>
              <w:jc w:val="center"/>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9.1</w:t>
            </w:r>
          </w:p>
        </w:tc>
        <w:tc>
          <w:tcPr>
            <w:tcW w:w="7862" w:type="dxa"/>
            <w:vAlign w:val="center"/>
          </w:tcPr>
          <w:p>
            <w:pPr>
              <w:keepNext w:val="0"/>
              <w:keepLines w:val="0"/>
              <w:pageBreakBefore w:val="0"/>
              <w:kinsoku/>
              <w:overflowPunct/>
              <w:topLinePunct w:val="0"/>
              <w:bidi w:val="0"/>
              <w:spacing w:line="240" w:lineRule="auto"/>
              <w:textAlignment w:val="auto"/>
              <w:rPr>
                <w:rFonts w:ascii="宋体" w:hAnsi="宋体"/>
                <w:color w:val="auto"/>
                <w:sz w:val="21"/>
                <w:szCs w:val="21"/>
                <w:highlight w:val="none"/>
              </w:rPr>
            </w:pPr>
            <w:r>
              <w:rPr>
                <w:rFonts w:hint="eastAsia" w:ascii="宋体" w:hAnsi="宋体"/>
                <w:b/>
                <w:color w:val="auto"/>
                <w:sz w:val="21"/>
                <w:szCs w:val="21"/>
                <w:highlight w:val="none"/>
                <w:lang w:eastAsia="zh-CN"/>
              </w:rPr>
              <w:t>磋商</w:t>
            </w:r>
            <w:r>
              <w:rPr>
                <w:rFonts w:hint="eastAsia" w:ascii="宋体" w:hAnsi="宋体"/>
                <w:b/>
                <w:color w:val="auto"/>
                <w:sz w:val="21"/>
                <w:szCs w:val="21"/>
                <w:highlight w:val="none"/>
              </w:rPr>
              <w:t>时间</w:t>
            </w:r>
            <w:r>
              <w:rPr>
                <w:rFonts w:hint="eastAsia" w:ascii="宋体" w:hAnsi="宋体"/>
                <w:color w:val="auto"/>
                <w:sz w:val="21"/>
                <w:szCs w:val="21"/>
                <w:highlight w:val="none"/>
              </w:rPr>
              <w:t>：</w:t>
            </w:r>
            <w:r>
              <w:rPr>
                <w:rFonts w:hint="eastAsia" w:ascii="宋体" w:hAnsi="宋体"/>
                <w:b w:val="0"/>
                <w:bCs/>
                <w:color w:val="auto"/>
                <w:sz w:val="21"/>
                <w:szCs w:val="21"/>
                <w:highlight w:val="none"/>
                <w:lang w:val="en-US" w:eastAsia="zh-CN"/>
              </w:rPr>
              <w:t>详见磋商公告</w:t>
            </w:r>
            <w:r>
              <w:rPr>
                <w:rFonts w:hint="eastAsia" w:ascii="宋体" w:hAnsi="宋体"/>
                <w:color w:val="auto"/>
                <w:sz w:val="21"/>
                <w:szCs w:val="21"/>
                <w:highlight w:val="none"/>
              </w:rPr>
              <w:t>。</w:t>
            </w:r>
          </w:p>
          <w:p>
            <w:pPr>
              <w:pStyle w:val="26"/>
              <w:keepNext w:val="0"/>
              <w:keepLines w:val="0"/>
              <w:pageBreakBefore w:val="0"/>
              <w:kinsoku/>
              <w:overflowPunct/>
              <w:topLinePunct w:val="0"/>
              <w:bidi w:val="0"/>
              <w:spacing w:line="240" w:lineRule="auto"/>
              <w:textAlignment w:val="auto"/>
              <w:rPr>
                <w:rFonts w:hAnsi="宋体"/>
                <w:color w:val="auto"/>
                <w:sz w:val="21"/>
                <w:szCs w:val="21"/>
                <w:highlight w:val="none"/>
              </w:rPr>
            </w:pPr>
            <w:r>
              <w:rPr>
                <w:rFonts w:hint="eastAsia" w:hAnsi="宋体"/>
                <w:b/>
                <w:color w:val="auto"/>
                <w:sz w:val="21"/>
                <w:szCs w:val="21"/>
                <w:highlight w:val="none"/>
                <w:lang w:eastAsia="zh-CN"/>
              </w:rPr>
              <w:t>磋商</w:t>
            </w:r>
            <w:r>
              <w:rPr>
                <w:rFonts w:hint="eastAsia" w:hAnsi="宋体"/>
                <w:b/>
                <w:color w:val="auto"/>
                <w:sz w:val="21"/>
                <w:szCs w:val="21"/>
                <w:highlight w:val="none"/>
              </w:rPr>
              <w:t>地点：</w:t>
            </w:r>
            <w:r>
              <w:rPr>
                <w:rFonts w:hint="eastAsia" w:ascii="宋体" w:hAnsi="宋体"/>
                <w:b w:val="0"/>
                <w:bCs/>
                <w:color w:val="auto"/>
                <w:sz w:val="21"/>
                <w:szCs w:val="21"/>
                <w:highlight w:val="none"/>
                <w:lang w:val="en-US" w:eastAsia="zh-CN"/>
              </w:rPr>
              <w:t>详见</w:t>
            </w:r>
            <w:r>
              <w:rPr>
                <w:rFonts w:hint="eastAsia" w:hAnsi="宋体"/>
                <w:b w:val="0"/>
                <w:bCs/>
                <w:color w:val="auto"/>
                <w:sz w:val="21"/>
                <w:szCs w:val="21"/>
                <w:highlight w:val="none"/>
                <w:lang w:val="en-US" w:eastAsia="zh-CN"/>
              </w:rPr>
              <w:t>磋商</w:t>
            </w:r>
            <w:r>
              <w:rPr>
                <w:rFonts w:hint="eastAsia" w:ascii="宋体" w:hAnsi="宋体"/>
                <w:b w:val="0"/>
                <w:bCs/>
                <w:color w:val="auto"/>
                <w:sz w:val="21"/>
                <w:szCs w:val="21"/>
                <w:highlight w:val="none"/>
                <w:lang w:val="en-US" w:eastAsia="zh-CN"/>
              </w:rPr>
              <w:t>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45" w:type="dxa"/>
            <w:vAlign w:val="center"/>
          </w:tcPr>
          <w:p>
            <w:pPr>
              <w:keepNext w:val="0"/>
              <w:keepLines w:val="0"/>
              <w:pageBreakBefore w:val="0"/>
              <w:kinsoku/>
              <w:overflowPunct/>
              <w:topLinePunct w:val="0"/>
              <w:bidi w:val="0"/>
              <w:spacing w:line="240" w:lineRule="auto"/>
              <w:jc w:val="center"/>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10</w:t>
            </w:r>
          </w:p>
        </w:tc>
        <w:tc>
          <w:tcPr>
            <w:tcW w:w="945" w:type="dxa"/>
            <w:vAlign w:val="center"/>
          </w:tcPr>
          <w:p>
            <w:pPr>
              <w:keepNext w:val="0"/>
              <w:keepLines w:val="0"/>
              <w:pageBreakBefore w:val="0"/>
              <w:kinsoku/>
              <w:overflowPunct/>
              <w:topLinePunct w:val="0"/>
              <w:bidi w:val="0"/>
              <w:spacing w:line="240" w:lineRule="auto"/>
              <w:jc w:val="center"/>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10.1</w:t>
            </w:r>
          </w:p>
        </w:tc>
        <w:tc>
          <w:tcPr>
            <w:tcW w:w="7862" w:type="dxa"/>
            <w:vAlign w:val="center"/>
          </w:tcPr>
          <w:p>
            <w:pPr>
              <w:shd w:val="clear" w:fill="FFFF00"/>
              <w:snapToGrid w:val="0"/>
              <w:rPr>
                <w:rFonts w:hint="eastAsia" w:hAnsi="宋体" w:eastAsia="宋体"/>
                <w:b/>
                <w:bCs/>
                <w:szCs w:val="21"/>
                <w:lang w:val="en-US" w:eastAsia="zh-CN"/>
              </w:rPr>
            </w:pPr>
            <w:r>
              <w:rPr>
                <w:rFonts w:hint="eastAsia" w:hAnsi="宋体"/>
                <w:b/>
                <w:bCs/>
                <w:szCs w:val="21"/>
              </w:rPr>
              <w:t>履约保证金：</w:t>
            </w:r>
          </w:p>
          <w:p>
            <w:pPr>
              <w:pStyle w:val="26"/>
              <w:keepNext w:val="0"/>
              <w:keepLines w:val="0"/>
              <w:pageBreakBefore w:val="0"/>
              <w:numPr>
                <w:ilvl w:val="0"/>
                <w:numId w:val="0"/>
              </w:numPr>
              <w:shd w:val="clear" w:fill="FFFF00"/>
              <w:kinsoku/>
              <w:overflowPunct/>
              <w:topLinePunct w:val="0"/>
              <w:bidi w:val="0"/>
              <w:spacing w:line="240" w:lineRule="auto"/>
              <w:textAlignment w:val="auto"/>
              <w:rPr>
                <w:rFonts w:hint="eastAsia" w:hAnsi="宋体"/>
                <w:b/>
                <w:bCs w:val="0"/>
                <w:kern w:val="2"/>
                <w:sz w:val="21"/>
                <w:szCs w:val="21"/>
                <w:lang w:val="en-US" w:eastAsia="zh-CN"/>
              </w:rPr>
            </w:pPr>
            <w:r>
              <w:rPr>
                <w:rFonts w:hint="eastAsia" w:hAnsi="宋体"/>
                <w:b/>
                <w:bCs w:val="0"/>
                <w:kern w:val="2"/>
                <w:sz w:val="21"/>
                <w:szCs w:val="21"/>
                <w:lang w:val="en-US" w:eastAsia="zh-CN"/>
              </w:rPr>
              <w:t>1.金额：</w:t>
            </w:r>
          </w:p>
          <w:p>
            <w:pPr>
              <w:pStyle w:val="26"/>
              <w:keepNext w:val="0"/>
              <w:keepLines w:val="0"/>
              <w:pageBreakBefore w:val="0"/>
              <w:numPr>
                <w:ilvl w:val="0"/>
                <w:numId w:val="0"/>
              </w:numPr>
              <w:shd w:val="clear" w:fill="FFFF00"/>
              <w:kinsoku/>
              <w:overflowPunct/>
              <w:topLinePunct w:val="0"/>
              <w:bidi w:val="0"/>
              <w:spacing w:line="240" w:lineRule="auto"/>
              <w:ind w:firstLine="420" w:firstLineChars="200"/>
              <w:textAlignment w:val="auto"/>
              <w:rPr>
                <w:rFonts w:hint="eastAsia" w:hAnsi="宋体"/>
                <w:bCs/>
                <w:kern w:val="2"/>
                <w:sz w:val="21"/>
                <w:szCs w:val="21"/>
              </w:rPr>
            </w:pPr>
            <w:r>
              <w:rPr>
                <w:rFonts w:hint="eastAsia" w:hAnsi="宋体"/>
                <w:bCs/>
                <w:kern w:val="2"/>
                <w:sz w:val="21"/>
                <w:szCs w:val="21"/>
              </w:rPr>
              <w:t>按照合同上限金额的</w:t>
            </w:r>
            <w:r>
              <w:rPr>
                <w:rFonts w:hint="eastAsia" w:hAnsi="宋体"/>
                <w:bCs/>
                <w:kern w:val="2"/>
                <w:sz w:val="21"/>
                <w:szCs w:val="21"/>
                <w:u w:val="single"/>
                <w:lang w:val="en-US" w:eastAsia="zh-CN"/>
              </w:rPr>
              <w:t>5</w:t>
            </w:r>
            <w:r>
              <w:rPr>
                <w:rFonts w:hint="eastAsia" w:hAnsi="宋体"/>
                <w:bCs/>
                <w:kern w:val="2"/>
                <w:sz w:val="21"/>
                <w:szCs w:val="21"/>
              </w:rPr>
              <w:t>缴纳</w:t>
            </w:r>
            <w:r>
              <w:rPr>
                <w:rFonts w:hint="eastAsia" w:hAnsi="宋体"/>
                <w:bCs/>
                <w:kern w:val="2"/>
                <w:sz w:val="21"/>
                <w:szCs w:val="21"/>
                <w:lang w:eastAsia="zh-CN"/>
              </w:rPr>
              <w:t>（</w:t>
            </w:r>
            <w:r>
              <w:rPr>
                <w:rFonts w:hint="eastAsia" w:hAnsi="宋体"/>
                <w:bCs/>
                <w:kern w:val="2"/>
                <w:sz w:val="21"/>
                <w:szCs w:val="21"/>
                <w:lang w:val="en-US" w:eastAsia="zh-CN"/>
              </w:rPr>
              <w:t>如为中小微企业为</w:t>
            </w:r>
            <w:r>
              <w:rPr>
                <w:rFonts w:hint="eastAsia" w:hAnsi="宋体"/>
                <w:bCs/>
                <w:kern w:val="2"/>
                <w:sz w:val="21"/>
                <w:szCs w:val="21"/>
                <w:u w:val="single"/>
                <w:lang w:val="en-US" w:eastAsia="zh-CN"/>
              </w:rPr>
              <w:t>3%</w:t>
            </w:r>
            <w:r>
              <w:rPr>
                <w:rFonts w:hint="eastAsia" w:hAnsi="宋体"/>
                <w:bCs/>
                <w:kern w:val="2"/>
                <w:sz w:val="21"/>
                <w:szCs w:val="21"/>
                <w:lang w:eastAsia="zh-CN"/>
              </w:rPr>
              <w:t>）</w:t>
            </w:r>
            <w:r>
              <w:rPr>
                <w:rFonts w:hint="eastAsia" w:hAnsi="宋体"/>
                <w:bCs/>
                <w:kern w:val="2"/>
                <w:sz w:val="21"/>
                <w:szCs w:val="21"/>
              </w:rPr>
              <w:t>，在签订合同之前，中标人需把履约保证金足额交到采购人指定账户。未提交履约保证金的，不予签订本合同。履约保证金自项目验收合格后，待中标人履行完质保义务后由采购人无息退还。</w:t>
            </w:r>
          </w:p>
          <w:p>
            <w:pPr>
              <w:pStyle w:val="26"/>
              <w:keepNext w:val="0"/>
              <w:keepLines w:val="0"/>
              <w:pageBreakBefore w:val="0"/>
              <w:numPr>
                <w:ilvl w:val="0"/>
                <w:numId w:val="4"/>
              </w:numPr>
              <w:shd w:val="clear" w:fill="FFFF00"/>
              <w:kinsoku/>
              <w:overflowPunct/>
              <w:topLinePunct w:val="0"/>
              <w:bidi w:val="0"/>
              <w:spacing w:line="240" w:lineRule="auto"/>
              <w:textAlignment w:val="auto"/>
              <w:rPr>
                <w:rFonts w:hint="eastAsia" w:hAnsi="宋体"/>
                <w:b/>
                <w:bCs w:val="0"/>
                <w:kern w:val="2"/>
                <w:sz w:val="21"/>
                <w:szCs w:val="21"/>
              </w:rPr>
            </w:pPr>
            <w:r>
              <w:rPr>
                <w:rFonts w:hint="eastAsia" w:hAnsi="宋体"/>
                <w:b/>
                <w:bCs w:val="0"/>
                <w:kern w:val="2"/>
                <w:sz w:val="21"/>
                <w:szCs w:val="21"/>
              </w:rPr>
              <w:t>履约保证金递交方式：</w:t>
            </w:r>
          </w:p>
          <w:p>
            <w:pPr>
              <w:pStyle w:val="26"/>
              <w:keepNext w:val="0"/>
              <w:keepLines w:val="0"/>
              <w:pageBreakBefore w:val="0"/>
              <w:numPr>
                <w:ilvl w:val="0"/>
                <w:numId w:val="0"/>
              </w:numPr>
              <w:shd w:val="clear" w:fill="FFFF00"/>
              <w:kinsoku/>
              <w:overflowPunct/>
              <w:topLinePunct w:val="0"/>
              <w:bidi w:val="0"/>
              <w:spacing w:line="240" w:lineRule="auto"/>
              <w:ind w:firstLine="420" w:firstLineChars="200"/>
              <w:textAlignment w:val="auto"/>
              <w:rPr>
                <w:rFonts w:hint="eastAsia" w:hAnsi="宋体"/>
                <w:bCs/>
                <w:kern w:val="2"/>
                <w:sz w:val="21"/>
                <w:szCs w:val="21"/>
              </w:rPr>
            </w:pPr>
            <w:r>
              <w:rPr>
                <w:rFonts w:hint="eastAsia" w:hAnsi="宋体"/>
                <w:bCs/>
                <w:kern w:val="2"/>
                <w:sz w:val="21"/>
                <w:szCs w:val="21"/>
              </w:rPr>
              <w:t>银行转账或电汇或</w:t>
            </w:r>
            <w:r>
              <w:rPr>
                <w:rFonts w:hint="eastAsia" w:hAnsi="宋体"/>
                <w:bCs/>
                <w:kern w:val="2"/>
                <w:sz w:val="21"/>
                <w:szCs w:val="21"/>
                <w:lang w:eastAsia="zh-CN"/>
              </w:rPr>
              <w:t>其他</w:t>
            </w:r>
            <w:r>
              <w:rPr>
                <w:rFonts w:hint="eastAsia" w:hAnsi="宋体"/>
                <w:bCs/>
                <w:kern w:val="2"/>
                <w:sz w:val="21"/>
                <w:szCs w:val="21"/>
              </w:rPr>
              <w:t>政府采购法律法规允许的</w:t>
            </w:r>
            <w:r>
              <w:rPr>
                <w:rFonts w:hint="eastAsia" w:hAnsi="宋体"/>
                <w:bCs/>
                <w:kern w:val="2"/>
                <w:sz w:val="21"/>
                <w:szCs w:val="21"/>
                <w:lang w:val="en-US" w:eastAsia="zh-CN"/>
              </w:rPr>
              <w:t>非现金</w:t>
            </w:r>
            <w:r>
              <w:rPr>
                <w:rFonts w:hint="eastAsia" w:hAnsi="宋体"/>
                <w:bCs/>
                <w:kern w:val="2"/>
                <w:sz w:val="21"/>
                <w:szCs w:val="21"/>
              </w:rPr>
              <w:t>方式。</w:t>
            </w:r>
          </w:p>
          <w:p>
            <w:pPr>
              <w:shd w:val="clear" w:fill="FFFF00"/>
              <w:snapToGrid w:val="0"/>
              <w:rPr>
                <w:rFonts w:hint="eastAsia" w:hAnsi="宋体" w:cs="宋体"/>
                <w:szCs w:val="21"/>
              </w:rPr>
            </w:pPr>
            <w:r>
              <w:rPr>
                <w:rFonts w:hint="eastAsia" w:hAnsi="宋体" w:cs="宋体"/>
                <w:b/>
                <w:bCs/>
                <w:szCs w:val="21"/>
                <w:lang w:val="en-US" w:eastAsia="zh-CN"/>
              </w:rPr>
              <w:t>3.</w:t>
            </w:r>
            <w:r>
              <w:rPr>
                <w:rFonts w:hint="eastAsia" w:hAnsi="宋体" w:cs="宋体"/>
                <w:b/>
                <w:bCs/>
                <w:szCs w:val="21"/>
              </w:rPr>
              <w:t>履约保证金账户</w:t>
            </w:r>
            <w:r>
              <w:rPr>
                <w:rFonts w:hint="eastAsia" w:hAnsi="宋体" w:cs="宋体"/>
                <w:szCs w:val="21"/>
              </w:rPr>
              <w:t>：</w:t>
            </w:r>
          </w:p>
          <w:p>
            <w:pPr>
              <w:shd w:val="clear" w:fill="FFFF00"/>
              <w:snapToGrid w:val="0"/>
              <w:ind w:firstLine="411" w:firstLineChars="196"/>
              <w:rPr>
                <w:rFonts w:hint="eastAsia" w:hAnsi="宋体" w:cs="宋体"/>
                <w:szCs w:val="21"/>
              </w:rPr>
            </w:pPr>
            <w:r>
              <w:rPr>
                <w:rFonts w:hint="eastAsia" w:hAnsi="宋体" w:cs="宋体"/>
                <w:szCs w:val="21"/>
              </w:rPr>
              <w:t xml:space="preserve">名  称： </w:t>
            </w:r>
          </w:p>
          <w:p>
            <w:pPr>
              <w:shd w:val="clear" w:fill="FFFF00"/>
              <w:snapToGrid w:val="0"/>
              <w:ind w:firstLine="411" w:firstLineChars="196"/>
              <w:rPr>
                <w:rFonts w:hint="eastAsia" w:hAnsi="宋体" w:cs="宋体"/>
                <w:szCs w:val="21"/>
              </w:rPr>
            </w:pPr>
            <w:r>
              <w:rPr>
                <w:rFonts w:hint="eastAsia" w:hAnsi="宋体" w:cs="宋体"/>
                <w:szCs w:val="21"/>
              </w:rPr>
              <w:t xml:space="preserve">开户行： </w:t>
            </w:r>
          </w:p>
          <w:p>
            <w:pPr>
              <w:shd w:val="clear" w:fill="FFFF00"/>
              <w:snapToGrid w:val="0"/>
              <w:ind w:firstLine="411" w:firstLineChars="196"/>
              <w:rPr>
                <w:rFonts w:hint="eastAsia" w:hAnsi="宋体" w:cs="宋体"/>
                <w:szCs w:val="21"/>
              </w:rPr>
            </w:pPr>
            <w:r>
              <w:rPr>
                <w:rFonts w:hint="eastAsia" w:hAnsi="宋体" w:cs="宋体"/>
                <w:szCs w:val="21"/>
              </w:rPr>
              <w:t>账  号：</w:t>
            </w:r>
            <w:r>
              <w:rPr>
                <w:rFonts w:hAnsi="宋体" w:cs="宋体"/>
                <w:szCs w:val="21"/>
              </w:rPr>
              <w:t xml:space="preserve"> </w:t>
            </w:r>
          </w:p>
          <w:p>
            <w:pPr>
              <w:shd w:val="clear" w:fill="FFFF00"/>
              <w:snapToGrid w:val="0"/>
              <w:ind w:firstLine="411" w:firstLineChars="196"/>
              <w:rPr>
                <w:rFonts w:hint="eastAsia" w:hAnsi="宋体"/>
                <w:bCs/>
                <w:kern w:val="2"/>
                <w:sz w:val="21"/>
                <w:szCs w:val="21"/>
                <w:lang w:eastAsia="zh-CN"/>
              </w:rPr>
            </w:pPr>
            <w:r>
              <w:rPr>
                <w:rFonts w:hint="eastAsia" w:hAnsi="宋体" w:cs="宋体"/>
                <w:szCs w:val="21"/>
              </w:rPr>
              <w:t>转帐时注明：××××项目，采购编号××××履约保证金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45" w:type="dxa"/>
            <w:vAlign w:val="center"/>
          </w:tcPr>
          <w:p>
            <w:pPr>
              <w:keepNext w:val="0"/>
              <w:keepLines w:val="0"/>
              <w:pageBreakBefore w:val="0"/>
              <w:kinsoku/>
              <w:overflowPunct/>
              <w:topLinePunct w:val="0"/>
              <w:bidi w:val="0"/>
              <w:spacing w:line="240" w:lineRule="auto"/>
              <w:jc w:val="center"/>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11</w:t>
            </w:r>
          </w:p>
        </w:tc>
        <w:tc>
          <w:tcPr>
            <w:tcW w:w="945" w:type="dxa"/>
            <w:vAlign w:val="center"/>
          </w:tcPr>
          <w:p>
            <w:pPr>
              <w:keepNext w:val="0"/>
              <w:keepLines w:val="0"/>
              <w:pageBreakBefore w:val="0"/>
              <w:kinsoku/>
              <w:overflowPunct/>
              <w:topLinePunct w:val="0"/>
              <w:bidi w:val="0"/>
              <w:spacing w:line="240" w:lineRule="auto"/>
              <w:jc w:val="center"/>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11.1</w:t>
            </w:r>
          </w:p>
        </w:tc>
        <w:tc>
          <w:tcPr>
            <w:tcW w:w="7862" w:type="dxa"/>
            <w:vAlign w:val="center"/>
          </w:tcPr>
          <w:p>
            <w:pPr>
              <w:keepNext w:val="0"/>
              <w:keepLines w:val="0"/>
              <w:pageBreakBefore w:val="0"/>
              <w:kinsoku/>
              <w:overflowPunct/>
              <w:topLinePunct w:val="0"/>
              <w:bidi w:val="0"/>
              <w:spacing w:line="240" w:lineRule="auto"/>
              <w:textAlignment w:val="auto"/>
              <w:rPr>
                <w:rFonts w:hint="eastAsia"/>
                <w:sz w:val="21"/>
                <w:szCs w:val="21"/>
                <w:lang w:val="en-US" w:eastAsia="zh-CN"/>
              </w:rPr>
            </w:pPr>
            <w:r>
              <w:rPr>
                <w:rFonts w:hint="eastAsia"/>
                <w:sz w:val="21"/>
                <w:szCs w:val="21"/>
                <w:lang w:val="en-US" w:eastAsia="zh-CN"/>
              </w:rPr>
              <w:t>1、接收质疑的方式：以纸质书面形式</w:t>
            </w:r>
          </w:p>
          <w:p>
            <w:pPr>
              <w:keepNext w:val="0"/>
              <w:keepLines w:val="0"/>
              <w:pageBreakBefore w:val="0"/>
              <w:kinsoku/>
              <w:overflowPunct/>
              <w:topLinePunct w:val="0"/>
              <w:bidi w:val="0"/>
              <w:spacing w:line="240" w:lineRule="auto"/>
              <w:textAlignment w:val="auto"/>
              <w:rPr>
                <w:rFonts w:hint="default"/>
                <w:sz w:val="21"/>
                <w:szCs w:val="21"/>
                <w:lang w:val="en-US" w:eastAsia="zh-CN"/>
              </w:rPr>
            </w:pPr>
            <w:r>
              <w:rPr>
                <w:rFonts w:hint="eastAsia"/>
                <w:sz w:val="21"/>
                <w:szCs w:val="21"/>
                <w:lang w:val="en-US" w:eastAsia="zh-CN"/>
              </w:rPr>
              <w:t>2、质疑联系部门及联系方式：广西骨伤医院采购办公室，联系电话：0771-2622251，通讯地址：</w:t>
            </w:r>
            <w:r>
              <w:rPr>
                <w:rFonts w:hint="eastAsia" w:ascii="宋体" w:hAnsi="宋体"/>
                <w:color w:val="auto"/>
                <w:sz w:val="21"/>
                <w:szCs w:val="21"/>
                <w:highlight w:val="none"/>
              </w:rPr>
              <w:t>广西骨伤医院行政办公区（南宁市青秀区东葛路一号锦华副楼401号房）</w:t>
            </w:r>
            <w:r>
              <w:rPr>
                <w:rFonts w:hint="eastAsia"/>
                <w:sz w:val="21"/>
                <w:szCs w:val="21"/>
                <w:lang w:val="en-US" w:eastAsia="zh-CN"/>
              </w:rPr>
              <w:t>。</w:t>
            </w:r>
          </w:p>
          <w:p>
            <w:pPr>
              <w:keepNext w:val="0"/>
              <w:keepLines w:val="0"/>
              <w:pageBreakBefore w:val="0"/>
              <w:kinsoku/>
              <w:overflowPunct/>
              <w:topLinePunct w:val="0"/>
              <w:bidi w:val="0"/>
              <w:spacing w:line="240" w:lineRule="auto"/>
              <w:textAlignment w:val="auto"/>
              <w:rPr>
                <w:rFonts w:hint="eastAsia"/>
                <w:sz w:val="21"/>
                <w:szCs w:val="21"/>
                <w:lang w:val="en-US" w:eastAsia="zh-CN"/>
              </w:rPr>
            </w:pPr>
            <w:r>
              <w:rPr>
                <w:rFonts w:hint="eastAsia"/>
                <w:sz w:val="21"/>
                <w:szCs w:val="21"/>
                <w:lang w:val="en-US" w:eastAsia="zh-CN"/>
              </w:rPr>
              <w:t>3、现场提交质疑时间：于规定期限内，每天8时00分到12时00分，15时00分到18时00分（北京时间），双休日及法定节假日除外。</w:t>
            </w:r>
          </w:p>
          <w:p>
            <w:pPr>
              <w:keepNext w:val="0"/>
              <w:keepLines w:val="0"/>
              <w:pageBreakBefore w:val="0"/>
              <w:kinsoku/>
              <w:overflowPunct/>
              <w:topLinePunct w:val="0"/>
              <w:bidi w:val="0"/>
              <w:spacing w:line="240" w:lineRule="auto"/>
              <w:textAlignment w:val="auto"/>
              <w:rPr>
                <w:rFonts w:hint="default"/>
                <w:sz w:val="21"/>
                <w:szCs w:val="21"/>
                <w:lang w:val="en-US" w:eastAsia="zh-CN"/>
              </w:rPr>
            </w:pPr>
            <w:r>
              <w:rPr>
                <w:rFonts w:hint="eastAsia" w:ascii="Times New Roman" w:hAnsi="Times New Roman" w:cs="Times New Roman"/>
                <w:sz w:val="21"/>
                <w:szCs w:val="21"/>
                <w:lang w:val="en-US" w:eastAsia="zh-CN"/>
              </w:rPr>
              <w:t>4</w:t>
            </w:r>
            <w:r>
              <w:rPr>
                <w:rFonts w:hint="eastAsia" w:ascii="宋体" w:hAnsi="Courier New" w:eastAsia="宋体" w:cs="宋体"/>
                <w:sz w:val="21"/>
                <w:szCs w:val="21"/>
                <w:lang w:val="en-US" w:eastAsia="zh-CN"/>
              </w:rPr>
              <w:t>、供应商不按程序进行投诉质疑的，将按规定列入招投标不良行为记录。</w:t>
            </w:r>
          </w:p>
        </w:tc>
      </w:tr>
    </w:tbl>
    <w:p>
      <w:pPr>
        <w:keepNext w:val="0"/>
        <w:keepLines w:val="0"/>
        <w:pageBreakBefore w:val="0"/>
        <w:kinsoku/>
        <w:overflowPunct/>
        <w:topLinePunct w:val="0"/>
        <w:bidi w:val="0"/>
        <w:spacing w:line="360" w:lineRule="auto"/>
        <w:jc w:val="center"/>
        <w:textAlignment w:val="auto"/>
        <w:rPr>
          <w:rFonts w:ascii="宋体" w:hAnsi="宋体"/>
          <w:color w:val="auto"/>
          <w:sz w:val="21"/>
          <w:szCs w:val="21"/>
          <w:highlight w:val="none"/>
        </w:rPr>
      </w:pPr>
      <w:r>
        <w:rPr>
          <w:rFonts w:ascii="宋体" w:hAnsi="宋体"/>
          <w:b/>
          <w:color w:val="auto"/>
          <w:sz w:val="21"/>
          <w:szCs w:val="21"/>
          <w:highlight w:val="none"/>
        </w:rPr>
        <w:br w:type="page"/>
      </w:r>
      <w:r>
        <w:rPr>
          <w:rFonts w:hint="eastAsia" w:ascii="宋体" w:hAnsi="宋体"/>
          <w:b/>
          <w:color w:val="auto"/>
          <w:sz w:val="30"/>
          <w:szCs w:val="30"/>
          <w:highlight w:val="none"/>
          <w:lang w:val="en-US" w:eastAsia="zh-CN"/>
        </w:rPr>
        <w:t>正 文</w:t>
      </w:r>
    </w:p>
    <w:p>
      <w:pPr>
        <w:keepNext w:val="0"/>
        <w:keepLines w:val="0"/>
        <w:pageBreakBefore w:val="0"/>
        <w:kinsoku/>
        <w:overflowPunct/>
        <w:topLinePunct w:val="0"/>
        <w:bidi w:val="0"/>
        <w:spacing w:line="240" w:lineRule="auto"/>
        <w:ind w:firstLine="422" w:firstLineChars="200"/>
        <w:textAlignment w:val="auto"/>
        <w:rPr>
          <w:rFonts w:ascii="宋体" w:hAnsi="宋体"/>
          <w:b/>
          <w:color w:val="auto"/>
          <w:sz w:val="21"/>
          <w:szCs w:val="21"/>
          <w:highlight w:val="none"/>
        </w:rPr>
      </w:pPr>
      <w:r>
        <w:rPr>
          <w:rFonts w:hint="eastAsia" w:ascii="宋体" w:hAnsi="宋体"/>
          <w:b/>
          <w:color w:val="auto"/>
          <w:sz w:val="21"/>
          <w:szCs w:val="21"/>
          <w:highlight w:val="none"/>
        </w:rPr>
        <w:t>一、总　则</w:t>
      </w:r>
    </w:p>
    <w:p>
      <w:pPr>
        <w:keepNext w:val="0"/>
        <w:keepLines w:val="0"/>
        <w:pageBreakBefore w:val="0"/>
        <w:kinsoku/>
        <w:overflowPunct/>
        <w:topLinePunct w:val="0"/>
        <w:bidi w:val="0"/>
        <w:spacing w:line="24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1.适用范围</w:t>
      </w:r>
    </w:p>
    <w:p>
      <w:pPr>
        <w:keepNext w:val="0"/>
        <w:keepLines w:val="0"/>
        <w:pageBreakBefore w:val="0"/>
        <w:kinsoku/>
        <w:overflowPunct/>
        <w:topLinePunct w:val="0"/>
        <w:bidi w:val="0"/>
        <w:spacing w:line="24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1.1本文件仅适用于本文件中所叙述的</w:t>
      </w:r>
      <w:r>
        <w:rPr>
          <w:rFonts w:hint="eastAsia" w:ascii="宋体" w:hAnsi="宋体"/>
          <w:b w:val="0"/>
          <w:bCs w:val="0"/>
          <w:color w:val="auto"/>
          <w:sz w:val="21"/>
          <w:szCs w:val="21"/>
          <w:highlight w:val="none"/>
          <w:u w:val="single"/>
          <w:lang w:eastAsia="zh-CN"/>
        </w:rPr>
        <w:t>广西骨伤医院DRG智慧运营软件服务采购项目</w:t>
      </w:r>
      <w:r>
        <w:rPr>
          <w:rFonts w:hint="eastAsia" w:ascii="宋体" w:hAnsi="宋体"/>
          <w:b w:val="0"/>
          <w:bCs w:val="0"/>
          <w:color w:val="auto"/>
          <w:sz w:val="21"/>
          <w:szCs w:val="21"/>
          <w:highlight w:val="none"/>
        </w:rPr>
        <w:t>。</w:t>
      </w:r>
    </w:p>
    <w:p>
      <w:pPr>
        <w:keepNext w:val="0"/>
        <w:keepLines w:val="0"/>
        <w:pageBreakBefore w:val="0"/>
        <w:kinsoku/>
        <w:overflowPunct/>
        <w:topLinePunct w:val="0"/>
        <w:bidi w:val="0"/>
        <w:spacing w:line="24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1.</w:t>
      </w:r>
      <w:r>
        <w:rPr>
          <w:rFonts w:hint="eastAsia" w:ascii="宋体" w:hAnsi="宋体"/>
          <w:b w:val="0"/>
          <w:bCs w:val="0"/>
          <w:color w:val="auto"/>
          <w:sz w:val="21"/>
          <w:szCs w:val="21"/>
          <w:highlight w:val="none"/>
          <w:lang w:val="en-US" w:eastAsia="zh-CN"/>
        </w:rPr>
        <w:t>2</w:t>
      </w:r>
      <w:r>
        <w:rPr>
          <w:rFonts w:hint="eastAsia" w:ascii="宋体" w:hAnsi="宋体"/>
          <w:b w:val="0"/>
          <w:bCs w:val="0"/>
          <w:color w:val="auto"/>
          <w:sz w:val="21"/>
          <w:szCs w:val="21"/>
          <w:highlight w:val="none"/>
        </w:rPr>
        <w:t>本</w:t>
      </w:r>
      <w:r>
        <w:rPr>
          <w:rFonts w:hint="eastAsia" w:ascii="宋体" w:hAnsi="宋体"/>
          <w:b w:val="0"/>
          <w:bCs w:val="0"/>
          <w:color w:val="auto"/>
          <w:sz w:val="21"/>
          <w:szCs w:val="21"/>
          <w:highlight w:val="none"/>
          <w:lang w:val="en-US" w:eastAsia="zh-CN"/>
        </w:rPr>
        <w:t>磋商</w:t>
      </w:r>
      <w:r>
        <w:rPr>
          <w:rFonts w:hint="eastAsia" w:ascii="宋体" w:hAnsi="宋体"/>
          <w:b w:val="0"/>
          <w:bCs w:val="0"/>
          <w:color w:val="auto"/>
          <w:sz w:val="21"/>
          <w:szCs w:val="21"/>
          <w:highlight w:val="none"/>
        </w:rPr>
        <w:t>文件（以下简称</w:t>
      </w:r>
      <w:r>
        <w:rPr>
          <w:rFonts w:hint="eastAsia" w:ascii="宋体" w:hAnsi="宋体"/>
          <w:b w:val="0"/>
          <w:bCs w:val="0"/>
          <w:color w:val="auto"/>
          <w:sz w:val="21"/>
          <w:szCs w:val="21"/>
          <w:highlight w:val="none"/>
          <w:lang w:eastAsia="zh-CN"/>
        </w:rPr>
        <w:t>磋商</w:t>
      </w:r>
      <w:r>
        <w:rPr>
          <w:rFonts w:hint="eastAsia" w:ascii="宋体" w:hAnsi="宋体"/>
          <w:b w:val="0"/>
          <w:bCs w:val="0"/>
          <w:color w:val="auto"/>
          <w:sz w:val="21"/>
          <w:szCs w:val="21"/>
          <w:highlight w:val="none"/>
        </w:rPr>
        <w:t>文件）适用于本</w:t>
      </w:r>
      <w:r>
        <w:rPr>
          <w:rFonts w:hint="eastAsia" w:ascii="宋体" w:hAnsi="宋体"/>
          <w:b w:val="0"/>
          <w:bCs w:val="0"/>
          <w:color w:val="auto"/>
          <w:sz w:val="21"/>
          <w:szCs w:val="21"/>
          <w:highlight w:val="none"/>
          <w:lang w:val="en-US" w:eastAsia="zh-CN"/>
        </w:rPr>
        <w:t>磋商</w:t>
      </w:r>
      <w:r>
        <w:rPr>
          <w:rFonts w:hint="eastAsia" w:ascii="宋体" w:hAnsi="宋体"/>
          <w:b w:val="0"/>
          <w:bCs w:val="0"/>
          <w:color w:val="auto"/>
          <w:sz w:val="21"/>
          <w:szCs w:val="21"/>
          <w:highlight w:val="none"/>
        </w:rPr>
        <w:t>项目的</w:t>
      </w:r>
      <w:r>
        <w:rPr>
          <w:rFonts w:hint="eastAsia" w:ascii="宋体" w:hAnsi="宋体"/>
          <w:b w:val="0"/>
          <w:bCs w:val="0"/>
          <w:color w:val="auto"/>
          <w:sz w:val="21"/>
          <w:szCs w:val="21"/>
          <w:highlight w:val="none"/>
          <w:lang w:eastAsia="zh-CN"/>
        </w:rPr>
        <w:t>磋商</w:t>
      </w:r>
      <w:r>
        <w:rPr>
          <w:rFonts w:hint="eastAsia" w:ascii="宋体" w:hAnsi="宋体"/>
          <w:b w:val="0"/>
          <w:bCs w:val="0"/>
          <w:color w:val="auto"/>
          <w:sz w:val="21"/>
          <w:szCs w:val="21"/>
          <w:highlight w:val="none"/>
        </w:rPr>
        <w:t>、</w:t>
      </w:r>
      <w:r>
        <w:rPr>
          <w:rFonts w:hint="eastAsia" w:ascii="宋体" w:hAnsi="宋体"/>
          <w:b w:val="0"/>
          <w:bCs w:val="0"/>
          <w:color w:val="auto"/>
          <w:sz w:val="21"/>
          <w:szCs w:val="21"/>
          <w:highlight w:val="none"/>
          <w:lang w:val="en-US" w:eastAsia="zh-CN"/>
        </w:rPr>
        <w:t>评审</w:t>
      </w:r>
      <w:r>
        <w:rPr>
          <w:rFonts w:hint="eastAsia" w:ascii="宋体" w:hAnsi="宋体"/>
          <w:b w:val="0"/>
          <w:bCs w:val="0"/>
          <w:color w:val="auto"/>
          <w:sz w:val="21"/>
          <w:szCs w:val="21"/>
          <w:highlight w:val="none"/>
        </w:rPr>
        <w:t>、合同履约、验收、付款等行为（法律、法规另有规定的，从其规定）。</w:t>
      </w:r>
    </w:p>
    <w:p>
      <w:pPr>
        <w:keepNext w:val="0"/>
        <w:keepLines w:val="0"/>
        <w:pageBreakBefore w:val="0"/>
        <w:kinsoku/>
        <w:overflowPunct/>
        <w:topLinePunct w:val="0"/>
        <w:bidi w:val="0"/>
        <w:spacing w:line="24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2.定义</w:t>
      </w:r>
    </w:p>
    <w:p>
      <w:pPr>
        <w:keepNext w:val="0"/>
        <w:keepLines w:val="0"/>
        <w:pageBreakBefore w:val="0"/>
        <w:kinsoku/>
        <w:overflowPunct/>
        <w:topLinePunct w:val="0"/>
        <w:bidi w:val="0"/>
        <w:spacing w:line="24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2.1“采购人”是指：</w:t>
      </w:r>
      <w:r>
        <w:rPr>
          <w:rFonts w:hint="eastAsia" w:ascii="宋体" w:hAnsi="宋体"/>
          <w:b w:val="0"/>
          <w:bCs w:val="0"/>
          <w:color w:val="auto"/>
          <w:sz w:val="21"/>
          <w:szCs w:val="21"/>
          <w:highlight w:val="none"/>
          <w:lang w:eastAsia="zh-CN"/>
        </w:rPr>
        <w:t>广西骨伤医院</w:t>
      </w:r>
      <w:r>
        <w:rPr>
          <w:rFonts w:hint="eastAsia" w:ascii="宋体" w:hAnsi="宋体"/>
          <w:b w:val="0"/>
          <w:bCs w:val="0"/>
          <w:color w:val="auto"/>
          <w:sz w:val="21"/>
          <w:szCs w:val="21"/>
          <w:highlight w:val="none"/>
        </w:rPr>
        <w:t>。</w:t>
      </w:r>
    </w:p>
    <w:p>
      <w:pPr>
        <w:keepNext w:val="0"/>
        <w:keepLines w:val="0"/>
        <w:pageBreakBefore w:val="0"/>
        <w:kinsoku/>
        <w:overflowPunct/>
        <w:topLinePunct w:val="0"/>
        <w:bidi w:val="0"/>
        <w:spacing w:line="24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2.</w:t>
      </w:r>
      <w:r>
        <w:rPr>
          <w:rFonts w:hint="eastAsia" w:ascii="宋体" w:hAnsi="宋体"/>
          <w:b w:val="0"/>
          <w:bCs w:val="0"/>
          <w:color w:val="auto"/>
          <w:sz w:val="21"/>
          <w:szCs w:val="21"/>
          <w:highlight w:val="none"/>
          <w:lang w:val="en-US" w:eastAsia="zh-CN"/>
        </w:rPr>
        <w:t>2</w:t>
      </w:r>
      <w:r>
        <w:rPr>
          <w:rFonts w:hint="eastAsia" w:ascii="宋体" w:hAnsi="宋体"/>
          <w:b w:val="0"/>
          <w:bCs w:val="0"/>
          <w:color w:val="auto"/>
          <w:sz w:val="21"/>
          <w:szCs w:val="21"/>
          <w:highlight w:val="none"/>
        </w:rPr>
        <w:t>“供应商”是指响应本文件要求，</w:t>
      </w:r>
      <w:r>
        <w:rPr>
          <w:rFonts w:hint="eastAsia" w:ascii="宋体" w:hAnsi="宋体"/>
          <w:b w:val="0"/>
          <w:bCs w:val="0"/>
          <w:color w:val="auto"/>
          <w:sz w:val="21"/>
          <w:szCs w:val="21"/>
          <w:highlight w:val="none"/>
          <w:lang w:val="en-US" w:eastAsia="zh-CN"/>
        </w:rPr>
        <w:t>提交响应文件、</w:t>
      </w:r>
      <w:r>
        <w:rPr>
          <w:rFonts w:hint="eastAsia" w:ascii="宋体" w:hAnsi="宋体"/>
          <w:b w:val="0"/>
          <w:bCs w:val="0"/>
          <w:color w:val="auto"/>
          <w:sz w:val="21"/>
          <w:szCs w:val="21"/>
          <w:highlight w:val="none"/>
        </w:rPr>
        <w:t>参加</w:t>
      </w:r>
      <w:r>
        <w:rPr>
          <w:rFonts w:hint="eastAsia" w:ascii="宋体" w:hAnsi="宋体"/>
          <w:b w:val="0"/>
          <w:bCs w:val="0"/>
          <w:color w:val="auto"/>
          <w:sz w:val="21"/>
          <w:szCs w:val="21"/>
          <w:highlight w:val="none"/>
          <w:lang w:eastAsia="zh-CN"/>
        </w:rPr>
        <w:t>磋商</w:t>
      </w:r>
      <w:r>
        <w:rPr>
          <w:rFonts w:hint="eastAsia" w:ascii="宋体" w:hAnsi="宋体"/>
          <w:b w:val="0"/>
          <w:bCs w:val="0"/>
          <w:color w:val="auto"/>
          <w:sz w:val="21"/>
          <w:szCs w:val="21"/>
          <w:highlight w:val="none"/>
        </w:rPr>
        <w:t>的法人或者其他组织。如果该供应商在本次</w:t>
      </w:r>
      <w:r>
        <w:rPr>
          <w:rFonts w:hint="eastAsia" w:ascii="宋体" w:hAnsi="宋体"/>
          <w:b w:val="0"/>
          <w:bCs w:val="0"/>
          <w:color w:val="auto"/>
          <w:sz w:val="21"/>
          <w:szCs w:val="21"/>
          <w:highlight w:val="none"/>
          <w:lang w:eastAsia="zh-CN"/>
        </w:rPr>
        <w:t>磋商</w:t>
      </w:r>
      <w:r>
        <w:rPr>
          <w:rFonts w:hint="eastAsia" w:ascii="宋体" w:hAnsi="宋体"/>
          <w:b w:val="0"/>
          <w:bCs w:val="0"/>
          <w:color w:val="auto"/>
          <w:sz w:val="21"/>
          <w:szCs w:val="21"/>
          <w:highlight w:val="none"/>
        </w:rPr>
        <w:t>中成交，即成为“成交供应商”</w:t>
      </w:r>
      <w:r>
        <w:rPr>
          <w:rFonts w:hint="eastAsia" w:ascii="宋体" w:hAnsi="宋体"/>
          <w:b w:val="0"/>
          <w:bCs w:val="0"/>
          <w:color w:val="auto"/>
          <w:sz w:val="21"/>
          <w:szCs w:val="21"/>
          <w:highlight w:val="none"/>
          <w:lang w:val="en-US" w:eastAsia="zh-CN"/>
        </w:rPr>
        <w:t>、“中标人”、“成交人”</w:t>
      </w:r>
      <w:r>
        <w:rPr>
          <w:rFonts w:hint="eastAsia" w:ascii="宋体" w:hAnsi="宋体"/>
          <w:b w:val="0"/>
          <w:bCs w:val="0"/>
          <w:color w:val="auto"/>
          <w:sz w:val="21"/>
          <w:szCs w:val="21"/>
          <w:highlight w:val="none"/>
        </w:rPr>
        <w:t>。</w:t>
      </w:r>
    </w:p>
    <w:p>
      <w:pPr>
        <w:keepNext w:val="0"/>
        <w:keepLines w:val="0"/>
        <w:pageBreakBefore w:val="0"/>
        <w:kinsoku/>
        <w:overflowPunct/>
        <w:topLinePunct w:val="0"/>
        <w:bidi w:val="0"/>
        <w:spacing w:line="24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2.</w:t>
      </w:r>
      <w:r>
        <w:rPr>
          <w:rFonts w:hint="eastAsia" w:ascii="宋体" w:hAnsi="宋体"/>
          <w:b w:val="0"/>
          <w:bCs w:val="0"/>
          <w:color w:val="auto"/>
          <w:sz w:val="21"/>
          <w:szCs w:val="21"/>
          <w:highlight w:val="none"/>
          <w:lang w:val="en-US" w:eastAsia="zh-CN"/>
        </w:rPr>
        <w:t>3</w:t>
      </w:r>
      <w:r>
        <w:rPr>
          <w:rFonts w:hint="eastAsia" w:ascii="宋体" w:hAnsi="宋体"/>
          <w:b w:val="0"/>
          <w:bCs w:val="0"/>
          <w:color w:val="auto"/>
          <w:sz w:val="21"/>
          <w:szCs w:val="21"/>
          <w:highlight w:val="none"/>
        </w:rPr>
        <w:t>“货物”是指各种形态和种类的物品，包括原材料、燃料、设备、产品等。</w:t>
      </w:r>
    </w:p>
    <w:p>
      <w:pPr>
        <w:keepNext w:val="0"/>
        <w:keepLines w:val="0"/>
        <w:pageBreakBefore w:val="0"/>
        <w:kinsoku/>
        <w:overflowPunct/>
        <w:topLinePunct w:val="0"/>
        <w:bidi w:val="0"/>
        <w:spacing w:line="24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2.</w:t>
      </w:r>
      <w:r>
        <w:rPr>
          <w:rFonts w:hint="eastAsia" w:ascii="宋体" w:hAnsi="宋体"/>
          <w:b w:val="0"/>
          <w:bCs w:val="0"/>
          <w:color w:val="auto"/>
          <w:sz w:val="21"/>
          <w:szCs w:val="21"/>
          <w:highlight w:val="none"/>
          <w:lang w:val="en-US" w:eastAsia="zh-CN"/>
        </w:rPr>
        <w:t>4</w:t>
      </w:r>
      <w:r>
        <w:rPr>
          <w:rFonts w:hint="eastAsia" w:ascii="宋体" w:hAnsi="宋体"/>
          <w:b w:val="0"/>
          <w:bCs w:val="0"/>
          <w:color w:val="auto"/>
          <w:sz w:val="21"/>
          <w:szCs w:val="21"/>
          <w:highlight w:val="none"/>
        </w:rPr>
        <w:t>“工程”按照招标投标法及其实施条例必须进行招标的工程建设项目以外的工程建设项目。</w:t>
      </w:r>
    </w:p>
    <w:p>
      <w:pPr>
        <w:keepNext w:val="0"/>
        <w:keepLines w:val="0"/>
        <w:pageBreakBefore w:val="0"/>
        <w:kinsoku/>
        <w:overflowPunct/>
        <w:topLinePunct w:val="0"/>
        <w:bidi w:val="0"/>
        <w:spacing w:line="24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2.</w:t>
      </w:r>
      <w:r>
        <w:rPr>
          <w:rFonts w:hint="eastAsia" w:ascii="宋体" w:hAnsi="宋体"/>
          <w:b w:val="0"/>
          <w:bCs w:val="0"/>
          <w:color w:val="auto"/>
          <w:sz w:val="21"/>
          <w:szCs w:val="21"/>
          <w:highlight w:val="none"/>
          <w:lang w:val="en-US" w:eastAsia="zh-CN"/>
        </w:rPr>
        <w:t>5</w:t>
      </w:r>
      <w:r>
        <w:rPr>
          <w:rFonts w:hint="eastAsia" w:ascii="宋体" w:hAnsi="宋体"/>
          <w:b w:val="0"/>
          <w:bCs w:val="0"/>
          <w:color w:val="auto"/>
          <w:sz w:val="21"/>
          <w:szCs w:val="21"/>
          <w:highlight w:val="none"/>
        </w:rPr>
        <w:t>“服务”是指除货物和工程以外的其他采购对象。</w:t>
      </w:r>
    </w:p>
    <w:p>
      <w:pPr>
        <w:keepNext w:val="0"/>
        <w:keepLines w:val="0"/>
        <w:pageBreakBefore w:val="0"/>
        <w:kinsoku/>
        <w:overflowPunct/>
        <w:topLinePunct w:val="0"/>
        <w:bidi w:val="0"/>
        <w:spacing w:line="24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2.</w:t>
      </w:r>
      <w:r>
        <w:rPr>
          <w:rFonts w:hint="eastAsia" w:ascii="宋体" w:hAnsi="宋体"/>
          <w:b w:val="0"/>
          <w:bCs w:val="0"/>
          <w:color w:val="auto"/>
          <w:sz w:val="21"/>
          <w:szCs w:val="21"/>
          <w:highlight w:val="none"/>
          <w:lang w:val="en-US" w:eastAsia="zh-CN"/>
        </w:rPr>
        <w:t>6</w:t>
      </w:r>
      <w:r>
        <w:rPr>
          <w:rFonts w:hint="eastAsia" w:ascii="宋体" w:hAnsi="宋体"/>
          <w:b w:val="0"/>
          <w:bCs w:val="0"/>
          <w:color w:val="auto"/>
          <w:sz w:val="21"/>
          <w:szCs w:val="21"/>
          <w:highlight w:val="none"/>
        </w:rPr>
        <w:t>“</w:t>
      </w:r>
      <w:r>
        <w:rPr>
          <w:rFonts w:hint="eastAsia" w:ascii="宋体" w:hAnsi="宋体"/>
          <w:b w:val="0"/>
          <w:bCs w:val="0"/>
          <w:color w:val="auto"/>
          <w:sz w:val="21"/>
          <w:szCs w:val="21"/>
          <w:highlight w:val="none"/>
          <w:lang w:val="en-US" w:eastAsia="zh-CN"/>
        </w:rPr>
        <w:t>磋商</w:t>
      </w:r>
      <w:r>
        <w:rPr>
          <w:rFonts w:hint="eastAsia" w:ascii="宋体" w:hAnsi="宋体"/>
          <w:b w:val="0"/>
          <w:bCs w:val="0"/>
          <w:color w:val="auto"/>
          <w:sz w:val="21"/>
          <w:szCs w:val="21"/>
          <w:highlight w:val="none"/>
          <w:lang w:eastAsia="zh-CN"/>
        </w:rPr>
        <w:t>响应文件</w:t>
      </w:r>
      <w:r>
        <w:rPr>
          <w:rFonts w:hint="eastAsia" w:ascii="宋体" w:hAnsi="宋体"/>
          <w:b w:val="0"/>
          <w:bCs w:val="0"/>
          <w:color w:val="auto"/>
          <w:sz w:val="21"/>
          <w:szCs w:val="21"/>
          <w:highlight w:val="none"/>
        </w:rPr>
        <w:t>” 简称“响应文件”，是指供应商根据本</w:t>
      </w:r>
      <w:r>
        <w:rPr>
          <w:rFonts w:hint="eastAsia" w:ascii="宋体" w:hAnsi="宋体"/>
          <w:b w:val="0"/>
          <w:bCs w:val="0"/>
          <w:color w:val="auto"/>
          <w:sz w:val="21"/>
          <w:szCs w:val="21"/>
          <w:highlight w:val="none"/>
          <w:lang w:val="en-US" w:eastAsia="zh-CN"/>
        </w:rPr>
        <w:t>磋商</w:t>
      </w:r>
      <w:r>
        <w:rPr>
          <w:rFonts w:hint="eastAsia" w:ascii="宋体" w:hAnsi="宋体"/>
          <w:b w:val="0"/>
          <w:bCs w:val="0"/>
          <w:color w:val="auto"/>
          <w:sz w:val="21"/>
          <w:szCs w:val="21"/>
          <w:highlight w:val="none"/>
        </w:rPr>
        <w:t>文件要求，编制包含</w:t>
      </w:r>
      <w:r>
        <w:rPr>
          <w:rFonts w:hint="eastAsia" w:ascii="宋体" w:hAnsi="宋体"/>
          <w:b w:val="0"/>
          <w:bCs w:val="0"/>
          <w:color w:val="auto"/>
          <w:sz w:val="21"/>
          <w:szCs w:val="21"/>
          <w:highlight w:val="none"/>
          <w:lang w:val="en-US" w:eastAsia="zh-CN"/>
        </w:rPr>
        <w:t>资格证明、</w:t>
      </w:r>
      <w:r>
        <w:rPr>
          <w:rFonts w:hint="eastAsia" w:ascii="宋体" w:hAnsi="宋体"/>
          <w:b w:val="0"/>
          <w:bCs w:val="0"/>
          <w:color w:val="auto"/>
          <w:sz w:val="21"/>
          <w:szCs w:val="21"/>
          <w:highlight w:val="none"/>
        </w:rPr>
        <w:t>报价、技术和服务等所有内容的文件。</w:t>
      </w:r>
    </w:p>
    <w:p>
      <w:pPr>
        <w:keepNext w:val="0"/>
        <w:keepLines w:val="0"/>
        <w:pageBreakBefore w:val="0"/>
        <w:kinsoku/>
        <w:overflowPunct/>
        <w:topLinePunct w:val="0"/>
        <w:bidi w:val="0"/>
        <w:spacing w:line="240" w:lineRule="auto"/>
        <w:ind w:firstLine="420" w:firstLineChars="200"/>
        <w:textAlignment w:val="auto"/>
        <w:rPr>
          <w:rFonts w:hint="eastAsia" w:ascii="宋体" w:hAnsi="宋体"/>
          <w:b w:val="0"/>
          <w:bCs w:val="0"/>
          <w:color w:val="auto"/>
          <w:sz w:val="21"/>
          <w:szCs w:val="21"/>
          <w:highlight w:val="none"/>
        </w:rPr>
      </w:pPr>
      <w:r>
        <w:rPr>
          <w:rFonts w:hint="eastAsia" w:ascii="宋体" w:hAnsi="宋体"/>
          <w:b w:val="0"/>
          <w:bCs w:val="0"/>
          <w:color w:val="auto"/>
          <w:sz w:val="21"/>
          <w:szCs w:val="21"/>
          <w:highlight w:val="none"/>
        </w:rPr>
        <w:t>2.</w:t>
      </w:r>
      <w:r>
        <w:rPr>
          <w:rFonts w:hint="eastAsia" w:ascii="宋体" w:hAnsi="宋体"/>
          <w:b w:val="0"/>
          <w:bCs w:val="0"/>
          <w:color w:val="auto"/>
          <w:sz w:val="21"/>
          <w:szCs w:val="21"/>
          <w:highlight w:val="none"/>
          <w:lang w:val="en-US" w:eastAsia="zh-CN"/>
        </w:rPr>
        <w:t>7</w:t>
      </w:r>
      <w:r>
        <w:rPr>
          <w:rFonts w:hint="eastAsia" w:ascii="宋体" w:hAnsi="宋体" w:cs="宋体"/>
          <w:b w:val="0"/>
          <w:bCs w:val="0"/>
          <w:color w:val="auto"/>
          <w:sz w:val="21"/>
          <w:szCs w:val="21"/>
          <w:highlight w:val="none"/>
        </w:rPr>
        <w:t>“实质性要求”是指</w:t>
      </w:r>
      <w:r>
        <w:rPr>
          <w:rFonts w:hint="eastAsia" w:ascii="宋体" w:hAnsi="宋体" w:cs="宋体"/>
          <w:b w:val="0"/>
          <w:bCs w:val="0"/>
          <w:color w:val="auto"/>
          <w:sz w:val="21"/>
          <w:szCs w:val="21"/>
          <w:highlight w:val="none"/>
          <w:lang w:val="en-US" w:eastAsia="zh-CN"/>
        </w:rPr>
        <w:t>磋商</w:t>
      </w:r>
      <w:r>
        <w:rPr>
          <w:rFonts w:hint="eastAsia" w:ascii="宋体" w:hAnsi="宋体" w:cs="宋体"/>
          <w:b w:val="0"/>
          <w:bCs w:val="0"/>
          <w:color w:val="auto"/>
          <w:sz w:val="21"/>
          <w:szCs w:val="21"/>
          <w:highlight w:val="none"/>
        </w:rPr>
        <w:t>文件中已经指明不满足则响应文件按无效响应处理的条款，或者不能负偏离的条款，或者采购需求中带“▲”的条款</w:t>
      </w:r>
      <w:r>
        <w:rPr>
          <w:rFonts w:hint="eastAsia" w:ascii="宋体" w:hAnsi="宋体"/>
          <w:b w:val="0"/>
          <w:bCs w:val="0"/>
          <w:color w:val="auto"/>
          <w:sz w:val="21"/>
          <w:szCs w:val="21"/>
          <w:highlight w:val="none"/>
        </w:rPr>
        <w:t>。</w:t>
      </w:r>
    </w:p>
    <w:p>
      <w:pPr>
        <w:keepNext w:val="0"/>
        <w:keepLines w:val="0"/>
        <w:pageBreakBefore w:val="0"/>
        <w:kinsoku/>
        <w:overflowPunct/>
        <w:topLinePunct w:val="0"/>
        <w:bidi w:val="0"/>
        <w:spacing w:line="240" w:lineRule="auto"/>
        <w:ind w:firstLine="420" w:firstLineChars="200"/>
        <w:textAlignment w:val="auto"/>
        <w:rPr>
          <w:rFonts w:hint="default"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rPr>
        <w:t>2.</w:t>
      </w:r>
      <w:r>
        <w:rPr>
          <w:rFonts w:ascii="宋体" w:hAnsi="宋体" w:cs="宋体"/>
          <w:b w:val="0"/>
          <w:bCs w:val="0"/>
          <w:color w:val="auto"/>
          <w:sz w:val="21"/>
          <w:szCs w:val="21"/>
          <w:highlight w:val="none"/>
        </w:rPr>
        <w:t>8</w:t>
      </w:r>
      <w:r>
        <w:rPr>
          <w:rFonts w:hint="eastAsia" w:ascii="宋体" w:hAnsi="宋体" w:cs="宋体"/>
          <w:b w:val="0"/>
          <w:bCs w:val="0"/>
          <w:color w:val="auto"/>
          <w:sz w:val="21"/>
          <w:szCs w:val="21"/>
          <w:highlight w:val="none"/>
        </w:rPr>
        <w:t>“正偏离”，是指响应文件对</w:t>
      </w:r>
      <w:r>
        <w:rPr>
          <w:rFonts w:hint="eastAsia" w:ascii="宋体" w:hAnsi="宋体" w:cs="宋体"/>
          <w:b w:val="0"/>
          <w:bCs w:val="0"/>
          <w:color w:val="auto"/>
          <w:sz w:val="21"/>
          <w:szCs w:val="21"/>
          <w:highlight w:val="none"/>
          <w:lang w:val="en-US" w:eastAsia="zh-CN"/>
        </w:rPr>
        <w:t>磋商</w:t>
      </w:r>
      <w:r>
        <w:rPr>
          <w:rFonts w:hint="eastAsia" w:ascii="宋体" w:hAnsi="宋体" w:cs="宋体"/>
          <w:b w:val="0"/>
          <w:bCs w:val="0"/>
          <w:color w:val="auto"/>
          <w:sz w:val="21"/>
          <w:szCs w:val="21"/>
          <w:highlight w:val="none"/>
        </w:rPr>
        <w:t>文件“采购需求”中有关条款作出的响应优于条款要求并有利于采购人的情形。</w:t>
      </w:r>
    </w:p>
    <w:p>
      <w:pPr>
        <w:keepNext w:val="0"/>
        <w:keepLines w:val="0"/>
        <w:pageBreakBefore w:val="0"/>
        <w:kinsoku/>
        <w:overflowPunct/>
        <w:topLinePunct w:val="0"/>
        <w:bidi w:val="0"/>
        <w:spacing w:line="240" w:lineRule="auto"/>
        <w:ind w:firstLine="420" w:firstLineChars="200"/>
        <w:textAlignment w:val="auto"/>
        <w:rPr>
          <w:rFonts w:hint="default" w:eastAsia="宋体"/>
          <w:b w:val="0"/>
          <w:bCs w:val="0"/>
          <w:sz w:val="21"/>
          <w:szCs w:val="21"/>
          <w:lang w:val="en-US" w:eastAsia="zh-CN"/>
        </w:rPr>
      </w:pPr>
      <w:r>
        <w:rPr>
          <w:rFonts w:ascii="宋体" w:hAnsi="宋体" w:cs="宋体"/>
          <w:b w:val="0"/>
          <w:bCs w:val="0"/>
          <w:color w:val="auto"/>
          <w:sz w:val="21"/>
          <w:szCs w:val="21"/>
          <w:highlight w:val="none"/>
        </w:rPr>
        <w:t>2.9</w:t>
      </w:r>
      <w:r>
        <w:rPr>
          <w:rFonts w:hint="eastAsia" w:ascii="宋体" w:hAnsi="宋体" w:cs="宋体"/>
          <w:b w:val="0"/>
          <w:bCs w:val="0"/>
          <w:color w:val="auto"/>
          <w:sz w:val="21"/>
          <w:szCs w:val="21"/>
          <w:highlight w:val="none"/>
        </w:rPr>
        <w:t>“负偏离”，是指响应文件对</w:t>
      </w:r>
      <w:r>
        <w:rPr>
          <w:rFonts w:hint="eastAsia" w:ascii="宋体" w:hAnsi="宋体" w:cs="宋体"/>
          <w:b w:val="0"/>
          <w:bCs w:val="0"/>
          <w:color w:val="auto"/>
          <w:sz w:val="21"/>
          <w:szCs w:val="21"/>
          <w:highlight w:val="none"/>
          <w:lang w:val="en-US" w:eastAsia="zh-CN"/>
        </w:rPr>
        <w:t>磋商</w:t>
      </w:r>
      <w:r>
        <w:rPr>
          <w:rFonts w:hint="eastAsia" w:ascii="宋体" w:hAnsi="宋体" w:cs="宋体"/>
          <w:b w:val="0"/>
          <w:bCs w:val="0"/>
          <w:color w:val="auto"/>
          <w:sz w:val="21"/>
          <w:szCs w:val="21"/>
          <w:highlight w:val="none"/>
        </w:rPr>
        <w:t>文件“采购需求”中有关条款作出的响应不满足条款要求，导致采购人要求不能得到满足的情形。</w:t>
      </w:r>
      <w:r>
        <w:rPr>
          <w:rFonts w:hint="eastAsia" w:ascii="宋体" w:hAnsi="宋体" w:cs="宋体"/>
          <w:b w:val="0"/>
          <w:bCs w:val="0"/>
          <w:color w:val="auto"/>
          <w:sz w:val="21"/>
          <w:szCs w:val="21"/>
          <w:highlight w:val="none"/>
          <w:lang w:val="en-US" w:eastAsia="zh-CN"/>
        </w:rPr>
        <w:t>本项目允许负偏离条款</w:t>
      </w:r>
      <w:r>
        <w:rPr>
          <w:rFonts w:hint="eastAsia" w:ascii="宋体" w:hAnsi="宋体" w:cs="宋体"/>
          <w:b w:val="0"/>
          <w:bCs w:val="0"/>
          <w:color w:val="auto"/>
          <w:sz w:val="21"/>
          <w:szCs w:val="21"/>
          <w:highlight w:val="none"/>
          <w:u w:val="single"/>
          <w:lang w:val="en-US" w:eastAsia="zh-CN"/>
        </w:rPr>
        <w:t xml:space="preserve"> </w:t>
      </w:r>
      <w:r>
        <w:rPr>
          <w:rFonts w:hint="eastAsia" w:ascii="宋体" w:hAnsi="宋体" w:cs="宋体"/>
          <w:b w:val="0"/>
          <w:bCs w:val="0"/>
          <w:color w:val="auto"/>
          <w:sz w:val="21"/>
          <w:szCs w:val="21"/>
          <w:highlight w:val="yellow"/>
          <w:u w:val="single"/>
          <w:lang w:val="en-US" w:eastAsia="zh-CN"/>
        </w:rPr>
        <w:t>除实质性参数外</w:t>
      </w:r>
      <w:r>
        <w:rPr>
          <w:rFonts w:hint="eastAsia" w:ascii="宋体" w:hAnsi="宋体" w:cs="宋体"/>
          <w:b w:val="0"/>
          <w:bCs w:val="0"/>
          <w:color w:val="auto"/>
          <w:sz w:val="21"/>
          <w:szCs w:val="21"/>
          <w:highlight w:val="none"/>
          <w:u w:val="single"/>
          <w:lang w:val="en-US" w:eastAsia="zh-CN"/>
        </w:rPr>
        <w:t xml:space="preserve"> </w:t>
      </w:r>
      <w:r>
        <w:rPr>
          <w:rFonts w:hint="eastAsia" w:ascii="宋体" w:hAnsi="宋体" w:cs="宋体"/>
          <w:b w:val="0"/>
          <w:bCs w:val="0"/>
          <w:color w:val="auto"/>
          <w:sz w:val="21"/>
          <w:szCs w:val="21"/>
          <w:highlight w:val="none"/>
          <w:lang w:val="en-US" w:eastAsia="zh-CN"/>
        </w:rPr>
        <w:t>项。</w:t>
      </w:r>
    </w:p>
    <w:p>
      <w:pPr>
        <w:keepNext w:val="0"/>
        <w:keepLines w:val="0"/>
        <w:pageBreakBefore w:val="0"/>
        <w:kinsoku/>
        <w:overflowPunct/>
        <w:topLinePunct w:val="0"/>
        <w:bidi w:val="0"/>
        <w:spacing w:line="240" w:lineRule="auto"/>
        <w:ind w:firstLine="420" w:firstLineChars="200"/>
        <w:textAlignment w:val="auto"/>
        <w:rPr>
          <w:rFonts w:hint="eastAsia" w:ascii="宋体" w:hAnsi="宋体" w:eastAsia="宋体"/>
          <w:b w:val="0"/>
          <w:bCs w:val="0"/>
          <w:color w:val="auto"/>
          <w:sz w:val="21"/>
          <w:szCs w:val="21"/>
          <w:highlight w:val="none"/>
          <w:lang w:val="en-US" w:eastAsia="zh-CN"/>
        </w:rPr>
      </w:pPr>
      <w:r>
        <w:rPr>
          <w:rFonts w:hint="eastAsia" w:ascii="宋体" w:hAnsi="宋体"/>
          <w:b w:val="0"/>
          <w:bCs w:val="0"/>
          <w:color w:val="auto"/>
          <w:sz w:val="21"/>
          <w:szCs w:val="21"/>
          <w:highlight w:val="none"/>
        </w:rPr>
        <w:t>3.供应商资格</w:t>
      </w:r>
      <w:r>
        <w:rPr>
          <w:rFonts w:hint="eastAsia" w:ascii="宋体" w:hAnsi="宋体"/>
          <w:b w:val="0"/>
          <w:bCs w:val="0"/>
          <w:color w:val="auto"/>
          <w:sz w:val="21"/>
          <w:szCs w:val="21"/>
          <w:highlight w:val="none"/>
          <w:lang w:val="en-US" w:eastAsia="zh-CN"/>
        </w:rPr>
        <w:t>要求</w:t>
      </w:r>
    </w:p>
    <w:p>
      <w:pPr>
        <w:keepNext w:val="0"/>
        <w:keepLines w:val="0"/>
        <w:pageBreakBefore w:val="0"/>
        <w:kinsoku/>
        <w:overflowPunct/>
        <w:topLinePunct w:val="0"/>
        <w:bidi w:val="0"/>
        <w:spacing w:line="240" w:lineRule="auto"/>
        <w:ind w:firstLine="420" w:firstLineChars="200"/>
        <w:textAlignment w:val="auto"/>
        <w:rPr>
          <w:rFonts w:hint="eastAsia" w:ascii="宋体" w:hAnsi="宋体" w:eastAsia="宋体"/>
          <w:b w:val="0"/>
          <w:bCs w:val="0"/>
          <w:color w:val="auto"/>
          <w:sz w:val="21"/>
          <w:szCs w:val="21"/>
          <w:highlight w:val="none"/>
          <w:lang w:eastAsia="zh-CN"/>
        </w:rPr>
      </w:pPr>
      <w:r>
        <w:rPr>
          <w:rFonts w:hint="eastAsia" w:ascii="宋体" w:hAnsi="宋体" w:cs="宋体"/>
          <w:b w:val="0"/>
          <w:bCs w:val="0"/>
          <w:color w:val="auto"/>
          <w:sz w:val="21"/>
          <w:szCs w:val="21"/>
          <w:highlight w:val="none"/>
          <w:lang w:val="en-US" w:eastAsia="zh-CN"/>
        </w:rPr>
        <w:t>3.1</w:t>
      </w:r>
      <w:r>
        <w:rPr>
          <w:rFonts w:hint="eastAsia" w:ascii="宋体" w:hAnsi="宋体" w:cs="宋体"/>
          <w:b w:val="0"/>
          <w:bCs w:val="0"/>
          <w:color w:val="auto"/>
          <w:sz w:val="21"/>
          <w:szCs w:val="21"/>
          <w:highlight w:val="none"/>
        </w:rPr>
        <w:t>供应商资格</w:t>
      </w:r>
      <w:r>
        <w:rPr>
          <w:rFonts w:hint="eastAsia" w:ascii="宋体" w:hAnsi="宋体" w:cs="宋体"/>
          <w:b w:val="0"/>
          <w:bCs w:val="0"/>
          <w:color w:val="auto"/>
          <w:sz w:val="21"/>
          <w:szCs w:val="21"/>
          <w:highlight w:val="none"/>
          <w:lang w:val="en-US" w:eastAsia="zh-CN"/>
        </w:rPr>
        <w:t>要求</w:t>
      </w:r>
      <w:r>
        <w:rPr>
          <w:rFonts w:hint="eastAsia" w:ascii="宋体" w:hAnsi="宋体" w:cs="宋体"/>
          <w:b w:val="0"/>
          <w:bCs w:val="0"/>
          <w:color w:val="auto"/>
          <w:sz w:val="21"/>
          <w:szCs w:val="21"/>
          <w:highlight w:val="none"/>
        </w:rPr>
        <w:t>详见“</w:t>
      </w:r>
      <w:r>
        <w:rPr>
          <w:rFonts w:hint="eastAsia" w:ascii="宋体" w:hAnsi="宋体" w:cs="宋体"/>
          <w:b w:val="0"/>
          <w:bCs w:val="0"/>
          <w:color w:val="auto"/>
          <w:sz w:val="21"/>
          <w:szCs w:val="21"/>
          <w:highlight w:val="none"/>
          <w:lang w:val="en-US" w:eastAsia="zh-CN"/>
        </w:rPr>
        <w:t>磋商</w:t>
      </w:r>
      <w:r>
        <w:rPr>
          <w:rFonts w:hint="eastAsia" w:ascii="宋体" w:hAnsi="宋体" w:cs="宋体"/>
          <w:b w:val="0"/>
          <w:bCs w:val="0"/>
          <w:color w:val="auto"/>
          <w:sz w:val="21"/>
          <w:szCs w:val="21"/>
          <w:highlight w:val="none"/>
        </w:rPr>
        <w:t>须知前附表”</w:t>
      </w:r>
      <w:r>
        <w:rPr>
          <w:rFonts w:hint="eastAsia" w:ascii="宋体" w:hAnsi="宋体" w:cs="宋体"/>
          <w:b w:val="0"/>
          <w:bCs w:val="0"/>
          <w:color w:val="auto"/>
          <w:sz w:val="21"/>
          <w:szCs w:val="21"/>
          <w:highlight w:val="none"/>
          <w:lang w:val="en-US" w:eastAsia="zh-CN"/>
        </w:rPr>
        <w:t>或“磋商公告”</w:t>
      </w:r>
      <w:r>
        <w:rPr>
          <w:rFonts w:hint="eastAsia" w:ascii="宋体" w:hAnsi="宋体" w:cs="宋体"/>
          <w:b w:val="0"/>
          <w:bCs w:val="0"/>
          <w:color w:val="auto"/>
          <w:sz w:val="21"/>
          <w:szCs w:val="21"/>
          <w:highlight w:val="none"/>
          <w:lang w:eastAsia="zh-CN"/>
        </w:rPr>
        <w:t>。</w:t>
      </w:r>
    </w:p>
    <w:p>
      <w:pPr>
        <w:keepNext w:val="0"/>
        <w:keepLines w:val="0"/>
        <w:pageBreakBefore w:val="0"/>
        <w:kinsoku/>
        <w:overflowPunct/>
        <w:topLinePunct w:val="0"/>
        <w:bidi w:val="0"/>
        <w:spacing w:line="24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4.</w:t>
      </w:r>
      <w:r>
        <w:rPr>
          <w:rFonts w:hint="eastAsia" w:ascii="宋体" w:hAnsi="宋体"/>
          <w:b w:val="0"/>
          <w:bCs w:val="0"/>
          <w:color w:val="auto"/>
          <w:sz w:val="21"/>
          <w:szCs w:val="21"/>
          <w:highlight w:val="none"/>
          <w:lang w:val="en-US" w:eastAsia="zh-CN"/>
        </w:rPr>
        <w:t>参与磋商的</w:t>
      </w:r>
      <w:r>
        <w:rPr>
          <w:rFonts w:hint="eastAsia" w:ascii="宋体" w:hAnsi="宋体"/>
          <w:b w:val="0"/>
          <w:bCs w:val="0"/>
          <w:color w:val="auto"/>
          <w:sz w:val="21"/>
          <w:szCs w:val="21"/>
          <w:highlight w:val="none"/>
        </w:rPr>
        <w:t>费用</w:t>
      </w:r>
    </w:p>
    <w:p>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 xml:space="preserve">4.1 </w:t>
      </w:r>
      <w:r>
        <w:rPr>
          <w:rFonts w:hint="eastAsia" w:ascii="宋体" w:hAnsi="宋体" w:cs="宋体"/>
          <w:color w:val="auto"/>
          <w:sz w:val="21"/>
          <w:szCs w:val="21"/>
          <w:highlight w:val="none"/>
        </w:rPr>
        <w:t>供应商应</w:t>
      </w:r>
      <w:r>
        <w:rPr>
          <w:rFonts w:hint="eastAsia" w:ascii="宋体" w:hAnsi="宋体" w:cs="宋体"/>
          <w:color w:val="auto"/>
          <w:sz w:val="21"/>
          <w:szCs w:val="21"/>
          <w:highlight w:val="none"/>
          <w:lang w:val="en-US" w:eastAsia="zh-CN"/>
        </w:rPr>
        <w:t>自行</w:t>
      </w:r>
      <w:r>
        <w:rPr>
          <w:rFonts w:hint="eastAsia" w:ascii="宋体" w:hAnsi="宋体" w:cs="宋体"/>
          <w:color w:val="auto"/>
          <w:sz w:val="21"/>
          <w:szCs w:val="21"/>
          <w:highlight w:val="none"/>
        </w:rPr>
        <w:t>承担参与本次采购活动有关的所有费用，包括但不限于编制和提交响应文件、参加</w:t>
      </w:r>
      <w:r>
        <w:rPr>
          <w:rFonts w:hint="eastAsia" w:ascii="宋体" w:hAnsi="宋体" w:cs="宋体"/>
          <w:color w:val="auto"/>
          <w:sz w:val="21"/>
          <w:szCs w:val="21"/>
          <w:highlight w:val="none"/>
          <w:lang w:val="en-US" w:eastAsia="zh-CN"/>
        </w:rPr>
        <w:t>评审会</w:t>
      </w:r>
      <w:r>
        <w:rPr>
          <w:rFonts w:hint="eastAsia" w:ascii="宋体" w:hAnsi="宋体" w:cs="宋体"/>
          <w:color w:val="auto"/>
          <w:sz w:val="21"/>
          <w:szCs w:val="21"/>
          <w:highlight w:val="none"/>
        </w:rPr>
        <w:t>、签订合同等，</w:t>
      </w:r>
      <w:r>
        <w:rPr>
          <w:rFonts w:hint="eastAsia" w:ascii="宋体" w:hAnsi="宋体"/>
          <w:color w:val="auto"/>
          <w:sz w:val="21"/>
          <w:szCs w:val="21"/>
          <w:highlight w:val="none"/>
        </w:rPr>
        <w:t>不论</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结果如何，采购人在任何情况下无义务和责任承担此类费用。</w:t>
      </w:r>
    </w:p>
    <w:p>
      <w:pPr>
        <w:keepNext w:val="0"/>
        <w:keepLines w:val="0"/>
        <w:pageBreakBefore w:val="0"/>
        <w:kinsoku/>
        <w:overflowPunct/>
        <w:topLinePunct w:val="0"/>
        <w:bidi w:val="0"/>
        <w:spacing w:line="240" w:lineRule="auto"/>
        <w:ind w:firstLine="422" w:firstLineChars="200"/>
        <w:textAlignment w:val="auto"/>
        <w:rPr>
          <w:rFonts w:ascii="宋体" w:hAnsi="宋体"/>
          <w:b/>
          <w:color w:val="auto"/>
          <w:sz w:val="21"/>
          <w:szCs w:val="21"/>
          <w:highlight w:val="none"/>
        </w:rPr>
      </w:pPr>
      <w:r>
        <w:rPr>
          <w:rFonts w:hint="eastAsia" w:ascii="宋体" w:hAnsi="宋体"/>
          <w:b/>
          <w:color w:val="auto"/>
          <w:sz w:val="21"/>
          <w:szCs w:val="21"/>
          <w:highlight w:val="none"/>
        </w:rPr>
        <w:t>二、</w:t>
      </w:r>
      <w:r>
        <w:rPr>
          <w:rFonts w:hint="eastAsia" w:ascii="宋体" w:hAnsi="宋体"/>
          <w:b/>
          <w:color w:val="auto"/>
          <w:sz w:val="21"/>
          <w:szCs w:val="21"/>
          <w:highlight w:val="none"/>
          <w:lang w:eastAsia="zh-CN"/>
        </w:rPr>
        <w:t>磋商响应文件</w:t>
      </w:r>
      <w:r>
        <w:rPr>
          <w:rFonts w:hint="eastAsia" w:ascii="宋体" w:hAnsi="宋体"/>
          <w:b/>
          <w:color w:val="auto"/>
          <w:sz w:val="21"/>
          <w:szCs w:val="21"/>
          <w:highlight w:val="none"/>
        </w:rPr>
        <w:t>的编制</w:t>
      </w:r>
    </w:p>
    <w:p>
      <w:pPr>
        <w:keepNext w:val="0"/>
        <w:keepLines w:val="0"/>
        <w:pageBreakBefore w:val="0"/>
        <w:kinsoku/>
        <w:overflowPunct/>
        <w:topLinePunct w:val="0"/>
        <w:bidi w:val="0"/>
        <w:spacing w:line="240" w:lineRule="auto"/>
        <w:ind w:firstLine="420" w:firstLineChars="20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w:t>
      </w:r>
      <w:r>
        <w:rPr>
          <w:rFonts w:hint="eastAsia" w:ascii="宋体" w:hAnsi="宋体"/>
          <w:color w:val="auto"/>
          <w:sz w:val="21"/>
          <w:szCs w:val="21"/>
          <w:highlight w:val="none"/>
          <w:lang w:eastAsia="zh-CN"/>
        </w:rPr>
        <w:t>响应文件</w:t>
      </w:r>
      <w:r>
        <w:rPr>
          <w:rFonts w:hint="eastAsia" w:ascii="宋体" w:hAnsi="宋体"/>
          <w:color w:val="auto"/>
          <w:sz w:val="21"/>
          <w:szCs w:val="21"/>
          <w:highlight w:val="none"/>
        </w:rPr>
        <w:t>编制</w:t>
      </w:r>
      <w:r>
        <w:rPr>
          <w:rFonts w:hint="eastAsia" w:ascii="宋体" w:hAnsi="宋体"/>
          <w:color w:val="auto"/>
          <w:sz w:val="21"/>
          <w:szCs w:val="21"/>
          <w:highlight w:val="none"/>
          <w:lang w:val="en-US" w:eastAsia="zh-CN"/>
        </w:rPr>
        <w:t>原则</w:t>
      </w:r>
    </w:p>
    <w:p>
      <w:pPr>
        <w:keepNext w:val="0"/>
        <w:keepLines w:val="0"/>
        <w:pageBreakBefore w:val="0"/>
        <w:kinsoku/>
        <w:overflowPunct/>
        <w:topLinePunct w:val="0"/>
        <w:bidi w:val="0"/>
        <w:spacing w:line="240" w:lineRule="auto"/>
        <w:ind w:firstLine="420" w:firstLineChars="200"/>
        <w:textAlignment w:val="auto"/>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5.1</w:t>
      </w:r>
      <w:r>
        <w:rPr>
          <w:rFonts w:hint="eastAsia" w:ascii="宋体" w:hAnsi="宋体" w:eastAsia="宋体" w:cs="Times New Roman"/>
          <w:color w:val="auto"/>
          <w:sz w:val="21"/>
          <w:szCs w:val="21"/>
          <w:highlight w:val="none"/>
        </w:rPr>
        <w:t>供应商必须按照</w:t>
      </w:r>
      <w:r>
        <w:rPr>
          <w:rFonts w:hint="eastAsia" w:ascii="宋体" w:hAnsi="宋体" w:cs="Times New Roman"/>
          <w:color w:val="auto"/>
          <w:sz w:val="21"/>
          <w:szCs w:val="21"/>
          <w:highlight w:val="none"/>
          <w:lang w:val="en-US" w:eastAsia="zh-CN"/>
        </w:rPr>
        <w:t>磋商</w:t>
      </w:r>
      <w:r>
        <w:rPr>
          <w:rFonts w:hint="eastAsia" w:ascii="宋体" w:hAnsi="宋体" w:eastAsia="宋体" w:cs="Times New Roman"/>
          <w:color w:val="auto"/>
          <w:sz w:val="21"/>
          <w:szCs w:val="21"/>
          <w:highlight w:val="none"/>
        </w:rPr>
        <w:t>文件的要求编制响应文件，并对其提交的响应文件的真实性、合法性承担法律责任。响应文件必须对</w:t>
      </w:r>
      <w:r>
        <w:rPr>
          <w:rFonts w:hint="eastAsia" w:ascii="宋体" w:hAnsi="宋体" w:cs="Times New Roman"/>
          <w:color w:val="auto"/>
          <w:sz w:val="21"/>
          <w:szCs w:val="21"/>
          <w:highlight w:val="none"/>
          <w:lang w:val="en-US" w:eastAsia="zh-CN"/>
        </w:rPr>
        <w:t>磋商</w:t>
      </w:r>
      <w:r>
        <w:rPr>
          <w:rFonts w:hint="eastAsia" w:ascii="宋体" w:hAnsi="宋体" w:eastAsia="宋体" w:cs="Times New Roman"/>
          <w:color w:val="auto"/>
          <w:sz w:val="21"/>
          <w:szCs w:val="21"/>
          <w:highlight w:val="none"/>
        </w:rPr>
        <w:t>文件作出实质性响应。</w:t>
      </w:r>
    </w:p>
    <w:p>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6.</w:t>
      </w:r>
      <w:r>
        <w:rPr>
          <w:rFonts w:hint="eastAsia" w:ascii="宋体" w:hAnsi="宋体"/>
          <w:color w:val="auto"/>
          <w:sz w:val="21"/>
          <w:szCs w:val="21"/>
          <w:highlight w:val="none"/>
          <w:lang w:eastAsia="zh-CN"/>
        </w:rPr>
        <w:t>响应文件</w:t>
      </w:r>
      <w:r>
        <w:rPr>
          <w:rFonts w:hint="eastAsia" w:ascii="宋体" w:hAnsi="宋体"/>
          <w:color w:val="auto"/>
          <w:sz w:val="21"/>
          <w:szCs w:val="21"/>
          <w:highlight w:val="none"/>
        </w:rPr>
        <w:t>编制基本要求</w:t>
      </w:r>
    </w:p>
    <w:p>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.1供应商应按</w:t>
      </w:r>
      <w:r>
        <w:rPr>
          <w:rFonts w:hint="eastAsia" w:ascii="宋体" w:hAnsi="宋体"/>
          <w:color w:val="auto"/>
          <w:sz w:val="21"/>
          <w:szCs w:val="21"/>
          <w:highlight w:val="none"/>
          <w:lang w:val="en-US" w:eastAsia="zh-CN"/>
        </w:rPr>
        <w:t>磋商文件</w:t>
      </w:r>
      <w:r>
        <w:rPr>
          <w:rFonts w:hint="eastAsia" w:ascii="宋体" w:hAnsi="宋体"/>
          <w:color w:val="auto"/>
          <w:sz w:val="21"/>
          <w:szCs w:val="21"/>
          <w:highlight w:val="none"/>
        </w:rPr>
        <w:t>要求</w:t>
      </w:r>
      <w:r>
        <w:rPr>
          <w:rFonts w:hint="eastAsia" w:ascii="宋体" w:hAnsi="宋体"/>
          <w:color w:val="auto"/>
          <w:sz w:val="21"/>
          <w:szCs w:val="21"/>
          <w:highlight w:val="none"/>
          <w:lang w:val="en-US" w:eastAsia="zh-CN"/>
        </w:rPr>
        <w:t>对响应文件进行</w:t>
      </w:r>
      <w:r>
        <w:rPr>
          <w:rFonts w:hint="eastAsia" w:ascii="宋体" w:hAnsi="宋体"/>
          <w:color w:val="auto"/>
          <w:sz w:val="21"/>
          <w:szCs w:val="21"/>
          <w:highlight w:val="none"/>
        </w:rPr>
        <w:t>装订和封装。</w:t>
      </w:r>
    </w:p>
    <w:p>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.2供应商提交的</w:t>
      </w:r>
      <w:r>
        <w:rPr>
          <w:rFonts w:hint="eastAsia" w:ascii="宋体" w:hAnsi="宋体"/>
          <w:color w:val="auto"/>
          <w:sz w:val="21"/>
          <w:szCs w:val="21"/>
          <w:highlight w:val="none"/>
          <w:lang w:eastAsia="zh-CN"/>
        </w:rPr>
        <w:t>响应文件</w:t>
      </w:r>
      <w:r>
        <w:rPr>
          <w:rFonts w:hint="eastAsia" w:ascii="宋体" w:hAnsi="宋体"/>
          <w:color w:val="auto"/>
          <w:sz w:val="21"/>
          <w:szCs w:val="21"/>
          <w:highlight w:val="none"/>
        </w:rPr>
        <w:t>以及供应商与采购人就有关</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的所有来往函电均应使用中文。供应商提交的支持文件和印刷的文献可以使用别的语言，但其相应内容必须附有中文翻译文本，在解释</w:t>
      </w:r>
      <w:r>
        <w:rPr>
          <w:rFonts w:hint="eastAsia" w:ascii="宋体" w:hAnsi="宋体"/>
          <w:color w:val="auto"/>
          <w:sz w:val="21"/>
          <w:szCs w:val="21"/>
          <w:highlight w:val="none"/>
          <w:lang w:eastAsia="zh-CN"/>
        </w:rPr>
        <w:t>响应文件</w:t>
      </w:r>
      <w:r>
        <w:rPr>
          <w:rFonts w:hint="eastAsia" w:ascii="宋体" w:hAnsi="宋体"/>
          <w:color w:val="auto"/>
          <w:sz w:val="21"/>
          <w:szCs w:val="21"/>
          <w:highlight w:val="none"/>
        </w:rPr>
        <w:t>时以翻译文本为准。</w:t>
      </w:r>
    </w:p>
    <w:p>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.3供应商应认真阅读、并充分理解本文件的全部内容（包括所有的补充、修改内容），承诺并履行本文件中各项条款规定及要求。</w:t>
      </w:r>
    </w:p>
    <w:p>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6.4</w:t>
      </w:r>
      <w:r>
        <w:rPr>
          <w:rFonts w:hint="eastAsia" w:ascii="宋体" w:hAnsi="宋体"/>
          <w:color w:val="auto"/>
          <w:sz w:val="21"/>
          <w:szCs w:val="21"/>
          <w:highlight w:val="none"/>
          <w:lang w:eastAsia="zh-CN"/>
        </w:rPr>
        <w:t>响应文件</w:t>
      </w:r>
      <w:r>
        <w:rPr>
          <w:rFonts w:hint="eastAsia" w:ascii="宋体" w:hAnsi="宋体"/>
          <w:color w:val="auto"/>
          <w:sz w:val="21"/>
          <w:szCs w:val="21"/>
          <w:highlight w:val="none"/>
        </w:rPr>
        <w:t>必须按本文件的全部内容，包括所有的补充通知及附件进行编制。</w:t>
      </w:r>
    </w:p>
    <w:p>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6.5如因供应商只填写和提供了本文件要求的部分内容和附件，而给评审造成困难，其可能导致的结果和责任由供应商自行承担。</w:t>
      </w:r>
    </w:p>
    <w:p>
      <w:pPr>
        <w:keepNext w:val="0"/>
        <w:keepLines w:val="0"/>
        <w:pageBreakBefore w:val="0"/>
        <w:kinsoku/>
        <w:overflowPunct/>
        <w:topLinePunct w:val="0"/>
        <w:bidi w:val="0"/>
        <w:spacing w:line="240" w:lineRule="auto"/>
        <w:ind w:firstLine="420" w:firstLineChars="200"/>
        <w:textAlignment w:val="auto"/>
        <w:rPr>
          <w:rFonts w:hint="eastAsia" w:ascii="宋体" w:hAnsi="宋体"/>
          <w:color w:val="auto"/>
          <w:sz w:val="21"/>
          <w:szCs w:val="21"/>
          <w:highlight w:val="none"/>
        </w:rPr>
      </w:pPr>
      <w:r>
        <w:rPr>
          <w:rFonts w:hint="eastAsia" w:ascii="宋体" w:hAnsi="宋体"/>
          <w:color w:val="auto"/>
          <w:sz w:val="21"/>
          <w:szCs w:val="21"/>
          <w:highlight w:val="none"/>
        </w:rPr>
        <w:t>6.6</w:t>
      </w:r>
      <w:r>
        <w:rPr>
          <w:rFonts w:hint="eastAsia" w:ascii="宋体" w:hAnsi="宋体"/>
          <w:b/>
          <w:bCs/>
          <w:color w:val="auto"/>
          <w:sz w:val="21"/>
          <w:szCs w:val="21"/>
          <w:highlight w:val="none"/>
          <w:lang w:eastAsia="zh-CN"/>
        </w:rPr>
        <w:t>磋商响应文件</w:t>
      </w:r>
      <w:r>
        <w:rPr>
          <w:rFonts w:hint="eastAsia" w:ascii="宋体" w:hAnsi="宋体"/>
          <w:b/>
          <w:bCs/>
          <w:color w:val="auto"/>
          <w:sz w:val="21"/>
          <w:szCs w:val="21"/>
          <w:highlight w:val="none"/>
        </w:rPr>
        <w:t>的组成</w:t>
      </w:r>
      <w:r>
        <w:rPr>
          <w:rFonts w:hint="eastAsia" w:ascii="宋体" w:hAnsi="宋体"/>
          <w:color w:val="auto"/>
          <w:sz w:val="21"/>
          <w:szCs w:val="21"/>
          <w:highlight w:val="none"/>
        </w:rPr>
        <w:t>：</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应分为价格文件和商务技术文件两个部分组成</w:t>
      </w:r>
      <w:r>
        <w:rPr>
          <w:rFonts w:hint="eastAsia" w:ascii="宋体" w:hAnsi="宋体"/>
          <w:color w:val="auto"/>
          <w:sz w:val="21"/>
          <w:szCs w:val="21"/>
          <w:highlight w:val="none"/>
          <w:lang w:eastAsia="zh-CN"/>
        </w:rPr>
        <w:t>，</w:t>
      </w:r>
      <w:r>
        <w:rPr>
          <w:rFonts w:hint="eastAsia" w:ascii="宋体" w:hAnsi="宋体" w:cs="宋体"/>
          <w:color w:val="auto"/>
          <w:sz w:val="21"/>
          <w:szCs w:val="21"/>
          <w:highlight w:val="none"/>
        </w:rPr>
        <w:t>详见“</w:t>
      </w:r>
      <w:r>
        <w:rPr>
          <w:rFonts w:hint="eastAsia" w:ascii="宋体" w:hAnsi="宋体" w:cs="宋体"/>
          <w:color w:val="auto"/>
          <w:sz w:val="21"/>
          <w:szCs w:val="21"/>
          <w:highlight w:val="none"/>
          <w:lang w:val="en-US" w:eastAsia="zh-CN"/>
        </w:rPr>
        <w:t>磋商</w:t>
      </w:r>
      <w:r>
        <w:rPr>
          <w:rFonts w:hint="eastAsia" w:ascii="宋体" w:hAnsi="宋体" w:cs="宋体"/>
          <w:color w:val="auto"/>
          <w:sz w:val="21"/>
          <w:szCs w:val="21"/>
          <w:highlight w:val="none"/>
        </w:rPr>
        <w:t>须知前附表”</w:t>
      </w:r>
      <w:r>
        <w:rPr>
          <w:rFonts w:hint="eastAsia" w:ascii="宋体" w:hAnsi="宋体"/>
          <w:color w:val="auto"/>
          <w:sz w:val="21"/>
          <w:szCs w:val="21"/>
          <w:highlight w:val="none"/>
        </w:rPr>
        <w:t>。</w:t>
      </w:r>
    </w:p>
    <w:p>
      <w:pPr>
        <w:keepNext w:val="0"/>
        <w:keepLines w:val="0"/>
        <w:pageBreakBefore w:val="0"/>
        <w:kinsoku/>
        <w:overflowPunct/>
        <w:topLinePunct w:val="0"/>
        <w:bidi w:val="0"/>
        <w:spacing w:line="240" w:lineRule="auto"/>
        <w:ind w:firstLine="420" w:firstLineChars="200"/>
        <w:textAlignment w:val="auto"/>
        <w:rPr>
          <w:rFonts w:hint="default" w:ascii="宋体" w:hAnsi="宋体"/>
          <w:color w:val="auto"/>
          <w:sz w:val="21"/>
          <w:szCs w:val="21"/>
          <w:highlight w:val="yellow"/>
          <w:lang w:val="en-US" w:eastAsia="zh-CN"/>
        </w:rPr>
      </w:pPr>
      <w:r>
        <w:rPr>
          <w:rFonts w:hint="eastAsia" w:ascii="宋体" w:hAnsi="宋体"/>
          <w:color w:val="auto"/>
          <w:sz w:val="21"/>
          <w:szCs w:val="21"/>
          <w:highlight w:val="yellow"/>
          <w:lang w:val="en-US" w:eastAsia="zh-CN"/>
        </w:rPr>
        <w:t>6.7 响应文件的文字、图片必须清晰准确，有利于评标委会进行精准判断评标，对于响应文件字迹模糊不清导致评标委员会无法进行评标的，可要求投标人做出说明及在规定期限内补充有效材料，否则按无效响应文件处理。</w:t>
      </w:r>
    </w:p>
    <w:p>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7.计量单位</w:t>
      </w:r>
    </w:p>
    <w:p>
      <w:pPr>
        <w:keepNext w:val="0"/>
        <w:keepLines w:val="0"/>
        <w:pageBreakBefore w:val="0"/>
        <w:kinsoku/>
        <w:overflowPunct/>
        <w:topLinePunct w:val="0"/>
        <w:bidi w:val="0"/>
        <w:spacing w:line="240" w:lineRule="auto"/>
        <w:ind w:firstLine="420" w:firstLineChars="200"/>
        <w:textAlignment w:val="auto"/>
        <w:rPr>
          <w:rFonts w:hint="eastAsia" w:ascii="宋体" w:hAnsi="宋体"/>
          <w:color w:val="auto"/>
          <w:sz w:val="21"/>
          <w:szCs w:val="21"/>
          <w:highlight w:val="none"/>
        </w:rPr>
      </w:pPr>
      <w:r>
        <w:rPr>
          <w:rFonts w:hint="eastAsia" w:ascii="宋体" w:hAnsi="宋体"/>
          <w:color w:val="auto"/>
          <w:sz w:val="21"/>
          <w:szCs w:val="21"/>
          <w:highlight w:val="none"/>
        </w:rPr>
        <w:t>7.1</w:t>
      </w:r>
      <w:r>
        <w:rPr>
          <w:rFonts w:hint="eastAsia" w:ascii="宋体" w:hAnsi="宋体"/>
          <w:color w:val="auto"/>
          <w:sz w:val="21"/>
          <w:szCs w:val="21"/>
          <w:highlight w:val="none"/>
          <w:lang w:val="en-US" w:eastAsia="zh-CN"/>
        </w:rPr>
        <w:t>磋商</w:t>
      </w:r>
      <w:r>
        <w:rPr>
          <w:rFonts w:hint="eastAsia" w:ascii="宋体" w:hAnsi="宋体" w:cs="宋体"/>
          <w:color w:val="auto"/>
          <w:sz w:val="21"/>
          <w:szCs w:val="21"/>
          <w:highlight w:val="none"/>
        </w:rPr>
        <w:t>文件已有明确规定的，使用</w:t>
      </w:r>
      <w:r>
        <w:rPr>
          <w:rFonts w:hint="eastAsia" w:ascii="宋体" w:hAnsi="宋体" w:cs="宋体"/>
          <w:color w:val="auto"/>
          <w:sz w:val="21"/>
          <w:szCs w:val="21"/>
          <w:highlight w:val="none"/>
          <w:lang w:val="en-US" w:eastAsia="zh-CN"/>
        </w:rPr>
        <w:t>磋商</w:t>
      </w:r>
      <w:r>
        <w:rPr>
          <w:rFonts w:hint="eastAsia" w:ascii="宋体" w:hAnsi="宋体" w:cs="宋体"/>
          <w:color w:val="auto"/>
          <w:sz w:val="21"/>
          <w:szCs w:val="21"/>
          <w:highlight w:val="none"/>
        </w:rPr>
        <w:t>文件规定的计量单位；</w:t>
      </w:r>
      <w:r>
        <w:rPr>
          <w:rFonts w:hint="eastAsia" w:ascii="宋体" w:hAnsi="宋体" w:cs="宋体"/>
          <w:color w:val="auto"/>
          <w:sz w:val="21"/>
          <w:szCs w:val="21"/>
          <w:highlight w:val="none"/>
          <w:lang w:val="en-US" w:eastAsia="zh-CN"/>
        </w:rPr>
        <w:t>磋商</w:t>
      </w:r>
      <w:r>
        <w:rPr>
          <w:rFonts w:hint="eastAsia" w:ascii="宋体" w:hAnsi="宋体" w:cs="宋体"/>
          <w:color w:val="auto"/>
          <w:sz w:val="21"/>
          <w:szCs w:val="21"/>
          <w:highlight w:val="none"/>
        </w:rPr>
        <w:t>文件没有规定的</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应采用中华人民共和国法定计量单位</w:t>
      </w:r>
      <w:r>
        <w:rPr>
          <w:rFonts w:hint="eastAsia" w:ascii="宋体" w:hAnsi="宋体"/>
          <w:color w:val="auto"/>
          <w:sz w:val="21"/>
          <w:szCs w:val="21"/>
          <w:highlight w:val="none"/>
          <w:lang w:eastAsia="zh-CN"/>
        </w:rPr>
        <w:t>，</w:t>
      </w:r>
      <w:r>
        <w:rPr>
          <w:rFonts w:hint="eastAsia" w:ascii="宋体" w:hAnsi="宋体" w:cs="宋体"/>
          <w:color w:val="auto"/>
          <w:sz w:val="21"/>
          <w:szCs w:val="21"/>
          <w:highlight w:val="none"/>
        </w:rPr>
        <w:t>货币种类为人民币</w:t>
      </w:r>
      <w:r>
        <w:rPr>
          <w:rFonts w:hint="eastAsia" w:ascii="宋体" w:hAnsi="宋体"/>
          <w:color w:val="auto"/>
          <w:sz w:val="21"/>
          <w:szCs w:val="21"/>
          <w:highlight w:val="none"/>
        </w:rPr>
        <w:t>。</w:t>
      </w:r>
    </w:p>
    <w:p>
      <w:pPr>
        <w:keepNext w:val="0"/>
        <w:keepLines w:val="0"/>
        <w:pageBreakBefore w:val="0"/>
        <w:kinsoku/>
        <w:overflowPunct/>
        <w:topLinePunct w:val="0"/>
        <w:bidi w:val="0"/>
        <w:spacing w:line="240" w:lineRule="auto"/>
        <w:ind w:firstLine="420" w:firstLineChars="200"/>
        <w:textAlignment w:val="auto"/>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8.</w:t>
      </w:r>
      <w:r>
        <w:rPr>
          <w:rFonts w:hint="eastAsia" w:ascii="宋体" w:hAnsi="宋体" w:cs="Times New Roman"/>
          <w:color w:val="auto"/>
          <w:sz w:val="21"/>
          <w:szCs w:val="21"/>
          <w:highlight w:val="none"/>
          <w:lang w:val="en-US" w:eastAsia="zh-CN"/>
        </w:rPr>
        <w:t>磋商</w:t>
      </w:r>
      <w:r>
        <w:rPr>
          <w:rFonts w:hint="eastAsia" w:ascii="宋体" w:hAnsi="宋体" w:eastAsia="宋体" w:cs="Times New Roman"/>
          <w:color w:val="auto"/>
          <w:sz w:val="21"/>
          <w:szCs w:val="21"/>
          <w:highlight w:val="none"/>
          <w:lang w:val="en-US" w:eastAsia="zh-CN"/>
        </w:rPr>
        <w:t>有效期</w:t>
      </w:r>
    </w:p>
    <w:p>
      <w:pPr>
        <w:keepNext w:val="0"/>
        <w:keepLines w:val="0"/>
        <w:pageBreakBefore w:val="0"/>
        <w:kinsoku/>
        <w:overflowPunct/>
        <w:topLinePunct w:val="0"/>
        <w:bidi w:val="0"/>
        <w:spacing w:line="240" w:lineRule="auto"/>
        <w:ind w:firstLine="420" w:firstLineChars="200"/>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8</w:t>
      </w:r>
      <w:r>
        <w:rPr>
          <w:rFonts w:hint="eastAsia" w:ascii="宋体" w:hAnsi="宋体" w:eastAsia="宋体" w:cs="Times New Roman"/>
          <w:color w:val="auto"/>
          <w:sz w:val="21"/>
          <w:szCs w:val="21"/>
          <w:highlight w:val="none"/>
        </w:rPr>
        <w:t>.1</w:t>
      </w:r>
      <w:r>
        <w:rPr>
          <w:rFonts w:hint="eastAsia" w:ascii="宋体" w:hAnsi="宋体" w:cs="Times New Roman"/>
          <w:color w:val="auto"/>
          <w:sz w:val="21"/>
          <w:szCs w:val="21"/>
          <w:highlight w:val="none"/>
          <w:lang w:val="en-US" w:eastAsia="zh-CN"/>
        </w:rPr>
        <w:t>磋商</w:t>
      </w:r>
      <w:r>
        <w:rPr>
          <w:rFonts w:hint="eastAsia" w:ascii="宋体" w:hAnsi="宋体" w:eastAsia="宋体" w:cs="Times New Roman"/>
          <w:color w:val="auto"/>
          <w:sz w:val="21"/>
          <w:szCs w:val="21"/>
          <w:highlight w:val="none"/>
        </w:rPr>
        <w:t>有效期是指为保证采购人有足够的时间在提交响应文件后完成评审、确定成交供应商、合同签订等工作而要求供应商提交的响应文件在一定时间内保持有效的期限。</w:t>
      </w:r>
    </w:p>
    <w:p>
      <w:pPr>
        <w:keepNext w:val="0"/>
        <w:keepLines w:val="0"/>
        <w:pageBreakBefore w:val="0"/>
        <w:kinsoku/>
        <w:overflowPunct/>
        <w:topLinePunct w:val="0"/>
        <w:bidi w:val="0"/>
        <w:spacing w:line="240" w:lineRule="auto"/>
        <w:ind w:firstLine="420" w:firstLineChars="200"/>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8</w:t>
      </w:r>
      <w:r>
        <w:rPr>
          <w:rFonts w:hint="eastAsia" w:ascii="宋体" w:hAnsi="宋体" w:eastAsia="宋体" w:cs="Times New Roman"/>
          <w:color w:val="auto"/>
          <w:sz w:val="21"/>
          <w:szCs w:val="21"/>
          <w:highlight w:val="none"/>
        </w:rPr>
        <w:t>.2</w:t>
      </w:r>
      <w:r>
        <w:rPr>
          <w:rFonts w:hint="eastAsia" w:ascii="宋体" w:hAnsi="宋体" w:cs="Times New Roman"/>
          <w:color w:val="auto"/>
          <w:sz w:val="21"/>
          <w:szCs w:val="21"/>
          <w:highlight w:val="none"/>
          <w:lang w:val="en-US" w:eastAsia="zh-CN"/>
        </w:rPr>
        <w:t>磋商</w:t>
      </w:r>
      <w:r>
        <w:rPr>
          <w:rFonts w:hint="eastAsia" w:ascii="宋体" w:hAnsi="宋体" w:eastAsia="宋体" w:cs="Times New Roman"/>
          <w:color w:val="auto"/>
          <w:sz w:val="21"/>
          <w:szCs w:val="21"/>
          <w:highlight w:val="none"/>
        </w:rPr>
        <w:t>有效期应由供应商按“</w:t>
      </w:r>
      <w:r>
        <w:rPr>
          <w:rFonts w:hint="eastAsia" w:ascii="宋体" w:hAnsi="宋体" w:cs="Times New Roman"/>
          <w:color w:val="auto"/>
          <w:sz w:val="21"/>
          <w:szCs w:val="21"/>
          <w:highlight w:val="none"/>
          <w:lang w:val="en-US" w:eastAsia="zh-CN"/>
        </w:rPr>
        <w:t>磋商</w:t>
      </w:r>
      <w:r>
        <w:rPr>
          <w:rFonts w:hint="eastAsia" w:ascii="宋体" w:hAnsi="宋体" w:eastAsia="宋体" w:cs="Times New Roman"/>
          <w:color w:val="auto"/>
          <w:sz w:val="21"/>
          <w:szCs w:val="21"/>
          <w:highlight w:val="none"/>
        </w:rPr>
        <w:t>须知前附表”规定的期限作出响应。</w:t>
      </w:r>
    </w:p>
    <w:p>
      <w:pPr>
        <w:keepNext w:val="0"/>
        <w:keepLines w:val="0"/>
        <w:pageBreakBefore w:val="0"/>
        <w:kinsoku/>
        <w:overflowPunct/>
        <w:topLinePunct w:val="0"/>
        <w:bidi w:val="0"/>
        <w:spacing w:line="240" w:lineRule="auto"/>
        <w:ind w:firstLine="420" w:firstLineChars="200"/>
        <w:textAlignment w:val="auto"/>
        <w:rPr>
          <w:rFonts w:hint="default" w:hAnsi="宋体"/>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8</w:t>
      </w:r>
      <w:r>
        <w:rPr>
          <w:rFonts w:hint="eastAsia" w:ascii="宋体" w:hAnsi="宋体" w:eastAsia="宋体" w:cs="Times New Roman"/>
          <w:color w:val="auto"/>
          <w:sz w:val="21"/>
          <w:szCs w:val="21"/>
          <w:highlight w:val="none"/>
        </w:rPr>
        <w:t>.3供应商的响应文件在</w:t>
      </w:r>
      <w:r>
        <w:rPr>
          <w:rFonts w:hint="eastAsia" w:ascii="宋体" w:hAnsi="宋体" w:cs="Times New Roman"/>
          <w:color w:val="auto"/>
          <w:sz w:val="21"/>
          <w:szCs w:val="21"/>
          <w:highlight w:val="none"/>
          <w:lang w:val="en-US" w:eastAsia="zh-CN"/>
        </w:rPr>
        <w:t>磋商</w:t>
      </w:r>
      <w:r>
        <w:rPr>
          <w:rFonts w:hint="eastAsia" w:ascii="宋体" w:hAnsi="宋体" w:eastAsia="宋体" w:cs="Times New Roman"/>
          <w:color w:val="auto"/>
          <w:sz w:val="21"/>
          <w:szCs w:val="21"/>
          <w:highlight w:val="none"/>
        </w:rPr>
        <w:t>有效期内均保持有效。</w:t>
      </w:r>
    </w:p>
    <w:p>
      <w:pPr>
        <w:keepNext w:val="0"/>
        <w:keepLines w:val="0"/>
        <w:pageBreakBefore w:val="0"/>
        <w:kinsoku/>
        <w:overflowPunct/>
        <w:topLinePunct w:val="0"/>
        <w:bidi w:val="0"/>
        <w:spacing w:line="240" w:lineRule="auto"/>
        <w:ind w:firstLine="422" w:firstLineChars="200"/>
        <w:textAlignment w:val="auto"/>
        <w:rPr>
          <w:rFonts w:ascii="宋体" w:hAnsi="宋体"/>
          <w:b/>
          <w:color w:val="auto"/>
          <w:sz w:val="21"/>
          <w:szCs w:val="21"/>
          <w:highlight w:val="none"/>
        </w:rPr>
      </w:pPr>
      <w:r>
        <w:rPr>
          <w:rFonts w:hint="eastAsia" w:ascii="宋体" w:hAnsi="宋体"/>
          <w:b/>
          <w:color w:val="auto"/>
          <w:sz w:val="21"/>
          <w:szCs w:val="21"/>
          <w:highlight w:val="none"/>
        </w:rPr>
        <w:t>三、</w:t>
      </w:r>
      <w:r>
        <w:rPr>
          <w:rFonts w:hint="eastAsia" w:ascii="宋体" w:hAnsi="宋体"/>
          <w:b/>
          <w:color w:val="auto"/>
          <w:sz w:val="21"/>
          <w:szCs w:val="21"/>
          <w:highlight w:val="none"/>
          <w:lang w:eastAsia="zh-CN"/>
        </w:rPr>
        <w:t>磋商</w:t>
      </w:r>
      <w:r>
        <w:rPr>
          <w:rFonts w:hint="eastAsia" w:ascii="宋体" w:hAnsi="宋体"/>
          <w:b/>
          <w:color w:val="auto"/>
          <w:sz w:val="21"/>
          <w:szCs w:val="21"/>
          <w:highlight w:val="none"/>
        </w:rPr>
        <w:t>报价要求</w:t>
      </w:r>
    </w:p>
    <w:p>
      <w:pPr>
        <w:keepNext w:val="0"/>
        <w:keepLines w:val="0"/>
        <w:pageBreakBefore w:val="0"/>
        <w:kinsoku/>
        <w:overflowPunct/>
        <w:topLinePunct w:val="0"/>
        <w:bidi w:val="0"/>
        <w:spacing w:line="240" w:lineRule="auto"/>
        <w:ind w:firstLine="420" w:firstLineChars="200"/>
        <w:textAlignment w:val="auto"/>
        <w:rPr>
          <w:rFonts w:hint="eastAsia" w:ascii="宋体" w:hAnsi="宋体"/>
          <w:b/>
          <w:color w:val="auto"/>
          <w:sz w:val="21"/>
          <w:szCs w:val="21"/>
          <w:highlight w:val="none"/>
        </w:rPr>
      </w:pPr>
      <w:r>
        <w:rPr>
          <w:rFonts w:hint="eastAsia" w:ascii="宋体" w:hAnsi="宋体"/>
          <w:color w:val="auto"/>
          <w:sz w:val="21"/>
          <w:szCs w:val="21"/>
          <w:highlight w:val="none"/>
          <w:lang w:val="en-US" w:eastAsia="zh-CN"/>
        </w:rPr>
        <w:t>9</w:t>
      </w:r>
      <w:r>
        <w:rPr>
          <w:rFonts w:hint="eastAsia" w:ascii="宋体" w:hAnsi="宋体"/>
          <w:color w:val="auto"/>
          <w:sz w:val="21"/>
          <w:szCs w:val="21"/>
          <w:highlight w:val="none"/>
        </w:rPr>
        <w:t>.1</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报价：</w:t>
      </w:r>
      <w:r>
        <w:rPr>
          <w:rFonts w:hint="eastAsia" w:ascii="宋体" w:hAnsi="宋体"/>
          <w:b/>
          <w:bCs/>
          <w:color w:val="auto"/>
          <w:sz w:val="21"/>
          <w:szCs w:val="21"/>
          <w:highlight w:val="none"/>
          <w:lang w:val="en-US" w:eastAsia="zh-CN"/>
        </w:rPr>
        <w:t>供应商所递交的</w:t>
      </w:r>
      <w:r>
        <w:rPr>
          <w:rFonts w:hint="eastAsia" w:ascii="宋体" w:hAnsi="宋体"/>
          <w:b/>
          <w:color w:val="auto"/>
          <w:sz w:val="21"/>
          <w:szCs w:val="21"/>
          <w:highlight w:val="none"/>
          <w:lang w:val="en-US" w:eastAsia="zh-CN"/>
        </w:rPr>
        <w:t>响应文件必须</w:t>
      </w:r>
      <w:r>
        <w:rPr>
          <w:rFonts w:hint="eastAsia" w:ascii="宋体" w:hAnsi="宋体"/>
          <w:b/>
          <w:color w:val="auto"/>
          <w:sz w:val="21"/>
          <w:szCs w:val="21"/>
          <w:highlight w:val="none"/>
        </w:rPr>
        <w:t>就《</w:t>
      </w:r>
      <w:r>
        <w:rPr>
          <w:rFonts w:hint="eastAsia" w:ascii="宋体" w:hAnsi="宋体"/>
          <w:b/>
          <w:color w:val="auto"/>
          <w:sz w:val="21"/>
          <w:szCs w:val="21"/>
          <w:highlight w:val="none"/>
          <w:lang w:eastAsia="zh-CN"/>
        </w:rPr>
        <w:t>项目需求</w:t>
      </w:r>
      <w:r>
        <w:rPr>
          <w:rFonts w:hint="eastAsia" w:ascii="宋体" w:hAnsi="宋体"/>
          <w:b/>
          <w:color w:val="auto"/>
          <w:sz w:val="21"/>
          <w:szCs w:val="21"/>
          <w:highlight w:val="none"/>
          <w:lang w:val="en-US" w:eastAsia="zh-CN"/>
        </w:rPr>
        <w:t>参数</w:t>
      </w:r>
      <w:r>
        <w:rPr>
          <w:rFonts w:hint="eastAsia" w:ascii="宋体" w:hAnsi="宋体"/>
          <w:b/>
          <w:color w:val="auto"/>
          <w:sz w:val="21"/>
          <w:szCs w:val="21"/>
          <w:highlight w:val="none"/>
        </w:rPr>
        <w:t>》中</w:t>
      </w:r>
      <w:r>
        <w:rPr>
          <w:rFonts w:hint="eastAsia" w:ascii="宋体" w:hAnsi="宋体" w:eastAsia="宋体" w:cs="Times New Roman"/>
          <w:b/>
          <w:color w:val="auto"/>
          <w:sz w:val="21"/>
          <w:szCs w:val="21"/>
          <w:highlight w:val="none"/>
        </w:rPr>
        <w:t>的</w:t>
      </w:r>
      <w:r>
        <w:rPr>
          <w:rFonts w:hint="eastAsia" w:ascii="宋体" w:hAnsi="宋体" w:cs="Times New Roman"/>
          <w:b/>
          <w:color w:val="auto"/>
          <w:sz w:val="21"/>
          <w:szCs w:val="21"/>
          <w:highlight w:val="none"/>
          <w:lang w:val="en-US" w:eastAsia="zh-CN"/>
        </w:rPr>
        <w:t>报价</w:t>
      </w:r>
      <w:r>
        <w:rPr>
          <w:rFonts w:hint="eastAsia" w:ascii="宋体" w:hAnsi="宋体" w:eastAsia="宋体" w:cs="Times New Roman"/>
          <w:b/>
          <w:color w:val="auto"/>
          <w:sz w:val="21"/>
          <w:szCs w:val="21"/>
          <w:highlight w:val="none"/>
          <w:lang w:val="en-US" w:eastAsia="zh-CN"/>
        </w:rPr>
        <w:t>内容作唯一</w:t>
      </w:r>
      <w:r>
        <w:rPr>
          <w:rFonts w:hint="eastAsia" w:ascii="宋体" w:hAnsi="宋体" w:cs="Times New Roman"/>
          <w:b/>
          <w:color w:val="auto"/>
          <w:sz w:val="21"/>
          <w:szCs w:val="21"/>
          <w:highlight w:val="none"/>
          <w:lang w:val="en-US" w:eastAsia="zh-CN"/>
        </w:rPr>
        <w:t>总</w:t>
      </w:r>
      <w:r>
        <w:rPr>
          <w:rFonts w:hint="eastAsia" w:ascii="宋体" w:hAnsi="宋体" w:eastAsia="宋体" w:cs="Times New Roman"/>
          <w:b/>
          <w:color w:val="auto"/>
          <w:sz w:val="21"/>
          <w:szCs w:val="21"/>
          <w:highlight w:val="none"/>
          <w:lang w:val="en-US" w:eastAsia="zh-CN"/>
        </w:rPr>
        <w:t>报价，并对</w:t>
      </w:r>
      <w:r>
        <w:rPr>
          <w:rFonts w:hint="eastAsia" w:ascii="宋体" w:hAnsi="宋体" w:eastAsia="宋体" w:cs="Times New Roman"/>
          <w:b/>
          <w:color w:val="auto"/>
          <w:sz w:val="21"/>
          <w:szCs w:val="21"/>
          <w:highlight w:val="none"/>
        </w:rPr>
        <w:t>全部内容作</w:t>
      </w:r>
      <w:r>
        <w:rPr>
          <w:rFonts w:hint="eastAsia" w:ascii="宋体" w:hAnsi="宋体" w:cs="Times New Roman"/>
          <w:b/>
          <w:color w:val="auto"/>
          <w:sz w:val="21"/>
          <w:szCs w:val="21"/>
          <w:highlight w:val="none"/>
          <w:lang w:val="en-US" w:eastAsia="zh-CN"/>
        </w:rPr>
        <w:t>详细</w:t>
      </w:r>
      <w:r>
        <w:rPr>
          <w:rFonts w:hint="eastAsia" w:ascii="宋体" w:hAnsi="宋体" w:eastAsia="宋体" w:cs="Times New Roman"/>
          <w:b/>
          <w:color w:val="auto"/>
          <w:sz w:val="21"/>
          <w:szCs w:val="21"/>
          <w:highlight w:val="none"/>
        </w:rPr>
        <w:t>报价</w:t>
      </w:r>
      <w:r>
        <w:rPr>
          <w:rFonts w:hint="eastAsia" w:ascii="宋体" w:hAnsi="宋体" w:cs="Times New Roman"/>
          <w:b/>
          <w:color w:val="auto"/>
          <w:sz w:val="21"/>
          <w:szCs w:val="21"/>
          <w:highlight w:val="none"/>
          <w:lang w:val="en-US" w:eastAsia="zh-CN"/>
        </w:rPr>
        <w:t>清单</w:t>
      </w:r>
      <w:r>
        <w:rPr>
          <w:rFonts w:hint="eastAsia" w:ascii="宋体" w:hAnsi="宋体"/>
          <w:b/>
          <w:color w:val="auto"/>
          <w:sz w:val="21"/>
          <w:szCs w:val="21"/>
          <w:highlight w:val="none"/>
        </w:rPr>
        <w:t>。</w:t>
      </w:r>
    </w:p>
    <w:p>
      <w:pPr>
        <w:keepNext w:val="0"/>
        <w:keepLines w:val="0"/>
        <w:pageBreakBefore w:val="0"/>
        <w:kinsoku/>
        <w:overflowPunct/>
        <w:topLinePunct w:val="0"/>
        <w:bidi w:val="0"/>
        <w:spacing w:line="240" w:lineRule="auto"/>
        <w:ind w:firstLine="420" w:firstLineChars="200"/>
        <w:textAlignment w:val="auto"/>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9.2</w:t>
      </w:r>
      <w:r>
        <w:rPr>
          <w:rFonts w:hint="eastAsia" w:ascii="宋体" w:hAnsi="宋体" w:eastAsia="宋体" w:cs="Times New Roman"/>
          <w:color w:val="auto"/>
          <w:sz w:val="21"/>
          <w:szCs w:val="21"/>
          <w:highlight w:val="none"/>
        </w:rPr>
        <w:t>响应报价应按“第</w:t>
      </w:r>
      <w:r>
        <w:rPr>
          <w:rFonts w:hint="eastAsia" w:ascii="宋体" w:hAnsi="宋体" w:eastAsia="宋体" w:cs="Times New Roman"/>
          <w:color w:val="auto"/>
          <w:sz w:val="21"/>
          <w:szCs w:val="21"/>
          <w:highlight w:val="none"/>
          <w:lang w:val="en-US" w:eastAsia="zh-CN"/>
        </w:rPr>
        <w:t>四</w:t>
      </w:r>
      <w:r>
        <w:rPr>
          <w:rFonts w:hint="eastAsia" w:ascii="宋体" w:hAnsi="宋体" w:eastAsia="宋体" w:cs="Times New Roman"/>
          <w:color w:val="auto"/>
          <w:sz w:val="21"/>
          <w:szCs w:val="21"/>
          <w:highlight w:val="none"/>
        </w:rPr>
        <w:t xml:space="preserve">章 </w:t>
      </w:r>
      <w:r>
        <w:rPr>
          <w:rFonts w:hint="eastAsia" w:ascii="宋体" w:hAnsi="宋体" w:cs="Times New Roman"/>
          <w:color w:val="auto"/>
          <w:sz w:val="21"/>
          <w:szCs w:val="21"/>
          <w:highlight w:val="none"/>
          <w:lang w:val="en-US" w:eastAsia="zh-CN"/>
        </w:rPr>
        <w:t>磋商</w:t>
      </w:r>
      <w:r>
        <w:rPr>
          <w:rFonts w:hint="eastAsia" w:ascii="宋体" w:hAnsi="宋体" w:eastAsia="宋体" w:cs="Times New Roman"/>
          <w:color w:val="auto"/>
          <w:sz w:val="21"/>
          <w:szCs w:val="21"/>
          <w:highlight w:val="none"/>
        </w:rPr>
        <w:t>响应文件格式”中“</w:t>
      </w:r>
      <w:r>
        <w:rPr>
          <w:rFonts w:hint="eastAsia" w:ascii="宋体" w:hAnsi="宋体" w:cs="Times New Roman"/>
          <w:color w:val="auto"/>
          <w:sz w:val="21"/>
          <w:szCs w:val="21"/>
          <w:highlight w:val="none"/>
          <w:lang w:val="en-US" w:eastAsia="zh-CN"/>
        </w:rPr>
        <w:t>磋商</w:t>
      </w:r>
      <w:r>
        <w:rPr>
          <w:rFonts w:hint="eastAsia" w:ascii="宋体" w:hAnsi="宋体" w:eastAsia="宋体" w:cs="Times New Roman"/>
          <w:color w:val="auto"/>
          <w:sz w:val="21"/>
          <w:szCs w:val="21"/>
          <w:highlight w:val="none"/>
        </w:rPr>
        <w:t>报价表”格式填写</w:t>
      </w:r>
      <w:r>
        <w:rPr>
          <w:rFonts w:hint="eastAsia" w:ascii="宋体" w:hAnsi="宋体" w:eastAsia="宋体" w:cs="Times New Roman"/>
          <w:color w:val="auto"/>
          <w:sz w:val="21"/>
          <w:szCs w:val="21"/>
          <w:highlight w:val="none"/>
          <w:lang w:eastAsia="zh-CN"/>
        </w:rPr>
        <w:t>。</w:t>
      </w:r>
    </w:p>
    <w:p>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9</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rPr>
        <w:t>对于本文件中未列明，而供应商认为必需的费用也需列入总报价。在合同实施时，采购人将不予支付成交供应商没有列入的项目费用，并认为此项目的费用已包括在总报价中。</w:t>
      </w:r>
    </w:p>
    <w:p>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9</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4</w:t>
      </w:r>
      <w:r>
        <w:rPr>
          <w:rFonts w:hint="eastAsia" w:ascii="宋体" w:hAnsi="宋体"/>
          <w:color w:val="auto"/>
          <w:sz w:val="21"/>
          <w:szCs w:val="21"/>
          <w:highlight w:val="none"/>
        </w:rPr>
        <w:t>成交供应商负责本项目所采购的货物、工程、服务的全部工作。</w:t>
      </w:r>
    </w:p>
    <w:p>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9</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供应商应在</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报价表上标明单价和总价。大写金额和小写金额不一致的，以大写金额为准；总价金额与按单价汇总金额不一致的，以单价金额计算结果为准；单价金额小数点有明显错位的，应以总价为准，并修改单价；对不同文字文本响应文件的解释发生异议的，以中文文本为准。除上述原因以外，如果因供应商原因引起的报价失误，并在</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时被接受，其后果由供应商自负。</w:t>
      </w:r>
    </w:p>
    <w:p>
      <w:pPr>
        <w:keepNext w:val="0"/>
        <w:keepLines w:val="0"/>
        <w:pageBreakBefore w:val="0"/>
        <w:kinsoku/>
        <w:overflowPunct/>
        <w:topLinePunct w:val="0"/>
        <w:bidi w:val="0"/>
        <w:spacing w:line="240" w:lineRule="auto"/>
        <w:ind w:firstLine="422" w:firstLineChars="200"/>
        <w:textAlignment w:val="auto"/>
        <w:rPr>
          <w:rFonts w:ascii="宋体" w:hAnsi="宋体"/>
          <w:b/>
          <w:color w:val="auto"/>
          <w:sz w:val="21"/>
          <w:szCs w:val="21"/>
          <w:highlight w:val="none"/>
        </w:rPr>
      </w:pPr>
      <w:r>
        <w:rPr>
          <w:rFonts w:hint="eastAsia" w:ascii="宋体" w:hAnsi="宋体"/>
          <w:b/>
          <w:color w:val="auto"/>
          <w:sz w:val="21"/>
          <w:szCs w:val="21"/>
          <w:highlight w:val="none"/>
        </w:rPr>
        <w:t>四、</w:t>
      </w:r>
      <w:r>
        <w:rPr>
          <w:rFonts w:hint="eastAsia" w:ascii="宋体" w:hAnsi="宋体"/>
          <w:b/>
          <w:color w:val="auto"/>
          <w:sz w:val="21"/>
          <w:szCs w:val="21"/>
          <w:highlight w:val="none"/>
          <w:lang w:eastAsia="zh-CN"/>
        </w:rPr>
        <w:t>磋商响应文件</w:t>
      </w:r>
      <w:r>
        <w:rPr>
          <w:rFonts w:hint="eastAsia" w:ascii="宋体" w:hAnsi="宋体"/>
          <w:b/>
          <w:color w:val="auto"/>
          <w:sz w:val="21"/>
          <w:szCs w:val="21"/>
          <w:highlight w:val="none"/>
        </w:rPr>
        <w:t>的份数、封装和递交</w:t>
      </w:r>
    </w:p>
    <w:p>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10</w:t>
      </w:r>
      <w:r>
        <w:rPr>
          <w:rFonts w:hint="eastAsia" w:ascii="宋体" w:hAnsi="宋体"/>
          <w:color w:val="auto"/>
          <w:sz w:val="21"/>
          <w:szCs w:val="21"/>
          <w:highlight w:val="none"/>
        </w:rPr>
        <w:t>.</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的份数和封装</w:t>
      </w:r>
    </w:p>
    <w:p>
      <w:pPr>
        <w:keepNext w:val="0"/>
        <w:keepLines w:val="0"/>
        <w:pageBreakBefore w:val="0"/>
        <w:kinsoku/>
        <w:overflowPunct/>
        <w:topLinePunct w:val="0"/>
        <w:bidi w:val="0"/>
        <w:spacing w:line="240" w:lineRule="auto"/>
        <w:ind w:firstLine="420" w:firstLineChars="200"/>
        <w:textAlignment w:val="auto"/>
        <w:rPr>
          <w:rFonts w:hint="eastAsia"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10</w:t>
      </w:r>
      <w:r>
        <w:rPr>
          <w:rFonts w:hint="eastAsia" w:ascii="宋体" w:hAnsi="宋体"/>
          <w:color w:val="auto"/>
          <w:sz w:val="21"/>
          <w:szCs w:val="21"/>
          <w:highlight w:val="none"/>
        </w:rPr>
        <w:t>.1</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的份数和封装</w:t>
      </w:r>
      <w:r>
        <w:rPr>
          <w:rFonts w:hint="eastAsia" w:ascii="宋体" w:hAnsi="宋体"/>
          <w:color w:val="auto"/>
          <w:sz w:val="21"/>
          <w:szCs w:val="21"/>
          <w:highlight w:val="none"/>
          <w:lang w:val="en-US" w:eastAsia="zh-CN"/>
        </w:rPr>
        <w:t>方式</w:t>
      </w:r>
      <w:r>
        <w:rPr>
          <w:rFonts w:hint="eastAsia" w:ascii="宋体" w:hAnsi="宋体" w:cs="宋体"/>
          <w:color w:val="auto"/>
          <w:sz w:val="21"/>
          <w:szCs w:val="21"/>
          <w:highlight w:val="none"/>
        </w:rPr>
        <w:t>详见“</w:t>
      </w:r>
      <w:r>
        <w:rPr>
          <w:rFonts w:hint="eastAsia" w:ascii="宋体" w:hAnsi="宋体" w:cs="宋体"/>
          <w:color w:val="auto"/>
          <w:sz w:val="21"/>
          <w:szCs w:val="21"/>
          <w:highlight w:val="none"/>
          <w:lang w:val="en-US" w:eastAsia="zh-CN"/>
        </w:rPr>
        <w:t>磋商</w:t>
      </w:r>
      <w:r>
        <w:rPr>
          <w:rFonts w:hint="eastAsia" w:ascii="宋体" w:hAnsi="宋体" w:cs="宋体"/>
          <w:color w:val="auto"/>
          <w:sz w:val="21"/>
          <w:szCs w:val="21"/>
          <w:highlight w:val="none"/>
        </w:rPr>
        <w:t>须知前附表”</w:t>
      </w:r>
      <w:r>
        <w:rPr>
          <w:rFonts w:hint="eastAsia" w:ascii="宋体" w:hAnsi="宋体" w:cs="宋体"/>
          <w:color w:val="auto"/>
          <w:sz w:val="21"/>
          <w:szCs w:val="21"/>
          <w:highlight w:val="none"/>
          <w:lang w:eastAsia="zh-CN"/>
        </w:rPr>
        <w:t>。</w:t>
      </w:r>
    </w:p>
    <w:p>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10</w:t>
      </w:r>
      <w:r>
        <w:rPr>
          <w:rFonts w:hint="eastAsia" w:ascii="宋体" w:hAnsi="宋体"/>
          <w:color w:val="auto"/>
          <w:sz w:val="21"/>
          <w:szCs w:val="21"/>
          <w:highlight w:val="none"/>
        </w:rPr>
        <w:t>.2</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的</w:t>
      </w:r>
      <w:r>
        <w:rPr>
          <w:rFonts w:ascii="宋体" w:hAnsi="宋体"/>
          <w:color w:val="auto"/>
          <w:sz w:val="21"/>
          <w:szCs w:val="21"/>
          <w:highlight w:val="none"/>
        </w:rPr>
        <w:t>文件袋</w:t>
      </w:r>
      <w:r>
        <w:rPr>
          <w:rFonts w:hint="eastAsia" w:ascii="宋体" w:hAnsi="宋体"/>
          <w:color w:val="auto"/>
          <w:sz w:val="21"/>
          <w:szCs w:val="21"/>
          <w:highlight w:val="none"/>
        </w:rPr>
        <w:t>上应写明：</w:t>
      </w:r>
    </w:p>
    <w:p>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项目编号；</w:t>
      </w:r>
    </w:p>
    <w:p>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2）</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项目名称；</w:t>
      </w:r>
    </w:p>
    <w:p>
      <w:pPr>
        <w:keepNext w:val="0"/>
        <w:keepLines w:val="0"/>
        <w:pageBreakBefore w:val="0"/>
        <w:kinsoku/>
        <w:overflowPunct/>
        <w:topLinePunct w:val="0"/>
        <w:bidi w:val="0"/>
        <w:spacing w:line="240" w:lineRule="auto"/>
        <w:ind w:firstLine="420" w:firstLineChars="200"/>
        <w:textAlignment w:val="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lang w:val="en-US" w:eastAsia="zh-CN"/>
        </w:rPr>
        <w:t>3</w:t>
      </w:r>
      <w:r>
        <w:rPr>
          <w:rFonts w:hint="eastAsia" w:ascii="宋体" w:hAnsi="宋体"/>
          <w:color w:val="auto"/>
          <w:sz w:val="21"/>
          <w:szCs w:val="21"/>
          <w:highlight w:val="none"/>
        </w:rPr>
        <w:t>）供应商名称</w:t>
      </w:r>
      <w:r>
        <w:rPr>
          <w:rFonts w:hint="eastAsia" w:ascii="宋体" w:hAnsi="宋体"/>
          <w:color w:val="auto"/>
          <w:sz w:val="21"/>
          <w:szCs w:val="21"/>
          <w:highlight w:val="none"/>
          <w:lang w:eastAsia="zh-CN"/>
        </w:rPr>
        <w:t>。</w:t>
      </w:r>
    </w:p>
    <w:p>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rPr>
        <w:t>.</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的递交</w:t>
      </w:r>
    </w:p>
    <w:p>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rPr>
        <w:t>.1所有竞争性响应文件应于“</w:t>
      </w:r>
      <w:r>
        <w:rPr>
          <w:rFonts w:hint="eastAsia" w:ascii="宋体" w:hAnsi="宋体"/>
          <w:color w:val="auto"/>
          <w:sz w:val="21"/>
          <w:szCs w:val="21"/>
          <w:highlight w:val="none"/>
          <w:lang w:val="en-US" w:eastAsia="zh-CN"/>
        </w:rPr>
        <w:t>磋商须知前附表</w:t>
      </w:r>
      <w:r>
        <w:rPr>
          <w:rFonts w:hint="eastAsia" w:ascii="宋体" w:hAnsi="宋体"/>
          <w:color w:val="auto"/>
          <w:sz w:val="21"/>
          <w:szCs w:val="21"/>
          <w:highlight w:val="none"/>
        </w:rPr>
        <w:t>”中规定的截止时间前递交到规定地点。</w:t>
      </w:r>
    </w:p>
    <w:p>
      <w:pPr>
        <w:keepNext w:val="0"/>
        <w:keepLines w:val="0"/>
        <w:pageBreakBefore w:val="0"/>
        <w:kinsoku/>
        <w:overflowPunct/>
        <w:topLinePunct w:val="0"/>
        <w:bidi w:val="0"/>
        <w:spacing w:line="240" w:lineRule="auto"/>
        <w:ind w:firstLine="420" w:firstLineChars="200"/>
        <w:textAlignment w:val="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2</w:t>
      </w:r>
      <w:r>
        <w:rPr>
          <w:rFonts w:hint="eastAsia" w:ascii="宋体" w:hAnsi="宋体"/>
          <w:color w:val="auto"/>
          <w:sz w:val="21"/>
          <w:szCs w:val="21"/>
          <w:highlight w:val="none"/>
        </w:rPr>
        <w:t>.迟交的</w:t>
      </w:r>
      <w:r>
        <w:rPr>
          <w:rFonts w:hint="eastAsia" w:ascii="宋体" w:hAnsi="宋体"/>
          <w:color w:val="auto"/>
          <w:sz w:val="21"/>
          <w:szCs w:val="21"/>
          <w:highlight w:val="none"/>
          <w:lang w:eastAsia="zh-CN"/>
        </w:rPr>
        <w:t>磋商响应文件</w:t>
      </w:r>
    </w:p>
    <w:p>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2</w:t>
      </w:r>
      <w:r>
        <w:rPr>
          <w:rFonts w:hint="eastAsia" w:ascii="宋体" w:hAnsi="宋体"/>
          <w:color w:val="auto"/>
          <w:sz w:val="21"/>
          <w:szCs w:val="21"/>
          <w:highlight w:val="none"/>
        </w:rPr>
        <w:t>.1按《中华人民共和国政府采购法》的规定，</w:t>
      </w:r>
      <w:r>
        <w:rPr>
          <w:rFonts w:hint="eastAsia" w:ascii="宋体" w:hAnsi="宋体"/>
          <w:color w:val="auto"/>
          <w:sz w:val="21"/>
          <w:szCs w:val="21"/>
          <w:highlight w:val="none"/>
          <w:lang w:eastAsia="zh-CN"/>
        </w:rPr>
        <w:t>广西骨伤医院</w:t>
      </w:r>
      <w:r>
        <w:rPr>
          <w:rFonts w:hint="eastAsia" w:ascii="宋体" w:hAnsi="宋体"/>
          <w:color w:val="auto"/>
          <w:sz w:val="21"/>
          <w:szCs w:val="21"/>
          <w:highlight w:val="none"/>
        </w:rPr>
        <w:t>将拒绝或原封退回在规定的递交</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截止时间之后收到的任何</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w:t>
      </w:r>
    </w:p>
    <w:p>
      <w:pPr>
        <w:keepNext w:val="0"/>
        <w:keepLines w:val="0"/>
        <w:pageBreakBefore w:val="0"/>
        <w:kinsoku/>
        <w:overflowPunct/>
        <w:topLinePunct w:val="0"/>
        <w:bidi w:val="0"/>
        <w:spacing w:line="240" w:lineRule="auto"/>
        <w:ind w:firstLine="422" w:firstLineChars="200"/>
        <w:textAlignment w:val="auto"/>
        <w:rPr>
          <w:rFonts w:ascii="宋体" w:hAnsi="宋体"/>
          <w:b/>
          <w:color w:val="auto"/>
          <w:sz w:val="21"/>
          <w:szCs w:val="21"/>
          <w:highlight w:val="none"/>
        </w:rPr>
      </w:pPr>
      <w:r>
        <w:rPr>
          <w:rFonts w:hint="eastAsia" w:ascii="宋体" w:hAnsi="宋体"/>
          <w:b/>
          <w:color w:val="auto"/>
          <w:sz w:val="21"/>
          <w:szCs w:val="21"/>
          <w:highlight w:val="none"/>
        </w:rPr>
        <w:t>五、</w:t>
      </w:r>
      <w:r>
        <w:rPr>
          <w:rFonts w:hint="eastAsia" w:ascii="宋体" w:hAnsi="宋体"/>
          <w:b/>
          <w:color w:val="auto"/>
          <w:sz w:val="21"/>
          <w:szCs w:val="21"/>
          <w:highlight w:val="none"/>
          <w:lang w:eastAsia="zh-CN"/>
        </w:rPr>
        <w:t>磋商</w:t>
      </w:r>
    </w:p>
    <w:p>
      <w:pPr>
        <w:keepNext w:val="0"/>
        <w:keepLines w:val="0"/>
        <w:pageBreakBefore w:val="0"/>
        <w:kinsoku/>
        <w:overflowPunct/>
        <w:topLinePunct w:val="0"/>
        <w:bidi w:val="0"/>
        <w:spacing w:line="240" w:lineRule="auto"/>
        <w:ind w:firstLine="420" w:firstLineChars="20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资格和符合性审查</w:t>
      </w:r>
    </w:p>
    <w:p>
      <w:pPr>
        <w:keepNext w:val="0"/>
        <w:keepLines w:val="0"/>
        <w:pageBreakBefore w:val="0"/>
        <w:kinsoku/>
        <w:overflowPunct/>
        <w:topLinePunct w:val="0"/>
        <w:bidi w:val="0"/>
        <w:spacing w:line="240" w:lineRule="auto"/>
        <w:ind w:firstLine="420" w:firstLineChars="20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13.1磋商小组成员按照磋商文件要求，对响应供应商的响应文件进行资格和符合性审查。</w:t>
      </w:r>
    </w:p>
    <w:p>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13.2</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13.3</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小组要求供应商澄清、说明或者更正响应文件应当以书面形式作出。供应商的澄清、说明或者更正应当由法定代表人或其委托代理人签字或者加盖公章。</w:t>
      </w:r>
    </w:p>
    <w:p>
      <w:pPr>
        <w:keepNext w:val="0"/>
        <w:keepLines w:val="0"/>
        <w:pageBreakBefore w:val="0"/>
        <w:kinsoku/>
        <w:overflowPunct/>
        <w:topLinePunct w:val="0"/>
        <w:bidi w:val="0"/>
        <w:spacing w:line="240" w:lineRule="auto"/>
        <w:ind w:firstLine="420" w:firstLineChars="200"/>
        <w:textAlignment w:val="auto"/>
        <w:rPr>
          <w:rFonts w:hint="eastAsia"/>
          <w:lang w:eastAsia="zh-CN"/>
        </w:rPr>
      </w:pPr>
      <w:r>
        <w:rPr>
          <w:rFonts w:hint="eastAsia" w:ascii="宋体" w:hAnsi="宋体"/>
          <w:color w:val="auto"/>
          <w:sz w:val="21"/>
          <w:szCs w:val="21"/>
          <w:highlight w:val="none"/>
          <w:lang w:val="en-US" w:eastAsia="zh-CN"/>
        </w:rPr>
        <w:t>13.4</w:t>
      </w:r>
      <w:r>
        <w:rPr>
          <w:rFonts w:hint="eastAsia" w:ascii="宋体" w:hAnsi="宋体"/>
          <w:color w:val="auto"/>
          <w:sz w:val="21"/>
          <w:szCs w:val="21"/>
          <w:highlight w:val="none"/>
        </w:rPr>
        <w:t>未实质性响应</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文件的响应文件按无效响应处理，</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小组应当告知提交响应文件的供应商</w:t>
      </w:r>
      <w:r>
        <w:rPr>
          <w:rFonts w:hint="eastAsia" w:ascii="宋体" w:hAnsi="宋体"/>
          <w:color w:val="auto"/>
          <w:sz w:val="21"/>
          <w:szCs w:val="21"/>
          <w:highlight w:val="none"/>
          <w:lang w:eastAsia="zh-CN"/>
        </w:rPr>
        <w:t>。</w:t>
      </w:r>
    </w:p>
    <w:p>
      <w:pPr>
        <w:keepNext w:val="0"/>
        <w:keepLines w:val="0"/>
        <w:pageBreakBefore w:val="0"/>
        <w:kinsoku/>
        <w:overflowPunct/>
        <w:topLinePunct w:val="0"/>
        <w:bidi w:val="0"/>
        <w:spacing w:line="24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13.5当响应供应商数量仅为1家时，将直接进入磋商环节。</w:t>
      </w:r>
    </w:p>
    <w:p>
      <w:pPr>
        <w:keepNext w:val="0"/>
        <w:keepLines w:val="0"/>
        <w:pageBreakBefore w:val="0"/>
        <w:kinsoku/>
        <w:overflowPunct/>
        <w:topLinePunct w:val="0"/>
        <w:bidi w:val="0"/>
        <w:spacing w:line="240" w:lineRule="auto"/>
        <w:ind w:firstLine="420" w:firstLineChars="200"/>
        <w:textAlignment w:val="auto"/>
        <w:rPr>
          <w:rFonts w:hint="default" w:ascii="宋体" w:hAnsi="宋体"/>
          <w:color w:val="auto"/>
          <w:sz w:val="21"/>
          <w:szCs w:val="21"/>
          <w:highlight w:val="none"/>
          <w:lang w:val="en-US"/>
        </w:rPr>
      </w:pPr>
      <w:r>
        <w:rPr>
          <w:rFonts w:hint="eastAsia" w:ascii="宋体" w:hAnsi="宋体"/>
          <w:color w:val="auto"/>
          <w:sz w:val="21"/>
          <w:szCs w:val="21"/>
          <w:highlight w:val="none"/>
          <w:lang w:val="en-US" w:eastAsia="zh-CN"/>
        </w:rPr>
        <w:t>14.</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小组成员</w:t>
      </w:r>
      <w:r>
        <w:rPr>
          <w:rFonts w:hint="eastAsia" w:ascii="宋体" w:hAnsi="宋体"/>
          <w:color w:val="auto"/>
          <w:sz w:val="21"/>
          <w:szCs w:val="21"/>
          <w:highlight w:val="none"/>
          <w:lang w:val="en-US" w:eastAsia="zh-CN"/>
        </w:rPr>
        <w:t>与</w:t>
      </w:r>
      <w:r>
        <w:rPr>
          <w:rFonts w:hint="eastAsia" w:ascii="宋体" w:hAnsi="宋体"/>
          <w:color w:val="auto"/>
          <w:sz w:val="21"/>
          <w:szCs w:val="21"/>
          <w:highlight w:val="none"/>
        </w:rPr>
        <w:t>单一供应商分别进行</w:t>
      </w:r>
      <w:r>
        <w:rPr>
          <w:rFonts w:hint="eastAsia" w:ascii="宋体" w:hAnsi="宋体"/>
          <w:color w:val="auto"/>
          <w:sz w:val="21"/>
          <w:szCs w:val="21"/>
          <w:highlight w:val="none"/>
          <w:lang w:eastAsia="zh-CN"/>
        </w:rPr>
        <w:t>磋商</w:t>
      </w:r>
      <w:r>
        <w:rPr>
          <w:rFonts w:hint="eastAsia" w:ascii="宋体" w:hAnsi="宋体"/>
          <w:color w:val="auto"/>
          <w:sz w:val="21"/>
          <w:szCs w:val="21"/>
          <w:highlight w:val="none"/>
          <w:lang w:val="en-US" w:eastAsia="zh-CN"/>
        </w:rPr>
        <w:t xml:space="preserve"> </w:t>
      </w:r>
    </w:p>
    <w:p>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14.1</w:t>
      </w:r>
      <w:r>
        <w:rPr>
          <w:rFonts w:hint="eastAsia" w:ascii="宋体" w:hAnsi="宋体"/>
          <w:color w:val="auto"/>
          <w:sz w:val="21"/>
          <w:szCs w:val="21"/>
          <w:highlight w:val="none"/>
        </w:rPr>
        <w:t>在</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过程中，</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小组可以根据</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文件和</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情况实质性变动采购需求中的技术、服务要求以及合同草案条款，但不得变动</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文件中的其他内容。实质性变动的内容，须经采购人代表确认。</w:t>
      </w:r>
    </w:p>
    <w:p>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14.2对</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文件作出的实质性变动是</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文件的有效组成部分，</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小组应当及时以书面形式同时通知所有参加</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的供应商。供应商应当按照</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文件的变动情况和</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小组的要求重新提交响应文件，并由其法定代表人或委托代理人签字或者加盖公章。</w:t>
      </w:r>
    </w:p>
    <w:p>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14.3</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结束后，</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小组应当要求所有实质性响应的供应商在规定时间内提交最后报价</w:t>
      </w:r>
      <w:r>
        <w:rPr>
          <w:rFonts w:hint="eastAsia" w:ascii="宋体" w:hAnsi="宋体"/>
          <w:color w:val="auto"/>
          <w:sz w:val="21"/>
          <w:szCs w:val="21"/>
          <w:highlight w:val="none"/>
          <w:lang w:eastAsia="zh-CN"/>
        </w:rPr>
        <w:t>，</w:t>
      </w:r>
      <w:r>
        <w:rPr>
          <w:rFonts w:hint="eastAsia" w:ascii="宋体" w:hAnsi="宋体"/>
          <w:color w:val="auto"/>
          <w:sz w:val="21"/>
          <w:szCs w:val="21"/>
          <w:highlight w:val="none"/>
        </w:rPr>
        <w:t>最后报价是供应商响应文件的有效组成部分。</w:t>
      </w:r>
    </w:p>
    <w:p>
      <w:pPr>
        <w:keepNext w:val="0"/>
        <w:keepLines w:val="0"/>
        <w:pageBreakBefore w:val="0"/>
        <w:kinsoku/>
        <w:overflowPunct/>
        <w:topLinePunct w:val="0"/>
        <w:bidi w:val="0"/>
        <w:snapToGrid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14.4</w:t>
      </w:r>
      <w:r>
        <w:rPr>
          <w:rFonts w:hint="eastAsia" w:ascii="宋体" w:hAnsi="宋体"/>
          <w:color w:val="auto"/>
          <w:sz w:val="21"/>
          <w:szCs w:val="21"/>
          <w:highlight w:val="none"/>
        </w:rPr>
        <w:t>供应商的澄清、说明或者更正、重新提交响应文件、最后报价等均为供应商响应文件的有效组成部分，与响应文件同具法律效力。供应商应在规定时间内将上述文件递交至</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小组，逾时不交的，视同放弃</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响应无效。</w:t>
      </w:r>
    </w:p>
    <w:p>
      <w:pPr>
        <w:keepNext w:val="0"/>
        <w:keepLines w:val="0"/>
        <w:pageBreakBefore w:val="0"/>
        <w:tabs>
          <w:tab w:val="left" w:pos="540"/>
        </w:tabs>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14.5</w:t>
      </w:r>
      <w:r>
        <w:rPr>
          <w:rFonts w:hint="eastAsia" w:ascii="宋体" w:hAnsi="宋体"/>
          <w:color w:val="auto"/>
          <w:sz w:val="21"/>
          <w:szCs w:val="21"/>
          <w:highlight w:val="none"/>
        </w:rPr>
        <w:t>响应供应商的最后报价均超过了采购预算，采购人不能支付的，</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活动终止；</w:t>
      </w:r>
    </w:p>
    <w:p>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响应无效</w:t>
      </w:r>
    </w:p>
    <w:p>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5</w:t>
      </w:r>
      <w:r>
        <w:rPr>
          <w:rFonts w:ascii="宋体" w:hAnsi="宋体"/>
          <w:color w:val="auto"/>
          <w:sz w:val="21"/>
          <w:szCs w:val="21"/>
          <w:highlight w:val="none"/>
        </w:rPr>
        <w:t>.1</w:t>
      </w:r>
      <w:r>
        <w:rPr>
          <w:rFonts w:hint="eastAsia" w:ascii="宋体" w:hAnsi="宋体"/>
          <w:color w:val="auto"/>
          <w:sz w:val="21"/>
          <w:szCs w:val="21"/>
          <w:highlight w:val="none"/>
          <w:lang w:eastAsia="zh-CN"/>
        </w:rPr>
        <w:t>磋商响应文件</w:t>
      </w:r>
      <w:r>
        <w:rPr>
          <w:rFonts w:ascii="宋体" w:hAnsi="宋体"/>
          <w:color w:val="auto"/>
          <w:sz w:val="21"/>
          <w:szCs w:val="21"/>
          <w:highlight w:val="none"/>
        </w:rPr>
        <w:t>如有下列情况之一，</w:t>
      </w:r>
      <w:r>
        <w:rPr>
          <w:rFonts w:hint="eastAsia" w:ascii="宋体" w:hAnsi="宋体"/>
          <w:color w:val="auto"/>
          <w:sz w:val="21"/>
          <w:szCs w:val="21"/>
          <w:highlight w:val="none"/>
        </w:rPr>
        <w:t>将视为</w:t>
      </w:r>
      <w:r>
        <w:rPr>
          <w:rFonts w:ascii="宋体" w:hAnsi="宋体"/>
          <w:color w:val="auto"/>
          <w:sz w:val="21"/>
          <w:szCs w:val="21"/>
          <w:highlight w:val="none"/>
        </w:rPr>
        <w:t>未实质性响应</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w:t>
      </w:r>
      <w:r>
        <w:rPr>
          <w:rFonts w:ascii="宋体" w:hAnsi="宋体"/>
          <w:color w:val="auto"/>
          <w:sz w:val="21"/>
          <w:szCs w:val="21"/>
          <w:highlight w:val="none"/>
        </w:rPr>
        <w:t>按</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响应无效</w:t>
      </w:r>
      <w:r>
        <w:rPr>
          <w:rFonts w:ascii="宋体" w:hAnsi="宋体"/>
          <w:color w:val="auto"/>
          <w:sz w:val="21"/>
          <w:szCs w:val="21"/>
          <w:highlight w:val="none"/>
        </w:rPr>
        <w:t>处理</w:t>
      </w:r>
      <w:r>
        <w:rPr>
          <w:rFonts w:hint="eastAsia" w:ascii="宋体" w:hAnsi="宋体"/>
          <w:color w:val="auto"/>
          <w:sz w:val="21"/>
          <w:szCs w:val="21"/>
          <w:highlight w:val="none"/>
        </w:rPr>
        <w:t>：</w:t>
      </w:r>
    </w:p>
    <w:p>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（1）未按</w:t>
      </w:r>
      <w:r>
        <w:rPr>
          <w:rFonts w:hint="eastAsia" w:ascii="宋体" w:hAnsi="宋体"/>
          <w:color w:val="auto"/>
          <w:sz w:val="21"/>
          <w:szCs w:val="21"/>
          <w:highlight w:val="none"/>
          <w:lang w:eastAsia="zh-CN"/>
        </w:rPr>
        <w:t>磋商</w:t>
      </w:r>
      <w:r>
        <w:rPr>
          <w:rFonts w:ascii="宋体" w:hAnsi="宋体"/>
          <w:color w:val="auto"/>
          <w:sz w:val="21"/>
          <w:szCs w:val="21"/>
          <w:highlight w:val="none"/>
        </w:rPr>
        <w:t>文件规定要求密封、签署、盖章的；</w:t>
      </w:r>
    </w:p>
    <w:p>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w:t>
      </w:r>
      <w:r>
        <w:rPr>
          <w:rFonts w:hint="eastAsia" w:ascii="宋体" w:hAnsi="宋体"/>
          <w:color w:val="auto"/>
          <w:sz w:val="21"/>
          <w:szCs w:val="21"/>
          <w:highlight w:val="none"/>
          <w:lang w:val="en-US" w:eastAsia="zh-CN"/>
        </w:rPr>
        <w:t>2</w:t>
      </w:r>
      <w:r>
        <w:rPr>
          <w:rFonts w:ascii="宋体" w:hAnsi="宋体"/>
          <w:color w:val="auto"/>
          <w:sz w:val="21"/>
          <w:szCs w:val="21"/>
          <w:highlight w:val="none"/>
        </w:rPr>
        <w:t>）不具备</w:t>
      </w:r>
      <w:r>
        <w:rPr>
          <w:rFonts w:hint="eastAsia" w:ascii="宋体" w:hAnsi="宋体"/>
          <w:color w:val="auto"/>
          <w:sz w:val="21"/>
          <w:szCs w:val="21"/>
          <w:highlight w:val="none"/>
          <w:lang w:eastAsia="zh-CN"/>
        </w:rPr>
        <w:t>磋商</w:t>
      </w:r>
      <w:r>
        <w:rPr>
          <w:rFonts w:ascii="宋体" w:hAnsi="宋体"/>
          <w:color w:val="auto"/>
          <w:sz w:val="21"/>
          <w:szCs w:val="21"/>
          <w:highlight w:val="none"/>
        </w:rPr>
        <w:t>文件中规定资格要求的；</w:t>
      </w:r>
    </w:p>
    <w:p>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w:t>
      </w:r>
      <w:r>
        <w:rPr>
          <w:rFonts w:hint="eastAsia" w:ascii="宋体" w:hAnsi="宋体"/>
          <w:color w:val="auto"/>
          <w:sz w:val="21"/>
          <w:szCs w:val="21"/>
          <w:highlight w:val="none"/>
          <w:lang w:val="en-US" w:eastAsia="zh-CN"/>
        </w:rPr>
        <w:t>3</w:t>
      </w:r>
      <w:r>
        <w:rPr>
          <w:rFonts w:ascii="宋体" w:hAnsi="宋体"/>
          <w:color w:val="auto"/>
          <w:sz w:val="21"/>
          <w:szCs w:val="21"/>
          <w:highlight w:val="none"/>
        </w:rPr>
        <w:t>）采购项目完成期限</w:t>
      </w:r>
      <w:r>
        <w:rPr>
          <w:rFonts w:hint="eastAsia" w:ascii="宋体" w:hAnsi="宋体"/>
          <w:color w:val="auto"/>
          <w:sz w:val="21"/>
          <w:szCs w:val="21"/>
          <w:highlight w:val="none"/>
        </w:rPr>
        <w:t>、质保期、付款方式等不符合</w:t>
      </w:r>
      <w:r>
        <w:rPr>
          <w:rFonts w:hint="eastAsia" w:ascii="宋体" w:hAnsi="宋体"/>
          <w:color w:val="auto"/>
          <w:sz w:val="21"/>
          <w:szCs w:val="21"/>
          <w:highlight w:val="none"/>
          <w:lang w:eastAsia="zh-CN"/>
        </w:rPr>
        <w:t>磋商</w:t>
      </w:r>
      <w:r>
        <w:rPr>
          <w:rFonts w:ascii="宋体" w:hAnsi="宋体"/>
          <w:color w:val="auto"/>
          <w:sz w:val="21"/>
          <w:szCs w:val="21"/>
          <w:highlight w:val="none"/>
        </w:rPr>
        <w:t>文件</w:t>
      </w:r>
      <w:r>
        <w:rPr>
          <w:rFonts w:hint="eastAsia" w:ascii="宋体" w:hAnsi="宋体"/>
          <w:color w:val="auto"/>
          <w:sz w:val="21"/>
          <w:szCs w:val="21"/>
          <w:highlight w:val="none"/>
        </w:rPr>
        <w:t>要求的</w:t>
      </w:r>
      <w:r>
        <w:rPr>
          <w:rFonts w:ascii="宋体" w:hAnsi="宋体"/>
          <w:color w:val="auto"/>
          <w:sz w:val="21"/>
          <w:szCs w:val="21"/>
          <w:highlight w:val="none"/>
        </w:rPr>
        <w:t>；</w:t>
      </w:r>
    </w:p>
    <w:p>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w:t>
      </w:r>
      <w:r>
        <w:rPr>
          <w:rFonts w:hint="eastAsia" w:ascii="宋体" w:hAnsi="宋体"/>
          <w:color w:val="auto"/>
          <w:sz w:val="21"/>
          <w:szCs w:val="21"/>
          <w:highlight w:val="none"/>
          <w:lang w:val="en-US" w:eastAsia="zh-CN"/>
        </w:rPr>
        <w:t>4</w:t>
      </w:r>
      <w:r>
        <w:rPr>
          <w:rFonts w:ascii="宋体" w:hAnsi="宋体"/>
          <w:color w:val="auto"/>
          <w:sz w:val="21"/>
          <w:szCs w:val="21"/>
          <w:highlight w:val="none"/>
        </w:rPr>
        <w:t>）</w:t>
      </w:r>
      <w:r>
        <w:rPr>
          <w:rFonts w:hint="eastAsia" w:ascii="宋体" w:hAnsi="宋体"/>
          <w:color w:val="auto"/>
          <w:sz w:val="21"/>
          <w:szCs w:val="21"/>
          <w:highlight w:val="none"/>
        </w:rPr>
        <w:t>报价产品</w:t>
      </w:r>
      <w:r>
        <w:rPr>
          <w:rFonts w:ascii="宋体" w:hAnsi="宋体"/>
          <w:color w:val="auto"/>
          <w:sz w:val="21"/>
          <w:szCs w:val="21"/>
          <w:highlight w:val="none"/>
        </w:rPr>
        <w:t>明显不符合</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文件规定的</w:t>
      </w:r>
      <w:r>
        <w:rPr>
          <w:rFonts w:ascii="宋体" w:hAnsi="宋体"/>
          <w:color w:val="auto"/>
          <w:sz w:val="21"/>
          <w:szCs w:val="21"/>
          <w:highlight w:val="none"/>
        </w:rPr>
        <w:t>技术规格、技术标准</w:t>
      </w:r>
      <w:r>
        <w:rPr>
          <w:rFonts w:hint="eastAsia" w:ascii="宋体" w:hAnsi="宋体"/>
          <w:color w:val="auto"/>
          <w:sz w:val="21"/>
          <w:szCs w:val="21"/>
          <w:highlight w:val="none"/>
        </w:rPr>
        <w:t>、</w:t>
      </w:r>
      <w:r>
        <w:rPr>
          <w:rFonts w:ascii="宋体" w:hAnsi="宋体"/>
          <w:color w:val="auto"/>
          <w:sz w:val="21"/>
          <w:szCs w:val="21"/>
          <w:highlight w:val="none"/>
        </w:rPr>
        <w:t>检验标准</w:t>
      </w:r>
      <w:r>
        <w:rPr>
          <w:rFonts w:hint="eastAsia" w:ascii="宋体" w:hAnsi="宋体"/>
          <w:color w:val="auto"/>
          <w:sz w:val="21"/>
          <w:szCs w:val="21"/>
          <w:highlight w:val="none"/>
        </w:rPr>
        <w:t>等</w:t>
      </w:r>
      <w:r>
        <w:rPr>
          <w:rFonts w:ascii="宋体" w:hAnsi="宋体"/>
          <w:color w:val="auto"/>
          <w:sz w:val="21"/>
          <w:szCs w:val="21"/>
          <w:highlight w:val="none"/>
        </w:rPr>
        <w:t>要求的；</w:t>
      </w:r>
    </w:p>
    <w:p>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）最终</w:t>
      </w:r>
      <w:r>
        <w:rPr>
          <w:rFonts w:ascii="宋体" w:hAnsi="宋体"/>
          <w:color w:val="auto"/>
          <w:sz w:val="21"/>
          <w:szCs w:val="21"/>
          <w:highlight w:val="none"/>
        </w:rPr>
        <w:t>报价</w:t>
      </w:r>
      <w:r>
        <w:rPr>
          <w:rFonts w:hint="eastAsia" w:ascii="宋体" w:hAnsi="宋体"/>
          <w:color w:val="auto"/>
          <w:sz w:val="21"/>
          <w:szCs w:val="21"/>
          <w:highlight w:val="none"/>
        </w:rPr>
        <w:t>超过采购预算的；</w:t>
      </w:r>
    </w:p>
    <w:p>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w:t>
      </w:r>
      <w:r>
        <w:rPr>
          <w:rFonts w:hint="eastAsia" w:ascii="宋体" w:hAnsi="宋体"/>
          <w:color w:val="auto"/>
          <w:sz w:val="21"/>
          <w:szCs w:val="21"/>
          <w:highlight w:val="none"/>
          <w:lang w:val="en-US" w:eastAsia="zh-CN"/>
        </w:rPr>
        <w:t>6</w:t>
      </w:r>
      <w:r>
        <w:rPr>
          <w:rFonts w:ascii="宋体" w:hAnsi="宋体"/>
          <w:color w:val="auto"/>
          <w:sz w:val="21"/>
          <w:szCs w:val="21"/>
          <w:highlight w:val="none"/>
        </w:rPr>
        <w:t>）</w:t>
      </w:r>
      <w:r>
        <w:rPr>
          <w:rFonts w:hint="eastAsia" w:ascii="宋体" w:hAnsi="宋体"/>
          <w:color w:val="auto"/>
          <w:sz w:val="21"/>
          <w:szCs w:val="21"/>
          <w:highlight w:val="none"/>
          <w:lang w:eastAsia="zh-CN"/>
        </w:rPr>
        <w:t>磋商响应文件</w:t>
      </w:r>
      <w:r>
        <w:rPr>
          <w:rFonts w:ascii="宋体" w:hAnsi="宋体"/>
          <w:color w:val="auto"/>
          <w:sz w:val="21"/>
          <w:szCs w:val="21"/>
          <w:highlight w:val="none"/>
        </w:rPr>
        <w:t>附有采购人不能接受的条件</w:t>
      </w:r>
      <w:r>
        <w:rPr>
          <w:rFonts w:hint="eastAsia" w:ascii="宋体" w:hAnsi="宋体"/>
          <w:color w:val="auto"/>
          <w:sz w:val="21"/>
          <w:szCs w:val="21"/>
          <w:highlight w:val="none"/>
        </w:rPr>
        <w:t>的</w:t>
      </w:r>
      <w:r>
        <w:rPr>
          <w:rFonts w:ascii="宋体" w:hAnsi="宋体"/>
          <w:color w:val="auto"/>
          <w:sz w:val="21"/>
          <w:szCs w:val="21"/>
          <w:highlight w:val="none"/>
        </w:rPr>
        <w:t>；</w:t>
      </w:r>
    </w:p>
    <w:p>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w:t>
      </w:r>
      <w:r>
        <w:rPr>
          <w:rFonts w:hint="eastAsia" w:ascii="宋体" w:hAnsi="宋体"/>
          <w:color w:val="auto"/>
          <w:sz w:val="21"/>
          <w:szCs w:val="21"/>
          <w:highlight w:val="none"/>
          <w:lang w:val="en-US" w:eastAsia="zh-CN"/>
        </w:rPr>
        <w:t>7</w:t>
      </w:r>
      <w:r>
        <w:rPr>
          <w:rFonts w:ascii="宋体" w:hAnsi="宋体"/>
          <w:color w:val="auto"/>
          <w:sz w:val="21"/>
          <w:szCs w:val="21"/>
          <w:highlight w:val="none"/>
        </w:rPr>
        <w:t>）不符合法律、法规和</w:t>
      </w:r>
      <w:r>
        <w:rPr>
          <w:rFonts w:hint="eastAsia" w:ascii="宋体" w:hAnsi="宋体"/>
          <w:color w:val="auto"/>
          <w:sz w:val="21"/>
          <w:szCs w:val="21"/>
          <w:highlight w:val="none"/>
          <w:lang w:eastAsia="zh-CN"/>
        </w:rPr>
        <w:t>磋商</w:t>
      </w:r>
      <w:r>
        <w:rPr>
          <w:rFonts w:ascii="宋体" w:hAnsi="宋体"/>
          <w:color w:val="auto"/>
          <w:sz w:val="21"/>
          <w:szCs w:val="21"/>
          <w:highlight w:val="none"/>
        </w:rPr>
        <w:t>文件中规定的其他实质性要求的</w:t>
      </w:r>
      <w:r>
        <w:rPr>
          <w:rFonts w:hint="eastAsia" w:ascii="宋体" w:hAnsi="宋体"/>
          <w:color w:val="auto"/>
          <w:sz w:val="21"/>
          <w:szCs w:val="21"/>
          <w:highlight w:val="none"/>
        </w:rPr>
        <w:t>；</w:t>
      </w:r>
    </w:p>
    <w:p>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8</w:t>
      </w:r>
      <w:r>
        <w:rPr>
          <w:rFonts w:hint="eastAsia" w:ascii="宋体" w:hAnsi="宋体"/>
          <w:color w:val="auto"/>
          <w:sz w:val="21"/>
          <w:szCs w:val="21"/>
          <w:highlight w:val="none"/>
        </w:rPr>
        <w:t>）未按第四章“</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格式”中</w:t>
      </w:r>
      <w:r>
        <w:rPr>
          <w:rFonts w:ascii="宋体" w:hAnsi="宋体"/>
          <w:color w:val="auto"/>
          <w:sz w:val="21"/>
          <w:szCs w:val="21"/>
          <w:highlight w:val="none"/>
        </w:rPr>
        <w:t>的格式要求填写</w:t>
      </w:r>
      <w:r>
        <w:rPr>
          <w:rFonts w:hint="eastAsia" w:ascii="宋体" w:hAnsi="宋体"/>
          <w:color w:val="auto"/>
          <w:sz w:val="21"/>
          <w:szCs w:val="21"/>
          <w:highlight w:val="none"/>
        </w:rPr>
        <w:t>的；</w:t>
      </w:r>
    </w:p>
    <w:p>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9</w:t>
      </w:r>
      <w:r>
        <w:rPr>
          <w:rFonts w:hint="eastAsia" w:ascii="宋体" w:hAnsi="宋体"/>
          <w:color w:val="auto"/>
          <w:sz w:val="21"/>
          <w:szCs w:val="21"/>
          <w:highlight w:val="none"/>
        </w:rPr>
        <w:t>）未按规定购买本项目</w:t>
      </w:r>
      <w:r>
        <w:rPr>
          <w:rFonts w:hint="eastAsia" w:ascii="宋体" w:hAnsi="宋体"/>
          <w:color w:val="auto"/>
          <w:sz w:val="21"/>
          <w:szCs w:val="21"/>
          <w:highlight w:val="none"/>
          <w:lang w:eastAsia="zh-CN"/>
        </w:rPr>
        <w:t>磋商</w:t>
      </w:r>
      <w:r>
        <w:rPr>
          <w:rFonts w:ascii="宋体" w:hAnsi="宋体"/>
          <w:color w:val="auto"/>
          <w:sz w:val="21"/>
          <w:szCs w:val="21"/>
          <w:highlight w:val="none"/>
        </w:rPr>
        <w:t>文件</w:t>
      </w:r>
      <w:r>
        <w:rPr>
          <w:rFonts w:hint="eastAsia" w:ascii="宋体" w:hAnsi="宋体"/>
          <w:color w:val="auto"/>
          <w:sz w:val="21"/>
          <w:szCs w:val="21"/>
          <w:highlight w:val="none"/>
        </w:rPr>
        <w:t>的。</w:t>
      </w:r>
    </w:p>
    <w:p>
      <w:pPr>
        <w:keepNext w:val="0"/>
        <w:keepLines w:val="0"/>
        <w:pageBreakBefore w:val="0"/>
        <w:kinsoku/>
        <w:overflowPunct/>
        <w:topLinePunct w:val="0"/>
        <w:bidi w:val="0"/>
        <w:snapToGrid w:val="0"/>
        <w:spacing w:line="240" w:lineRule="auto"/>
        <w:ind w:firstLine="420"/>
        <w:jc w:val="left"/>
        <w:textAlignment w:val="auto"/>
        <w:rPr>
          <w:rFonts w:ascii="宋体" w:hAnsi="宋体"/>
          <w:b w:val="0"/>
          <w:bCs/>
          <w:color w:val="auto"/>
          <w:sz w:val="21"/>
          <w:szCs w:val="21"/>
          <w:highlight w:val="none"/>
        </w:rPr>
      </w:pPr>
      <w:r>
        <w:rPr>
          <w:rFonts w:hint="eastAsia" w:ascii="宋体" w:hAnsi="宋体"/>
          <w:b w:val="0"/>
          <w:bCs/>
          <w:color w:val="auto"/>
          <w:sz w:val="21"/>
          <w:szCs w:val="21"/>
          <w:highlight w:val="none"/>
        </w:rPr>
        <w:t>1</w:t>
      </w:r>
      <w:r>
        <w:rPr>
          <w:rFonts w:hint="eastAsia" w:ascii="宋体" w:hAnsi="宋体"/>
          <w:b w:val="0"/>
          <w:bCs/>
          <w:color w:val="auto"/>
          <w:sz w:val="21"/>
          <w:szCs w:val="21"/>
          <w:highlight w:val="none"/>
          <w:lang w:val="en-US" w:eastAsia="zh-CN"/>
        </w:rPr>
        <w:t>5</w:t>
      </w:r>
      <w:r>
        <w:rPr>
          <w:rFonts w:hint="eastAsia" w:ascii="宋体" w:hAnsi="宋体"/>
          <w:b w:val="0"/>
          <w:bCs/>
          <w:color w:val="auto"/>
          <w:sz w:val="21"/>
          <w:szCs w:val="21"/>
          <w:highlight w:val="none"/>
        </w:rPr>
        <w:t>.2</w:t>
      </w:r>
      <w:r>
        <w:rPr>
          <w:rFonts w:hint="eastAsia" w:ascii="宋体" w:hAnsi="宋体"/>
          <w:b w:val="0"/>
          <w:bCs/>
          <w:color w:val="auto"/>
          <w:sz w:val="21"/>
          <w:szCs w:val="21"/>
          <w:highlight w:val="none"/>
          <w:lang w:val="en-US" w:eastAsia="zh-CN"/>
        </w:rPr>
        <w:t>响应供应商</w:t>
      </w:r>
      <w:r>
        <w:rPr>
          <w:rFonts w:hint="eastAsia" w:ascii="宋体" w:hAnsi="宋体"/>
          <w:b w:val="0"/>
          <w:bCs/>
          <w:color w:val="auto"/>
          <w:sz w:val="21"/>
          <w:szCs w:val="21"/>
          <w:highlight w:val="none"/>
        </w:rPr>
        <w:t>有下列情形之一的视为</w:t>
      </w:r>
      <w:r>
        <w:rPr>
          <w:rFonts w:hint="eastAsia" w:ascii="宋体" w:hAnsi="宋体"/>
          <w:b w:val="0"/>
          <w:bCs/>
          <w:color w:val="auto"/>
          <w:sz w:val="21"/>
          <w:szCs w:val="21"/>
          <w:highlight w:val="none"/>
          <w:lang w:eastAsia="zh-CN"/>
        </w:rPr>
        <w:t>响应供应商</w:t>
      </w:r>
      <w:r>
        <w:rPr>
          <w:rFonts w:hint="eastAsia" w:ascii="宋体" w:hAnsi="宋体"/>
          <w:b w:val="0"/>
          <w:bCs/>
          <w:color w:val="auto"/>
          <w:sz w:val="21"/>
          <w:szCs w:val="21"/>
          <w:highlight w:val="none"/>
        </w:rPr>
        <w:t>相互串通投标，</w:t>
      </w:r>
      <w:r>
        <w:rPr>
          <w:rFonts w:hint="eastAsia" w:ascii="宋体" w:hAnsi="宋体"/>
          <w:b w:val="0"/>
          <w:bCs/>
          <w:color w:val="auto"/>
          <w:sz w:val="21"/>
          <w:szCs w:val="21"/>
          <w:highlight w:val="none"/>
          <w:lang w:val="en-US" w:eastAsia="zh-CN"/>
        </w:rPr>
        <w:t>响应</w:t>
      </w:r>
      <w:r>
        <w:rPr>
          <w:rFonts w:hint="eastAsia" w:ascii="宋体" w:hAnsi="宋体"/>
          <w:b w:val="0"/>
          <w:bCs/>
          <w:color w:val="auto"/>
          <w:sz w:val="21"/>
          <w:szCs w:val="21"/>
          <w:highlight w:val="none"/>
        </w:rPr>
        <w:t>文件将被视为无效：</w:t>
      </w:r>
    </w:p>
    <w:p>
      <w:pPr>
        <w:keepNext w:val="0"/>
        <w:keepLines w:val="0"/>
        <w:pageBreakBefore w:val="0"/>
        <w:kinsoku/>
        <w:overflowPunct/>
        <w:topLinePunct w:val="0"/>
        <w:bidi w:val="0"/>
        <w:snapToGrid w:val="0"/>
        <w:spacing w:line="240" w:lineRule="auto"/>
        <w:ind w:firstLine="420"/>
        <w:jc w:val="left"/>
        <w:textAlignment w:val="auto"/>
        <w:rPr>
          <w:rFonts w:ascii="宋体" w:hAnsi="宋体"/>
          <w:color w:val="auto"/>
          <w:sz w:val="21"/>
          <w:szCs w:val="21"/>
          <w:highlight w:val="none"/>
        </w:rPr>
      </w:pPr>
      <w:r>
        <w:rPr>
          <w:rFonts w:hint="eastAsia" w:ascii="宋体" w:hAnsi="宋体"/>
          <w:color w:val="auto"/>
          <w:sz w:val="21"/>
          <w:szCs w:val="21"/>
          <w:highlight w:val="none"/>
        </w:rPr>
        <w:t>（1）不同</w:t>
      </w:r>
      <w:r>
        <w:rPr>
          <w:rFonts w:hint="eastAsia" w:ascii="宋体" w:hAnsi="宋体"/>
          <w:color w:val="auto"/>
          <w:sz w:val="21"/>
          <w:szCs w:val="21"/>
          <w:highlight w:val="none"/>
          <w:lang w:val="en-US" w:eastAsia="zh-CN"/>
        </w:rPr>
        <w:t>响应供应商</w:t>
      </w:r>
      <w:r>
        <w:rPr>
          <w:rFonts w:hint="eastAsia" w:ascii="宋体" w:hAnsi="宋体"/>
          <w:color w:val="auto"/>
          <w:sz w:val="21"/>
          <w:szCs w:val="21"/>
          <w:highlight w:val="none"/>
        </w:rPr>
        <w:t>的</w:t>
      </w:r>
      <w:r>
        <w:rPr>
          <w:rFonts w:hint="eastAsia" w:ascii="宋体" w:hAnsi="宋体"/>
          <w:color w:val="auto"/>
          <w:sz w:val="21"/>
          <w:szCs w:val="21"/>
          <w:highlight w:val="none"/>
          <w:lang w:val="en-US" w:eastAsia="zh-CN"/>
        </w:rPr>
        <w:t>响应</w:t>
      </w:r>
      <w:r>
        <w:rPr>
          <w:rFonts w:hint="eastAsia" w:ascii="宋体" w:hAnsi="宋体"/>
          <w:color w:val="auto"/>
          <w:sz w:val="21"/>
          <w:szCs w:val="21"/>
          <w:highlight w:val="none"/>
        </w:rPr>
        <w:t>文件由同一单位或者个人编制；或不同</w:t>
      </w:r>
      <w:r>
        <w:rPr>
          <w:rFonts w:hint="eastAsia" w:ascii="宋体" w:hAnsi="宋体"/>
          <w:color w:val="auto"/>
          <w:sz w:val="21"/>
          <w:szCs w:val="21"/>
          <w:highlight w:val="none"/>
          <w:lang w:val="en-US" w:eastAsia="zh-CN"/>
        </w:rPr>
        <w:t>响应供应商</w:t>
      </w:r>
      <w:r>
        <w:rPr>
          <w:rFonts w:hint="eastAsia" w:ascii="宋体" w:hAnsi="宋体"/>
          <w:color w:val="auto"/>
          <w:sz w:val="21"/>
          <w:szCs w:val="21"/>
          <w:highlight w:val="none"/>
        </w:rPr>
        <w:t>报名的IP地址一致的；</w:t>
      </w:r>
    </w:p>
    <w:p>
      <w:pPr>
        <w:keepNext w:val="0"/>
        <w:keepLines w:val="0"/>
        <w:pageBreakBefore w:val="0"/>
        <w:kinsoku/>
        <w:overflowPunct/>
        <w:topLinePunct w:val="0"/>
        <w:bidi w:val="0"/>
        <w:snapToGrid w:val="0"/>
        <w:spacing w:line="240" w:lineRule="auto"/>
        <w:ind w:firstLine="420"/>
        <w:jc w:val="left"/>
        <w:textAlignment w:val="auto"/>
        <w:rPr>
          <w:rFonts w:ascii="宋体" w:hAnsi="宋体"/>
          <w:color w:val="auto"/>
          <w:sz w:val="21"/>
          <w:szCs w:val="21"/>
          <w:highlight w:val="none"/>
        </w:rPr>
      </w:pPr>
      <w:r>
        <w:rPr>
          <w:rFonts w:hint="eastAsia" w:ascii="宋体" w:hAnsi="宋体"/>
          <w:color w:val="auto"/>
          <w:sz w:val="21"/>
          <w:szCs w:val="21"/>
          <w:highlight w:val="none"/>
        </w:rPr>
        <w:t>（2）不同</w:t>
      </w:r>
      <w:r>
        <w:rPr>
          <w:rFonts w:hint="eastAsia" w:ascii="宋体" w:hAnsi="宋体"/>
          <w:color w:val="auto"/>
          <w:sz w:val="21"/>
          <w:szCs w:val="21"/>
          <w:highlight w:val="none"/>
          <w:lang w:val="en-US" w:eastAsia="zh-CN"/>
        </w:rPr>
        <w:t>响应供应商</w:t>
      </w:r>
      <w:r>
        <w:rPr>
          <w:rFonts w:hint="eastAsia" w:ascii="宋体" w:hAnsi="宋体"/>
          <w:color w:val="auto"/>
          <w:sz w:val="21"/>
          <w:szCs w:val="21"/>
          <w:highlight w:val="none"/>
        </w:rPr>
        <w:t>委托同一单位或者个人办理</w:t>
      </w:r>
      <w:r>
        <w:rPr>
          <w:rFonts w:hint="eastAsia" w:ascii="宋体" w:hAnsi="宋体"/>
          <w:color w:val="auto"/>
          <w:sz w:val="21"/>
          <w:szCs w:val="21"/>
          <w:highlight w:val="none"/>
          <w:lang w:val="en-US" w:eastAsia="zh-CN"/>
        </w:rPr>
        <w:t>磋商</w:t>
      </w:r>
      <w:r>
        <w:rPr>
          <w:rFonts w:hint="eastAsia" w:ascii="宋体" w:hAnsi="宋体"/>
          <w:color w:val="auto"/>
          <w:sz w:val="21"/>
          <w:szCs w:val="21"/>
          <w:highlight w:val="none"/>
        </w:rPr>
        <w:t>事宜；</w:t>
      </w:r>
    </w:p>
    <w:p>
      <w:pPr>
        <w:keepNext w:val="0"/>
        <w:keepLines w:val="0"/>
        <w:pageBreakBefore w:val="0"/>
        <w:kinsoku/>
        <w:overflowPunct/>
        <w:topLinePunct w:val="0"/>
        <w:bidi w:val="0"/>
        <w:snapToGrid w:val="0"/>
        <w:spacing w:line="240" w:lineRule="auto"/>
        <w:ind w:firstLine="420"/>
        <w:jc w:val="left"/>
        <w:textAlignment w:val="auto"/>
        <w:rPr>
          <w:rFonts w:ascii="宋体" w:hAnsi="宋体"/>
          <w:color w:val="auto"/>
          <w:sz w:val="21"/>
          <w:szCs w:val="21"/>
          <w:highlight w:val="none"/>
        </w:rPr>
      </w:pPr>
      <w:r>
        <w:rPr>
          <w:rFonts w:hint="eastAsia" w:ascii="宋体" w:hAnsi="宋体"/>
          <w:color w:val="auto"/>
          <w:sz w:val="21"/>
          <w:szCs w:val="21"/>
          <w:highlight w:val="none"/>
        </w:rPr>
        <w:t>（3）不同</w:t>
      </w:r>
      <w:r>
        <w:rPr>
          <w:rFonts w:hint="eastAsia" w:ascii="宋体" w:hAnsi="宋体"/>
          <w:color w:val="auto"/>
          <w:sz w:val="21"/>
          <w:szCs w:val="21"/>
          <w:highlight w:val="none"/>
          <w:lang w:val="en-US" w:eastAsia="zh-CN"/>
        </w:rPr>
        <w:t>响应供应商</w:t>
      </w:r>
      <w:r>
        <w:rPr>
          <w:rFonts w:hint="eastAsia" w:ascii="宋体" w:hAnsi="宋体"/>
          <w:color w:val="auto"/>
          <w:sz w:val="21"/>
          <w:szCs w:val="21"/>
          <w:highlight w:val="none"/>
        </w:rPr>
        <w:t>的</w:t>
      </w:r>
      <w:r>
        <w:rPr>
          <w:rFonts w:hint="eastAsia" w:ascii="宋体" w:hAnsi="宋体"/>
          <w:color w:val="auto"/>
          <w:sz w:val="21"/>
          <w:szCs w:val="21"/>
          <w:highlight w:val="none"/>
          <w:lang w:val="en-US" w:eastAsia="zh-CN"/>
        </w:rPr>
        <w:t>响应</w:t>
      </w:r>
      <w:r>
        <w:rPr>
          <w:rFonts w:hint="eastAsia" w:ascii="宋体" w:hAnsi="宋体"/>
          <w:color w:val="auto"/>
          <w:sz w:val="21"/>
          <w:szCs w:val="21"/>
          <w:highlight w:val="none"/>
        </w:rPr>
        <w:t>文件载明的项目管理员或项目实施人员为同一个人；</w:t>
      </w:r>
    </w:p>
    <w:p>
      <w:pPr>
        <w:keepNext w:val="0"/>
        <w:keepLines w:val="0"/>
        <w:pageBreakBefore w:val="0"/>
        <w:kinsoku/>
        <w:overflowPunct/>
        <w:topLinePunct w:val="0"/>
        <w:bidi w:val="0"/>
        <w:snapToGrid w:val="0"/>
        <w:spacing w:line="240" w:lineRule="auto"/>
        <w:ind w:firstLine="420"/>
        <w:jc w:val="left"/>
        <w:textAlignment w:val="auto"/>
        <w:rPr>
          <w:rFonts w:ascii="宋体" w:hAnsi="宋体"/>
          <w:color w:val="auto"/>
          <w:sz w:val="21"/>
          <w:szCs w:val="21"/>
          <w:highlight w:val="none"/>
        </w:rPr>
      </w:pPr>
      <w:r>
        <w:rPr>
          <w:rFonts w:hint="eastAsia" w:ascii="宋体" w:hAnsi="宋体"/>
          <w:color w:val="auto"/>
          <w:sz w:val="21"/>
          <w:szCs w:val="21"/>
          <w:highlight w:val="none"/>
        </w:rPr>
        <w:t>（4）不同</w:t>
      </w:r>
      <w:r>
        <w:rPr>
          <w:rFonts w:hint="eastAsia" w:ascii="宋体" w:hAnsi="宋体"/>
          <w:color w:val="auto"/>
          <w:sz w:val="21"/>
          <w:szCs w:val="21"/>
          <w:highlight w:val="none"/>
          <w:lang w:val="en-US" w:eastAsia="zh-CN"/>
        </w:rPr>
        <w:t>响应供应商</w:t>
      </w:r>
      <w:r>
        <w:rPr>
          <w:rFonts w:hint="eastAsia" w:ascii="宋体" w:hAnsi="宋体"/>
          <w:color w:val="auto"/>
          <w:sz w:val="21"/>
          <w:szCs w:val="21"/>
          <w:highlight w:val="none"/>
        </w:rPr>
        <w:t>的</w:t>
      </w:r>
      <w:r>
        <w:rPr>
          <w:rFonts w:hint="eastAsia" w:ascii="宋体" w:hAnsi="宋体"/>
          <w:color w:val="auto"/>
          <w:sz w:val="21"/>
          <w:szCs w:val="21"/>
          <w:highlight w:val="none"/>
          <w:lang w:val="en-US" w:eastAsia="zh-CN"/>
        </w:rPr>
        <w:t>响应</w:t>
      </w:r>
      <w:r>
        <w:rPr>
          <w:rFonts w:hint="eastAsia" w:ascii="宋体" w:hAnsi="宋体"/>
          <w:color w:val="auto"/>
          <w:sz w:val="21"/>
          <w:szCs w:val="21"/>
          <w:highlight w:val="none"/>
        </w:rPr>
        <w:t>文件异常一致或</w:t>
      </w:r>
      <w:r>
        <w:rPr>
          <w:rFonts w:hint="eastAsia" w:ascii="宋体" w:hAnsi="宋体"/>
          <w:color w:val="auto"/>
          <w:sz w:val="21"/>
          <w:szCs w:val="21"/>
          <w:highlight w:val="none"/>
          <w:lang w:val="en-US" w:eastAsia="zh-CN"/>
        </w:rPr>
        <w:t>磋商</w:t>
      </w:r>
      <w:r>
        <w:rPr>
          <w:rFonts w:hint="eastAsia" w:ascii="宋体" w:hAnsi="宋体"/>
          <w:color w:val="auto"/>
          <w:sz w:val="21"/>
          <w:szCs w:val="21"/>
          <w:highlight w:val="none"/>
        </w:rPr>
        <w:t>报价呈规律性差异；</w:t>
      </w:r>
    </w:p>
    <w:p>
      <w:pPr>
        <w:keepNext w:val="0"/>
        <w:keepLines w:val="0"/>
        <w:pageBreakBefore w:val="0"/>
        <w:kinsoku/>
        <w:overflowPunct/>
        <w:topLinePunct w:val="0"/>
        <w:bidi w:val="0"/>
        <w:snapToGrid w:val="0"/>
        <w:spacing w:line="240" w:lineRule="auto"/>
        <w:ind w:firstLine="420"/>
        <w:jc w:val="left"/>
        <w:textAlignment w:val="auto"/>
        <w:rPr>
          <w:rFonts w:ascii="宋体" w:hAnsi="宋体"/>
          <w:color w:val="auto"/>
          <w:sz w:val="21"/>
          <w:szCs w:val="21"/>
          <w:highlight w:val="none"/>
        </w:rPr>
      </w:pPr>
      <w:r>
        <w:rPr>
          <w:rFonts w:hint="eastAsia" w:ascii="宋体" w:hAnsi="宋体"/>
          <w:color w:val="auto"/>
          <w:sz w:val="21"/>
          <w:szCs w:val="21"/>
          <w:highlight w:val="none"/>
        </w:rPr>
        <w:t>（5）不同</w:t>
      </w:r>
      <w:r>
        <w:rPr>
          <w:rFonts w:hint="eastAsia" w:ascii="宋体" w:hAnsi="宋体"/>
          <w:color w:val="auto"/>
          <w:sz w:val="21"/>
          <w:szCs w:val="21"/>
          <w:highlight w:val="none"/>
          <w:lang w:val="en-US" w:eastAsia="zh-CN"/>
        </w:rPr>
        <w:t>响应供应商</w:t>
      </w:r>
      <w:r>
        <w:rPr>
          <w:rFonts w:hint="eastAsia" w:ascii="宋体" w:hAnsi="宋体"/>
          <w:color w:val="auto"/>
          <w:sz w:val="21"/>
          <w:szCs w:val="21"/>
          <w:highlight w:val="none"/>
        </w:rPr>
        <w:t>的</w:t>
      </w:r>
      <w:r>
        <w:rPr>
          <w:rFonts w:hint="eastAsia" w:ascii="宋体" w:hAnsi="宋体"/>
          <w:color w:val="auto"/>
          <w:sz w:val="21"/>
          <w:szCs w:val="21"/>
          <w:highlight w:val="none"/>
          <w:lang w:val="en-US" w:eastAsia="zh-CN"/>
        </w:rPr>
        <w:t>响应</w:t>
      </w:r>
      <w:r>
        <w:rPr>
          <w:rFonts w:hint="eastAsia" w:ascii="宋体" w:hAnsi="宋体"/>
          <w:color w:val="auto"/>
          <w:sz w:val="21"/>
          <w:szCs w:val="21"/>
          <w:highlight w:val="none"/>
        </w:rPr>
        <w:t>文件相互混装；</w:t>
      </w:r>
    </w:p>
    <w:p>
      <w:pPr>
        <w:keepNext w:val="0"/>
        <w:keepLines w:val="0"/>
        <w:pageBreakBefore w:val="0"/>
        <w:kinsoku/>
        <w:overflowPunct/>
        <w:topLinePunct w:val="0"/>
        <w:bidi w:val="0"/>
        <w:snapToGrid w:val="0"/>
        <w:spacing w:line="240" w:lineRule="auto"/>
        <w:ind w:firstLine="420"/>
        <w:jc w:val="left"/>
        <w:textAlignment w:val="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rPr>
        <w:t>（6）不同</w:t>
      </w:r>
      <w:r>
        <w:rPr>
          <w:rFonts w:hint="eastAsia" w:ascii="宋体" w:hAnsi="宋体"/>
          <w:color w:val="auto"/>
          <w:sz w:val="21"/>
          <w:szCs w:val="21"/>
          <w:highlight w:val="none"/>
          <w:lang w:val="en-US" w:eastAsia="zh-CN"/>
        </w:rPr>
        <w:t>响应供应商</w:t>
      </w:r>
      <w:r>
        <w:rPr>
          <w:rFonts w:hint="eastAsia" w:ascii="宋体" w:hAnsi="宋体"/>
          <w:color w:val="auto"/>
          <w:sz w:val="21"/>
          <w:szCs w:val="21"/>
          <w:highlight w:val="none"/>
        </w:rPr>
        <w:t>的保证金从同一单位或者个人账户转出</w:t>
      </w:r>
      <w:r>
        <w:rPr>
          <w:rFonts w:hint="eastAsia" w:ascii="宋体" w:hAnsi="宋体"/>
          <w:color w:val="auto"/>
          <w:sz w:val="21"/>
          <w:szCs w:val="21"/>
          <w:highlight w:val="none"/>
          <w:lang w:eastAsia="zh-CN"/>
        </w:rPr>
        <w:t>。</w:t>
      </w:r>
    </w:p>
    <w:p>
      <w:pPr>
        <w:keepNext w:val="0"/>
        <w:keepLines w:val="0"/>
        <w:pageBreakBefore w:val="0"/>
        <w:kinsoku/>
        <w:overflowPunct/>
        <w:topLinePunct w:val="0"/>
        <w:bidi w:val="0"/>
        <w:snapToGrid w:val="0"/>
        <w:spacing w:line="240" w:lineRule="auto"/>
        <w:ind w:firstLine="420"/>
        <w:jc w:val="left"/>
        <w:textAlignment w:val="auto"/>
        <w:rPr>
          <w:rFonts w:ascii="宋体" w:hAnsi="宋体"/>
          <w:b w:val="0"/>
          <w:bCs/>
          <w:color w:val="auto"/>
          <w:sz w:val="21"/>
          <w:szCs w:val="21"/>
          <w:highlight w:val="none"/>
        </w:rPr>
      </w:pPr>
      <w:r>
        <w:rPr>
          <w:rFonts w:hint="eastAsia" w:ascii="宋体" w:hAnsi="宋体"/>
          <w:b w:val="0"/>
          <w:bCs/>
          <w:color w:val="auto"/>
          <w:sz w:val="21"/>
          <w:szCs w:val="21"/>
          <w:highlight w:val="none"/>
        </w:rPr>
        <w:t>1</w:t>
      </w:r>
      <w:r>
        <w:rPr>
          <w:rFonts w:hint="eastAsia" w:ascii="宋体" w:hAnsi="宋体"/>
          <w:b w:val="0"/>
          <w:bCs/>
          <w:color w:val="auto"/>
          <w:sz w:val="21"/>
          <w:szCs w:val="21"/>
          <w:highlight w:val="none"/>
          <w:lang w:val="en-US" w:eastAsia="zh-CN"/>
        </w:rPr>
        <w:t>5</w:t>
      </w:r>
      <w:r>
        <w:rPr>
          <w:rFonts w:hint="eastAsia" w:ascii="宋体" w:hAnsi="宋体"/>
          <w:b w:val="0"/>
          <w:bCs/>
          <w:color w:val="auto"/>
          <w:sz w:val="21"/>
          <w:szCs w:val="21"/>
          <w:highlight w:val="none"/>
        </w:rPr>
        <w:t>.3关联供应商不得参加同一合同项下</w:t>
      </w:r>
      <w:r>
        <w:rPr>
          <w:rFonts w:hint="eastAsia" w:ascii="宋体" w:hAnsi="宋体"/>
          <w:b w:val="0"/>
          <w:bCs/>
          <w:color w:val="auto"/>
          <w:sz w:val="21"/>
          <w:szCs w:val="21"/>
          <w:highlight w:val="none"/>
          <w:lang w:eastAsia="zh-CN"/>
        </w:rPr>
        <w:t>院内</w:t>
      </w:r>
      <w:r>
        <w:rPr>
          <w:rFonts w:hint="eastAsia" w:ascii="宋体" w:hAnsi="宋体"/>
          <w:b w:val="0"/>
          <w:bCs/>
          <w:color w:val="auto"/>
          <w:sz w:val="21"/>
          <w:szCs w:val="21"/>
          <w:highlight w:val="none"/>
        </w:rPr>
        <w:t>采购活动，否则</w:t>
      </w:r>
      <w:r>
        <w:rPr>
          <w:rFonts w:hint="eastAsia" w:ascii="宋体" w:hAnsi="宋体"/>
          <w:b w:val="0"/>
          <w:bCs/>
          <w:color w:val="auto"/>
          <w:sz w:val="21"/>
          <w:szCs w:val="21"/>
          <w:highlight w:val="none"/>
          <w:lang w:val="en-US" w:eastAsia="zh-CN"/>
        </w:rPr>
        <w:t>响应</w:t>
      </w:r>
      <w:r>
        <w:rPr>
          <w:rFonts w:hint="eastAsia" w:ascii="宋体" w:hAnsi="宋体"/>
          <w:b w:val="0"/>
          <w:bCs/>
          <w:color w:val="auto"/>
          <w:sz w:val="21"/>
          <w:szCs w:val="21"/>
          <w:highlight w:val="none"/>
        </w:rPr>
        <w:t>文件将被视为无效：</w:t>
      </w:r>
    </w:p>
    <w:p>
      <w:pPr>
        <w:keepNext w:val="0"/>
        <w:keepLines w:val="0"/>
        <w:pageBreakBefore w:val="0"/>
        <w:kinsoku/>
        <w:overflowPunct/>
        <w:topLinePunct w:val="0"/>
        <w:bidi w:val="0"/>
        <w:spacing w:line="240" w:lineRule="auto"/>
        <w:ind w:firstLine="420" w:firstLineChars="200"/>
        <w:textAlignment w:val="auto"/>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（1）单位负责人为同一人或者存在直接控股、管理关系的不同的供应商，不得参加同一合同项下的院内采购活动；</w:t>
      </w:r>
    </w:p>
    <w:p>
      <w:pPr>
        <w:keepNext w:val="0"/>
        <w:keepLines w:val="0"/>
        <w:pageBreakBefore w:val="0"/>
        <w:kinsoku/>
        <w:overflowPunct/>
        <w:topLinePunct w:val="0"/>
        <w:bidi w:val="0"/>
        <w:spacing w:line="240" w:lineRule="auto"/>
        <w:ind w:firstLine="420" w:firstLineChars="200"/>
        <w:textAlignment w:val="auto"/>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（2）生产厂商授权给供应商后自己不得参加同一合同项下的院内采购活动。</w:t>
      </w:r>
    </w:p>
    <w:p>
      <w:pPr>
        <w:keepNext w:val="0"/>
        <w:keepLines w:val="0"/>
        <w:pageBreakBefore w:val="0"/>
        <w:kinsoku/>
        <w:overflowPunct/>
        <w:topLinePunct w:val="0"/>
        <w:bidi w:val="0"/>
        <w:spacing w:line="240" w:lineRule="auto"/>
        <w:ind w:firstLine="422" w:firstLineChars="200"/>
        <w:textAlignment w:val="auto"/>
        <w:rPr>
          <w:rFonts w:ascii="宋体" w:hAnsi="宋体"/>
          <w:b/>
          <w:color w:val="auto"/>
          <w:sz w:val="21"/>
          <w:szCs w:val="21"/>
          <w:highlight w:val="none"/>
        </w:rPr>
      </w:pPr>
      <w:r>
        <w:rPr>
          <w:rFonts w:hint="eastAsia" w:ascii="宋体" w:hAnsi="宋体"/>
          <w:b/>
          <w:color w:val="auto"/>
          <w:sz w:val="21"/>
          <w:szCs w:val="21"/>
          <w:highlight w:val="none"/>
        </w:rPr>
        <w:t>六、确定成交供应商</w:t>
      </w:r>
    </w:p>
    <w:p>
      <w:pPr>
        <w:keepNext w:val="0"/>
        <w:keepLines w:val="0"/>
        <w:pageBreakBefore w:val="0"/>
        <w:widowControl/>
        <w:tabs>
          <w:tab w:val="left" w:pos="540"/>
        </w:tabs>
        <w:kinsoku/>
        <w:overflowPunct/>
        <w:topLinePunct w:val="0"/>
        <w:bidi w:val="0"/>
        <w:spacing w:line="24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w:t>
      </w:r>
      <w:r>
        <w:rPr>
          <w:rFonts w:hint="eastAsia" w:ascii="宋体" w:hAnsi="宋体"/>
          <w:b/>
          <w:color w:val="auto"/>
          <w:sz w:val="21"/>
          <w:szCs w:val="21"/>
          <w:highlight w:val="none"/>
        </w:rPr>
        <w:t xml:space="preserve"> </w:t>
      </w:r>
      <w:r>
        <w:rPr>
          <w:rFonts w:hint="eastAsia" w:ascii="宋体" w:hAnsi="宋体"/>
          <w:color w:val="auto"/>
          <w:sz w:val="21"/>
          <w:szCs w:val="21"/>
          <w:highlight w:val="none"/>
        </w:rPr>
        <w:t>确定成交供应商办法</w:t>
      </w:r>
    </w:p>
    <w:p>
      <w:pPr>
        <w:keepNext w:val="0"/>
        <w:keepLines w:val="0"/>
        <w:pageBreakBefore w:val="0"/>
        <w:kinsoku/>
        <w:overflowPunct/>
        <w:topLinePunct w:val="0"/>
        <w:bidi w:val="0"/>
        <w:spacing w:line="240" w:lineRule="auto"/>
        <w:ind w:firstLine="420" w:firstLineChars="200"/>
        <w:textAlignment w:val="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1经</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确定最终采购需求和提交最后报价的供应商后，</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小组成员将按照客观、公正、审慎的原则，根据</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文件规定的评审程序、评审方法和评审标准</w:t>
      </w:r>
      <w:r>
        <w:rPr>
          <w:rFonts w:hint="eastAsia" w:ascii="宋体" w:hAnsi="宋体"/>
          <w:color w:val="auto"/>
          <w:sz w:val="21"/>
          <w:szCs w:val="21"/>
          <w:highlight w:val="none"/>
          <w:lang w:eastAsia="zh-CN"/>
        </w:rPr>
        <w:t>，</w:t>
      </w:r>
      <w:r>
        <w:rPr>
          <w:rFonts w:hint="eastAsia" w:ascii="宋体" w:hAnsi="宋体"/>
          <w:color w:val="auto"/>
          <w:sz w:val="21"/>
          <w:szCs w:val="21"/>
          <w:highlight w:val="none"/>
        </w:rPr>
        <w:t>对提交最后报价的供应商的响应文件和最后报价进行独立评审</w:t>
      </w:r>
      <w:r>
        <w:rPr>
          <w:rFonts w:hint="eastAsia" w:ascii="宋体" w:hAnsi="宋体"/>
          <w:color w:val="auto"/>
          <w:sz w:val="21"/>
          <w:szCs w:val="21"/>
          <w:highlight w:val="none"/>
          <w:lang w:eastAsia="zh-CN"/>
        </w:rPr>
        <w:t>。</w:t>
      </w:r>
    </w:p>
    <w:p>
      <w:pPr>
        <w:keepNext w:val="0"/>
        <w:keepLines w:val="0"/>
        <w:pageBreakBefore w:val="0"/>
        <w:widowControl/>
        <w:tabs>
          <w:tab w:val="left" w:pos="540"/>
        </w:tabs>
        <w:kinsoku/>
        <w:overflowPunct/>
        <w:topLinePunct w:val="0"/>
        <w:bidi w:val="0"/>
        <w:spacing w:line="24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.2本项目采用综合评分法</w:t>
      </w:r>
      <w:r>
        <w:rPr>
          <w:rFonts w:hint="eastAsia" w:ascii="宋体" w:hAnsi="宋体"/>
          <w:color w:val="auto"/>
          <w:sz w:val="21"/>
          <w:szCs w:val="21"/>
          <w:highlight w:val="none"/>
          <w:lang w:eastAsia="zh-CN"/>
        </w:rPr>
        <w:t>，</w:t>
      </w:r>
      <w:r>
        <w:rPr>
          <w:rFonts w:hint="eastAsia" w:ascii="宋体" w:hAnsi="宋体"/>
          <w:color w:val="auto"/>
          <w:sz w:val="21"/>
          <w:szCs w:val="21"/>
          <w:highlight w:val="none"/>
        </w:rPr>
        <w:t>评审原则、评审内容、评分标准、成交候选供应商推荐及成交供应商确定原则详见“</w:t>
      </w:r>
      <w:r>
        <w:rPr>
          <w:rFonts w:hint="eastAsia" w:ascii="宋体" w:hAnsi="宋体"/>
          <w:color w:val="auto"/>
          <w:sz w:val="21"/>
          <w:szCs w:val="21"/>
          <w:highlight w:val="none"/>
          <w:lang w:eastAsia="zh-CN"/>
        </w:rPr>
        <w:t>第四章 评审方法</w:t>
      </w:r>
      <w:r>
        <w:rPr>
          <w:rFonts w:hint="eastAsia" w:ascii="宋体" w:hAnsi="宋体"/>
          <w:color w:val="auto"/>
          <w:sz w:val="21"/>
          <w:szCs w:val="21"/>
          <w:highlight w:val="none"/>
        </w:rPr>
        <w:t>”。</w:t>
      </w:r>
    </w:p>
    <w:p>
      <w:pPr>
        <w:keepNext w:val="0"/>
        <w:keepLines w:val="0"/>
        <w:pageBreakBefore w:val="0"/>
        <w:widowControl/>
        <w:tabs>
          <w:tab w:val="left" w:pos="540"/>
        </w:tabs>
        <w:kinsoku/>
        <w:overflowPunct/>
        <w:topLinePunct w:val="0"/>
        <w:bidi w:val="0"/>
        <w:spacing w:line="24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.3</w:t>
      </w:r>
      <w:r>
        <w:rPr>
          <w:rFonts w:ascii="宋体" w:hAnsi="宋体"/>
          <w:color w:val="auto"/>
          <w:sz w:val="21"/>
          <w:szCs w:val="21"/>
          <w:highlight w:val="none"/>
        </w:rPr>
        <w:t>采购人</w:t>
      </w:r>
      <w:r>
        <w:rPr>
          <w:rFonts w:hint="eastAsia" w:ascii="宋体" w:hAnsi="宋体"/>
          <w:color w:val="auto"/>
          <w:sz w:val="21"/>
          <w:szCs w:val="21"/>
          <w:highlight w:val="none"/>
        </w:rPr>
        <w:t>将</w:t>
      </w:r>
      <w:r>
        <w:rPr>
          <w:rFonts w:hint="eastAsia" w:ascii="宋体" w:hAnsi="宋体"/>
          <w:color w:val="auto"/>
          <w:sz w:val="21"/>
          <w:szCs w:val="21"/>
          <w:highlight w:val="none"/>
          <w:lang w:val="en-US" w:eastAsia="zh-CN"/>
        </w:rPr>
        <w:t>根据供应商总分排名</w:t>
      </w:r>
      <w:r>
        <w:rPr>
          <w:rFonts w:ascii="宋体" w:hAnsi="宋体"/>
          <w:color w:val="auto"/>
          <w:sz w:val="21"/>
          <w:szCs w:val="21"/>
          <w:highlight w:val="none"/>
        </w:rPr>
        <w:t>，按照</w:t>
      </w:r>
      <w:r>
        <w:rPr>
          <w:rFonts w:hint="eastAsia" w:ascii="宋体" w:hAnsi="宋体"/>
          <w:color w:val="auto"/>
          <w:sz w:val="21"/>
          <w:szCs w:val="21"/>
          <w:highlight w:val="none"/>
        </w:rPr>
        <w:t>成交</w:t>
      </w:r>
      <w:r>
        <w:rPr>
          <w:rFonts w:hint="eastAsia" w:ascii="宋体" w:hAnsi="宋体"/>
          <w:color w:val="auto"/>
          <w:sz w:val="21"/>
          <w:szCs w:val="21"/>
          <w:highlight w:val="none"/>
          <w:lang w:val="en-US" w:eastAsia="zh-CN"/>
        </w:rPr>
        <w:t>标准</w:t>
      </w:r>
      <w:r>
        <w:rPr>
          <w:rFonts w:hint="eastAsia" w:ascii="宋体" w:hAnsi="宋体"/>
          <w:color w:val="auto"/>
          <w:sz w:val="21"/>
          <w:szCs w:val="21"/>
          <w:highlight w:val="none"/>
        </w:rPr>
        <w:t>确定</w:t>
      </w:r>
      <w:r>
        <w:rPr>
          <w:rFonts w:hint="eastAsia" w:ascii="宋体" w:hAnsi="宋体"/>
          <w:color w:val="auto"/>
          <w:sz w:val="21"/>
          <w:szCs w:val="21"/>
          <w:highlight w:val="none"/>
          <w:lang w:val="en-US" w:eastAsia="zh-CN"/>
        </w:rPr>
        <w:t>最终</w:t>
      </w:r>
      <w:r>
        <w:rPr>
          <w:rFonts w:ascii="宋体" w:hAnsi="宋体"/>
          <w:color w:val="auto"/>
          <w:sz w:val="21"/>
          <w:szCs w:val="21"/>
          <w:highlight w:val="none"/>
        </w:rPr>
        <w:t>成交供应商</w:t>
      </w:r>
      <w:r>
        <w:rPr>
          <w:rFonts w:hint="eastAsia" w:ascii="宋体" w:hAnsi="宋体"/>
          <w:color w:val="auto"/>
          <w:sz w:val="21"/>
          <w:szCs w:val="21"/>
          <w:highlight w:val="none"/>
        </w:rPr>
        <w:t>。</w:t>
      </w:r>
    </w:p>
    <w:p>
      <w:pPr>
        <w:keepNext w:val="0"/>
        <w:keepLines w:val="0"/>
        <w:pageBreakBefore w:val="0"/>
        <w:kinsoku/>
        <w:overflowPunct/>
        <w:topLinePunct w:val="0"/>
        <w:bidi w:val="0"/>
        <w:spacing w:line="240" w:lineRule="auto"/>
        <w:ind w:firstLine="422" w:firstLineChars="200"/>
        <w:textAlignment w:val="auto"/>
        <w:rPr>
          <w:rFonts w:ascii="宋体" w:hAnsi="宋体"/>
          <w:b/>
          <w:color w:val="auto"/>
          <w:sz w:val="21"/>
          <w:szCs w:val="21"/>
          <w:highlight w:val="none"/>
        </w:rPr>
      </w:pPr>
      <w:r>
        <w:rPr>
          <w:rFonts w:hint="eastAsia" w:ascii="宋体" w:hAnsi="宋体"/>
          <w:b/>
          <w:color w:val="auto"/>
          <w:sz w:val="21"/>
          <w:szCs w:val="21"/>
          <w:highlight w:val="none"/>
        </w:rPr>
        <w:t>七、签订合同</w:t>
      </w:r>
    </w:p>
    <w:p>
      <w:pPr>
        <w:keepNext w:val="0"/>
        <w:keepLines w:val="0"/>
        <w:pageBreakBefore w:val="0"/>
        <w:widowControl/>
        <w:tabs>
          <w:tab w:val="left" w:pos="540"/>
        </w:tabs>
        <w:kinsoku/>
        <w:overflowPunct/>
        <w:topLinePunct w:val="0"/>
        <w:bidi w:val="0"/>
        <w:spacing w:line="24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7</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发布采购结果公告后</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成交</w:t>
      </w:r>
      <w:r>
        <w:rPr>
          <w:rFonts w:hint="eastAsia" w:ascii="宋体" w:hAnsi="宋体"/>
          <w:color w:val="auto"/>
          <w:sz w:val="21"/>
          <w:szCs w:val="21"/>
          <w:highlight w:val="none"/>
        </w:rPr>
        <w:t>供应商按规定与采购人签订采购合同。</w:t>
      </w:r>
    </w:p>
    <w:p>
      <w:pPr>
        <w:keepNext w:val="0"/>
        <w:keepLines w:val="0"/>
        <w:pageBreakBefore w:val="0"/>
        <w:kinsoku/>
        <w:overflowPunct/>
        <w:topLinePunct w:val="0"/>
        <w:bidi w:val="0"/>
        <w:spacing w:line="240" w:lineRule="auto"/>
        <w:ind w:firstLine="422" w:firstLineChars="200"/>
        <w:textAlignment w:val="auto"/>
        <w:rPr>
          <w:rFonts w:ascii="宋体" w:hAnsi="宋体"/>
          <w:b/>
          <w:color w:val="auto"/>
          <w:sz w:val="21"/>
          <w:szCs w:val="21"/>
          <w:highlight w:val="none"/>
        </w:rPr>
      </w:pPr>
      <w:r>
        <w:rPr>
          <w:rFonts w:hint="eastAsia" w:ascii="宋体" w:hAnsi="宋体"/>
          <w:b/>
          <w:color w:val="auto"/>
          <w:sz w:val="21"/>
          <w:szCs w:val="21"/>
          <w:highlight w:val="none"/>
        </w:rPr>
        <w:t>八、适用法律</w:t>
      </w:r>
    </w:p>
    <w:p>
      <w:pPr>
        <w:keepNext w:val="0"/>
        <w:keepLines w:val="0"/>
        <w:pageBreakBefore w:val="0"/>
        <w:widowControl/>
        <w:tabs>
          <w:tab w:val="left" w:pos="540"/>
        </w:tabs>
        <w:kinsoku/>
        <w:overflowPunct/>
        <w:topLinePunct w:val="0"/>
        <w:bidi w:val="0"/>
        <w:spacing w:line="24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8</w:t>
      </w:r>
      <w:r>
        <w:rPr>
          <w:rFonts w:hint="eastAsia" w:ascii="宋体" w:hAnsi="宋体"/>
          <w:color w:val="auto"/>
          <w:sz w:val="21"/>
          <w:szCs w:val="21"/>
          <w:highlight w:val="none"/>
        </w:rPr>
        <w:t>.采购当事人的一切活动</w:t>
      </w:r>
      <w:r>
        <w:rPr>
          <w:rFonts w:hint="eastAsia" w:ascii="宋体" w:hAnsi="宋体"/>
          <w:color w:val="auto"/>
          <w:sz w:val="21"/>
          <w:szCs w:val="21"/>
          <w:highlight w:val="none"/>
          <w:lang w:val="en-US" w:eastAsia="zh-CN"/>
        </w:rPr>
        <w:t>符合</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中华人民共和国民法典</w:t>
      </w:r>
      <w:r>
        <w:rPr>
          <w:rFonts w:hint="eastAsia" w:ascii="宋体" w:hAnsi="宋体"/>
          <w:color w:val="auto"/>
          <w:sz w:val="21"/>
          <w:szCs w:val="21"/>
          <w:highlight w:val="none"/>
          <w:lang w:eastAsia="zh-CN"/>
        </w:rPr>
        <w:t>》</w:t>
      </w:r>
      <w:r>
        <w:rPr>
          <w:rFonts w:hint="eastAsia" w:ascii="宋体" w:hAnsi="宋体"/>
          <w:color w:val="auto"/>
          <w:sz w:val="21"/>
          <w:szCs w:val="21"/>
          <w:highlight w:val="none"/>
        </w:rPr>
        <w:t>及相关规定。</w:t>
      </w:r>
    </w:p>
    <w:p>
      <w:pPr>
        <w:keepNext w:val="0"/>
        <w:keepLines w:val="0"/>
        <w:pageBreakBefore w:val="0"/>
        <w:kinsoku/>
        <w:overflowPunct/>
        <w:topLinePunct w:val="0"/>
        <w:bidi w:val="0"/>
        <w:snapToGrid w:val="0"/>
        <w:spacing w:line="240" w:lineRule="auto"/>
        <w:ind w:firstLine="413" w:firstLineChars="196"/>
        <w:textAlignment w:val="auto"/>
        <w:outlineLvl w:val="1"/>
        <w:rPr>
          <w:rFonts w:ascii="宋体" w:hAnsi="宋体"/>
          <w:b/>
          <w:color w:val="auto"/>
          <w:sz w:val="21"/>
          <w:szCs w:val="21"/>
          <w:highlight w:val="none"/>
        </w:rPr>
      </w:pPr>
      <w:r>
        <w:rPr>
          <w:rFonts w:hint="eastAsia" w:ascii="宋体" w:hAnsi="宋体"/>
          <w:b/>
          <w:color w:val="auto"/>
          <w:sz w:val="21"/>
          <w:szCs w:val="21"/>
          <w:highlight w:val="none"/>
        </w:rPr>
        <w:t>九、</w:t>
      </w:r>
      <w:bookmarkStart w:id="15" w:name="_Toc254970673"/>
      <w:bookmarkStart w:id="16" w:name="_Toc254970532"/>
      <w:r>
        <w:rPr>
          <w:rFonts w:hint="eastAsia" w:ascii="宋体" w:hAnsi="宋体"/>
          <w:b/>
          <w:color w:val="auto"/>
          <w:sz w:val="21"/>
          <w:szCs w:val="21"/>
          <w:highlight w:val="none"/>
        </w:rPr>
        <w:t>特别说明：</w:t>
      </w:r>
      <w:bookmarkEnd w:id="15"/>
      <w:bookmarkEnd w:id="16"/>
    </w:p>
    <w:p>
      <w:pPr>
        <w:keepNext w:val="0"/>
        <w:keepLines w:val="0"/>
        <w:pageBreakBefore w:val="0"/>
        <w:widowControl/>
        <w:tabs>
          <w:tab w:val="left" w:pos="540"/>
        </w:tabs>
        <w:kinsoku/>
        <w:overflowPunct/>
        <w:topLinePunct w:val="0"/>
        <w:bidi w:val="0"/>
        <w:spacing w:line="24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9</w:t>
      </w:r>
      <w:r>
        <w:rPr>
          <w:rFonts w:hint="eastAsia" w:ascii="宋体" w:hAnsi="宋体"/>
          <w:color w:val="auto"/>
          <w:sz w:val="21"/>
          <w:szCs w:val="21"/>
          <w:highlight w:val="none"/>
        </w:rPr>
        <w:t>.供应商</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所使用的资格、信誉、荣誉、业绩与企业认证必须为本法人所拥有。供应商</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所使用的采购项目实施人员必须为本法人或控股公司员工。</w:t>
      </w:r>
    </w:p>
    <w:p>
      <w:pPr>
        <w:keepNext w:val="0"/>
        <w:keepLines w:val="0"/>
        <w:pageBreakBefore w:val="0"/>
        <w:widowControl/>
        <w:tabs>
          <w:tab w:val="left" w:pos="540"/>
        </w:tabs>
        <w:kinsoku/>
        <w:overflowPunct/>
        <w:topLinePunct w:val="0"/>
        <w:bidi w:val="0"/>
        <w:spacing w:line="24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20</w:t>
      </w:r>
      <w:r>
        <w:rPr>
          <w:rFonts w:hint="eastAsia" w:ascii="宋体" w:hAnsi="宋体"/>
          <w:color w:val="auto"/>
          <w:sz w:val="21"/>
          <w:szCs w:val="21"/>
          <w:highlight w:val="none"/>
        </w:rPr>
        <w:t>.供应商应仔细阅读</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文件的所有内容，按照</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文件的要求提交响应文件，并对所提供的全部资料的真实性承担法律责任。</w:t>
      </w:r>
    </w:p>
    <w:p>
      <w:pPr>
        <w:keepNext w:val="0"/>
        <w:keepLines w:val="0"/>
        <w:pageBreakBefore w:val="0"/>
        <w:widowControl/>
        <w:tabs>
          <w:tab w:val="left" w:pos="540"/>
        </w:tabs>
        <w:kinsoku/>
        <w:overflowPunct/>
        <w:topLinePunct w:val="0"/>
        <w:bidi w:val="0"/>
        <w:spacing w:line="24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21</w:t>
      </w:r>
      <w:r>
        <w:rPr>
          <w:rFonts w:hint="eastAsia" w:ascii="宋体" w:hAnsi="宋体"/>
          <w:color w:val="auto"/>
          <w:sz w:val="21"/>
          <w:szCs w:val="21"/>
          <w:highlight w:val="none"/>
        </w:rPr>
        <w:t>.供应商在</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活动中提供任何虚假材料，其</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响应无效，并报监管部门查处；成交后发现的，成交供应商须依照《中华人民共和国消费者权益保护法》第49条之规定双倍赔偿采购人，且民事赔偿并不免除违法供应商的行政与刑事责任。</w:t>
      </w:r>
    </w:p>
    <w:p>
      <w:pPr>
        <w:keepNext w:val="0"/>
        <w:keepLines w:val="0"/>
        <w:pageBreakBefore w:val="0"/>
        <w:widowControl/>
        <w:tabs>
          <w:tab w:val="left" w:pos="540"/>
        </w:tabs>
        <w:kinsoku/>
        <w:overflowPunct/>
        <w:topLinePunct w:val="0"/>
        <w:bidi w:val="0"/>
        <w:spacing w:line="24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▲2</w:t>
      </w:r>
      <w:r>
        <w:rPr>
          <w:rFonts w:hint="eastAsia" w:ascii="宋体" w:hAnsi="宋体"/>
          <w:color w:val="auto"/>
          <w:sz w:val="21"/>
          <w:szCs w:val="21"/>
          <w:highlight w:val="none"/>
          <w:lang w:val="en-US" w:eastAsia="zh-CN"/>
        </w:rPr>
        <w:t>2</w:t>
      </w:r>
      <w:r>
        <w:rPr>
          <w:rFonts w:hint="eastAsia" w:ascii="宋体" w:hAnsi="宋体"/>
          <w:color w:val="auto"/>
          <w:sz w:val="21"/>
          <w:szCs w:val="21"/>
          <w:highlight w:val="none"/>
        </w:rPr>
        <w:t>.根据财政部《关于在政府采购活动中查询及使用信用记录有关问题的通知》（财库〔2016〕125号）的规定，在本项目</w:t>
      </w:r>
      <w:r>
        <w:rPr>
          <w:rFonts w:hint="eastAsia" w:ascii="宋体" w:hAnsi="宋体"/>
          <w:b/>
          <w:color w:val="auto"/>
          <w:sz w:val="21"/>
          <w:szCs w:val="21"/>
          <w:highlight w:val="none"/>
          <w:lang w:eastAsia="zh-CN"/>
        </w:rPr>
        <w:t>磋商</w:t>
      </w:r>
      <w:r>
        <w:rPr>
          <w:rFonts w:hint="eastAsia" w:ascii="宋体" w:hAnsi="宋体"/>
          <w:b/>
          <w:color w:val="auto"/>
          <w:sz w:val="21"/>
          <w:szCs w:val="21"/>
          <w:highlight w:val="none"/>
        </w:rPr>
        <w:t>截止时间前</w:t>
      </w:r>
      <w:r>
        <w:rPr>
          <w:rFonts w:hint="eastAsia" w:ascii="宋体" w:hAnsi="宋体"/>
          <w:color w:val="auto"/>
          <w:sz w:val="21"/>
          <w:szCs w:val="21"/>
          <w:highlight w:val="none"/>
        </w:rPr>
        <w:t>，供应商在</w:t>
      </w:r>
      <w:r>
        <w:rPr>
          <w:rFonts w:ascii="宋体" w:hAnsi="宋体"/>
          <w:color w:val="auto"/>
          <w:sz w:val="21"/>
          <w:szCs w:val="21"/>
          <w:highlight w:val="none"/>
        </w:rPr>
        <w:t>“信用中国”网站（www.creditchina.gov.cn）、中国政府采购网（www.ccgp.gov.cn）</w:t>
      </w:r>
      <w:r>
        <w:rPr>
          <w:rFonts w:hint="eastAsia" w:ascii="宋体" w:hAnsi="宋体"/>
          <w:color w:val="auto"/>
          <w:sz w:val="21"/>
          <w:szCs w:val="21"/>
          <w:highlight w:val="none"/>
        </w:rPr>
        <w:t>中被列入失信被执行人、重大税收违法案件当事人名单、政府采购严重违法失信行为记录名单及其他不符合《中华人民共和国政府采购法》第二十二条规定条件的，其响应文件将被拒绝。</w:t>
      </w:r>
    </w:p>
    <w:p>
      <w:pPr>
        <w:keepNext w:val="0"/>
        <w:keepLines w:val="0"/>
        <w:pageBreakBefore w:val="0"/>
        <w:kinsoku/>
        <w:overflowPunct/>
        <w:topLinePunct w:val="0"/>
        <w:bidi w:val="0"/>
        <w:spacing w:line="240" w:lineRule="auto"/>
        <w:jc w:val="center"/>
        <w:textAlignment w:val="auto"/>
        <w:outlineLvl w:val="0"/>
        <w:rPr>
          <w:rFonts w:hint="eastAsia" w:ascii="宋体" w:hAnsi="宋体" w:eastAsia="宋体"/>
          <w:b/>
          <w:color w:val="auto"/>
          <w:sz w:val="21"/>
          <w:szCs w:val="21"/>
          <w:highlight w:val="none"/>
          <w:lang w:eastAsia="zh-CN"/>
        </w:rPr>
      </w:pPr>
      <w:r>
        <w:rPr>
          <w:rFonts w:ascii="宋体" w:hAnsi="宋体"/>
          <w:color w:val="auto"/>
          <w:sz w:val="21"/>
          <w:szCs w:val="21"/>
          <w:highlight w:val="none"/>
        </w:rPr>
        <w:br w:type="page"/>
      </w:r>
      <w:bookmarkStart w:id="17" w:name="_Toc9309"/>
      <w:r>
        <w:rPr>
          <w:rFonts w:hint="eastAsia" w:ascii="宋体" w:hAnsi="宋体"/>
          <w:b/>
          <w:color w:val="auto"/>
          <w:sz w:val="32"/>
          <w:szCs w:val="32"/>
          <w:highlight w:val="none"/>
        </w:rPr>
        <w:t xml:space="preserve">第三章  </w:t>
      </w:r>
      <w:bookmarkEnd w:id="17"/>
      <w:r>
        <w:rPr>
          <w:rFonts w:hint="eastAsia" w:ascii="宋体" w:hAnsi="宋体"/>
          <w:b/>
          <w:color w:val="auto"/>
          <w:sz w:val="32"/>
          <w:szCs w:val="32"/>
          <w:highlight w:val="none"/>
          <w:lang w:eastAsia="zh-CN"/>
        </w:rPr>
        <w:t>项目需求</w:t>
      </w:r>
      <w:r>
        <w:rPr>
          <w:rFonts w:hint="eastAsia" w:ascii="宋体" w:hAnsi="宋体"/>
          <w:b/>
          <w:color w:val="auto"/>
          <w:sz w:val="32"/>
          <w:szCs w:val="32"/>
          <w:highlight w:val="none"/>
          <w:lang w:val="en-US" w:eastAsia="zh-CN"/>
        </w:rPr>
        <w:t>参数</w:t>
      </w:r>
    </w:p>
    <w:p>
      <w:pPr>
        <w:keepNext w:val="0"/>
        <w:keepLines w:val="0"/>
        <w:pageBreakBefore w:val="0"/>
        <w:kinsoku/>
        <w:overflowPunct/>
        <w:topLinePunct w:val="0"/>
        <w:bidi w:val="0"/>
        <w:spacing w:line="240" w:lineRule="auto"/>
        <w:jc w:val="center"/>
        <w:textAlignment w:val="auto"/>
        <w:rPr>
          <w:rFonts w:ascii="宋体" w:hAnsi="宋体"/>
          <w:b/>
          <w:color w:val="auto"/>
          <w:sz w:val="21"/>
          <w:szCs w:val="21"/>
          <w:highlight w:val="none"/>
        </w:rPr>
      </w:pPr>
    </w:p>
    <w:p>
      <w:pPr>
        <w:keepNext w:val="0"/>
        <w:keepLines w:val="0"/>
        <w:pageBreakBefore w:val="0"/>
        <w:kinsoku/>
        <w:overflowPunct/>
        <w:topLinePunct w:val="0"/>
        <w:bidi w:val="0"/>
        <w:spacing w:line="240" w:lineRule="auto"/>
        <w:ind w:firstLine="413" w:firstLineChars="196"/>
        <w:textAlignment w:val="auto"/>
        <w:rPr>
          <w:rFonts w:ascii="宋体" w:hAnsi="宋体"/>
          <w:b/>
          <w:bCs/>
          <w:color w:val="auto"/>
          <w:sz w:val="21"/>
          <w:szCs w:val="21"/>
          <w:highlight w:val="none"/>
        </w:rPr>
      </w:pPr>
      <w:r>
        <w:rPr>
          <w:rFonts w:hint="eastAsia" w:ascii="宋体" w:hAnsi="宋体"/>
          <w:b/>
          <w:bCs/>
          <w:color w:val="auto"/>
          <w:sz w:val="21"/>
          <w:szCs w:val="21"/>
          <w:highlight w:val="none"/>
        </w:rPr>
        <w:t>说明：</w:t>
      </w:r>
    </w:p>
    <w:p>
      <w:pPr>
        <w:keepNext w:val="0"/>
        <w:keepLines w:val="0"/>
        <w:pageBreakBefore w:val="0"/>
        <w:kinsoku/>
        <w:overflowPunct/>
        <w:topLinePunct w:val="0"/>
        <w:bidi w:val="0"/>
        <w:spacing w:line="240" w:lineRule="auto"/>
        <w:ind w:left="-10" w:leftChars="-5" w:right="2" w:rightChars="1" w:firstLine="422" w:firstLineChars="200"/>
        <w:textAlignment w:val="auto"/>
        <w:rPr>
          <w:rFonts w:ascii="宋体" w:hAnsi="宋体"/>
          <w:b/>
          <w:bCs/>
          <w:color w:val="auto"/>
          <w:sz w:val="21"/>
          <w:szCs w:val="21"/>
          <w:highlight w:val="none"/>
        </w:rPr>
      </w:pPr>
      <w:r>
        <w:rPr>
          <w:rFonts w:hint="eastAsia" w:ascii="宋体" w:hAnsi="宋体"/>
          <w:b/>
          <w:bCs/>
          <w:color w:val="auto"/>
          <w:sz w:val="21"/>
          <w:szCs w:val="21"/>
          <w:highlight w:val="none"/>
        </w:rPr>
        <w:t>1、</w:t>
      </w:r>
      <w:r>
        <w:rPr>
          <w:rFonts w:hint="eastAsia" w:ascii="宋体" w:hAnsi="宋体"/>
          <w:b/>
          <w:bCs/>
          <w:color w:val="auto"/>
          <w:sz w:val="21"/>
          <w:szCs w:val="21"/>
          <w:highlight w:val="none"/>
          <w:lang w:eastAsia="zh-CN"/>
        </w:rPr>
        <w:t>响应供应商</w:t>
      </w:r>
      <w:r>
        <w:rPr>
          <w:rFonts w:hint="eastAsia" w:ascii="宋体" w:hAnsi="宋体"/>
          <w:b/>
          <w:bCs/>
          <w:color w:val="auto"/>
          <w:sz w:val="21"/>
          <w:szCs w:val="21"/>
          <w:highlight w:val="none"/>
        </w:rPr>
        <w:t>所提供的产品应实质上相当于或优于本需求表中的</w:t>
      </w:r>
      <w:r>
        <w:rPr>
          <w:rFonts w:ascii="宋体" w:hAnsi="宋体"/>
          <w:b/>
          <w:bCs/>
          <w:color w:val="auto"/>
          <w:sz w:val="21"/>
          <w:szCs w:val="21"/>
          <w:highlight w:val="none"/>
        </w:rPr>
        <w:t>服务内容及技术需求</w:t>
      </w:r>
      <w:r>
        <w:rPr>
          <w:rFonts w:hint="eastAsia" w:ascii="宋体" w:hAnsi="宋体"/>
          <w:b/>
          <w:bCs/>
          <w:color w:val="auto"/>
          <w:sz w:val="21"/>
          <w:szCs w:val="21"/>
          <w:highlight w:val="none"/>
        </w:rPr>
        <w:t>。</w:t>
      </w:r>
    </w:p>
    <w:p>
      <w:pPr>
        <w:keepNext w:val="0"/>
        <w:keepLines w:val="0"/>
        <w:pageBreakBefore w:val="0"/>
        <w:kinsoku/>
        <w:overflowPunct/>
        <w:topLinePunct w:val="0"/>
        <w:bidi w:val="0"/>
        <w:spacing w:line="240" w:lineRule="auto"/>
        <w:ind w:left="-10" w:leftChars="-5" w:right="2" w:rightChars="1" w:firstLine="422" w:firstLineChars="200"/>
        <w:textAlignment w:val="auto"/>
        <w:rPr>
          <w:rFonts w:ascii="宋体" w:hAnsi="宋体"/>
          <w:b/>
          <w:bCs/>
          <w:color w:val="auto"/>
          <w:sz w:val="21"/>
          <w:szCs w:val="21"/>
          <w:highlight w:val="none"/>
        </w:rPr>
      </w:pPr>
      <w:r>
        <w:rPr>
          <w:rFonts w:hint="eastAsia" w:ascii="宋体" w:hAnsi="宋体"/>
          <w:b/>
          <w:bCs/>
          <w:color w:val="auto"/>
          <w:sz w:val="21"/>
          <w:szCs w:val="21"/>
          <w:highlight w:val="none"/>
        </w:rPr>
        <w:t>2、本一览表的</w:t>
      </w:r>
      <w:r>
        <w:rPr>
          <w:rFonts w:ascii="宋体" w:hAnsi="宋体"/>
          <w:b/>
          <w:bCs/>
          <w:color w:val="auto"/>
          <w:sz w:val="21"/>
          <w:szCs w:val="21"/>
          <w:highlight w:val="none"/>
        </w:rPr>
        <w:t>服务内容及技术需求不明确或有误的，</w:t>
      </w:r>
      <w:r>
        <w:rPr>
          <w:rFonts w:hint="eastAsia" w:ascii="宋体" w:hAnsi="宋体"/>
          <w:b/>
          <w:bCs/>
          <w:color w:val="auto"/>
          <w:sz w:val="21"/>
          <w:szCs w:val="21"/>
          <w:highlight w:val="none"/>
          <w:lang w:eastAsia="zh-CN"/>
        </w:rPr>
        <w:t>响应供应商</w:t>
      </w:r>
      <w:r>
        <w:rPr>
          <w:rFonts w:ascii="宋体" w:hAnsi="宋体"/>
          <w:b/>
          <w:bCs/>
          <w:color w:val="auto"/>
          <w:sz w:val="21"/>
          <w:szCs w:val="21"/>
          <w:highlight w:val="none"/>
        </w:rPr>
        <w:t>请以详细、正确的服务内容及技术质量</w:t>
      </w:r>
      <w:r>
        <w:rPr>
          <w:rFonts w:hint="eastAsia" w:ascii="宋体" w:hAnsi="宋体"/>
          <w:b/>
          <w:bCs/>
          <w:color w:val="auto"/>
          <w:sz w:val="21"/>
          <w:szCs w:val="21"/>
          <w:highlight w:val="none"/>
        </w:rPr>
        <w:t>指标</w:t>
      </w:r>
      <w:r>
        <w:rPr>
          <w:rFonts w:ascii="宋体" w:hAnsi="宋体"/>
          <w:b/>
          <w:bCs/>
          <w:color w:val="auto"/>
          <w:sz w:val="21"/>
          <w:szCs w:val="21"/>
          <w:highlight w:val="none"/>
        </w:rPr>
        <w:t>同时填写</w:t>
      </w:r>
      <w:r>
        <w:rPr>
          <w:rFonts w:hint="eastAsia" w:ascii="宋体" w:hAnsi="宋体"/>
          <w:b/>
          <w:bCs/>
          <w:color w:val="auto"/>
          <w:sz w:val="21"/>
          <w:szCs w:val="21"/>
          <w:highlight w:val="none"/>
          <w:lang w:eastAsia="zh-CN"/>
        </w:rPr>
        <w:t>磋商</w:t>
      </w:r>
      <w:r>
        <w:rPr>
          <w:rFonts w:ascii="宋体" w:hAnsi="宋体"/>
          <w:b/>
          <w:bCs/>
          <w:color w:val="auto"/>
          <w:sz w:val="21"/>
          <w:szCs w:val="21"/>
          <w:highlight w:val="none"/>
        </w:rPr>
        <w:t>报价表和</w:t>
      </w:r>
      <w:r>
        <w:rPr>
          <w:rFonts w:hint="eastAsia" w:ascii="宋体" w:hAnsi="宋体"/>
          <w:b/>
          <w:bCs/>
          <w:color w:val="auto"/>
          <w:sz w:val="21"/>
          <w:szCs w:val="21"/>
          <w:highlight w:val="none"/>
        </w:rPr>
        <w:t>技术质量响应及偏离情况说明表</w:t>
      </w:r>
      <w:r>
        <w:rPr>
          <w:rFonts w:ascii="宋体" w:hAnsi="宋体"/>
          <w:b/>
          <w:bCs/>
          <w:color w:val="auto"/>
          <w:sz w:val="21"/>
          <w:szCs w:val="21"/>
          <w:highlight w:val="none"/>
        </w:rPr>
        <w:t>。</w:t>
      </w:r>
    </w:p>
    <w:p>
      <w:pPr>
        <w:keepNext w:val="0"/>
        <w:keepLines w:val="0"/>
        <w:pageBreakBefore w:val="0"/>
        <w:kinsoku/>
        <w:overflowPunct/>
        <w:topLinePunct w:val="0"/>
        <w:bidi w:val="0"/>
        <w:spacing w:line="240" w:lineRule="auto"/>
        <w:ind w:left="-10" w:leftChars="-5" w:right="2" w:rightChars="1" w:firstLine="422" w:firstLineChars="200"/>
        <w:textAlignment w:val="auto"/>
        <w:rPr>
          <w:rFonts w:ascii="宋体" w:hAnsi="宋体"/>
          <w:b/>
          <w:bCs/>
          <w:color w:val="auto"/>
          <w:sz w:val="21"/>
          <w:szCs w:val="21"/>
          <w:highlight w:val="none"/>
        </w:rPr>
      </w:pPr>
      <w:r>
        <w:rPr>
          <w:rFonts w:hint="eastAsia" w:ascii="宋体" w:hAnsi="宋体"/>
          <w:b/>
          <w:bCs/>
          <w:color w:val="auto"/>
          <w:sz w:val="21"/>
          <w:szCs w:val="21"/>
          <w:highlight w:val="none"/>
        </w:rPr>
        <w:t>3、本项目中标注“</w:t>
      </w:r>
      <w:r>
        <w:rPr>
          <w:rFonts w:hint="eastAsia"/>
          <w:color w:val="auto"/>
          <w:sz w:val="21"/>
          <w:szCs w:val="21"/>
          <w:highlight w:val="none"/>
        </w:rPr>
        <w:t>▲</w:t>
      </w:r>
      <w:r>
        <w:rPr>
          <w:rFonts w:hint="eastAsia" w:ascii="宋体" w:hAnsi="宋体"/>
          <w:b/>
          <w:bCs/>
          <w:color w:val="auto"/>
          <w:sz w:val="21"/>
          <w:szCs w:val="21"/>
          <w:highlight w:val="none"/>
        </w:rPr>
        <w:t>”号的要求为实质性要求和条件，对这些关键性要求的任何不满足将导致</w:t>
      </w:r>
      <w:r>
        <w:rPr>
          <w:rFonts w:hint="eastAsia" w:ascii="宋体" w:hAnsi="宋体"/>
          <w:b/>
          <w:bCs/>
          <w:color w:val="auto"/>
          <w:sz w:val="21"/>
          <w:szCs w:val="21"/>
          <w:highlight w:val="none"/>
          <w:lang w:eastAsia="zh-CN"/>
        </w:rPr>
        <w:t>磋商</w:t>
      </w:r>
      <w:r>
        <w:rPr>
          <w:rFonts w:hint="eastAsia" w:ascii="宋体" w:hAnsi="宋体"/>
          <w:b/>
          <w:bCs/>
          <w:color w:val="auto"/>
          <w:sz w:val="21"/>
          <w:szCs w:val="21"/>
          <w:highlight w:val="none"/>
        </w:rPr>
        <w:t>响应无效。</w:t>
      </w:r>
    </w:p>
    <w:tbl>
      <w:tblPr>
        <w:tblStyle w:val="48"/>
        <w:tblW w:w="1040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16"/>
        <w:gridCol w:w="1935"/>
        <w:gridCol w:w="127"/>
        <w:gridCol w:w="1133"/>
        <w:gridCol w:w="225"/>
        <w:gridCol w:w="851"/>
        <w:gridCol w:w="724"/>
        <w:gridCol w:w="369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716" w:type="dxa"/>
            <w:tcBorders>
              <w:top w:val="single" w:color="auto" w:sz="4" w:space="0"/>
              <w:left w:val="single" w:color="auto" w:sz="4" w:space="0"/>
              <w:bottom w:val="single" w:color="auto" w:sz="4" w:space="0"/>
            </w:tcBorders>
            <w:noWrap w:val="0"/>
            <w:vAlign w:val="center"/>
          </w:tcPr>
          <w:p>
            <w:pPr>
              <w:tabs>
                <w:tab w:val="left" w:pos="180"/>
                <w:tab w:val="left" w:pos="1620"/>
              </w:tabs>
              <w:spacing w:line="320" w:lineRule="exact"/>
              <w:jc w:val="center"/>
              <w:rPr>
                <w:rFonts w:hint="eastAsia" w:ascii="宋体" w:hAnsi="宋体" w:eastAsia="宋体" w:cs="宋体"/>
                <w:color w:val="000000"/>
                <w:sz w:val="22"/>
                <w:szCs w:val="22"/>
                <w:highlight w:val="none"/>
                <w:lang w:val="en-US" w:eastAsia="zh-CN"/>
              </w:rPr>
            </w:pPr>
            <w:r>
              <w:rPr>
                <w:rFonts w:hint="eastAsia" w:ascii="宋体" w:hAnsi="宋体" w:eastAsia="宋体" w:cs="宋体"/>
                <w:color w:val="000000"/>
                <w:sz w:val="22"/>
                <w:szCs w:val="22"/>
                <w:highlight w:val="none"/>
                <w:lang w:val="en-US" w:eastAsia="zh-CN"/>
              </w:rPr>
              <w:t>项目名称</w:t>
            </w:r>
          </w:p>
        </w:tc>
        <w:tc>
          <w:tcPr>
            <w:tcW w:w="8690" w:type="dxa"/>
            <w:gridSpan w:val="7"/>
            <w:tcBorders>
              <w:top w:val="single" w:color="auto" w:sz="4" w:space="0"/>
              <w:bottom w:val="single" w:color="auto" w:sz="4" w:space="0"/>
              <w:right w:val="single" w:color="auto" w:sz="4" w:space="0"/>
            </w:tcBorders>
            <w:noWrap w:val="0"/>
            <w:vAlign w:val="center"/>
          </w:tcPr>
          <w:p>
            <w:pPr>
              <w:tabs>
                <w:tab w:val="left" w:pos="180"/>
                <w:tab w:val="left" w:pos="1620"/>
              </w:tabs>
              <w:spacing w:line="320" w:lineRule="exact"/>
              <w:jc w:val="left"/>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rPr>
              <w:t>广西骨伤医院</w:t>
            </w:r>
            <w:r>
              <w:rPr>
                <w:rFonts w:hint="eastAsia" w:ascii="宋体" w:hAnsi="宋体" w:eastAsia="宋体" w:cs="宋体"/>
                <w:b w:val="0"/>
                <w:bCs w:val="0"/>
                <w:i w:val="0"/>
                <w:iCs w:val="0"/>
                <w:caps w:val="0"/>
                <w:color w:val="auto"/>
                <w:spacing w:val="0"/>
                <w:sz w:val="22"/>
                <w:szCs w:val="22"/>
                <w:shd w:val="clear" w:fill="FFFFFF"/>
                <w:lang w:val="en-US" w:eastAsia="zh-CN"/>
              </w:rPr>
              <w:t>DRG智慧运营软件服务</w:t>
            </w:r>
            <w:r>
              <w:rPr>
                <w:rFonts w:hint="eastAsia" w:ascii="宋体" w:hAnsi="宋体" w:eastAsia="宋体" w:cs="宋体"/>
                <w:sz w:val="22"/>
                <w:szCs w:val="22"/>
                <w:highlight w:val="none"/>
                <w:lang w:val="en-US" w:eastAsia="zh-CN"/>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716" w:type="dxa"/>
            <w:tcBorders>
              <w:top w:val="single" w:color="auto" w:sz="4" w:space="0"/>
              <w:left w:val="single" w:color="auto" w:sz="4" w:space="0"/>
              <w:bottom w:val="single" w:color="auto" w:sz="4" w:space="0"/>
            </w:tcBorders>
            <w:noWrap w:val="0"/>
            <w:vAlign w:val="center"/>
          </w:tcPr>
          <w:p>
            <w:pPr>
              <w:tabs>
                <w:tab w:val="left" w:pos="180"/>
                <w:tab w:val="left" w:pos="1620"/>
              </w:tabs>
              <w:spacing w:line="320" w:lineRule="exact"/>
              <w:jc w:val="center"/>
              <w:rPr>
                <w:rFonts w:hint="eastAsia" w:ascii="宋体" w:hAnsi="宋体" w:eastAsia="宋体" w:cs="宋体"/>
                <w:color w:val="000000"/>
                <w:sz w:val="22"/>
                <w:szCs w:val="22"/>
                <w:highlight w:val="none"/>
                <w:lang w:val="en-US" w:eastAsia="zh-CN"/>
              </w:rPr>
            </w:pPr>
            <w:r>
              <w:rPr>
                <w:rFonts w:hint="eastAsia" w:ascii="宋体" w:hAnsi="宋体" w:eastAsia="宋体" w:cs="宋体"/>
                <w:color w:val="000000"/>
                <w:sz w:val="22"/>
                <w:szCs w:val="22"/>
                <w:highlight w:val="none"/>
                <w:lang w:val="en-US" w:eastAsia="zh-CN"/>
              </w:rPr>
              <w:t>采购数量</w:t>
            </w:r>
          </w:p>
        </w:tc>
        <w:tc>
          <w:tcPr>
            <w:tcW w:w="3420" w:type="dxa"/>
            <w:gridSpan w:val="4"/>
            <w:tcBorders>
              <w:top w:val="single" w:color="auto" w:sz="4" w:space="0"/>
              <w:bottom w:val="single" w:color="auto" w:sz="4" w:space="0"/>
              <w:right w:val="single" w:color="auto" w:sz="4" w:space="0"/>
            </w:tcBorders>
            <w:noWrap w:val="0"/>
            <w:vAlign w:val="center"/>
          </w:tcPr>
          <w:p>
            <w:pPr>
              <w:tabs>
                <w:tab w:val="left" w:pos="180"/>
                <w:tab w:val="left" w:pos="1620"/>
              </w:tabs>
              <w:spacing w:line="320" w:lineRule="exact"/>
              <w:jc w:val="center"/>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val="en-US" w:eastAsia="zh-CN"/>
              </w:rPr>
              <w:t xml:space="preserve">一套  </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lang w:val="en-US" w:eastAsia="zh-CN"/>
              </w:rPr>
              <w:t>单位：家/项/个</w:t>
            </w:r>
            <w:r>
              <w:rPr>
                <w:rFonts w:hint="eastAsia" w:ascii="宋体" w:hAnsi="宋体" w:eastAsia="宋体" w:cs="宋体"/>
                <w:sz w:val="22"/>
                <w:szCs w:val="22"/>
                <w:highlight w:val="none"/>
                <w:lang w:eastAsia="zh-CN"/>
              </w:rPr>
              <w:t>）</w:t>
            </w:r>
          </w:p>
        </w:tc>
        <w:tc>
          <w:tcPr>
            <w:tcW w:w="1575" w:type="dxa"/>
            <w:gridSpan w:val="2"/>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20" w:lineRule="exact"/>
              <w:jc w:val="center"/>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采购预算</w:t>
            </w:r>
          </w:p>
        </w:tc>
        <w:tc>
          <w:tcPr>
            <w:tcW w:w="3695"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20" w:lineRule="exact"/>
              <w:jc w:val="center"/>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138000.00       （单位：元）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716" w:type="dxa"/>
            <w:tcBorders>
              <w:top w:val="single" w:color="auto" w:sz="4" w:space="0"/>
              <w:left w:val="single" w:color="auto" w:sz="4" w:space="0"/>
              <w:bottom w:val="single" w:color="auto" w:sz="4" w:space="0"/>
            </w:tcBorders>
            <w:noWrap w:val="0"/>
            <w:vAlign w:val="center"/>
          </w:tcPr>
          <w:p>
            <w:pPr>
              <w:tabs>
                <w:tab w:val="left" w:pos="180"/>
                <w:tab w:val="left" w:pos="1620"/>
              </w:tabs>
              <w:spacing w:line="320" w:lineRule="exact"/>
              <w:jc w:val="center"/>
              <w:rPr>
                <w:rFonts w:hint="eastAsia" w:ascii="宋体" w:hAnsi="宋体" w:eastAsia="宋体" w:cs="宋体"/>
                <w:color w:val="000000"/>
                <w:sz w:val="22"/>
                <w:szCs w:val="22"/>
                <w:highlight w:val="none"/>
                <w:lang w:val="en-US" w:eastAsia="zh-CN"/>
              </w:rPr>
            </w:pPr>
            <w:r>
              <w:rPr>
                <w:rFonts w:hint="eastAsia" w:ascii="宋体" w:hAnsi="宋体" w:eastAsia="宋体" w:cs="宋体"/>
                <w:color w:val="000000"/>
                <w:sz w:val="22"/>
                <w:szCs w:val="22"/>
                <w:highlight w:val="none"/>
                <w:lang w:val="en-US" w:eastAsia="zh-CN"/>
              </w:rPr>
              <w:t>上控价</w:t>
            </w:r>
          </w:p>
        </w:tc>
        <w:tc>
          <w:tcPr>
            <w:tcW w:w="3420" w:type="dxa"/>
            <w:gridSpan w:val="4"/>
            <w:tcBorders>
              <w:top w:val="single" w:color="auto" w:sz="4" w:space="0"/>
              <w:bottom w:val="single" w:color="auto" w:sz="4" w:space="0"/>
              <w:right w:val="single" w:color="auto" w:sz="4" w:space="0"/>
            </w:tcBorders>
            <w:noWrap w:val="0"/>
            <w:vAlign w:val="center"/>
          </w:tcPr>
          <w:p>
            <w:pPr>
              <w:tabs>
                <w:tab w:val="left" w:pos="180"/>
                <w:tab w:val="left" w:pos="1620"/>
              </w:tabs>
              <w:spacing w:line="320" w:lineRule="exact"/>
              <w:jc w:val="center"/>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138000.00</w:t>
            </w:r>
          </w:p>
        </w:tc>
        <w:tc>
          <w:tcPr>
            <w:tcW w:w="1575" w:type="dxa"/>
            <w:gridSpan w:val="2"/>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20" w:lineRule="exact"/>
              <w:jc w:val="center"/>
              <w:rPr>
                <w:rFonts w:hint="eastAsia" w:ascii="宋体" w:hAnsi="宋体" w:eastAsia="宋体" w:cs="宋体"/>
                <w:sz w:val="22"/>
                <w:szCs w:val="22"/>
                <w:highlight w:val="none"/>
                <w:lang w:val="en-US"/>
              </w:rPr>
            </w:pPr>
          </w:p>
        </w:tc>
        <w:tc>
          <w:tcPr>
            <w:tcW w:w="3695"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20" w:lineRule="exact"/>
              <w:jc w:val="center"/>
              <w:rPr>
                <w:rFonts w:hint="eastAsia" w:ascii="宋体" w:hAnsi="宋体" w:eastAsia="宋体" w:cs="宋体"/>
                <w:sz w:val="22"/>
                <w:szCs w:val="22"/>
                <w:highlight w:val="none"/>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716" w:type="dxa"/>
            <w:tcBorders>
              <w:top w:val="single" w:color="auto" w:sz="4" w:space="0"/>
              <w:left w:val="single" w:color="auto" w:sz="4" w:space="0"/>
              <w:bottom w:val="single" w:color="auto" w:sz="4" w:space="0"/>
            </w:tcBorders>
            <w:noWrap w:val="0"/>
            <w:vAlign w:val="center"/>
          </w:tcPr>
          <w:p>
            <w:pPr>
              <w:tabs>
                <w:tab w:val="left" w:pos="180"/>
                <w:tab w:val="left" w:pos="1620"/>
              </w:tabs>
              <w:spacing w:line="320" w:lineRule="exact"/>
              <w:jc w:val="center"/>
              <w:rPr>
                <w:rFonts w:hint="eastAsia" w:ascii="宋体" w:hAnsi="宋体" w:eastAsia="宋体" w:cs="宋体"/>
                <w:color w:val="000000"/>
                <w:sz w:val="22"/>
                <w:szCs w:val="22"/>
                <w:highlight w:val="none"/>
                <w:lang w:val="en-US" w:eastAsia="zh-CN"/>
              </w:rPr>
            </w:pPr>
            <w:r>
              <w:rPr>
                <w:rFonts w:hint="eastAsia" w:ascii="宋体" w:hAnsi="宋体" w:eastAsia="宋体" w:cs="宋体"/>
                <w:color w:val="000000"/>
                <w:sz w:val="22"/>
                <w:szCs w:val="22"/>
                <w:highlight w:val="none"/>
                <w:lang w:val="en-US" w:eastAsia="zh-CN"/>
              </w:rPr>
              <w:t>项目概况</w:t>
            </w:r>
          </w:p>
        </w:tc>
        <w:tc>
          <w:tcPr>
            <w:tcW w:w="8690" w:type="dxa"/>
            <w:gridSpan w:val="7"/>
            <w:tcBorders>
              <w:top w:val="single" w:color="auto" w:sz="4" w:space="0"/>
              <w:bottom w:val="single" w:color="auto" w:sz="4" w:space="0"/>
              <w:right w:val="single" w:color="auto" w:sz="4" w:space="0"/>
            </w:tcBorders>
            <w:noWrap w:val="0"/>
            <w:vAlign w:val="top"/>
          </w:tcPr>
          <w:p>
            <w:pPr>
              <w:pStyle w:val="19"/>
              <w:rPr>
                <w:rFonts w:hint="default"/>
                <w:lang w:val="en-US" w:eastAsia="zh-CN"/>
              </w:rPr>
            </w:pPr>
            <w:r>
              <w:rPr>
                <w:rFonts w:hint="eastAsia" w:ascii="宋体" w:hAnsi="宋体" w:cs="宋体"/>
                <w:kern w:val="2"/>
                <w:sz w:val="22"/>
                <w:szCs w:val="22"/>
                <w:lang w:val="en-US" w:eastAsia="zh-CN" w:bidi="ar-SA"/>
              </w:rPr>
              <w:t>根据医院业务需要，拟采</w:t>
            </w:r>
            <w:r>
              <w:rPr>
                <w:rFonts w:hint="eastAsia" w:ascii="宋体" w:hAnsi="宋体" w:cs="宋体"/>
                <w:sz w:val="22"/>
                <w:szCs w:val="22"/>
                <w:u w:val="none"/>
                <w:lang w:val="en-US" w:eastAsia="zh-CN"/>
              </w:rPr>
              <w:t>购</w:t>
            </w:r>
            <w:r>
              <w:rPr>
                <w:rFonts w:hint="eastAsia" w:ascii="宋体" w:hAnsi="宋体" w:eastAsia="宋体" w:cs="宋体"/>
                <w:b w:val="0"/>
                <w:bCs w:val="0"/>
                <w:i w:val="0"/>
                <w:iCs w:val="0"/>
                <w:caps w:val="0"/>
                <w:color w:val="auto"/>
                <w:spacing w:val="0"/>
                <w:sz w:val="22"/>
                <w:szCs w:val="22"/>
                <w:shd w:val="clear" w:fill="FFFFFF"/>
                <w:lang w:val="en-US" w:eastAsia="zh-CN"/>
              </w:rPr>
              <w:t>DRG智慧运营软件</w:t>
            </w:r>
            <w:r>
              <w:rPr>
                <w:rFonts w:hint="eastAsia" w:ascii="宋体" w:hAnsi="宋体" w:cs="宋体"/>
                <w:b w:val="0"/>
                <w:bCs w:val="0"/>
                <w:i w:val="0"/>
                <w:iCs w:val="0"/>
                <w:caps w:val="0"/>
                <w:color w:val="auto"/>
                <w:spacing w:val="0"/>
                <w:sz w:val="22"/>
                <w:szCs w:val="22"/>
                <w:shd w:val="clear" w:fill="FFFFFF"/>
                <w:lang w:val="en-US" w:eastAsia="zh-CN"/>
              </w:rPr>
              <w:t>1套，并提供软件运行与维护配套</w:t>
            </w:r>
            <w:r>
              <w:rPr>
                <w:rFonts w:hint="eastAsia" w:ascii="宋体" w:hAnsi="宋体" w:eastAsia="宋体" w:cs="宋体"/>
                <w:b w:val="0"/>
                <w:bCs w:val="0"/>
                <w:i w:val="0"/>
                <w:iCs w:val="0"/>
                <w:caps w:val="0"/>
                <w:color w:val="auto"/>
                <w:spacing w:val="0"/>
                <w:sz w:val="22"/>
                <w:szCs w:val="22"/>
                <w:shd w:val="clear" w:fill="FFFFFF"/>
                <w:lang w:val="en-US" w:eastAsia="zh-CN"/>
              </w:rPr>
              <w:t>服务</w:t>
            </w:r>
            <w:r>
              <w:rPr>
                <w:rFonts w:hint="eastAsia" w:ascii="宋体" w:hAnsi="宋体" w:cs="宋体"/>
                <w:b w:val="0"/>
                <w:bCs w:val="0"/>
                <w:sz w:val="22"/>
                <w:szCs w:val="22"/>
                <w:highlight w:val="none"/>
                <w:lang w:val="en-US" w:eastAsia="zh-CN"/>
              </w:rPr>
              <w:t>，</w:t>
            </w:r>
            <w:r>
              <w:rPr>
                <w:rFonts w:hint="eastAsia" w:ascii="宋体" w:hAnsi="宋体" w:eastAsia="宋体" w:cs="宋体"/>
                <w:b w:val="0"/>
                <w:bCs w:val="0"/>
                <w:sz w:val="22"/>
                <w:szCs w:val="22"/>
                <w:highlight w:val="none"/>
                <w:lang w:val="en-US" w:eastAsia="zh-CN"/>
              </w:rPr>
              <w:t>实现数据传输，需与HIS对接</w:t>
            </w:r>
            <w:r>
              <w:rPr>
                <w:rFonts w:hint="eastAsia" w:ascii="宋体" w:hAnsi="宋体" w:cs="宋体"/>
                <w:b w:val="0"/>
                <w:bCs w:val="0"/>
                <w:sz w:val="22"/>
                <w:szCs w:val="22"/>
                <w:highlight w:val="none"/>
                <w:lang w:val="en-US" w:eastAsia="zh-CN"/>
              </w:rPr>
              <w:t>，含接口费用。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0406" w:type="dxa"/>
            <w:gridSpan w:val="8"/>
            <w:tcBorders>
              <w:top w:val="single" w:color="auto" w:sz="4" w:space="0"/>
            </w:tcBorders>
            <w:noWrap w:val="0"/>
            <w:vAlign w:val="center"/>
          </w:tcPr>
          <w:p>
            <w:pPr>
              <w:keepNext w:val="0"/>
              <w:keepLines w:val="0"/>
              <w:pageBreakBefore w:val="0"/>
              <w:tabs>
                <w:tab w:val="left" w:pos="180"/>
                <w:tab w:val="left" w:pos="1620"/>
              </w:tabs>
              <w:kinsoku/>
              <w:wordWrap/>
              <w:overflowPunct/>
              <w:topLinePunct w:val="0"/>
              <w:autoSpaceDE/>
              <w:autoSpaceDN/>
              <w:bidi w:val="0"/>
              <w:spacing w:line="240" w:lineRule="auto"/>
              <w:jc w:val="center"/>
              <w:textAlignment w:val="auto"/>
              <w:rPr>
                <w:rFonts w:hint="eastAsia" w:ascii="黑体" w:hAnsi="黑体" w:eastAsia="黑体" w:cs="黑体"/>
                <w:sz w:val="28"/>
                <w:szCs w:val="28"/>
                <w:highlight w:val="none"/>
                <w:lang w:val="en-US" w:eastAsia="zh-CN"/>
              </w:rPr>
            </w:pPr>
            <w:r>
              <w:rPr>
                <w:rFonts w:hint="eastAsia" w:ascii="黑体" w:hAnsi="黑体" w:eastAsia="黑体" w:cs="黑体"/>
                <w:sz w:val="28"/>
                <w:szCs w:val="28"/>
                <w:highlight w:val="none"/>
              </w:rPr>
              <w:t>技术</w:t>
            </w:r>
            <w:r>
              <w:rPr>
                <w:rFonts w:hint="eastAsia" w:ascii="黑体" w:hAnsi="黑体" w:eastAsia="黑体" w:cs="黑体"/>
                <w:sz w:val="28"/>
                <w:szCs w:val="28"/>
                <w:highlight w:val="none"/>
                <w:lang w:val="en-US" w:eastAsia="zh-CN"/>
              </w:rPr>
              <w:t>需求参数</w:t>
            </w:r>
          </w:p>
          <w:p>
            <w:pPr>
              <w:keepNext w:val="0"/>
              <w:keepLines w:val="0"/>
              <w:pageBreakBefore w:val="0"/>
              <w:widowControl/>
              <w:kinsoku/>
              <w:wordWrap/>
              <w:overflowPunct/>
              <w:topLinePunct w:val="0"/>
              <w:autoSpaceDE/>
              <w:autoSpaceDN/>
              <w:bidi w:val="0"/>
              <w:adjustRightInd w:val="0"/>
              <w:snapToGrid w:val="0"/>
              <w:spacing w:line="240" w:lineRule="auto"/>
              <w:ind w:firstLine="420" w:firstLineChars="200"/>
              <w:jc w:val="center"/>
              <w:textAlignment w:val="auto"/>
              <w:rPr>
                <w:rFonts w:hint="eastAsia"/>
              </w:rPr>
            </w:pPr>
            <w:r>
              <w:rPr>
                <w:rFonts w:hint="eastAsia" w:ascii="Times New Roman" w:hAnsi="Times New Roman" w:eastAsia="宋体" w:cs="Times New Roman"/>
                <w:highlight w:val="none"/>
                <w:lang w:val="en-US" w:eastAsia="zh-CN"/>
              </w:rPr>
              <w:t>（对服务的标准、时间、质量等详细要求）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5" w:hRule="atLeast"/>
          <w:jc w:val="center"/>
        </w:trPr>
        <w:tc>
          <w:tcPr>
            <w:tcW w:w="10406" w:type="dxa"/>
            <w:gridSpan w:val="8"/>
            <w:noWrap w:val="0"/>
            <w:vAlign w:val="center"/>
          </w:tcPr>
          <w:p>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jc w:val="left"/>
              <w:textAlignment w:val="auto"/>
              <w:rPr>
                <w:rFonts w:hint="default" w:ascii="黑体" w:hAnsi="黑体" w:eastAsia="黑体" w:cs="黑体"/>
                <w:b w:val="0"/>
                <w:bCs w:val="0"/>
                <w:sz w:val="24"/>
                <w:szCs w:val="24"/>
                <w:highlight w:val="none"/>
                <w:lang w:val="en-US" w:eastAsia="zh-CN"/>
              </w:rPr>
            </w:pPr>
            <w:r>
              <w:rPr>
                <w:rFonts w:hint="eastAsia" w:ascii="黑体" w:hAnsi="黑体" w:eastAsia="黑体" w:cs="黑体"/>
                <w:b w:val="0"/>
                <w:bCs w:val="0"/>
                <w:sz w:val="24"/>
                <w:szCs w:val="24"/>
                <w:highlight w:val="none"/>
                <w:lang w:val="en-US" w:eastAsia="zh-CN"/>
              </w:rPr>
              <w:t>一、结算清单管理系统技术需求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7" w:hRule="atLeast"/>
          <w:jc w:val="center"/>
        </w:trPr>
        <w:tc>
          <w:tcPr>
            <w:tcW w:w="1716" w:type="dxa"/>
            <w:shd w:val="clear" w:color="auto" w:fill="auto"/>
            <w:noWrap w:val="0"/>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子系统</w:t>
            </w:r>
          </w:p>
        </w:tc>
        <w:tc>
          <w:tcPr>
            <w:tcW w:w="2062" w:type="dxa"/>
            <w:gridSpan w:val="2"/>
            <w:shd w:val="clear" w:color="auto" w:fill="auto"/>
            <w:noWrap w:val="0"/>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功能模块</w:t>
            </w:r>
          </w:p>
        </w:tc>
        <w:tc>
          <w:tcPr>
            <w:tcW w:w="2209" w:type="dxa"/>
            <w:gridSpan w:val="3"/>
            <w:shd w:val="clear" w:color="auto" w:fill="auto"/>
            <w:noWrap w:val="0"/>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细分功能</w:t>
            </w:r>
          </w:p>
        </w:tc>
        <w:tc>
          <w:tcPr>
            <w:tcW w:w="4419" w:type="dxa"/>
            <w:gridSpan w:val="2"/>
            <w:shd w:val="clear" w:color="auto" w:fill="auto"/>
            <w:noWrap w:val="0"/>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功能描述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5" w:hRule="atLeast"/>
          <w:jc w:val="center"/>
        </w:trPr>
        <w:tc>
          <w:tcPr>
            <w:tcW w:w="1716" w:type="dxa"/>
            <w:shd w:val="clear" w:color="auto" w:fill="auto"/>
            <w:noWrap w:val="0"/>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临床端</w:t>
            </w:r>
          </w:p>
        </w:tc>
        <w:tc>
          <w:tcPr>
            <w:tcW w:w="2062" w:type="dxa"/>
            <w:gridSpan w:val="2"/>
            <w:shd w:val="clear" w:color="auto" w:fill="auto"/>
            <w:noWrap w:val="0"/>
            <w:vAlign w:val="center"/>
          </w:tcPr>
          <w:p>
            <w:pPr>
              <w:rPr>
                <w:rFonts w:hint="eastAsia" w:ascii="宋体" w:hAnsi="宋体" w:eastAsia="宋体" w:cs="宋体"/>
                <w:kern w:val="2"/>
                <w:sz w:val="21"/>
                <w:szCs w:val="21"/>
                <w:lang w:val="en-US" w:eastAsia="en-US" w:bidi="ar-SA"/>
              </w:rPr>
            </w:pPr>
            <w:r>
              <w:rPr>
                <w:rFonts w:hint="eastAsia" w:ascii="宋体" w:hAnsi="宋体" w:eastAsia="宋体" w:cs="宋体"/>
                <w:sz w:val="21"/>
                <w:szCs w:val="21"/>
              </w:rPr>
              <w:t>清单管理</w:t>
            </w:r>
          </w:p>
        </w:tc>
        <w:tc>
          <w:tcPr>
            <w:tcW w:w="2209" w:type="dxa"/>
            <w:gridSpan w:val="3"/>
            <w:shd w:val="clear" w:color="auto" w:fill="auto"/>
            <w:noWrap w:val="0"/>
            <w:vAlign w:val="center"/>
          </w:tcPr>
          <w:p>
            <w:pPr>
              <w:rPr>
                <w:rFonts w:hint="eastAsia" w:ascii="宋体" w:hAnsi="宋体" w:eastAsia="宋体" w:cs="宋体"/>
                <w:sz w:val="21"/>
                <w:szCs w:val="21"/>
              </w:rPr>
            </w:pPr>
            <w:r>
              <w:rPr>
                <w:rFonts w:hint="eastAsia" w:ascii="宋体" w:hAnsi="宋体" w:eastAsia="宋体" w:cs="宋体"/>
                <w:sz w:val="21"/>
                <w:szCs w:val="21"/>
              </w:rPr>
              <w:t>清单预览、</w:t>
            </w:r>
            <w:r>
              <w:rPr>
                <w:rFonts w:hint="eastAsia" w:ascii="宋体" w:hAnsi="宋体" w:eastAsia="宋体" w:cs="宋体"/>
                <w:sz w:val="21"/>
                <w:szCs w:val="21"/>
              </w:rPr>
              <w:br w:type="textWrapping"/>
            </w:r>
            <w:r>
              <w:rPr>
                <w:rFonts w:hint="eastAsia" w:ascii="宋体" w:hAnsi="宋体" w:eastAsia="宋体" w:cs="宋体"/>
                <w:sz w:val="21"/>
                <w:szCs w:val="21"/>
              </w:rPr>
              <w:t>清单质控、</w:t>
            </w:r>
          </w:p>
          <w:p>
            <w:pPr>
              <w:rPr>
                <w:rFonts w:hint="eastAsia" w:ascii="宋体" w:hAnsi="宋体" w:eastAsia="宋体" w:cs="宋体"/>
                <w:sz w:val="21"/>
                <w:szCs w:val="21"/>
              </w:rPr>
            </w:pPr>
            <w:r>
              <w:rPr>
                <w:rFonts w:hint="eastAsia" w:ascii="宋体" w:hAnsi="宋体" w:eastAsia="宋体" w:cs="宋体"/>
                <w:sz w:val="21"/>
                <w:szCs w:val="21"/>
              </w:rPr>
              <w:t>清单评分、</w:t>
            </w:r>
            <w:r>
              <w:rPr>
                <w:rFonts w:hint="eastAsia" w:ascii="宋体" w:hAnsi="宋体" w:eastAsia="宋体" w:cs="宋体"/>
                <w:sz w:val="21"/>
                <w:szCs w:val="21"/>
              </w:rPr>
              <w:br w:type="textWrapping"/>
            </w:r>
            <w:r>
              <w:rPr>
                <w:rFonts w:hint="eastAsia" w:ascii="宋体" w:hAnsi="宋体" w:eastAsia="宋体" w:cs="宋体"/>
                <w:sz w:val="21"/>
                <w:szCs w:val="21"/>
              </w:rPr>
              <w:t>清单分组、</w:t>
            </w:r>
          </w:p>
          <w:p>
            <w:pPr>
              <w:rPr>
                <w:rFonts w:hint="eastAsia" w:ascii="宋体" w:hAnsi="宋体" w:eastAsia="宋体" w:cs="宋体"/>
                <w:kern w:val="2"/>
                <w:sz w:val="21"/>
                <w:szCs w:val="21"/>
                <w:lang w:val="en-US" w:eastAsia="en-US" w:bidi="ar-SA"/>
              </w:rPr>
            </w:pPr>
            <w:r>
              <w:rPr>
                <w:rFonts w:hint="eastAsia" w:ascii="宋体" w:hAnsi="宋体" w:eastAsia="宋体" w:cs="宋体"/>
                <w:sz w:val="21"/>
                <w:szCs w:val="21"/>
              </w:rPr>
              <w:t>清单编辑</w:t>
            </w:r>
          </w:p>
        </w:tc>
        <w:tc>
          <w:tcPr>
            <w:tcW w:w="4419" w:type="dxa"/>
            <w:gridSpan w:val="2"/>
            <w:shd w:val="clear" w:color="auto" w:fill="auto"/>
            <w:noWrap w:val="0"/>
            <w:vAlign w:val="center"/>
          </w:tcPr>
          <w:p>
            <w:pPr>
              <w:rPr>
                <w:rFonts w:hint="eastAsia" w:ascii="宋体" w:hAnsi="宋体" w:eastAsia="宋体" w:cs="宋体"/>
                <w:sz w:val="21"/>
                <w:szCs w:val="21"/>
              </w:rPr>
            </w:pPr>
            <w:r>
              <w:rPr>
                <w:rFonts w:hint="eastAsia" w:ascii="宋体" w:hAnsi="宋体" w:eastAsia="宋体" w:cs="宋体"/>
                <w:sz w:val="21"/>
                <w:szCs w:val="21"/>
              </w:rPr>
              <w:t>1.支持在院/出院患者</w:t>
            </w:r>
            <w:r>
              <w:rPr>
                <w:rFonts w:hint="eastAsia" w:ascii="宋体" w:hAnsi="宋体" w:cs="宋体"/>
                <w:sz w:val="21"/>
                <w:szCs w:val="21"/>
                <w:lang w:eastAsia="zh-CN"/>
              </w:rPr>
              <w:t>病历</w:t>
            </w:r>
            <w:r>
              <w:rPr>
                <w:rFonts w:hint="eastAsia" w:ascii="宋体" w:hAnsi="宋体" w:eastAsia="宋体" w:cs="宋体"/>
                <w:sz w:val="21"/>
                <w:szCs w:val="21"/>
              </w:rPr>
              <w:t>清单相关信息提交后，由系统自动生成结算清单并进行清单质控，根据质控结果返回URL链接提供给客户端；</w:t>
            </w:r>
          </w:p>
          <w:p>
            <w:pPr>
              <w:rPr>
                <w:rFonts w:hint="eastAsia" w:ascii="宋体" w:hAnsi="宋体" w:eastAsia="宋体" w:cs="宋体"/>
                <w:sz w:val="21"/>
                <w:szCs w:val="21"/>
              </w:rPr>
            </w:pPr>
            <w:r>
              <w:rPr>
                <w:rFonts w:hint="eastAsia" w:ascii="宋体" w:hAnsi="宋体" w:eastAsia="宋体" w:cs="宋体"/>
                <w:sz w:val="21"/>
                <w:szCs w:val="21"/>
              </w:rPr>
              <w:t>2.系统支持进行清单预览、清单评分结果查看、清单质控结果查看，清单预分组结果查看。</w:t>
            </w:r>
          </w:p>
          <w:p>
            <w:pPr>
              <w:rPr>
                <w:rFonts w:hint="eastAsia" w:ascii="宋体" w:hAnsi="宋体" w:eastAsia="宋体" w:cs="宋体"/>
                <w:kern w:val="2"/>
                <w:sz w:val="21"/>
                <w:szCs w:val="21"/>
                <w:lang w:val="en-US" w:eastAsia="en-US" w:bidi="ar-SA"/>
              </w:rPr>
            </w:pPr>
            <w:r>
              <w:rPr>
                <w:rFonts w:hint="eastAsia" w:ascii="宋体" w:hAnsi="宋体" w:eastAsia="宋体" w:cs="宋体"/>
                <w:sz w:val="21"/>
                <w:szCs w:val="21"/>
              </w:rPr>
              <w:t>3.临床医生可根据质控结果返回his系统进行病案信息的修正。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 w:hRule="atLeast"/>
          <w:jc w:val="center"/>
        </w:trPr>
        <w:tc>
          <w:tcPr>
            <w:tcW w:w="1716" w:type="dxa"/>
            <w:vMerge w:val="restart"/>
            <w:shd w:val="clear" w:color="auto" w:fill="auto"/>
            <w:noWrap w:val="0"/>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管理端</w:t>
            </w:r>
          </w:p>
        </w:tc>
        <w:tc>
          <w:tcPr>
            <w:tcW w:w="2062" w:type="dxa"/>
            <w:gridSpan w:val="2"/>
            <w:shd w:val="clear" w:color="auto" w:fill="auto"/>
            <w:noWrap w:val="0"/>
            <w:vAlign w:val="center"/>
          </w:tcPr>
          <w:p>
            <w:pPr>
              <w:rPr>
                <w:rFonts w:hint="eastAsia" w:ascii="宋体" w:hAnsi="宋体" w:eastAsia="宋体" w:cs="宋体"/>
                <w:kern w:val="2"/>
                <w:sz w:val="21"/>
                <w:szCs w:val="21"/>
                <w:lang w:val="en-US" w:eastAsia="en-US" w:bidi="ar-SA"/>
              </w:rPr>
            </w:pPr>
            <w:r>
              <w:rPr>
                <w:rFonts w:hint="eastAsia" w:ascii="宋体" w:hAnsi="宋体" w:eastAsia="宋体" w:cs="宋体"/>
                <w:sz w:val="21"/>
                <w:szCs w:val="21"/>
              </w:rPr>
              <w:t>系统首页</w:t>
            </w:r>
          </w:p>
        </w:tc>
        <w:tc>
          <w:tcPr>
            <w:tcW w:w="2209" w:type="dxa"/>
            <w:gridSpan w:val="3"/>
            <w:shd w:val="clear" w:color="auto" w:fill="auto"/>
            <w:noWrap w:val="0"/>
            <w:vAlign w:val="center"/>
          </w:tcPr>
          <w:p>
            <w:pPr>
              <w:rPr>
                <w:rFonts w:hint="eastAsia" w:ascii="宋体" w:hAnsi="宋体" w:eastAsia="宋体" w:cs="宋体"/>
                <w:kern w:val="2"/>
                <w:sz w:val="21"/>
                <w:szCs w:val="21"/>
                <w:lang w:val="en-US" w:eastAsia="en-US" w:bidi="ar-SA"/>
              </w:rPr>
            </w:pPr>
            <w:r>
              <w:rPr>
                <w:rFonts w:hint="eastAsia" w:ascii="宋体" w:hAnsi="宋体" w:eastAsia="宋体" w:cs="宋体"/>
                <w:sz w:val="21"/>
                <w:szCs w:val="21"/>
              </w:rPr>
              <w:t>统计预览</w:t>
            </w:r>
            <w:r>
              <w:rPr>
                <w:rFonts w:hint="eastAsia" w:ascii="宋体" w:hAnsi="宋体" w:eastAsia="宋体" w:cs="宋体"/>
                <w:sz w:val="21"/>
                <w:szCs w:val="21"/>
              </w:rPr>
              <w:br w:type="textWrapping"/>
            </w:r>
            <w:r>
              <w:rPr>
                <w:rFonts w:hint="eastAsia" w:ascii="宋体" w:hAnsi="宋体" w:eastAsia="宋体" w:cs="宋体"/>
                <w:sz w:val="21"/>
                <w:szCs w:val="21"/>
              </w:rPr>
              <w:t>数据下钻</w:t>
            </w:r>
          </w:p>
        </w:tc>
        <w:tc>
          <w:tcPr>
            <w:tcW w:w="4419" w:type="dxa"/>
            <w:gridSpan w:val="2"/>
            <w:shd w:val="clear" w:color="auto" w:fill="auto"/>
            <w:noWrap w:val="0"/>
            <w:vAlign w:val="center"/>
          </w:tcPr>
          <w:p>
            <w:pPr>
              <w:rPr>
                <w:rFonts w:hint="eastAsia" w:ascii="宋体" w:hAnsi="宋体" w:eastAsia="宋体" w:cs="宋体"/>
                <w:sz w:val="21"/>
                <w:szCs w:val="21"/>
              </w:rPr>
            </w:pPr>
            <w:r>
              <w:rPr>
                <w:rFonts w:hint="eastAsia" w:ascii="宋体" w:hAnsi="宋体" w:eastAsia="宋体" w:cs="宋体"/>
                <w:sz w:val="21"/>
                <w:szCs w:val="21"/>
              </w:rPr>
              <w:t>1.按照指定时间区间，进行总体清单数、机审违规及违规占比统计、归档进展统计、归档上传统计、清单评分前后均分的比对、清单入组情况分析及入组率统计。</w:t>
            </w:r>
          </w:p>
          <w:p>
            <w:pPr>
              <w:rPr>
                <w:rFonts w:hint="eastAsia" w:ascii="宋体" w:hAnsi="宋体" w:eastAsia="宋体" w:cs="宋体"/>
                <w:sz w:val="21"/>
                <w:szCs w:val="21"/>
              </w:rPr>
            </w:pPr>
            <w:r>
              <w:rPr>
                <w:rFonts w:hint="eastAsia" w:ascii="宋体" w:hAnsi="宋体" w:eastAsia="宋体" w:cs="宋体"/>
                <w:sz w:val="21"/>
                <w:szCs w:val="21"/>
              </w:rPr>
              <w:t>2.系统提供按照违规规则统计、按照科室/病区统计机审违规及人工反馈top值，支持跳转查看违规明细信息。</w:t>
            </w:r>
          </w:p>
          <w:p>
            <w:pPr>
              <w:rPr>
                <w:rFonts w:hint="eastAsia" w:ascii="宋体" w:hAnsi="宋体" w:eastAsia="宋体" w:cs="宋体"/>
                <w:kern w:val="2"/>
                <w:sz w:val="21"/>
                <w:szCs w:val="21"/>
                <w:lang w:val="en-US" w:eastAsia="en-US" w:bidi="ar-SA"/>
              </w:rPr>
            </w:pPr>
            <w:r>
              <w:rPr>
                <w:rFonts w:hint="eastAsia" w:ascii="宋体" w:hAnsi="宋体" w:eastAsia="宋体" w:cs="宋体"/>
                <w:sz w:val="21"/>
                <w:szCs w:val="21"/>
              </w:rPr>
              <w:t>3.首页提供工作量分析、基金类型、病例类型、医保支付方式的分析，辅助院内管理者进行院内考核及基金分配。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716" w:type="dxa"/>
            <w:vMerge w:val="continue"/>
            <w:noWrap w:val="0"/>
            <w:vAlign w:val="center"/>
          </w:tcPr>
          <w:p>
            <w:pPr>
              <w:widowControl/>
              <w:adjustRightInd w:val="0"/>
              <w:snapToGrid w:val="0"/>
              <w:spacing w:line="400" w:lineRule="exact"/>
              <w:ind w:firstLine="420" w:firstLineChars="200"/>
              <w:rPr>
                <w:rFonts w:hint="eastAsia" w:ascii="宋体" w:hAnsi="宋体" w:eastAsia="宋体" w:cs="宋体"/>
                <w:sz w:val="21"/>
                <w:szCs w:val="21"/>
                <w:highlight w:val="none"/>
              </w:rPr>
            </w:pPr>
          </w:p>
        </w:tc>
        <w:tc>
          <w:tcPr>
            <w:tcW w:w="2062" w:type="dxa"/>
            <w:gridSpan w:val="2"/>
            <w:vMerge w:val="restart"/>
            <w:shd w:val="clear" w:color="auto" w:fill="auto"/>
            <w:noWrap w:val="0"/>
            <w:vAlign w:val="center"/>
          </w:tcPr>
          <w:p>
            <w:pPr>
              <w:jc w:val="both"/>
              <w:rPr>
                <w:rFonts w:hint="eastAsia" w:ascii="宋体" w:hAnsi="宋体" w:eastAsia="宋体" w:cs="宋体"/>
                <w:kern w:val="2"/>
                <w:sz w:val="21"/>
                <w:szCs w:val="21"/>
                <w:lang w:val="en-US" w:eastAsia="en-US" w:bidi="ar-SA"/>
              </w:rPr>
            </w:pPr>
            <w:r>
              <w:rPr>
                <w:rFonts w:hint="eastAsia" w:ascii="宋体" w:hAnsi="宋体" w:eastAsia="宋体" w:cs="宋体"/>
                <w:sz w:val="21"/>
                <w:szCs w:val="21"/>
              </w:rPr>
              <w:t>清单审核及质控</w:t>
            </w:r>
          </w:p>
        </w:tc>
        <w:tc>
          <w:tcPr>
            <w:tcW w:w="2209" w:type="dxa"/>
            <w:gridSpan w:val="3"/>
            <w:shd w:val="clear" w:color="auto" w:fill="auto"/>
            <w:noWrap w:val="0"/>
            <w:vAlign w:val="center"/>
          </w:tcPr>
          <w:p>
            <w:pPr>
              <w:rPr>
                <w:rFonts w:hint="eastAsia" w:ascii="宋体" w:hAnsi="宋体" w:eastAsia="宋体" w:cs="宋体"/>
                <w:kern w:val="2"/>
                <w:sz w:val="21"/>
                <w:szCs w:val="21"/>
                <w:lang w:val="en-US" w:eastAsia="en-US" w:bidi="ar-SA"/>
              </w:rPr>
            </w:pPr>
            <w:r>
              <w:rPr>
                <w:rFonts w:hint="eastAsia" w:ascii="宋体" w:hAnsi="宋体" w:eastAsia="宋体" w:cs="宋体"/>
                <w:sz w:val="21"/>
                <w:szCs w:val="21"/>
              </w:rPr>
              <w:t>▲清单审核流程设置</w:t>
            </w:r>
          </w:p>
        </w:tc>
        <w:tc>
          <w:tcPr>
            <w:tcW w:w="4419" w:type="dxa"/>
            <w:gridSpan w:val="2"/>
            <w:shd w:val="clear" w:color="auto" w:fill="auto"/>
            <w:noWrap w:val="0"/>
            <w:vAlign w:val="center"/>
          </w:tcPr>
          <w:p>
            <w:pPr>
              <w:rPr>
                <w:rFonts w:hint="eastAsia" w:ascii="宋体" w:hAnsi="宋体" w:eastAsia="宋体" w:cs="宋体"/>
                <w:kern w:val="2"/>
                <w:sz w:val="21"/>
                <w:szCs w:val="21"/>
                <w:lang w:val="en-US" w:eastAsia="en-US" w:bidi="ar-SA"/>
              </w:rPr>
            </w:pPr>
            <w:r>
              <w:rPr>
                <w:rFonts w:hint="eastAsia" w:ascii="宋体" w:hAnsi="宋体" w:eastAsia="宋体" w:cs="宋体"/>
                <w:sz w:val="21"/>
                <w:szCs w:val="21"/>
              </w:rPr>
              <w:t>支持根据用户管理需要，设置清单管理流程，可包括初审-复审-三审-四审-终审等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 w:hRule="atLeast"/>
          <w:jc w:val="center"/>
        </w:trPr>
        <w:tc>
          <w:tcPr>
            <w:tcW w:w="1716" w:type="dxa"/>
            <w:vMerge w:val="continue"/>
            <w:noWrap w:val="0"/>
            <w:vAlign w:val="center"/>
          </w:tcPr>
          <w:p>
            <w:pPr>
              <w:widowControl/>
              <w:adjustRightInd w:val="0"/>
              <w:snapToGrid w:val="0"/>
              <w:spacing w:line="400" w:lineRule="exact"/>
              <w:ind w:firstLine="420" w:firstLineChars="200"/>
              <w:jc w:val="center"/>
              <w:rPr>
                <w:rFonts w:hint="eastAsia" w:ascii="宋体" w:hAnsi="宋体" w:eastAsia="宋体" w:cs="宋体"/>
                <w:sz w:val="21"/>
                <w:szCs w:val="21"/>
                <w:highlight w:val="none"/>
              </w:rPr>
            </w:pPr>
          </w:p>
        </w:tc>
        <w:tc>
          <w:tcPr>
            <w:tcW w:w="2062" w:type="dxa"/>
            <w:gridSpan w:val="2"/>
            <w:vMerge w:val="continue"/>
            <w:shd w:val="clear" w:color="auto" w:fill="auto"/>
            <w:noWrap w:val="0"/>
            <w:vAlign w:val="center"/>
          </w:tcPr>
          <w:p>
            <w:pPr>
              <w:spacing w:before="39" w:line="205" w:lineRule="auto"/>
              <w:jc w:val="center"/>
              <w:rPr>
                <w:rFonts w:hint="eastAsia" w:ascii="宋体" w:hAnsi="宋体" w:eastAsia="宋体" w:cs="宋体"/>
                <w:kern w:val="2"/>
                <w:sz w:val="21"/>
                <w:szCs w:val="21"/>
                <w:lang w:val="en-US" w:eastAsia="en-US" w:bidi="ar-SA"/>
              </w:rPr>
            </w:pPr>
          </w:p>
        </w:tc>
        <w:tc>
          <w:tcPr>
            <w:tcW w:w="2209" w:type="dxa"/>
            <w:gridSpan w:val="3"/>
            <w:shd w:val="clear" w:color="auto" w:fill="auto"/>
            <w:noWrap w:val="0"/>
            <w:vAlign w:val="center"/>
          </w:tcPr>
          <w:p>
            <w:pPr>
              <w:rPr>
                <w:rFonts w:hint="eastAsia" w:ascii="宋体" w:hAnsi="宋体" w:eastAsia="宋体" w:cs="宋体"/>
                <w:kern w:val="2"/>
                <w:sz w:val="21"/>
                <w:szCs w:val="21"/>
                <w:lang w:val="en-US" w:eastAsia="en-US" w:bidi="ar-SA"/>
              </w:rPr>
            </w:pPr>
            <w:r>
              <w:rPr>
                <w:rFonts w:hint="eastAsia" w:ascii="宋体" w:hAnsi="宋体" w:eastAsia="宋体" w:cs="宋体"/>
                <w:sz w:val="21"/>
                <w:szCs w:val="21"/>
              </w:rPr>
              <w:t>清单质控</w:t>
            </w:r>
          </w:p>
        </w:tc>
        <w:tc>
          <w:tcPr>
            <w:tcW w:w="4419" w:type="dxa"/>
            <w:gridSpan w:val="2"/>
            <w:shd w:val="clear" w:color="auto" w:fill="auto"/>
            <w:noWrap w:val="0"/>
            <w:vAlign w:val="center"/>
          </w:tcPr>
          <w:p>
            <w:pPr>
              <w:rPr>
                <w:rFonts w:hint="eastAsia" w:ascii="宋体" w:hAnsi="宋体" w:eastAsia="宋体" w:cs="宋体"/>
                <w:kern w:val="2"/>
                <w:sz w:val="21"/>
                <w:szCs w:val="21"/>
                <w:lang w:val="en-US" w:eastAsia="en-US" w:bidi="ar-SA"/>
              </w:rPr>
            </w:pPr>
            <w:r>
              <w:rPr>
                <w:rFonts w:hint="eastAsia" w:ascii="宋体" w:hAnsi="宋体" w:eastAsia="宋体" w:cs="宋体"/>
                <w:sz w:val="21"/>
                <w:szCs w:val="21"/>
              </w:rPr>
              <w:t>支持查看清单质控结果（正常\违规），选中单条清单数据，可查看清单原始数据信息及清单的质控违规提示，按照违规分类分别显示违规提醒及扣费信息；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 w:hRule="atLeast"/>
          <w:jc w:val="center"/>
        </w:trPr>
        <w:tc>
          <w:tcPr>
            <w:tcW w:w="1716" w:type="dxa"/>
            <w:vMerge w:val="continue"/>
            <w:noWrap w:val="0"/>
            <w:vAlign w:val="center"/>
          </w:tcPr>
          <w:p>
            <w:pPr>
              <w:widowControl/>
              <w:adjustRightInd w:val="0"/>
              <w:snapToGrid w:val="0"/>
              <w:spacing w:line="400" w:lineRule="exact"/>
              <w:ind w:firstLine="420" w:firstLineChars="200"/>
              <w:jc w:val="center"/>
              <w:rPr>
                <w:rFonts w:hint="eastAsia" w:ascii="宋体" w:hAnsi="宋体" w:eastAsia="宋体" w:cs="宋体"/>
                <w:sz w:val="21"/>
                <w:szCs w:val="21"/>
                <w:highlight w:val="none"/>
              </w:rPr>
            </w:pPr>
          </w:p>
        </w:tc>
        <w:tc>
          <w:tcPr>
            <w:tcW w:w="2062" w:type="dxa"/>
            <w:gridSpan w:val="2"/>
            <w:vMerge w:val="continue"/>
            <w:shd w:val="clear" w:color="auto" w:fill="auto"/>
            <w:noWrap w:val="0"/>
            <w:vAlign w:val="center"/>
          </w:tcPr>
          <w:p>
            <w:pPr>
              <w:spacing w:before="193" w:line="220" w:lineRule="auto"/>
              <w:jc w:val="center"/>
              <w:rPr>
                <w:rFonts w:hint="eastAsia" w:ascii="宋体" w:hAnsi="宋体" w:eastAsia="宋体" w:cs="宋体"/>
                <w:kern w:val="2"/>
                <w:sz w:val="21"/>
                <w:szCs w:val="21"/>
                <w:lang w:val="en-US" w:eastAsia="en-US" w:bidi="ar-SA"/>
              </w:rPr>
            </w:pPr>
          </w:p>
        </w:tc>
        <w:tc>
          <w:tcPr>
            <w:tcW w:w="2209" w:type="dxa"/>
            <w:gridSpan w:val="3"/>
            <w:shd w:val="clear" w:color="auto" w:fill="auto"/>
            <w:noWrap w:val="0"/>
            <w:vAlign w:val="center"/>
          </w:tcPr>
          <w:p>
            <w:pPr>
              <w:rPr>
                <w:rFonts w:hint="eastAsia" w:ascii="宋体" w:hAnsi="宋体" w:eastAsia="宋体" w:cs="宋体"/>
                <w:kern w:val="2"/>
                <w:sz w:val="21"/>
                <w:szCs w:val="21"/>
                <w:lang w:val="en-US" w:eastAsia="en-US" w:bidi="ar-SA"/>
              </w:rPr>
            </w:pPr>
            <w:r>
              <w:rPr>
                <w:rFonts w:hint="eastAsia" w:ascii="宋体" w:hAnsi="宋体" w:eastAsia="宋体" w:cs="宋体"/>
                <w:sz w:val="21"/>
                <w:szCs w:val="21"/>
              </w:rPr>
              <w:t>▲清单查看/编辑</w:t>
            </w:r>
          </w:p>
        </w:tc>
        <w:tc>
          <w:tcPr>
            <w:tcW w:w="4419" w:type="dxa"/>
            <w:gridSpan w:val="2"/>
            <w:shd w:val="clear" w:color="auto" w:fill="auto"/>
            <w:noWrap w:val="0"/>
            <w:vAlign w:val="center"/>
          </w:tcPr>
          <w:p>
            <w:pPr>
              <w:rPr>
                <w:rFonts w:hint="eastAsia" w:ascii="宋体" w:hAnsi="宋体" w:eastAsia="宋体" w:cs="宋体"/>
                <w:kern w:val="2"/>
                <w:sz w:val="21"/>
                <w:szCs w:val="21"/>
                <w:lang w:val="en-US" w:eastAsia="en-US" w:bidi="ar-SA"/>
              </w:rPr>
            </w:pPr>
            <w:r>
              <w:rPr>
                <w:rFonts w:hint="eastAsia" w:ascii="宋体" w:hAnsi="宋体" w:eastAsia="宋体" w:cs="宋体"/>
                <w:sz w:val="21"/>
                <w:szCs w:val="21"/>
              </w:rPr>
              <w:t>按照用户操作权限，可点击查看\编辑进行清单的预览及编辑，用户在线进行清单编辑后可实时调用清单质控引擎及分组引擎进行修正后结算清单的质控与模拟分组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 w:hRule="atLeast"/>
          <w:jc w:val="center"/>
        </w:trPr>
        <w:tc>
          <w:tcPr>
            <w:tcW w:w="1716" w:type="dxa"/>
            <w:vMerge w:val="continue"/>
            <w:noWrap w:val="0"/>
            <w:vAlign w:val="center"/>
          </w:tcPr>
          <w:p>
            <w:pPr>
              <w:widowControl/>
              <w:adjustRightInd w:val="0"/>
              <w:snapToGrid w:val="0"/>
              <w:spacing w:line="400" w:lineRule="exact"/>
              <w:ind w:firstLine="420" w:firstLineChars="200"/>
              <w:rPr>
                <w:rFonts w:hint="eastAsia" w:ascii="宋体" w:hAnsi="宋体" w:eastAsia="宋体" w:cs="宋体"/>
                <w:sz w:val="21"/>
                <w:szCs w:val="21"/>
                <w:highlight w:val="none"/>
              </w:rPr>
            </w:pPr>
          </w:p>
        </w:tc>
        <w:tc>
          <w:tcPr>
            <w:tcW w:w="2062" w:type="dxa"/>
            <w:gridSpan w:val="2"/>
            <w:vMerge w:val="continue"/>
            <w:shd w:val="clear" w:color="auto" w:fill="auto"/>
            <w:noWrap w:val="0"/>
            <w:vAlign w:val="center"/>
          </w:tcPr>
          <w:p>
            <w:pPr>
              <w:spacing w:before="194" w:line="220" w:lineRule="auto"/>
              <w:jc w:val="center"/>
              <w:rPr>
                <w:rFonts w:hint="eastAsia" w:ascii="宋体" w:hAnsi="宋体" w:eastAsia="宋体" w:cs="宋体"/>
                <w:kern w:val="2"/>
                <w:sz w:val="21"/>
                <w:szCs w:val="21"/>
                <w:lang w:val="en-US" w:eastAsia="en-US" w:bidi="ar-SA"/>
              </w:rPr>
            </w:pPr>
          </w:p>
        </w:tc>
        <w:tc>
          <w:tcPr>
            <w:tcW w:w="2209" w:type="dxa"/>
            <w:gridSpan w:val="3"/>
            <w:shd w:val="clear" w:color="auto" w:fill="auto"/>
            <w:noWrap w:val="0"/>
            <w:vAlign w:val="center"/>
          </w:tcPr>
          <w:p>
            <w:pPr>
              <w:rPr>
                <w:rFonts w:hint="eastAsia" w:ascii="宋体" w:hAnsi="宋体" w:eastAsia="宋体" w:cs="宋体"/>
                <w:kern w:val="2"/>
                <w:sz w:val="21"/>
                <w:szCs w:val="21"/>
                <w:lang w:val="en-US" w:eastAsia="en-US" w:bidi="ar-SA"/>
              </w:rPr>
            </w:pPr>
            <w:r>
              <w:rPr>
                <w:rFonts w:hint="eastAsia" w:ascii="宋体" w:hAnsi="宋体" w:eastAsia="宋体" w:cs="宋体"/>
                <w:sz w:val="21"/>
                <w:szCs w:val="21"/>
              </w:rPr>
              <w:t>▲清单分组前后比对</w:t>
            </w:r>
          </w:p>
        </w:tc>
        <w:tc>
          <w:tcPr>
            <w:tcW w:w="4419" w:type="dxa"/>
            <w:gridSpan w:val="2"/>
            <w:shd w:val="clear" w:color="auto" w:fill="auto"/>
            <w:noWrap w:val="0"/>
            <w:vAlign w:val="center"/>
          </w:tcPr>
          <w:p>
            <w:pPr>
              <w:rPr>
                <w:rFonts w:hint="eastAsia" w:ascii="宋体" w:hAnsi="宋体" w:eastAsia="宋体" w:cs="宋体"/>
                <w:kern w:val="2"/>
                <w:sz w:val="21"/>
                <w:szCs w:val="21"/>
                <w:lang w:val="en-US" w:eastAsia="en-US" w:bidi="ar-SA"/>
              </w:rPr>
            </w:pPr>
            <w:r>
              <w:rPr>
                <w:rFonts w:hint="eastAsia" w:ascii="宋体" w:hAnsi="宋体" w:eastAsia="宋体" w:cs="宋体"/>
                <w:sz w:val="21"/>
                <w:szCs w:val="21"/>
              </w:rPr>
              <w:t>清单列表展示结算清单修正前后的入组</w:t>
            </w:r>
            <w:r>
              <w:rPr>
                <w:rFonts w:hint="eastAsia" w:ascii="宋体" w:hAnsi="宋体" w:cs="宋体"/>
                <w:sz w:val="21"/>
                <w:szCs w:val="21"/>
                <w:lang w:eastAsia="zh-CN"/>
              </w:rPr>
              <w:t>情况</w:t>
            </w:r>
            <w:r>
              <w:rPr>
                <w:rFonts w:hint="eastAsia" w:ascii="宋体" w:hAnsi="宋体" w:eastAsia="宋体" w:cs="宋体"/>
                <w:sz w:val="21"/>
                <w:szCs w:val="21"/>
              </w:rPr>
              <w:t>，可用于修正前后的比对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 w:hRule="atLeast"/>
          <w:jc w:val="center"/>
        </w:trPr>
        <w:tc>
          <w:tcPr>
            <w:tcW w:w="1716" w:type="dxa"/>
            <w:vMerge w:val="continue"/>
            <w:noWrap w:val="0"/>
            <w:vAlign w:val="center"/>
          </w:tcPr>
          <w:p>
            <w:pPr>
              <w:widowControl/>
              <w:adjustRightInd w:val="0"/>
              <w:snapToGrid w:val="0"/>
              <w:spacing w:line="400" w:lineRule="exact"/>
              <w:ind w:firstLine="420" w:firstLineChars="200"/>
              <w:rPr>
                <w:rFonts w:hint="eastAsia" w:ascii="宋体" w:hAnsi="宋体" w:eastAsia="宋体" w:cs="宋体"/>
                <w:sz w:val="21"/>
                <w:szCs w:val="21"/>
                <w:highlight w:val="none"/>
              </w:rPr>
            </w:pPr>
          </w:p>
        </w:tc>
        <w:tc>
          <w:tcPr>
            <w:tcW w:w="2062" w:type="dxa"/>
            <w:gridSpan w:val="2"/>
            <w:vMerge w:val="continue"/>
            <w:shd w:val="clear" w:color="auto" w:fill="auto"/>
            <w:noWrap w:val="0"/>
            <w:vAlign w:val="center"/>
          </w:tcPr>
          <w:p>
            <w:pPr>
              <w:spacing w:before="194" w:line="220" w:lineRule="auto"/>
              <w:jc w:val="center"/>
              <w:rPr>
                <w:rFonts w:hint="eastAsia" w:ascii="宋体" w:hAnsi="宋体" w:eastAsia="宋体" w:cs="宋体"/>
                <w:kern w:val="2"/>
                <w:sz w:val="21"/>
                <w:szCs w:val="21"/>
                <w:lang w:val="en-US" w:eastAsia="en-US" w:bidi="ar-SA"/>
              </w:rPr>
            </w:pPr>
          </w:p>
        </w:tc>
        <w:tc>
          <w:tcPr>
            <w:tcW w:w="2209" w:type="dxa"/>
            <w:gridSpan w:val="3"/>
            <w:shd w:val="clear" w:color="auto" w:fill="auto"/>
            <w:noWrap w:val="0"/>
            <w:vAlign w:val="center"/>
          </w:tcPr>
          <w:p>
            <w:pPr>
              <w:rPr>
                <w:rFonts w:hint="eastAsia" w:ascii="宋体" w:hAnsi="宋体" w:eastAsia="宋体" w:cs="宋体"/>
                <w:kern w:val="2"/>
                <w:sz w:val="21"/>
                <w:szCs w:val="21"/>
                <w:lang w:val="en-US" w:eastAsia="en-US" w:bidi="ar-SA"/>
              </w:rPr>
            </w:pPr>
            <w:r>
              <w:rPr>
                <w:rFonts w:hint="eastAsia" w:ascii="宋体" w:hAnsi="宋体" w:eastAsia="宋体" w:cs="宋体"/>
                <w:sz w:val="21"/>
                <w:szCs w:val="21"/>
              </w:rPr>
              <w:t>▲角色管理/反馈</w:t>
            </w:r>
          </w:p>
        </w:tc>
        <w:tc>
          <w:tcPr>
            <w:tcW w:w="4419" w:type="dxa"/>
            <w:gridSpan w:val="2"/>
            <w:shd w:val="clear" w:color="auto" w:fill="auto"/>
            <w:noWrap w:val="0"/>
            <w:vAlign w:val="center"/>
          </w:tcPr>
          <w:p>
            <w:pPr>
              <w:rPr>
                <w:rFonts w:hint="eastAsia" w:ascii="宋体" w:hAnsi="宋体" w:eastAsia="宋体" w:cs="宋体"/>
                <w:sz w:val="21"/>
                <w:szCs w:val="21"/>
              </w:rPr>
            </w:pPr>
            <w:r>
              <w:rPr>
                <w:rFonts w:hint="eastAsia" w:ascii="宋体" w:hAnsi="宋体" w:eastAsia="宋体" w:cs="宋体"/>
                <w:sz w:val="21"/>
                <w:szCs w:val="21"/>
              </w:rPr>
              <w:t>支持结算清单的单条/批量的审核通过；</w:t>
            </w:r>
          </w:p>
          <w:p>
            <w:pPr>
              <w:rPr>
                <w:rFonts w:hint="eastAsia" w:ascii="宋体" w:hAnsi="宋体" w:eastAsia="宋体" w:cs="宋体"/>
                <w:sz w:val="21"/>
                <w:szCs w:val="21"/>
              </w:rPr>
            </w:pPr>
            <w:r>
              <w:rPr>
                <w:rFonts w:hint="eastAsia" w:ascii="宋体" w:hAnsi="宋体" w:eastAsia="宋体" w:cs="宋体"/>
                <w:sz w:val="21"/>
                <w:szCs w:val="21"/>
              </w:rPr>
              <w:t>清单审核过程中，若存在错填漏填等违规信息，用户可进行反馈意见的填写并反馈至前置审核节点，前置审核节点用户可进行病案的调整与补充，重新进行数据上传；</w:t>
            </w:r>
          </w:p>
          <w:p>
            <w:pPr>
              <w:rPr>
                <w:rFonts w:hint="eastAsia" w:ascii="宋体" w:hAnsi="宋体" w:eastAsia="宋体" w:cs="宋体"/>
                <w:kern w:val="2"/>
                <w:sz w:val="21"/>
                <w:szCs w:val="21"/>
                <w:lang w:val="en-US" w:eastAsia="en-US" w:bidi="ar-SA"/>
              </w:rPr>
            </w:pPr>
            <w:r>
              <w:rPr>
                <w:rFonts w:hint="eastAsia" w:ascii="宋体" w:hAnsi="宋体" w:eastAsia="宋体" w:cs="宋体"/>
                <w:sz w:val="21"/>
                <w:szCs w:val="21"/>
              </w:rPr>
              <w:t>审核无误的清单，可进行单条/批量数据的审核通过操作，提交至下一个节点。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 w:hRule="atLeast"/>
          <w:jc w:val="center"/>
        </w:trPr>
        <w:tc>
          <w:tcPr>
            <w:tcW w:w="1716" w:type="dxa"/>
            <w:vMerge w:val="continue"/>
            <w:noWrap w:val="0"/>
            <w:vAlign w:val="center"/>
          </w:tcPr>
          <w:p>
            <w:pPr>
              <w:widowControl/>
              <w:adjustRightInd w:val="0"/>
              <w:snapToGrid w:val="0"/>
              <w:spacing w:line="400" w:lineRule="exact"/>
              <w:ind w:firstLine="420" w:firstLineChars="200"/>
              <w:rPr>
                <w:rFonts w:hint="eastAsia" w:ascii="宋体" w:hAnsi="宋体" w:eastAsia="宋体" w:cs="宋体"/>
                <w:sz w:val="21"/>
                <w:szCs w:val="21"/>
                <w:highlight w:val="none"/>
              </w:rPr>
            </w:pPr>
          </w:p>
        </w:tc>
        <w:tc>
          <w:tcPr>
            <w:tcW w:w="2062" w:type="dxa"/>
            <w:gridSpan w:val="2"/>
            <w:vMerge w:val="restart"/>
            <w:shd w:val="clear" w:color="auto" w:fill="auto"/>
            <w:noWrap w:val="0"/>
            <w:vAlign w:val="center"/>
          </w:tcPr>
          <w:p>
            <w:pPr>
              <w:rPr>
                <w:rFonts w:hint="eastAsia" w:ascii="宋体" w:hAnsi="宋体" w:eastAsia="宋体" w:cs="宋体"/>
                <w:kern w:val="2"/>
                <w:sz w:val="21"/>
                <w:szCs w:val="21"/>
                <w:lang w:val="en-US" w:eastAsia="en-US" w:bidi="ar-SA"/>
              </w:rPr>
            </w:pPr>
            <w:r>
              <w:rPr>
                <w:rFonts w:hint="eastAsia" w:ascii="宋体" w:hAnsi="宋体" w:eastAsia="宋体" w:cs="宋体"/>
                <w:sz w:val="21"/>
                <w:szCs w:val="21"/>
              </w:rPr>
              <w:t>清单归档上传</w:t>
            </w:r>
          </w:p>
        </w:tc>
        <w:tc>
          <w:tcPr>
            <w:tcW w:w="2209" w:type="dxa"/>
            <w:gridSpan w:val="3"/>
            <w:shd w:val="clear" w:color="auto" w:fill="auto"/>
            <w:noWrap w:val="0"/>
            <w:vAlign w:val="center"/>
          </w:tcPr>
          <w:p>
            <w:pPr>
              <w:rPr>
                <w:rFonts w:hint="eastAsia" w:ascii="宋体" w:hAnsi="宋体" w:eastAsia="宋体" w:cs="宋体"/>
                <w:kern w:val="2"/>
                <w:sz w:val="21"/>
                <w:szCs w:val="21"/>
                <w:lang w:val="en-US" w:eastAsia="en-US" w:bidi="ar-SA"/>
              </w:rPr>
            </w:pPr>
            <w:r>
              <w:rPr>
                <w:rFonts w:hint="eastAsia" w:ascii="宋体" w:hAnsi="宋体" w:eastAsia="宋体" w:cs="宋体"/>
                <w:sz w:val="21"/>
                <w:szCs w:val="21"/>
              </w:rPr>
              <w:t>清单归档</w:t>
            </w:r>
          </w:p>
        </w:tc>
        <w:tc>
          <w:tcPr>
            <w:tcW w:w="4419" w:type="dxa"/>
            <w:gridSpan w:val="2"/>
            <w:shd w:val="clear" w:color="auto" w:fill="auto"/>
            <w:noWrap w:val="0"/>
            <w:vAlign w:val="center"/>
          </w:tcPr>
          <w:p>
            <w:pPr>
              <w:rPr>
                <w:rFonts w:hint="eastAsia" w:ascii="宋体" w:hAnsi="宋体" w:eastAsia="宋体" w:cs="宋体"/>
                <w:kern w:val="2"/>
                <w:sz w:val="21"/>
                <w:szCs w:val="21"/>
                <w:lang w:val="en-US" w:eastAsia="en-US" w:bidi="ar-SA"/>
              </w:rPr>
            </w:pPr>
            <w:r>
              <w:rPr>
                <w:rFonts w:hint="eastAsia" w:ascii="宋体" w:hAnsi="宋体" w:eastAsia="宋体" w:cs="宋体"/>
                <w:sz w:val="21"/>
                <w:szCs w:val="21"/>
              </w:rPr>
              <w:t>审核完成后，结算清单进行自动归档，不支持修改；支持清单预览；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 w:hRule="atLeast"/>
          <w:jc w:val="center"/>
        </w:trPr>
        <w:tc>
          <w:tcPr>
            <w:tcW w:w="1716" w:type="dxa"/>
            <w:vMerge w:val="continue"/>
            <w:noWrap w:val="0"/>
            <w:vAlign w:val="center"/>
          </w:tcPr>
          <w:p>
            <w:pPr>
              <w:widowControl/>
              <w:adjustRightInd w:val="0"/>
              <w:snapToGrid w:val="0"/>
              <w:spacing w:line="400" w:lineRule="exact"/>
              <w:ind w:firstLine="420" w:firstLineChars="200"/>
              <w:rPr>
                <w:rFonts w:hint="eastAsia" w:ascii="宋体" w:hAnsi="宋体" w:eastAsia="宋体" w:cs="宋体"/>
                <w:sz w:val="21"/>
                <w:szCs w:val="21"/>
                <w:highlight w:val="none"/>
              </w:rPr>
            </w:pPr>
          </w:p>
        </w:tc>
        <w:tc>
          <w:tcPr>
            <w:tcW w:w="2062" w:type="dxa"/>
            <w:gridSpan w:val="2"/>
            <w:vMerge w:val="continue"/>
            <w:shd w:val="clear" w:color="auto" w:fill="auto"/>
            <w:noWrap w:val="0"/>
            <w:vAlign w:val="center"/>
          </w:tcPr>
          <w:p>
            <w:pPr>
              <w:spacing w:before="78" w:line="221" w:lineRule="auto"/>
              <w:jc w:val="center"/>
              <w:rPr>
                <w:rFonts w:hint="eastAsia" w:ascii="宋体" w:hAnsi="宋体" w:eastAsia="宋体" w:cs="宋体"/>
                <w:kern w:val="2"/>
                <w:sz w:val="21"/>
                <w:szCs w:val="21"/>
                <w:lang w:val="en-US" w:eastAsia="en-US" w:bidi="ar-SA"/>
              </w:rPr>
            </w:pPr>
          </w:p>
        </w:tc>
        <w:tc>
          <w:tcPr>
            <w:tcW w:w="2209" w:type="dxa"/>
            <w:gridSpan w:val="3"/>
            <w:shd w:val="clear" w:color="auto" w:fill="auto"/>
            <w:noWrap w:val="0"/>
            <w:vAlign w:val="center"/>
          </w:tcPr>
          <w:p>
            <w:pPr>
              <w:rPr>
                <w:rFonts w:hint="eastAsia" w:ascii="宋体" w:hAnsi="宋体" w:eastAsia="宋体" w:cs="宋体"/>
                <w:kern w:val="2"/>
                <w:sz w:val="21"/>
                <w:szCs w:val="21"/>
                <w:lang w:val="en-US" w:eastAsia="en-US" w:bidi="ar-SA"/>
              </w:rPr>
            </w:pPr>
            <w:r>
              <w:rPr>
                <w:rFonts w:hint="eastAsia" w:ascii="宋体" w:hAnsi="宋体" w:eastAsia="宋体" w:cs="宋体"/>
                <w:sz w:val="21"/>
                <w:szCs w:val="21"/>
              </w:rPr>
              <w:t>▲清单导出</w:t>
            </w:r>
          </w:p>
        </w:tc>
        <w:tc>
          <w:tcPr>
            <w:tcW w:w="4419" w:type="dxa"/>
            <w:gridSpan w:val="2"/>
            <w:shd w:val="clear" w:color="auto" w:fill="auto"/>
            <w:noWrap w:val="0"/>
            <w:vAlign w:val="center"/>
          </w:tcPr>
          <w:p>
            <w:pPr>
              <w:rPr>
                <w:rFonts w:hint="eastAsia" w:ascii="宋体" w:hAnsi="宋体" w:eastAsia="宋体" w:cs="宋体"/>
                <w:kern w:val="2"/>
                <w:sz w:val="21"/>
                <w:szCs w:val="21"/>
                <w:lang w:val="en-US" w:eastAsia="en-US" w:bidi="ar-SA"/>
              </w:rPr>
            </w:pPr>
            <w:r>
              <w:rPr>
                <w:rFonts w:hint="eastAsia" w:ascii="宋体" w:hAnsi="宋体" w:eastAsia="宋体" w:cs="宋体"/>
                <w:sz w:val="21"/>
                <w:szCs w:val="21"/>
              </w:rPr>
              <w:t>支持归档清单打印、导出pdf</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 w:hRule="atLeast"/>
          <w:jc w:val="center"/>
        </w:trPr>
        <w:tc>
          <w:tcPr>
            <w:tcW w:w="1716" w:type="dxa"/>
            <w:vMerge w:val="continue"/>
            <w:noWrap w:val="0"/>
            <w:vAlign w:val="center"/>
          </w:tcPr>
          <w:p>
            <w:pPr>
              <w:widowControl/>
              <w:adjustRightInd w:val="0"/>
              <w:snapToGrid w:val="0"/>
              <w:spacing w:line="400" w:lineRule="exact"/>
              <w:ind w:firstLine="420" w:firstLineChars="200"/>
              <w:rPr>
                <w:rFonts w:hint="eastAsia" w:ascii="宋体" w:hAnsi="宋体" w:eastAsia="宋体" w:cs="宋体"/>
                <w:sz w:val="21"/>
                <w:szCs w:val="21"/>
                <w:highlight w:val="none"/>
              </w:rPr>
            </w:pPr>
          </w:p>
        </w:tc>
        <w:tc>
          <w:tcPr>
            <w:tcW w:w="2062" w:type="dxa"/>
            <w:gridSpan w:val="2"/>
            <w:vMerge w:val="continue"/>
            <w:shd w:val="clear" w:color="auto" w:fill="auto"/>
            <w:noWrap w:val="0"/>
            <w:vAlign w:val="top"/>
          </w:tcPr>
          <w:p>
            <w:pPr>
              <w:spacing w:before="39" w:line="219" w:lineRule="auto"/>
              <w:jc w:val="center"/>
              <w:rPr>
                <w:rFonts w:hint="eastAsia" w:ascii="宋体" w:hAnsi="宋体" w:eastAsia="宋体" w:cs="宋体"/>
                <w:kern w:val="2"/>
                <w:sz w:val="21"/>
                <w:szCs w:val="21"/>
                <w:lang w:val="en-US" w:eastAsia="en-US" w:bidi="ar-SA"/>
              </w:rPr>
            </w:pPr>
          </w:p>
        </w:tc>
        <w:tc>
          <w:tcPr>
            <w:tcW w:w="2209" w:type="dxa"/>
            <w:gridSpan w:val="3"/>
            <w:shd w:val="clear" w:color="auto" w:fill="auto"/>
            <w:noWrap w:val="0"/>
            <w:vAlign w:val="center"/>
          </w:tcPr>
          <w:p>
            <w:pPr>
              <w:rPr>
                <w:rFonts w:hint="eastAsia" w:ascii="宋体" w:hAnsi="宋体" w:eastAsia="宋体" w:cs="宋体"/>
                <w:kern w:val="2"/>
                <w:sz w:val="21"/>
                <w:szCs w:val="21"/>
                <w:lang w:val="en-US" w:eastAsia="en-US" w:bidi="ar-SA"/>
              </w:rPr>
            </w:pPr>
            <w:r>
              <w:rPr>
                <w:rFonts w:hint="eastAsia" w:ascii="宋体" w:hAnsi="宋体" w:eastAsia="宋体" w:cs="宋体"/>
                <w:sz w:val="21"/>
                <w:szCs w:val="21"/>
              </w:rPr>
              <w:t>▲结算清单上传</w:t>
            </w:r>
          </w:p>
        </w:tc>
        <w:tc>
          <w:tcPr>
            <w:tcW w:w="4419" w:type="dxa"/>
            <w:gridSpan w:val="2"/>
            <w:shd w:val="clear" w:color="auto" w:fill="auto"/>
            <w:noWrap w:val="0"/>
            <w:vAlign w:val="center"/>
          </w:tcPr>
          <w:p>
            <w:pPr>
              <w:rPr>
                <w:rFonts w:hint="eastAsia" w:ascii="宋体" w:hAnsi="宋体" w:eastAsia="宋体" w:cs="宋体"/>
                <w:kern w:val="2"/>
                <w:sz w:val="21"/>
                <w:szCs w:val="21"/>
                <w:lang w:val="en-US" w:eastAsia="en-US" w:bidi="ar-SA"/>
              </w:rPr>
            </w:pPr>
            <w:r>
              <w:rPr>
                <w:rFonts w:hint="eastAsia" w:ascii="宋体" w:hAnsi="宋体" w:eastAsia="宋体" w:cs="宋体"/>
                <w:sz w:val="21"/>
                <w:szCs w:val="21"/>
              </w:rPr>
              <w:t>结算清单确认无误后，可进行单条/批量上传医保，根据医保上传质控结果更新上传状态，若清单未上传/上传失败/审核不通过时，均支持主动或被动撤档，将结算清单撤回审核流程中，支持结算清单的修改编辑，修正完成可重新审核归档，上传医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 w:hRule="atLeast"/>
          <w:jc w:val="center"/>
        </w:trPr>
        <w:tc>
          <w:tcPr>
            <w:tcW w:w="1716" w:type="dxa"/>
            <w:vMerge w:val="continue"/>
            <w:noWrap w:val="0"/>
            <w:vAlign w:val="center"/>
          </w:tcPr>
          <w:p>
            <w:pPr>
              <w:widowControl/>
              <w:adjustRightInd w:val="0"/>
              <w:snapToGrid w:val="0"/>
              <w:spacing w:line="400" w:lineRule="exact"/>
              <w:ind w:firstLine="420" w:firstLineChars="200"/>
              <w:rPr>
                <w:rFonts w:hint="eastAsia" w:ascii="宋体" w:hAnsi="宋体" w:eastAsia="宋体" w:cs="宋体"/>
                <w:sz w:val="21"/>
                <w:szCs w:val="21"/>
                <w:highlight w:val="none"/>
              </w:rPr>
            </w:pPr>
          </w:p>
        </w:tc>
        <w:tc>
          <w:tcPr>
            <w:tcW w:w="2062" w:type="dxa"/>
            <w:gridSpan w:val="2"/>
            <w:vMerge w:val="restart"/>
            <w:shd w:val="clear" w:color="auto" w:fill="auto"/>
            <w:noWrap w:val="0"/>
            <w:vAlign w:val="center"/>
          </w:tcPr>
          <w:p>
            <w:pPr>
              <w:rPr>
                <w:rFonts w:hint="eastAsia" w:ascii="宋体" w:hAnsi="宋体" w:eastAsia="宋体" w:cs="宋体"/>
                <w:kern w:val="2"/>
                <w:sz w:val="21"/>
                <w:szCs w:val="21"/>
                <w:lang w:val="en-US" w:eastAsia="en-US" w:bidi="ar-SA"/>
              </w:rPr>
            </w:pPr>
            <w:r>
              <w:rPr>
                <w:rFonts w:hint="eastAsia" w:ascii="宋体" w:hAnsi="宋体" w:eastAsia="宋体" w:cs="宋体"/>
                <w:sz w:val="21"/>
                <w:szCs w:val="21"/>
              </w:rPr>
              <w:t>▲医保反馈</w:t>
            </w:r>
          </w:p>
        </w:tc>
        <w:tc>
          <w:tcPr>
            <w:tcW w:w="2209" w:type="dxa"/>
            <w:gridSpan w:val="3"/>
            <w:shd w:val="clear" w:color="auto" w:fill="auto"/>
            <w:noWrap w:val="0"/>
            <w:vAlign w:val="center"/>
          </w:tcPr>
          <w:p>
            <w:pPr>
              <w:rPr>
                <w:rFonts w:hint="eastAsia" w:ascii="宋体" w:hAnsi="宋体" w:eastAsia="宋体" w:cs="宋体"/>
                <w:kern w:val="2"/>
                <w:sz w:val="21"/>
                <w:szCs w:val="21"/>
                <w:lang w:val="en-US" w:eastAsia="en-US" w:bidi="ar-SA"/>
              </w:rPr>
            </w:pPr>
            <w:r>
              <w:rPr>
                <w:rFonts w:hint="eastAsia" w:ascii="宋体" w:hAnsi="宋体" w:eastAsia="宋体" w:cs="宋体"/>
                <w:sz w:val="21"/>
                <w:szCs w:val="21"/>
              </w:rPr>
              <w:t>医保数据反馈医保反馈数据导入、</w:t>
            </w:r>
            <w:r>
              <w:rPr>
                <w:rFonts w:hint="eastAsia" w:ascii="宋体" w:hAnsi="宋体" w:eastAsia="宋体" w:cs="宋体"/>
                <w:sz w:val="21"/>
                <w:szCs w:val="21"/>
              </w:rPr>
              <w:br w:type="textWrapping"/>
            </w:r>
            <w:r>
              <w:rPr>
                <w:rFonts w:hint="eastAsia" w:ascii="宋体" w:hAnsi="宋体" w:eastAsia="宋体" w:cs="宋体"/>
                <w:sz w:val="21"/>
                <w:szCs w:val="21"/>
              </w:rPr>
              <w:t>差异比对</w:t>
            </w:r>
          </w:p>
        </w:tc>
        <w:tc>
          <w:tcPr>
            <w:tcW w:w="4419" w:type="dxa"/>
            <w:gridSpan w:val="2"/>
            <w:shd w:val="clear" w:color="auto" w:fill="auto"/>
            <w:noWrap w:val="0"/>
            <w:vAlign w:val="center"/>
          </w:tcPr>
          <w:p>
            <w:pPr>
              <w:rPr>
                <w:rFonts w:hint="eastAsia" w:ascii="宋体" w:hAnsi="宋体" w:eastAsia="宋体" w:cs="宋体"/>
                <w:kern w:val="2"/>
                <w:sz w:val="21"/>
                <w:szCs w:val="21"/>
                <w:lang w:val="en-US" w:eastAsia="en-US" w:bidi="ar-SA"/>
              </w:rPr>
            </w:pPr>
            <w:r>
              <w:rPr>
                <w:rFonts w:hint="eastAsia" w:ascii="宋体" w:hAnsi="宋体" w:eastAsia="宋体" w:cs="宋体"/>
                <w:sz w:val="21"/>
                <w:szCs w:val="21"/>
              </w:rPr>
              <w:t>按结算月度进行数据归集，根据反馈信息与清单分组、主诊断、主手术的对比差异及医保分组费用及医疗总费用的对比差异，进行确认是否申诉或退回审核流程，如申诉可在线填写申诉材料，反馈医保，如退回可修正数据重新上传医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 w:hRule="atLeast"/>
          <w:jc w:val="center"/>
        </w:trPr>
        <w:tc>
          <w:tcPr>
            <w:tcW w:w="1716" w:type="dxa"/>
            <w:vMerge w:val="continue"/>
            <w:noWrap w:val="0"/>
            <w:vAlign w:val="center"/>
          </w:tcPr>
          <w:p>
            <w:pPr>
              <w:widowControl/>
              <w:adjustRightInd w:val="0"/>
              <w:snapToGrid w:val="0"/>
              <w:spacing w:line="400" w:lineRule="exact"/>
              <w:ind w:firstLine="420" w:firstLineChars="200"/>
              <w:rPr>
                <w:rFonts w:hint="eastAsia" w:ascii="宋体" w:hAnsi="宋体" w:eastAsia="宋体" w:cs="宋体"/>
                <w:sz w:val="21"/>
                <w:szCs w:val="21"/>
                <w:highlight w:val="none"/>
              </w:rPr>
            </w:pPr>
          </w:p>
        </w:tc>
        <w:tc>
          <w:tcPr>
            <w:tcW w:w="2062" w:type="dxa"/>
            <w:gridSpan w:val="2"/>
            <w:vMerge w:val="continue"/>
            <w:shd w:val="clear" w:color="auto" w:fill="auto"/>
            <w:noWrap w:val="0"/>
            <w:vAlign w:val="top"/>
          </w:tcPr>
          <w:p>
            <w:pPr>
              <w:spacing w:before="12" w:line="219" w:lineRule="auto"/>
              <w:jc w:val="center"/>
              <w:rPr>
                <w:rFonts w:hint="eastAsia" w:ascii="宋体" w:hAnsi="宋体" w:eastAsia="宋体" w:cs="宋体"/>
                <w:kern w:val="2"/>
                <w:sz w:val="21"/>
                <w:szCs w:val="21"/>
                <w:lang w:val="en-US" w:eastAsia="en-US" w:bidi="ar-SA"/>
              </w:rPr>
            </w:pPr>
          </w:p>
        </w:tc>
        <w:tc>
          <w:tcPr>
            <w:tcW w:w="2209" w:type="dxa"/>
            <w:gridSpan w:val="3"/>
            <w:shd w:val="clear" w:color="auto" w:fill="auto"/>
            <w:noWrap w:val="0"/>
            <w:vAlign w:val="center"/>
          </w:tcPr>
          <w:p>
            <w:pPr>
              <w:rPr>
                <w:rFonts w:hint="eastAsia" w:ascii="宋体" w:hAnsi="宋体" w:eastAsia="宋体" w:cs="宋体"/>
                <w:kern w:val="2"/>
                <w:sz w:val="21"/>
                <w:szCs w:val="21"/>
                <w:lang w:val="en-US" w:eastAsia="en-US" w:bidi="ar-SA"/>
              </w:rPr>
            </w:pPr>
            <w:r>
              <w:rPr>
                <w:rFonts w:hint="eastAsia" w:ascii="宋体" w:hAnsi="宋体" w:eastAsia="宋体" w:cs="宋体"/>
                <w:sz w:val="21"/>
                <w:szCs w:val="21"/>
              </w:rPr>
              <w:t>结算数据管理医保结算数据导入</w:t>
            </w:r>
            <w:r>
              <w:rPr>
                <w:rFonts w:hint="eastAsia" w:ascii="宋体" w:hAnsi="宋体" w:eastAsia="宋体" w:cs="宋体"/>
                <w:sz w:val="21"/>
                <w:szCs w:val="21"/>
              </w:rPr>
              <w:br w:type="textWrapping"/>
            </w:r>
            <w:r>
              <w:rPr>
                <w:rFonts w:hint="eastAsia" w:ascii="宋体" w:hAnsi="宋体" w:eastAsia="宋体" w:cs="宋体"/>
                <w:sz w:val="21"/>
                <w:szCs w:val="21"/>
              </w:rPr>
              <w:t>结算信息分析</w:t>
            </w:r>
          </w:p>
        </w:tc>
        <w:tc>
          <w:tcPr>
            <w:tcW w:w="4419" w:type="dxa"/>
            <w:gridSpan w:val="2"/>
            <w:shd w:val="clear" w:color="auto" w:fill="auto"/>
            <w:noWrap w:val="0"/>
            <w:vAlign w:val="center"/>
          </w:tcPr>
          <w:p>
            <w:pPr>
              <w:rPr>
                <w:rFonts w:hint="eastAsia" w:ascii="宋体" w:hAnsi="宋体" w:eastAsia="宋体" w:cs="宋体"/>
                <w:kern w:val="2"/>
                <w:sz w:val="21"/>
                <w:szCs w:val="21"/>
                <w:lang w:val="en-US" w:eastAsia="en-US" w:bidi="ar-SA"/>
              </w:rPr>
            </w:pPr>
            <w:r>
              <w:rPr>
                <w:rFonts w:hint="eastAsia" w:ascii="宋体" w:hAnsi="宋体" w:eastAsia="宋体" w:cs="宋体"/>
                <w:sz w:val="21"/>
                <w:szCs w:val="21"/>
              </w:rPr>
              <w:t>医保结算数据导入，根据结算月度进行数据归集，展示月度结算信息，进行数据分析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 w:hRule="atLeast"/>
          <w:jc w:val="center"/>
        </w:trPr>
        <w:tc>
          <w:tcPr>
            <w:tcW w:w="1716" w:type="dxa"/>
            <w:vMerge w:val="continue"/>
            <w:noWrap w:val="0"/>
            <w:vAlign w:val="center"/>
          </w:tcPr>
          <w:p>
            <w:pPr>
              <w:widowControl/>
              <w:adjustRightInd w:val="0"/>
              <w:snapToGrid w:val="0"/>
              <w:spacing w:line="400" w:lineRule="exact"/>
              <w:ind w:firstLine="420" w:firstLineChars="200"/>
              <w:rPr>
                <w:rFonts w:hint="eastAsia" w:ascii="宋体" w:hAnsi="宋体" w:eastAsia="宋体" w:cs="宋体"/>
                <w:sz w:val="21"/>
                <w:szCs w:val="21"/>
                <w:highlight w:val="none"/>
              </w:rPr>
            </w:pPr>
          </w:p>
        </w:tc>
        <w:tc>
          <w:tcPr>
            <w:tcW w:w="2062" w:type="dxa"/>
            <w:gridSpan w:val="2"/>
            <w:vMerge w:val="restart"/>
            <w:shd w:val="clear" w:color="auto" w:fill="auto"/>
            <w:noWrap w:val="0"/>
            <w:vAlign w:val="center"/>
          </w:tcPr>
          <w:p>
            <w:pPr>
              <w:rPr>
                <w:rFonts w:hint="eastAsia" w:ascii="宋体" w:hAnsi="宋体" w:eastAsia="宋体" w:cs="宋体"/>
                <w:kern w:val="2"/>
                <w:sz w:val="21"/>
                <w:szCs w:val="21"/>
                <w:lang w:val="en-US" w:eastAsia="zh-CN" w:bidi="ar-SA"/>
              </w:rPr>
            </w:pPr>
            <w:r>
              <w:rPr>
                <w:rFonts w:hint="eastAsia" w:ascii="宋体" w:hAnsi="宋体" w:eastAsia="宋体" w:cs="宋体"/>
                <w:sz w:val="21"/>
                <w:szCs w:val="21"/>
              </w:rPr>
              <w:t>清单查询</w:t>
            </w:r>
          </w:p>
        </w:tc>
        <w:tc>
          <w:tcPr>
            <w:tcW w:w="2209" w:type="dxa"/>
            <w:gridSpan w:val="3"/>
            <w:shd w:val="clear" w:color="auto" w:fill="auto"/>
            <w:noWrap w:val="0"/>
            <w:vAlign w:val="center"/>
          </w:tcPr>
          <w:p>
            <w:pPr>
              <w:rPr>
                <w:rFonts w:hint="eastAsia" w:ascii="宋体" w:hAnsi="宋体" w:eastAsia="宋体" w:cs="宋体"/>
                <w:kern w:val="2"/>
                <w:sz w:val="21"/>
                <w:szCs w:val="21"/>
                <w:lang w:val="en-US" w:eastAsia="en-US" w:bidi="ar-SA"/>
              </w:rPr>
            </w:pPr>
            <w:r>
              <w:rPr>
                <w:rFonts w:hint="eastAsia" w:ascii="宋体" w:hAnsi="宋体" w:eastAsia="宋体" w:cs="宋体"/>
                <w:sz w:val="21"/>
                <w:szCs w:val="21"/>
              </w:rPr>
              <w:t>清单类型范围</w:t>
            </w:r>
          </w:p>
        </w:tc>
        <w:tc>
          <w:tcPr>
            <w:tcW w:w="4419" w:type="dxa"/>
            <w:gridSpan w:val="2"/>
            <w:shd w:val="clear" w:color="auto" w:fill="auto"/>
            <w:noWrap w:val="0"/>
            <w:vAlign w:val="center"/>
          </w:tcPr>
          <w:p>
            <w:pPr>
              <w:rPr>
                <w:rFonts w:hint="eastAsia" w:ascii="宋体" w:hAnsi="宋体" w:eastAsia="宋体" w:cs="宋体"/>
                <w:kern w:val="2"/>
                <w:sz w:val="21"/>
                <w:szCs w:val="21"/>
                <w:lang w:val="en-US" w:eastAsia="en-US" w:bidi="ar-SA"/>
              </w:rPr>
            </w:pPr>
            <w:r>
              <w:rPr>
                <w:rFonts w:hint="eastAsia" w:ascii="宋体" w:hAnsi="宋体" w:cs="宋体"/>
                <w:sz w:val="21"/>
                <w:szCs w:val="21"/>
                <w:lang w:eastAsia="zh-CN"/>
              </w:rPr>
              <w:t>支持</w:t>
            </w:r>
            <w:r>
              <w:rPr>
                <w:rFonts w:hint="eastAsia" w:ascii="宋体" w:hAnsi="宋体" w:eastAsia="宋体" w:cs="宋体"/>
                <w:sz w:val="21"/>
                <w:szCs w:val="21"/>
              </w:rPr>
              <w:t>医保支付方式清单的质控及管理包括：按项目、单病种、按病种分值、疾病诊断相关分组（DRG），按床日、按人头、其他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atLeast"/>
          <w:jc w:val="center"/>
        </w:trPr>
        <w:tc>
          <w:tcPr>
            <w:tcW w:w="1716" w:type="dxa"/>
            <w:vMerge w:val="continue"/>
            <w:noWrap w:val="0"/>
            <w:vAlign w:val="center"/>
          </w:tcPr>
          <w:p>
            <w:pPr>
              <w:widowControl/>
              <w:adjustRightInd w:val="0"/>
              <w:snapToGrid w:val="0"/>
              <w:spacing w:line="400" w:lineRule="exact"/>
              <w:ind w:firstLine="420" w:firstLineChars="200"/>
              <w:rPr>
                <w:rFonts w:hint="eastAsia" w:ascii="宋体" w:hAnsi="宋体" w:eastAsia="宋体" w:cs="宋体"/>
                <w:sz w:val="21"/>
                <w:szCs w:val="21"/>
                <w:highlight w:val="none"/>
              </w:rPr>
            </w:pPr>
          </w:p>
        </w:tc>
        <w:tc>
          <w:tcPr>
            <w:tcW w:w="2062" w:type="dxa"/>
            <w:gridSpan w:val="2"/>
            <w:vMerge w:val="continue"/>
            <w:shd w:val="clear" w:color="auto" w:fill="auto"/>
            <w:noWrap w:val="0"/>
            <w:vAlign w:val="center"/>
          </w:tcPr>
          <w:p>
            <w:pPr>
              <w:pStyle w:val="267"/>
              <w:spacing w:before="54" w:line="222" w:lineRule="auto"/>
              <w:ind w:left="12" w:leftChars="0"/>
              <w:jc w:val="center"/>
              <w:rPr>
                <w:rFonts w:hint="eastAsia" w:ascii="宋体" w:hAnsi="宋体" w:eastAsia="宋体" w:cs="宋体"/>
                <w:spacing w:val="-1"/>
                <w:sz w:val="21"/>
                <w:szCs w:val="21"/>
              </w:rPr>
            </w:pPr>
          </w:p>
        </w:tc>
        <w:tc>
          <w:tcPr>
            <w:tcW w:w="2209" w:type="dxa"/>
            <w:gridSpan w:val="3"/>
            <w:shd w:val="clear" w:color="auto" w:fill="auto"/>
            <w:noWrap w:val="0"/>
            <w:vAlign w:val="center"/>
          </w:tcPr>
          <w:p>
            <w:pPr>
              <w:rPr>
                <w:rFonts w:hint="eastAsia" w:ascii="宋体" w:hAnsi="宋体" w:eastAsia="宋体" w:cs="宋体"/>
                <w:kern w:val="2"/>
                <w:sz w:val="21"/>
                <w:szCs w:val="21"/>
                <w:lang w:val="en-US" w:eastAsia="en-US" w:bidi="ar-SA"/>
              </w:rPr>
            </w:pPr>
            <w:r>
              <w:rPr>
                <w:rFonts w:hint="eastAsia" w:ascii="宋体" w:hAnsi="宋体" w:eastAsia="宋体" w:cs="宋体"/>
                <w:sz w:val="21"/>
                <w:szCs w:val="21"/>
              </w:rPr>
              <w:t>清单查询</w:t>
            </w:r>
          </w:p>
        </w:tc>
        <w:tc>
          <w:tcPr>
            <w:tcW w:w="4419" w:type="dxa"/>
            <w:gridSpan w:val="2"/>
            <w:shd w:val="clear" w:color="auto" w:fill="auto"/>
            <w:noWrap w:val="0"/>
            <w:vAlign w:val="center"/>
          </w:tcPr>
          <w:p>
            <w:pPr>
              <w:rPr>
                <w:rFonts w:hint="eastAsia" w:ascii="宋体" w:hAnsi="宋体" w:eastAsia="宋体" w:cs="宋体"/>
                <w:kern w:val="2"/>
                <w:sz w:val="21"/>
                <w:szCs w:val="21"/>
                <w:lang w:val="en-US" w:eastAsia="en-US" w:bidi="ar-SA"/>
              </w:rPr>
            </w:pPr>
            <w:r>
              <w:rPr>
                <w:rFonts w:hint="eastAsia" w:ascii="宋体" w:hAnsi="宋体" w:eastAsia="宋体" w:cs="宋体"/>
                <w:sz w:val="21"/>
                <w:szCs w:val="21"/>
              </w:rPr>
              <w:t>清单查询列表支持查看全量结算清单数据，支持各界面统计图的下钻数据显示，支持数据下载。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atLeast"/>
          <w:jc w:val="center"/>
        </w:trPr>
        <w:tc>
          <w:tcPr>
            <w:tcW w:w="1716" w:type="dxa"/>
            <w:vMerge w:val="continue"/>
            <w:noWrap w:val="0"/>
            <w:vAlign w:val="center"/>
          </w:tcPr>
          <w:p>
            <w:pPr>
              <w:widowControl/>
              <w:adjustRightInd w:val="0"/>
              <w:snapToGrid w:val="0"/>
              <w:spacing w:line="400" w:lineRule="exact"/>
              <w:ind w:firstLine="420" w:firstLineChars="200"/>
              <w:rPr>
                <w:rFonts w:hint="eastAsia" w:ascii="宋体" w:hAnsi="宋体" w:eastAsia="宋体" w:cs="宋体"/>
                <w:sz w:val="21"/>
                <w:szCs w:val="21"/>
                <w:highlight w:val="none"/>
              </w:rPr>
            </w:pPr>
          </w:p>
        </w:tc>
        <w:tc>
          <w:tcPr>
            <w:tcW w:w="2062" w:type="dxa"/>
            <w:gridSpan w:val="2"/>
            <w:vMerge w:val="restart"/>
            <w:shd w:val="clear" w:color="auto" w:fill="auto"/>
            <w:noWrap w:val="0"/>
            <w:vAlign w:val="center"/>
          </w:tcPr>
          <w:p>
            <w:pPr>
              <w:rPr>
                <w:rFonts w:hint="eastAsia" w:ascii="宋体" w:hAnsi="宋体" w:eastAsia="宋体" w:cs="宋体"/>
                <w:kern w:val="2"/>
                <w:sz w:val="21"/>
                <w:szCs w:val="21"/>
                <w:lang w:val="en-US" w:eastAsia="zh-CN" w:bidi="ar-SA"/>
              </w:rPr>
            </w:pPr>
            <w:r>
              <w:rPr>
                <w:rFonts w:hint="eastAsia" w:ascii="宋体" w:hAnsi="宋体" w:eastAsia="宋体" w:cs="宋体"/>
                <w:sz w:val="21"/>
                <w:szCs w:val="21"/>
              </w:rPr>
              <w:t>统计分析</w:t>
            </w:r>
          </w:p>
        </w:tc>
        <w:tc>
          <w:tcPr>
            <w:tcW w:w="2209" w:type="dxa"/>
            <w:gridSpan w:val="3"/>
            <w:shd w:val="clear" w:color="auto" w:fill="auto"/>
            <w:noWrap w:val="0"/>
            <w:vAlign w:val="center"/>
          </w:tcPr>
          <w:p>
            <w:pPr>
              <w:rPr>
                <w:rFonts w:hint="eastAsia" w:ascii="宋体" w:hAnsi="宋体" w:eastAsia="宋体" w:cs="宋体"/>
                <w:kern w:val="2"/>
                <w:sz w:val="21"/>
                <w:szCs w:val="21"/>
                <w:lang w:val="en-US" w:eastAsia="en-US" w:bidi="ar-SA"/>
              </w:rPr>
            </w:pPr>
            <w:r>
              <w:rPr>
                <w:rFonts w:hint="eastAsia" w:ascii="宋体" w:hAnsi="宋体" w:eastAsia="宋体" w:cs="宋体"/>
                <w:sz w:val="21"/>
                <w:szCs w:val="21"/>
              </w:rPr>
              <w:t>评分分析</w:t>
            </w:r>
          </w:p>
        </w:tc>
        <w:tc>
          <w:tcPr>
            <w:tcW w:w="4419" w:type="dxa"/>
            <w:gridSpan w:val="2"/>
            <w:shd w:val="clear" w:color="auto" w:fill="auto"/>
            <w:noWrap w:val="0"/>
            <w:vAlign w:val="center"/>
          </w:tcPr>
          <w:p>
            <w:pPr>
              <w:rPr>
                <w:rFonts w:hint="eastAsia" w:ascii="宋体" w:hAnsi="宋体" w:eastAsia="宋体" w:cs="宋体"/>
                <w:kern w:val="2"/>
                <w:sz w:val="21"/>
                <w:szCs w:val="21"/>
                <w:lang w:val="en-US" w:eastAsia="en-US" w:bidi="ar-SA"/>
              </w:rPr>
            </w:pPr>
            <w:r>
              <w:rPr>
                <w:rFonts w:hint="eastAsia" w:ascii="宋体" w:hAnsi="宋体" w:eastAsia="宋体" w:cs="宋体"/>
                <w:sz w:val="21"/>
                <w:szCs w:val="21"/>
              </w:rPr>
              <w:t>按照指定时间区间，统计结算清单修改前后预分组情况及评分情况，支持查看清单具体扣分项。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atLeast"/>
          <w:jc w:val="center"/>
        </w:trPr>
        <w:tc>
          <w:tcPr>
            <w:tcW w:w="1716" w:type="dxa"/>
            <w:vMerge w:val="continue"/>
            <w:noWrap w:val="0"/>
            <w:vAlign w:val="center"/>
          </w:tcPr>
          <w:p>
            <w:pPr>
              <w:widowControl/>
              <w:adjustRightInd w:val="0"/>
              <w:snapToGrid w:val="0"/>
              <w:spacing w:line="400" w:lineRule="exact"/>
              <w:ind w:firstLine="420" w:firstLineChars="200"/>
              <w:rPr>
                <w:rFonts w:hint="eastAsia" w:ascii="宋体" w:hAnsi="宋体" w:eastAsia="宋体" w:cs="宋体"/>
                <w:sz w:val="21"/>
                <w:szCs w:val="21"/>
                <w:highlight w:val="none"/>
              </w:rPr>
            </w:pPr>
          </w:p>
        </w:tc>
        <w:tc>
          <w:tcPr>
            <w:tcW w:w="2062" w:type="dxa"/>
            <w:gridSpan w:val="2"/>
            <w:vMerge w:val="continue"/>
            <w:shd w:val="clear" w:color="auto" w:fill="auto"/>
            <w:noWrap w:val="0"/>
            <w:vAlign w:val="center"/>
          </w:tcPr>
          <w:p>
            <w:pPr>
              <w:pStyle w:val="267"/>
              <w:spacing w:before="54" w:line="222" w:lineRule="auto"/>
              <w:ind w:left="12" w:leftChars="0"/>
              <w:jc w:val="center"/>
              <w:rPr>
                <w:rFonts w:hint="eastAsia" w:ascii="宋体" w:hAnsi="宋体" w:eastAsia="宋体" w:cs="宋体"/>
                <w:spacing w:val="-1"/>
                <w:sz w:val="21"/>
                <w:szCs w:val="21"/>
              </w:rPr>
            </w:pPr>
          </w:p>
        </w:tc>
        <w:tc>
          <w:tcPr>
            <w:tcW w:w="2209" w:type="dxa"/>
            <w:gridSpan w:val="3"/>
            <w:shd w:val="clear" w:color="auto" w:fill="auto"/>
            <w:noWrap w:val="0"/>
            <w:vAlign w:val="center"/>
          </w:tcPr>
          <w:p>
            <w:pPr>
              <w:rPr>
                <w:rFonts w:hint="eastAsia" w:ascii="宋体" w:hAnsi="宋体" w:eastAsia="宋体" w:cs="宋体"/>
                <w:kern w:val="2"/>
                <w:sz w:val="21"/>
                <w:szCs w:val="21"/>
                <w:lang w:val="en-US" w:eastAsia="en-US" w:bidi="ar-SA"/>
              </w:rPr>
            </w:pPr>
            <w:r>
              <w:rPr>
                <w:rFonts w:hint="eastAsia" w:ascii="宋体" w:hAnsi="宋体" w:eastAsia="宋体" w:cs="宋体"/>
                <w:sz w:val="21"/>
                <w:szCs w:val="21"/>
              </w:rPr>
              <w:t>规则分析</w:t>
            </w:r>
          </w:p>
        </w:tc>
        <w:tc>
          <w:tcPr>
            <w:tcW w:w="4419" w:type="dxa"/>
            <w:gridSpan w:val="2"/>
            <w:shd w:val="clear" w:color="auto" w:fill="auto"/>
            <w:noWrap w:val="0"/>
            <w:vAlign w:val="center"/>
          </w:tcPr>
          <w:p>
            <w:pPr>
              <w:rPr>
                <w:rFonts w:hint="eastAsia" w:ascii="宋体" w:hAnsi="宋体" w:eastAsia="宋体" w:cs="宋体"/>
                <w:sz w:val="21"/>
                <w:szCs w:val="21"/>
              </w:rPr>
            </w:pPr>
            <w:r>
              <w:rPr>
                <w:rFonts w:hint="eastAsia" w:ascii="宋体" w:hAnsi="宋体" w:eastAsia="宋体" w:cs="宋体"/>
                <w:sz w:val="21"/>
                <w:szCs w:val="21"/>
              </w:rPr>
              <w:t>1.分别统计全院/科室/病区/医师小组在指定时间段内，按照违规规则分类进行数据聚合，统计规则总数、违规规则数、违规清单数、违规占比、机审违规数、修正前后均分及反馈次数等。</w:t>
            </w:r>
          </w:p>
          <w:p>
            <w:pPr>
              <w:rPr>
                <w:rFonts w:hint="eastAsia" w:ascii="宋体" w:hAnsi="宋体" w:eastAsia="宋体" w:cs="宋体"/>
                <w:kern w:val="2"/>
                <w:sz w:val="21"/>
                <w:szCs w:val="21"/>
                <w:lang w:val="en-US" w:eastAsia="en-US" w:bidi="ar-SA"/>
              </w:rPr>
            </w:pPr>
            <w:r>
              <w:rPr>
                <w:rFonts w:hint="eastAsia" w:ascii="宋体" w:hAnsi="宋体" w:eastAsia="宋体" w:cs="宋体"/>
                <w:sz w:val="21"/>
                <w:szCs w:val="21"/>
              </w:rPr>
              <w:t>2.统计图按照违规规则分类、违规规则进行排序，显示全院、科室、病区、医师的违规情况。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atLeast"/>
          <w:jc w:val="center"/>
        </w:trPr>
        <w:tc>
          <w:tcPr>
            <w:tcW w:w="1716" w:type="dxa"/>
            <w:vMerge w:val="continue"/>
            <w:noWrap w:val="0"/>
            <w:vAlign w:val="center"/>
          </w:tcPr>
          <w:p>
            <w:pPr>
              <w:widowControl/>
              <w:adjustRightInd w:val="0"/>
              <w:snapToGrid w:val="0"/>
              <w:spacing w:line="400" w:lineRule="exact"/>
              <w:ind w:firstLine="420" w:firstLineChars="200"/>
              <w:rPr>
                <w:rFonts w:hint="eastAsia" w:ascii="宋体" w:hAnsi="宋体" w:eastAsia="宋体" w:cs="宋体"/>
                <w:sz w:val="21"/>
                <w:szCs w:val="21"/>
                <w:highlight w:val="none"/>
              </w:rPr>
            </w:pPr>
          </w:p>
        </w:tc>
        <w:tc>
          <w:tcPr>
            <w:tcW w:w="2062" w:type="dxa"/>
            <w:gridSpan w:val="2"/>
            <w:vMerge w:val="continue"/>
            <w:shd w:val="clear" w:color="auto" w:fill="auto"/>
            <w:noWrap w:val="0"/>
            <w:vAlign w:val="center"/>
          </w:tcPr>
          <w:p>
            <w:pPr>
              <w:spacing w:before="24" w:line="220" w:lineRule="auto"/>
              <w:jc w:val="center"/>
              <w:rPr>
                <w:rFonts w:hint="eastAsia" w:ascii="宋体" w:hAnsi="宋体" w:eastAsia="宋体" w:cs="宋体"/>
                <w:spacing w:val="-1"/>
                <w:sz w:val="21"/>
                <w:szCs w:val="21"/>
              </w:rPr>
            </w:pPr>
          </w:p>
        </w:tc>
        <w:tc>
          <w:tcPr>
            <w:tcW w:w="2209" w:type="dxa"/>
            <w:gridSpan w:val="3"/>
            <w:shd w:val="clear" w:color="auto" w:fill="auto"/>
            <w:noWrap w:val="0"/>
            <w:vAlign w:val="center"/>
          </w:tcPr>
          <w:p>
            <w:pPr>
              <w:rPr>
                <w:rFonts w:hint="eastAsia" w:ascii="宋体" w:hAnsi="宋体" w:eastAsia="宋体" w:cs="宋体"/>
                <w:kern w:val="2"/>
                <w:sz w:val="21"/>
                <w:szCs w:val="21"/>
                <w:lang w:val="en-US" w:eastAsia="en-US" w:bidi="ar-SA"/>
              </w:rPr>
            </w:pPr>
            <w:r>
              <w:rPr>
                <w:rFonts w:hint="eastAsia" w:ascii="宋体" w:hAnsi="宋体" w:eastAsia="宋体" w:cs="宋体"/>
                <w:sz w:val="21"/>
                <w:szCs w:val="21"/>
              </w:rPr>
              <w:t>工作量统计</w:t>
            </w:r>
          </w:p>
        </w:tc>
        <w:tc>
          <w:tcPr>
            <w:tcW w:w="4419" w:type="dxa"/>
            <w:gridSpan w:val="2"/>
            <w:shd w:val="clear" w:color="auto" w:fill="auto"/>
            <w:noWrap w:val="0"/>
            <w:vAlign w:val="center"/>
          </w:tcPr>
          <w:p>
            <w:pPr>
              <w:rPr>
                <w:rFonts w:hint="eastAsia" w:ascii="宋体" w:hAnsi="宋体" w:eastAsia="宋体" w:cs="宋体"/>
                <w:kern w:val="2"/>
                <w:sz w:val="21"/>
                <w:szCs w:val="21"/>
                <w:lang w:val="en-US" w:eastAsia="en-US" w:bidi="ar-SA"/>
              </w:rPr>
            </w:pPr>
            <w:r>
              <w:rPr>
                <w:rFonts w:hint="eastAsia" w:ascii="宋体" w:hAnsi="宋体" w:eastAsia="宋体" w:cs="宋体"/>
                <w:sz w:val="21"/>
                <w:szCs w:val="21"/>
              </w:rPr>
              <w:t>按照指定时间区间，对用户账号进行审核工作量统计，分别统计审核次数、审核清单数、反馈次</w:t>
            </w:r>
            <w:r>
              <w:rPr>
                <w:rFonts w:hint="eastAsia" w:ascii="宋体" w:hAnsi="宋体" w:cs="宋体"/>
                <w:sz w:val="21"/>
                <w:szCs w:val="21"/>
                <w:lang w:eastAsia="zh-CN"/>
              </w:rPr>
              <w:t>数和</w:t>
            </w:r>
            <w:r>
              <w:rPr>
                <w:rFonts w:hint="eastAsia" w:ascii="宋体" w:hAnsi="宋体" w:eastAsia="宋体" w:cs="宋体"/>
                <w:sz w:val="21"/>
                <w:szCs w:val="21"/>
              </w:rPr>
              <w:t>修改清单次数等。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jc w:val="center"/>
        </w:trPr>
        <w:tc>
          <w:tcPr>
            <w:tcW w:w="1716" w:type="dxa"/>
            <w:vMerge w:val="continue"/>
            <w:noWrap w:val="0"/>
            <w:vAlign w:val="center"/>
          </w:tcPr>
          <w:p>
            <w:pPr>
              <w:widowControl/>
              <w:adjustRightInd w:val="0"/>
              <w:snapToGrid w:val="0"/>
              <w:spacing w:line="400" w:lineRule="exact"/>
              <w:ind w:firstLine="420" w:firstLineChars="200"/>
              <w:rPr>
                <w:rFonts w:hint="eastAsia" w:ascii="宋体" w:hAnsi="宋体" w:eastAsia="宋体" w:cs="宋体"/>
                <w:sz w:val="21"/>
                <w:szCs w:val="21"/>
                <w:highlight w:val="none"/>
              </w:rPr>
            </w:pPr>
          </w:p>
        </w:tc>
        <w:tc>
          <w:tcPr>
            <w:tcW w:w="2062" w:type="dxa"/>
            <w:gridSpan w:val="2"/>
            <w:vMerge w:val="restart"/>
            <w:shd w:val="clear" w:color="auto" w:fill="auto"/>
            <w:noWrap w:val="0"/>
            <w:vAlign w:val="center"/>
          </w:tcPr>
          <w:p>
            <w:pPr>
              <w:rPr>
                <w:rFonts w:hint="eastAsia" w:ascii="宋体" w:hAnsi="宋体" w:eastAsia="宋体" w:cs="宋体"/>
                <w:kern w:val="2"/>
                <w:sz w:val="21"/>
                <w:szCs w:val="21"/>
                <w:lang w:val="en-US" w:eastAsia="zh-CN" w:bidi="ar-SA"/>
              </w:rPr>
            </w:pPr>
            <w:r>
              <w:rPr>
                <w:rFonts w:hint="eastAsia" w:ascii="宋体" w:hAnsi="宋体" w:eastAsia="宋体" w:cs="宋体"/>
                <w:sz w:val="21"/>
                <w:szCs w:val="21"/>
              </w:rPr>
              <w:t>基础设置</w:t>
            </w:r>
          </w:p>
        </w:tc>
        <w:tc>
          <w:tcPr>
            <w:tcW w:w="2209" w:type="dxa"/>
            <w:gridSpan w:val="3"/>
            <w:shd w:val="clear" w:color="auto" w:fill="auto"/>
            <w:noWrap w:val="0"/>
            <w:vAlign w:val="center"/>
          </w:tcPr>
          <w:p>
            <w:pPr>
              <w:rPr>
                <w:rFonts w:hint="eastAsia" w:ascii="宋体" w:hAnsi="宋体" w:eastAsia="宋体" w:cs="宋体"/>
                <w:kern w:val="2"/>
                <w:sz w:val="21"/>
                <w:szCs w:val="21"/>
                <w:lang w:val="en-US" w:eastAsia="en-US" w:bidi="ar-SA"/>
              </w:rPr>
            </w:pPr>
            <w:r>
              <w:rPr>
                <w:rFonts w:hint="eastAsia" w:ascii="宋体" w:hAnsi="宋体" w:eastAsia="宋体" w:cs="宋体"/>
                <w:sz w:val="21"/>
                <w:szCs w:val="21"/>
              </w:rPr>
              <w:t>诊断字典</w:t>
            </w:r>
          </w:p>
        </w:tc>
        <w:tc>
          <w:tcPr>
            <w:tcW w:w="4419" w:type="dxa"/>
            <w:gridSpan w:val="2"/>
            <w:shd w:val="clear" w:color="auto" w:fill="auto"/>
            <w:noWrap w:val="0"/>
            <w:vAlign w:val="center"/>
          </w:tcPr>
          <w:p>
            <w:pPr>
              <w:rPr>
                <w:rFonts w:hint="eastAsia" w:ascii="宋体" w:hAnsi="宋体" w:eastAsia="宋体" w:cs="宋体"/>
                <w:kern w:val="2"/>
                <w:sz w:val="21"/>
                <w:szCs w:val="21"/>
                <w:lang w:val="en-US" w:eastAsia="en-US" w:bidi="ar-SA"/>
              </w:rPr>
            </w:pPr>
            <w:r>
              <w:rPr>
                <w:rFonts w:hint="eastAsia" w:ascii="宋体" w:hAnsi="宋体" w:eastAsia="宋体" w:cs="宋体"/>
                <w:sz w:val="21"/>
                <w:szCs w:val="21"/>
              </w:rPr>
              <w:t>支持维护医院诊断表、医保诊断标准表；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atLeast"/>
          <w:jc w:val="center"/>
        </w:trPr>
        <w:tc>
          <w:tcPr>
            <w:tcW w:w="1716" w:type="dxa"/>
            <w:vMerge w:val="continue"/>
            <w:noWrap w:val="0"/>
            <w:vAlign w:val="center"/>
          </w:tcPr>
          <w:p>
            <w:pPr>
              <w:widowControl/>
              <w:adjustRightInd w:val="0"/>
              <w:snapToGrid w:val="0"/>
              <w:spacing w:line="400" w:lineRule="exact"/>
              <w:ind w:firstLine="420" w:firstLineChars="200"/>
              <w:rPr>
                <w:rFonts w:hint="eastAsia" w:ascii="宋体" w:hAnsi="宋体" w:eastAsia="宋体" w:cs="宋体"/>
                <w:sz w:val="21"/>
                <w:szCs w:val="21"/>
                <w:highlight w:val="none"/>
              </w:rPr>
            </w:pPr>
          </w:p>
        </w:tc>
        <w:tc>
          <w:tcPr>
            <w:tcW w:w="2062" w:type="dxa"/>
            <w:gridSpan w:val="2"/>
            <w:vMerge w:val="continue"/>
            <w:shd w:val="clear" w:color="auto" w:fill="auto"/>
            <w:noWrap w:val="0"/>
            <w:vAlign w:val="center"/>
          </w:tcPr>
          <w:p>
            <w:pPr>
              <w:spacing w:before="28" w:line="220" w:lineRule="auto"/>
              <w:rPr>
                <w:rFonts w:hint="eastAsia" w:ascii="宋体" w:hAnsi="宋体" w:eastAsia="宋体" w:cs="宋体"/>
                <w:spacing w:val="-1"/>
                <w:sz w:val="21"/>
                <w:szCs w:val="21"/>
              </w:rPr>
            </w:pPr>
          </w:p>
        </w:tc>
        <w:tc>
          <w:tcPr>
            <w:tcW w:w="2209" w:type="dxa"/>
            <w:gridSpan w:val="3"/>
            <w:shd w:val="clear" w:color="auto" w:fill="auto"/>
            <w:noWrap w:val="0"/>
            <w:vAlign w:val="center"/>
          </w:tcPr>
          <w:p>
            <w:pPr>
              <w:rPr>
                <w:rFonts w:hint="eastAsia" w:ascii="宋体" w:hAnsi="宋体" w:eastAsia="宋体" w:cs="宋体"/>
                <w:kern w:val="2"/>
                <w:sz w:val="21"/>
                <w:szCs w:val="21"/>
                <w:lang w:val="en-US" w:eastAsia="en-US" w:bidi="ar-SA"/>
              </w:rPr>
            </w:pPr>
            <w:r>
              <w:rPr>
                <w:rFonts w:hint="eastAsia" w:ascii="宋体" w:hAnsi="宋体" w:eastAsia="宋体" w:cs="宋体"/>
                <w:sz w:val="21"/>
                <w:szCs w:val="21"/>
              </w:rPr>
              <w:t>手术字典</w:t>
            </w:r>
          </w:p>
        </w:tc>
        <w:tc>
          <w:tcPr>
            <w:tcW w:w="4419" w:type="dxa"/>
            <w:gridSpan w:val="2"/>
            <w:shd w:val="clear" w:color="auto" w:fill="auto"/>
            <w:noWrap w:val="0"/>
            <w:vAlign w:val="center"/>
          </w:tcPr>
          <w:p>
            <w:pPr>
              <w:rPr>
                <w:rFonts w:hint="eastAsia" w:ascii="宋体" w:hAnsi="宋体" w:eastAsia="宋体" w:cs="宋体"/>
                <w:kern w:val="2"/>
                <w:sz w:val="21"/>
                <w:szCs w:val="21"/>
                <w:lang w:val="en-US" w:eastAsia="en-US" w:bidi="ar-SA"/>
              </w:rPr>
            </w:pPr>
            <w:r>
              <w:rPr>
                <w:rFonts w:hint="eastAsia" w:ascii="宋体" w:hAnsi="宋体" w:eastAsia="宋体" w:cs="宋体"/>
                <w:sz w:val="21"/>
                <w:szCs w:val="21"/>
              </w:rPr>
              <w:t>支持维护医院手术表、医保手术标准表；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atLeast"/>
          <w:jc w:val="center"/>
        </w:trPr>
        <w:tc>
          <w:tcPr>
            <w:tcW w:w="1716" w:type="dxa"/>
            <w:vMerge w:val="continue"/>
            <w:noWrap w:val="0"/>
            <w:vAlign w:val="center"/>
          </w:tcPr>
          <w:p>
            <w:pPr>
              <w:widowControl/>
              <w:adjustRightInd w:val="0"/>
              <w:snapToGrid w:val="0"/>
              <w:spacing w:line="400" w:lineRule="exact"/>
              <w:ind w:firstLine="420" w:firstLineChars="200"/>
              <w:rPr>
                <w:rFonts w:hint="eastAsia" w:ascii="宋体" w:hAnsi="宋体" w:eastAsia="宋体" w:cs="宋体"/>
                <w:sz w:val="21"/>
                <w:szCs w:val="21"/>
                <w:highlight w:val="none"/>
                <w:lang w:val="en-US" w:eastAsia="zh-CN"/>
              </w:rPr>
            </w:pPr>
          </w:p>
        </w:tc>
        <w:tc>
          <w:tcPr>
            <w:tcW w:w="2062" w:type="dxa"/>
            <w:gridSpan w:val="2"/>
            <w:vMerge w:val="continue"/>
            <w:shd w:val="clear" w:color="auto" w:fill="auto"/>
            <w:noWrap w:val="0"/>
            <w:vAlign w:val="center"/>
          </w:tcPr>
          <w:p>
            <w:pPr>
              <w:pStyle w:val="267"/>
              <w:spacing w:before="54" w:line="222" w:lineRule="auto"/>
              <w:ind w:left="12" w:leftChars="0"/>
              <w:jc w:val="center"/>
              <w:rPr>
                <w:rFonts w:hint="eastAsia" w:ascii="宋体" w:hAnsi="宋体" w:eastAsia="宋体" w:cs="宋体"/>
                <w:spacing w:val="-1"/>
                <w:sz w:val="21"/>
                <w:szCs w:val="21"/>
              </w:rPr>
            </w:pPr>
          </w:p>
        </w:tc>
        <w:tc>
          <w:tcPr>
            <w:tcW w:w="2209" w:type="dxa"/>
            <w:gridSpan w:val="3"/>
            <w:shd w:val="clear" w:color="auto" w:fill="auto"/>
            <w:noWrap w:val="0"/>
            <w:vAlign w:val="center"/>
          </w:tcPr>
          <w:p>
            <w:pPr>
              <w:rPr>
                <w:rFonts w:hint="eastAsia" w:ascii="宋体" w:hAnsi="宋体" w:eastAsia="宋体" w:cs="宋体"/>
                <w:kern w:val="2"/>
                <w:sz w:val="21"/>
                <w:szCs w:val="21"/>
                <w:lang w:val="en-US" w:eastAsia="en-US" w:bidi="ar-SA"/>
              </w:rPr>
            </w:pPr>
            <w:r>
              <w:rPr>
                <w:rFonts w:hint="eastAsia" w:ascii="宋体" w:hAnsi="宋体" w:eastAsia="宋体" w:cs="宋体"/>
                <w:sz w:val="21"/>
                <w:szCs w:val="21"/>
              </w:rPr>
              <w:t>诊断映射</w:t>
            </w:r>
          </w:p>
        </w:tc>
        <w:tc>
          <w:tcPr>
            <w:tcW w:w="4419" w:type="dxa"/>
            <w:gridSpan w:val="2"/>
            <w:shd w:val="clear" w:color="auto" w:fill="auto"/>
            <w:noWrap w:val="0"/>
            <w:vAlign w:val="center"/>
          </w:tcPr>
          <w:p>
            <w:pPr>
              <w:rPr>
                <w:rFonts w:hint="eastAsia" w:ascii="宋体" w:hAnsi="宋体" w:eastAsia="宋体" w:cs="宋体"/>
                <w:kern w:val="2"/>
                <w:sz w:val="21"/>
                <w:szCs w:val="21"/>
                <w:lang w:val="en-US" w:eastAsia="en-US" w:bidi="ar-SA"/>
              </w:rPr>
            </w:pPr>
            <w:r>
              <w:rPr>
                <w:rFonts w:hint="eastAsia" w:ascii="宋体" w:hAnsi="宋体" w:eastAsia="宋体" w:cs="宋体"/>
                <w:sz w:val="21"/>
                <w:szCs w:val="21"/>
              </w:rPr>
              <w:t>支持院内人员进行诊断映射表的维护管理，医院诊断表映射到医保诊断标准表。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atLeast"/>
          <w:jc w:val="center"/>
        </w:trPr>
        <w:tc>
          <w:tcPr>
            <w:tcW w:w="1716" w:type="dxa"/>
            <w:vMerge w:val="continue"/>
            <w:noWrap w:val="0"/>
            <w:vAlign w:val="center"/>
          </w:tcPr>
          <w:p>
            <w:pPr>
              <w:widowControl/>
              <w:adjustRightInd w:val="0"/>
              <w:snapToGrid w:val="0"/>
              <w:spacing w:line="400" w:lineRule="exact"/>
              <w:ind w:firstLine="408" w:firstLineChars="200"/>
              <w:rPr>
                <w:rFonts w:hint="eastAsia" w:ascii="宋体" w:hAnsi="宋体" w:eastAsia="宋体" w:cs="宋体"/>
                <w:spacing w:val="-3"/>
                <w:sz w:val="21"/>
                <w:szCs w:val="21"/>
                <w:lang w:val="en-US" w:eastAsia="zh-CN"/>
              </w:rPr>
            </w:pPr>
          </w:p>
        </w:tc>
        <w:tc>
          <w:tcPr>
            <w:tcW w:w="2062" w:type="dxa"/>
            <w:gridSpan w:val="2"/>
            <w:vMerge w:val="continue"/>
            <w:shd w:val="clear" w:color="auto" w:fill="auto"/>
            <w:noWrap w:val="0"/>
            <w:vAlign w:val="center"/>
          </w:tcPr>
          <w:p>
            <w:pPr>
              <w:pStyle w:val="267"/>
              <w:spacing w:before="54" w:line="222" w:lineRule="auto"/>
              <w:ind w:left="12" w:leftChars="0"/>
              <w:jc w:val="center"/>
              <w:rPr>
                <w:rFonts w:hint="eastAsia" w:ascii="宋体" w:hAnsi="宋体" w:eastAsia="宋体" w:cs="宋体"/>
                <w:spacing w:val="-1"/>
                <w:sz w:val="21"/>
                <w:szCs w:val="21"/>
              </w:rPr>
            </w:pPr>
          </w:p>
        </w:tc>
        <w:tc>
          <w:tcPr>
            <w:tcW w:w="2209" w:type="dxa"/>
            <w:gridSpan w:val="3"/>
            <w:shd w:val="clear" w:color="auto" w:fill="auto"/>
            <w:noWrap w:val="0"/>
            <w:vAlign w:val="center"/>
          </w:tcPr>
          <w:p>
            <w:pPr>
              <w:rPr>
                <w:rFonts w:hint="eastAsia" w:ascii="宋体" w:hAnsi="宋体" w:eastAsia="宋体" w:cs="宋体"/>
                <w:kern w:val="2"/>
                <w:sz w:val="21"/>
                <w:szCs w:val="21"/>
                <w:lang w:val="en-US" w:eastAsia="en-US" w:bidi="ar-SA"/>
              </w:rPr>
            </w:pPr>
            <w:r>
              <w:rPr>
                <w:rFonts w:hint="eastAsia" w:ascii="宋体" w:hAnsi="宋体" w:eastAsia="宋体" w:cs="宋体"/>
                <w:sz w:val="21"/>
                <w:szCs w:val="21"/>
              </w:rPr>
              <w:t>手术映射</w:t>
            </w:r>
          </w:p>
        </w:tc>
        <w:tc>
          <w:tcPr>
            <w:tcW w:w="4419" w:type="dxa"/>
            <w:gridSpan w:val="2"/>
            <w:shd w:val="clear" w:color="auto" w:fill="auto"/>
            <w:noWrap w:val="0"/>
            <w:vAlign w:val="center"/>
          </w:tcPr>
          <w:p>
            <w:pPr>
              <w:rPr>
                <w:rFonts w:hint="eastAsia" w:ascii="宋体" w:hAnsi="宋体" w:eastAsia="宋体" w:cs="宋体"/>
                <w:kern w:val="2"/>
                <w:sz w:val="21"/>
                <w:szCs w:val="21"/>
                <w:lang w:val="en-US" w:eastAsia="en-US" w:bidi="ar-SA"/>
              </w:rPr>
            </w:pPr>
            <w:r>
              <w:rPr>
                <w:rFonts w:hint="eastAsia" w:ascii="宋体" w:hAnsi="宋体" w:eastAsia="宋体" w:cs="宋体"/>
                <w:sz w:val="21"/>
                <w:szCs w:val="21"/>
              </w:rPr>
              <w:t>支持院内人员进行手术映射表的维护管理，医院手术表映射到医保手术标准表。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atLeast"/>
          <w:jc w:val="center"/>
        </w:trPr>
        <w:tc>
          <w:tcPr>
            <w:tcW w:w="1716" w:type="dxa"/>
            <w:vMerge w:val="continue"/>
            <w:noWrap w:val="0"/>
            <w:vAlign w:val="center"/>
          </w:tcPr>
          <w:p>
            <w:pPr>
              <w:widowControl/>
              <w:adjustRightInd w:val="0"/>
              <w:snapToGrid w:val="0"/>
              <w:spacing w:line="400" w:lineRule="exact"/>
              <w:ind w:firstLine="420" w:firstLineChars="200"/>
              <w:rPr>
                <w:rFonts w:hint="eastAsia" w:ascii="宋体" w:hAnsi="宋体" w:eastAsia="宋体" w:cs="宋体"/>
                <w:sz w:val="21"/>
                <w:szCs w:val="21"/>
                <w:highlight w:val="none"/>
                <w:lang w:val="en-US" w:eastAsia="zh-CN"/>
              </w:rPr>
            </w:pPr>
          </w:p>
        </w:tc>
        <w:tc>
          <w:tcPr>
            <w:tcW w:w="2062" w:type="dxa"/>
            <w:gridSpan w:val="2"/>
            <w:vMerge w:val="continue"/>
            <w:shd w:val="clear" w:color="auto" w:fill="auto"/>
            <w:noWrap w:val="0"/>
            <w:vAlign w:val="center"/>
          </w:tcPr>
          <w:p>
            <w:pPr>
              <w:pStyle w:val="267"/>
              <w:spacing w:before="54" w:line="222" w:lineRule="auto"/>
              <w:ind w:left="12" w:leftChars="0"/>
              <w:jc w:val="center"/>
              <w:rPr>
                <w:rFonts w:hint="eastAsia" w:ascii="宋体" w:hAnsi="宋体" w:eastAsia="宋体" w:cs="宋体"/>
                <w:spacing w:val="-3"/>
                <w:sz w:val="21"/>
                <w:szCs w:val="21"/>
                <w:lang w:val="en-US" w:eastAsia="zh-CN"/>
              </w:rPr>
            </w:pPr>
          </w:p>
        </w:tc>
        <w:tc>
          <w:tcPr>
            <w:tcW w:w="2209" w:type="dxa"/>
            <w:gridSpan w:val="3"/>
            <w:shd w:val="clear" w:color="auto" w:fill="auto"/>
            <w:noWrap w:val="0"/>
            <w:vAlign w:val="center"/>
          </w:tcPr>
          <w:p>
            <w:pPr>
              <w:rPr>
                <w:rFonts w:hint="eastAsia" w:ascii="宋体" w:hAnsi="宋体" w:eastAsia="宋体" w:cs="宋体"/>
                <w:kern w:val="2"/>
                <w:sz w:val="21"/>
                <w:szCs w:val="21"/>
                <w:lang w:val="en-US" w:eastAsia="zh-CN" w:bidi="ar-SA"/>
              </w:rPr>
            </w:pPr>
            <w:r>
              <w:rPr>
                <w:rFonts w:hint="eastAsia" w:ascii="宋体" w:hAnsi="宋体" w:eastAsia="宋体" w:cs="宋体"/>
                <w:sz w:val="21"/>
                <w:szCs w:val="21"/>
              </w:rPr>
              <w:t>规则配置</w:t>
            </w:r>
          </w:p>
        </w:tc>
        <w:tc>
          <w:tcPr>
            <w:tcW w:w="4419" w:type="dxa"/>
            <w:gridSpan w:val="2"/>
            <w:shd w:val="clear" w:color="auto" w:fill="auto"/>
            <w:noWrap w:val="0"/>
            <w:vAlign w:val="center"/>
          </w:tcPr>
          <w:p>
            <w:pPr>
              <w:rPr>
                <w:rFonts w:hint="eastAsia" w:ascii="宋体" w:hAnsi="宋体" w:eastAsia="宋体" w:cs="宋体"/>
                <w:kern w:val="2"/>
                <w:sz w:val="21"/>
                <w:szCs w:val="21"/>
                <w:lang w:val="en-US" w:eastAsia="zh-CN" w:bidi="ar-SA"/>
              </w:rPr>
            </w:pPr>
            <w:r>
              <w:rPr>
                <w:rFonts w:hint="eastAsia" w:ascii="宋体" w:hAnsi="宋体" w:eastAsia="宋体" w:cs="宋体"/>
                <w:sz w:val="21"/>
                <w:szCs w:val="21"/>
              </w:rPr>
              <w:t>支持院内人员进行规则的启用、停用操作及规则分值的设置。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4" w:hRule="atLeast"/>
          <w:jc w:val="center"/>
        </w:trPr>
        <w:tc>
          <w:tcPr>
            <w:tcW w:w="10406" w:type="dxa"/>
            <w:gridSpan w:val="8"/>
            <w:noWrap w:val="0"/>
            <w:vAlign w:val="top"/>
          </w:tcPr>
          <w:p>
            <w:pPr>
              <w:widowControl/>
              <w:adjustRightInd w:val="0"/>
              <w:snapToGrid w:val="0"/>
              <w:spacing w:line="400" w:lineRule="exact"/>
              <w:jc w:val="left"/>
              <w:rPr>
                <w:rFonts w:hint="default" w:ascii="Times New Roman" w:hAnsi="Times New Roman" w:eastAsia="宋体" w:cs="Times New Roman"/>
                <w:highlight w:val="none"/>
                <w:lang w:val="en-US" w:eastAsia="zh-CN"/>
              </w:rPr>
            </w:pPr>
            <w:r>
              <w:rPr>
                <w:rFonts w:hint="eastAsia" w:ascii="黑体" w:hAnsi="黑体" w:eastAsia="黑体" w:cs="黑体"/>
                <w:b w:val="0"/>
                <w:bCs w:val="0"/>
                <w:sz w:val="24"/>
                <w:szCs w:val="24"/>
                <w:highlight w:val="none"/>
                <w:lang w:val="en-US" w:eastAsia="zh-CN"/>
              </w:rPr>
              <w:t>二、DRG分组检测预警系统建设需求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716" w:type="dxa"/>
            <w:noWrap w:val="0"/>
            <w:vAlign w:val="center"/>
          </w:tcPr>
          <w:p>
            <w:pPr>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子系统</w:t>
            </w:r>
          </w:p>
        </w:tc>
        <w:tc>
          <w:tcPr>
            <w:tcW w:w="1935" w:type="dxa"/>
            <w:shd w:val="clear" w:color="auto" w:fill="auto"/>
            <w:noWrap w:val="0"/>
            <w:vAlign w:val="center"/>
          </w:tcPr>
          <w:p>
            <w:pPr>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功能模块</w:t>
            </w:r>
          </w:p>
        </w:tc>
        <w:tc>
          <w:tcPr>
            <w:tcW w:w="6755" w:type="dxa"/>
            <w:gridSpan w:val="6"/>
            <w:shd w:val="clear" w:color="auto" w:fill="auto"/>
            <w:noWrap w:val="0"/>
            <w:vAlign w:val="center"/>
          </w:tcPr>
          <w:p>
            <w:pPr>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功能描述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716" w:type="dxa"/>
            <w:vMerge w:val="restart"/>
            <w:noWrap w:val="0"/>
            <w:vAlign w:val="center"/>
          </w:tcPr>
          <w:p>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在院病例DRG预分组系统</w:t>
            </w:r>
          </w:p>
        </w:tc>
        <w:tc>
          <w:tcPr>
            <w:tcW w:w="1935" w:type="dxa"/>
            <w:shd w:val="clear" w:color="auto" w:fill="auto"/>
            <w:noWrap w:val="0"/>
            <w:vAlign w:val="center"/>
          </w:tcPr>
          <w:p>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病案信息</w:t>
            </w:r>
          </w:p>
        </w:tc>
        <w:tc>
          <w:tcPr>
            <w:tcW w:w="6755" w:type="dxa"/>
            <w:gridSpan w:val="6"/>
            <w:shd w:val="clear" w:color="auto" w:fill="auto"/>
            <w:noWrap w:val="0"/>
            <w:vAlign w:val="center"/>
          </w:tcPr>
          <w:p>
            <w:pPr>
              <w:rPr>
                <w:rFonts w:hint="eastAsia" w:ascii="宋体" w:hAnsi="宋体" w:eastAsia="宋体" w:cs="宋体"/>
                <w:kern w:val="0"/>
                <w:sz w:val="21"/>
                <w:szCs w:val="21"/>
              </w:rPr>
            </w:pPr>
            <w:r>
              <w:rPr>
                <w:rFonts w:hint="eastAsia" w:ascii="宋体" w:hAnsi="宋体" w:eastAsia="宋体" w:cs="宋体"/>
                <w:kern w:val="0"/>
                <w:sz w:val="21"/>
                <w:szCs w:val="21"/>
              </w:rPr>
              <w:t>1.支持病案基础信息的查看；</w:t>
            </w:r>
          </w:p>
          <w:p>
            <w:pPr>
              <w:rPr>
                <w:rFonts w:hint="eastAsia" w:ascii="宋体" w:hAnsi="宋体" w:eastAsia="宋体" w:cs="宋体"/>
                <w:kern w:val="0"/>
                <w:sz w:val="21"/>
                <w:szCs w:val="21"/>
              </w:rPr>
            </w:pPr>
            <w:r>
              <w:rPr>
                <w:rFonts w:hint="eastAsia" w:ascii="宋体" w:hAnsi="宋体" w:eastAsia="宋体" w:cs="宋体"/>
                <w:kern w:val="0"/>
                <w:sz w:val="21"/>
                <w:szCs w:val="21"/>
              </w:rPr>
              <w:t>2.支持病案信息指标的灵活可配及修改；</w:t>
            </w:r>
          </w:p>
          <w:p>
            <w:pPr>
              <w:rPr>
                <w:rFonts w:hint="eastAsia" w:ascii="宋体" w:hAnsi="宋体" w:eastAsia="宋体" w:cs="宋体"/>
                <w:kern w:val="0"/>
                <w:sz w:val="21"/>
                <w:szCs w:val="21"/>
              </w:rPr>
            </w:pPr>
            <w:r>
              <w:rPr>
                <w:rFonts w:hint="eastAsia" w:ascii="宋体" w:hAnsi="宋体" w:eastAsia="宋体" w:cs="宋体"/>
                <w:kern w:val="0"/>
                <w:sz w:val="21"/>
                <w:szCs w:val="21"/>
              </w:rPr>
              <w:t>3.提供实时预警，包括费用预警、不合理入院预警、病案质控预警等，预警条件支持启用/关闭，通过智能监测不合理行为，降低费用超支风险；</w:t>
            </w:r>
          </w:p>
          <w:p>
            <w:pPr>
              <w:rPr>
                <w:rFonts w:hint="eastAsia" w:ascii="宋体" w:hAnsi="宋体" w:eastAsia="宋体" w:cs="宋体"/>
                <w:kern w:val="0"/>
                <w:sz w:val="21"/>
                <w:szCs w:val="21"/>
              </w:rPr>
            </w:pPr>
            <w:r>
              <w:rPr>
                <w:rFonts w:hint="eastAsia" w:ascii="宋体" w:hAnsi="宋体" w:eastAsia="宋体" w:cs="宋体"/>
                <w:kern w:val="0"/>
                <w:sz w:val="21"/>
                <w:szCs w:val="21"/>
              </w:rPr>
              <w:t>4.支持再入院病例提示，再入院天数可通过系统配置设置，可查看历次相关住院的DRG分组与诊断/手术信息；</w:t>
            </w:r>
          </w:p>
          <w:p>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5.支持不合理入院规则配置设置；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716" w:type="dxa"/>
            <w:vMerge w:val="continue"/>
            <w:noWrap w:val="0"/>
            <w:vAlign w:val="top"/>
          </w:tcPr>
          <w:p>
            <w:pPr>
              <w:spacing w:line="240" w:lineRule="auto"/>
              <w:jc w:val="center"/>
              <w:rPr>
                <w:rFonts w:hint="eastAsia" w:ascii="宋体" w:hAnsi="宋体" w:eastAsia="宋体" w:cs="宋体"/>
                <w:color w:val="000000"/>
                <w:kern w:val="2"/>
                <w:sz w:val="21"/>
                <w:szCs w:val="21"/>
                <w:lang w:val="en-US" w:eastAsia="zh-CN" w:bidi="ar-SA"/>
              </w:rPr>
            </w:pPr>
          </w:p>
        </w:tc>
        <w:tc>
          <w:tcPr>
            <w:tcW w:w="1935" w:type="dxa"/>
            <w:shd w:val="clear" w:color="auto" w:fill="auto"/>
            <w:noWrap w:val="0"/>
            <w:vAlign w:val="center"/>
          </w:tcPr>
          <w:p>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▲实时动态分组</w:t>
            </w:r>
          </w:p>
        </w:tc>
        <w:tc>
          <w:tcPr>
            <w:tcW w:w="6755" w:type="dxa"/>
            <w:gridSpan w:val="6"/>
            <w:shd w:val="clear" w:color="auto" w:fill="auto"/>
            <w:noWrap w:val="0"/>
            <w:vAlign w:val="center"/>
          </w:tcPr>
          <w:p>
            <w:pPr>
              <w:rPr>
                <w:rFonts w:hint="eastAsia" w:ascii="宋体" w:hAnsi="宋体" w:eastAsia="宋体" w:cs="宋体"/>
                <w:kern w:val="0"/>
                <w:sz w:val="21"/>
                <w:szCs w:val="21"/>
              </w:rPr>
            </w:pPr>
            <w:r>
              <w:rPr>
                <w:rFonts w:hint="eastAsia" w:ascii="宋体" w:hAnsi="宋体" w:eastAsia="宋体" w:cs="宋体"/>
                <w:kern w:val="0"/>
                <w:sz w:val="21"/>
                <w:szCs w:val="21"/>
              </w:rPr>
              <w:t>1.支持分组器本地化适配，建立本地政策规则，应用算法实现模拟分配，支持实时查看DRG预测分组及拨付指标；</w:t>
            </w:r>
          </w:p>
          <w:p>
            <w:pPr>
              <w:rPr>
                <w:rFonts w:hint="eastAsia" w:ascii="宋体" w:hAnsi="宋体" w:eastAsia="宋体" w:cs="宋体"/>
                <w:kern w:val="0"/>
                <w:sz w:val="21"/>
                <w:szCs w:val="21"/>
              </w:rPr>
            </w:pPr>
            <w:r>
              <w:rPr>
                <w:rFonts w:hint="eastAsia" w:ascii="宋体" w:hAnsi="宋体" w:eastAsia="宋体" w:cs="宋体"/>
                <w:kern w:val="0"/>
                <w:sz w:val="21"/>
                <w:szCs w:val="21"/>
              </w:rPr>
              <w:t>2.支持患者的拨付指标与归属病组的付费标准进行对比；</w:t>
            </w:r>
          </w:p>
          <w:p>
            <w:pPr>
              <w:rPr>
                <w:rFonts w:hint="eastAsia" w:ascii="宋体" w:hAnsi="宋体" w:eastAsia="宋体" w:cs="宋体"/>
                <w:kern w:val="0"/>
                <w:sz w:val="21"/>
                <w:szCs w:val="21"/>
              </w:rPr>
            </w:pPr>
            <w:r>
              <w:rPr>
                <w:rFonts w:hint="eastAsia" w:ascii="宋体" w:hAnsi="宋体" w:eastAsia="宋体" w:cs="宋体"/>
                <w:kern w:val="0"/>
                <w:sz w:val="21"/>
                <w:szCs w:val="21"/>
              </w:rPr>
              <w:t>3.支持拨付指标的灵活配置；</w:t>
            </w:r>
          </w:p>
          <w:p>
            <w:pPr>
              <w:rPr>
                <w:rFonts w:hint="eastAsia" w:ascii="宋体" w:hAnsi="宋体" w:eastAsia="宋体" w:cs="宋体"/>
                <w:kern w:val="0"/>
                <w:sz w:val="21"/>
                <w:szCs w:val="21"/>
              </w:rPr>
            </w:pPr>
            <w:r>
              <w:rPr>
                <w:rFonts w:hint="eastAsia" w:ascii="宋体" w:hAnsi="宋体" w:eastAsia="宋体" w:cs="宋体"/>
                <w:kern w:val="0"/>
                <w:sz w:val="21"/>
                <w:szCs w:val="21"/>
              </w:rPr>
              <w:t>4.对于未入组病例，</w:t>
            </w:r>
            <w:r>
              <w:rPr>
                <w:rFonts w:hint="eastAsia" w:ascii="宋体" w:hAnsi="宋体" w:cs="宋体"/>
                <w:kern w:val="0"/>
                <w:sz w:val="21"/>
                <w:szCs w:val="21"/>
                <w:lang w:eastAsia="zh-CN"/>
              </w:rPr>
              <w:t>给予</w:t>
            </w:r>
            <w:r>
              <w:rPr>
                <w:rFonts w:hint="eastAsia" w:ascii="宋体" w:hAnsi="宋体" w:eastAsia="宋体" w:cs="宋体"/>
                <w:kern w:val="0"/>
                <w:sz w:val="21"/>
                <w:szCs w:val="21"/>
              </w:rPr>
              <w:t>未入组原因；</w:t>
            </w:r>
          </w:p>
          <w:p>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5.支持部分指标的公式可视化，明确指标计算逻辑；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716" w:type="dxa"/>
            <w:vMerge w:val="continue"/>
            <w:noWrap w:val="0"/>
            <w:vAlign w:val="top"/>
          </w:tcPr>
          <w:p>
            <w:pPr>
              <w:spacing w:line="240" w:lineRule="auto"/>
              <w:jc w:val="center"/>
              <w:rPr>
                <w:rFonts w:hint="eastAsia" w:ascii="宋体" w:hAnsi="宋体" w:eastAsia="宋体" w:cs="宋体"/>
                <w:color w:val="000000"/>
                <w:kern w:val="2"/>
                <w:sz w:val="21"/>
                <w:szCs w:val="21"/>
                <w:lang w:val="en-US" w:eastAsia="zh-CN" w:bidi="ar-SA"/>
              </w:rPr>
            </w:pPr>
          </w:p>
        </w:tc>
        <w:tc>
          <w:tcPr>
            <w:tcW w:w="1935" w:type="dxa"/>
            <w:shd w:val="clear" w:color="auto" w:fill="auto"/>
            <w:noWrap w:val="0"/>
            <w:vAlign w:val="center"/>
          </w:tcPr>
          <w:p>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▲大数据相似分组</w:t>
            </w:r>
          </w:p>
        </w:tc>
        <w:tc>
          <w:tcPr>
            <w:tcW w:w="6755" w:type="dxa"/>
            <w:gridSpan w:val="6"/>
            <w:shd w:val="clear" w:color="auto" w:fill="auto"/>
            <w:noWrap w:val="0"/>
            <w:vAlign w:val="center"/>
          </w:tcPr>
          <w:p>
            <w:pPr>
              <w:rPr>
                <w:rFonts w:hint="eastAsia" w:ascii="宋体" w:hAnsi="宋体" w:eastAsia="宋体" w:cs="宋体"/>
                <w:kern w:val="0"/>
                <w:sz w:val="21"/>
                <w:szCs w:val="21"/>
              </w:rPr>
            </w:pPr>
            <w:r>
              <w:rPr>
                <w:rFonts w:hint="eastAsia" w:ascii="宋体" w:hAnsi="宋体" w:eastAsia="宋体" w:cs="宋体"/>
                <w:kern w:val="0"/>
                <w:sz w:val="21"/>
                <w:szCs w:val="21"/>
              </w:rPr>
              <w:t>1.支持对医生填写的诊断和手术进行轮询分组测算，展示不同的轮询分组结果，为医生的诊断信息填写，提供分组参考；</w:t>
            </w:r>
          </w:p>
          <w:p>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2.支持不同分组的分组结果，按照预估结算费用/病种分值进行排序；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716" w:type="dxa"/>
            <w:vMerge w:val="continue"/>
            <w:noWrap w:val="0"/>
            <w:vAlign w:val="top"/>
          </w:tcPr>
          <w:p>
            <w:pPr>
              <w:spacing w:line="240" w:lineRule="auto"/>
              <w:jc w:val="center"/>
              <w:rPr>
                <w:rFonts w:hint="eastAsia" w:ascii="宋体" w:hAnsi="宋体" w:eastAsia="宋体" w:cs="宋体"/>
                <w:color w:val="000000"/>
                <w:kern w:val="2"/>
                <w:sz w:val="21"/>
                <w:szCs w:val="21"/>
                <w:lang w:val="en-US" w:eastAsia="zh-CN" w:bidi="ar-SA"/>
              </w:rPr>
            </w:pPr>
          </w:p>
        </w:tc>
        <w:tc>
          <w:tcPr>
            <w:tcW w:w="1935" w:type="dxa"/>
            <w:shd w:val="clear" w:color="auto" w:fill="auto"/>
            <w:noWrap w:val="0"/>
            <w:vAlign w:val="center"/>
          </w:tcPr>
          <w:p>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▲大数据模拟分组</w:t>
            </w:r>
          </w:p>
        </w:tc>
        <w:tc>
          <w:tcPr>
            <w:tcW w:w="6755" w:type="dxa"/>
            <w:gridSpan w:val="6"/>
            <w:shd w:val="clear" w:color="auto" w:fill="auto"/>
            <w:noWrap w:val="0"/>
            <w:vAlign w:val="center"/>
          </w:tcPr>
          <w:p>
            <w:pPr>
              <w:rPr>
                <w:rFonts w:hint="eastAsia" w:ascii="宋体" w:hAnsi="宋体" w:eastAsia="宋体" w:cs="宋体"/>
                <w:kern w:val="0"/>
                <w:sz w:val="21"/>
                <w:szCs w:val="21"/>
              </w:rPr>
            </w:pPr>
            <w:r>
              <w:rPr>
                <w:rFonts w:hint="eastAsia" w:ascii="宋体" w:hAnsi="宋体" w:eastAsia="宋体" w:cs="宋体"/>
                <w:kern w:val="0"/>
                <w:sz w:val="21"/>
                <w:szCs w:val="21"/>
              </w:rPr>
              <w:t>1.支持一键导入单条在院</w:t>
            </w:r>
            <w:r>
              <w:rPr>
                <w:rFonts w:hint="eastAsia" w:ascii="宋体" w:hAnsi="宋体" w:cs="宋体"/>
                <w:kern w:val="0"/>
                <w:sz w:val="21"/>
                <w:szCs w:val="21"/>
                <w:lang w:eastAsia="zh-CN"/>
              </w:rPr>
              <w:t>病历</w:t>
            </w:r>
            <w:r>
              <w:rPr>
                <w:rFonts w:hint="eastAsia" w:ascii="宋体" w:hAnsi="宋体" w:eastAsia="宋体" w:cs="宋体"/>
                <w:kern w:val="0"/>
                <w:sz w:val="21"/>
                <w:szCs w:val="21"/>
              </w:rPr>
              <w:t>信息，并提供增加或者修改病案信息权限；</w:t>
            </w:r>
          </w:p>
          <w:p>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2.为医生提供模拟分组小工具，支持医生进行诊断、手术编码的调整/修改，系统通过内在的分组引擎及拨付引擎，显示相应的分组结果与拨付结果；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716" w:type="dxa"/>
            <w:vMerge w:val="continue"/>
            <w:noWrap w:val="0"/>
            <w:vAlign w:val="top"/>
          </w:tcPr>
          <w:p>
            <w:pPr>
              <w:spacing w:line="240" w:lineRule="auto"/>
              <w:jc w:val="center"/>
              <w:rPr>
                <w:rFonts w:hint="eastAsia" w:ascii="宋体" w:hAnsi="宋体" w:eastAsia="宋体" w:cs="宋体"/>
                <w:color w:val="000000"/>
                <w:kern w:val="2"/>
                <w:sz w:val="21"/>
                <w:szCs w:val="21"/>
                <w:lang w:val="en-US" w:eastAsia="zh-CN" w:bidi="ar-SA"/>
              </w:rPr>
            </w:pPr>
          </w:p>
        </w:tc>
        <w:tc>
          <w:tcPr>
            <w:tcW w:w="1935" w:type="dxa"/>
            <w:shd w:val="clear" w:color="auto" w:fill="auto"/>
            <w:noWrap w:val="0"/>
            <w:vAlign w:val="center"/>
          </w:tcPr>
          <w:p>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▲费用明细</w:t>
            </w:r>
          </w:p>
        </w:tc>
        <w:tc>
          <w:tcPr>
            <w:tcW w:w="6755" w:type="dxa"/>
            <w:gridSpan w:val="6"/>
            <w:shd w:val="clear" w:color="auto" w:fill="auto"/>
            <w:noWrap w:val="0"/>
            <w:vAlign w:val="center"/>
          </w:tcPr>
          <w:p>
            <w:pPr>
              <w:rPr>
                <w:rFonts w:hint="eastAsia" w:ascii="宋体" w:hAnsi="宋体" w:eastAsia="宋体" w:cs="宋体"/>
                <w:kern w:val="0"/>
                <w:sz w:val="21"/>
                <w:szCs w:val="21"/>
              </w:rPr>
            </w:pPr>
            <w:r>
              <w:rPr>
                <w:rFonts w:hint="eastAsia" w:ascii="宋体" w:hAnsi="宋体" w:eastAsia="宋体" w:cs="宋体"/>
                <w:kern w:val="0"/>
                <w:sz w:val="21"/>
                <w:szCs w:val="21"/>
              </w:rPr>
              <w:t>1.支持图表、列表两种形式，查看费用明细大类；</w:t>
            </w:r>
          </w:p>
          <w:p>
            <w:pPr>
              <w:rPr>
                <w:rFonts w:hint="eastAsia" w:ascii="宋体" w:hAnsi="宋体" w:eastAsia="宋体" w:cs="宋体"/>
                <w:kern w:val="0"/>
                <w:sz w:val="21"/>
                <w:szCs w:val="21"/>
              </w:rPr>
            </w:pPr>
            <w:r>
              <w:rPr>
                <w:rFonts w:hint="eastAsia" w:ascii="宋体" w:hAnsi="宋体" w:eastAsia="宋体" w:cs="宋体"/>
                <w:kern w:val="0"/>
                <w:sz w:val="21"/>
                <w:szCs w:val="21"/>
              </w:rPr>
              <w:t>2.支持排序；</w:t>
            </w:r>
          </w:p>
          <w:p>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3.支持查看费用明细项目详情；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0" w:hRule="atLeast"/>
          <w:jc w:val="center"/>
        </w:trPr>
        <w:tc>
          <w:tcPr>
            <w:tcW w:w="10406" w:type="dxa"/>
            <w:gridSpan w:val="8"/>
            <w:noWrap w:val="0"/>
            <w:vAlign w:val="top"/>
          </w:tcPr>
          <w:p>
            <w:pPr>
              <w:widowControl/>
              <w:numPr>
                <w:ilvl w:val="0"/>
                <w:numId w:val="5"/>
              </w:numPr>
              <w:adjustRightInd w:val="0"/>
              <w:snapToGrid w:val="0"/>
              <w:spacing w:line="400" w:lineRule="exact"/>
              <w:jc w:val="left"/>
              <w:rPr>
                <w:rFonts w:hint="eastAsia"/>
                <w:lang w:val="en-US" w:eastAsia="zh-CN"/>
              </w:rPr>
            </w:pPr>
            <w:bookmarkStart w:id="18" w:name="_Toc134105173"/>
            <w:r>
              <w:rPr>
                <w:rFonts w:hint="eastAsia" w:ascii="黑体" w:hAnsi="黑体" w:eastAsia="黑体" w:cs="黑体"/>
                <w:b w:val="0"/>
                <w:bCs w:val="0"/>
                <w:sz w:val="24"/>
                <w:szCs w:val="24"/>
                <w:highlight w:val="none"/>
                <w:lang w:val="en-US" w:eastAsia="zh-CN"/>
              </w:rPr>
              <w:t>DRG医院智能管理系统建设需求</w:t>
            </w:r>
            <w:bookmarkEnd w:id="18"/>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716" w:type="dxa"/>
            <w:shd w:val="clear" w:color="auto" w:fill="auto"/>
            <w:noWrap w:val="0"/>
            <w:vAlign w:val="center"/>
          </w:tcPr>
          <w:p>
            <w:pPr>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子系统</w:t>
            </w:r>
          </w:p>
        </w:tc>
        <w:tc>
          <w:tcPr>
            <w:tcW w:w="1935" w:type="dxa"/>
            <w:shd w:val="clear" w:color="auto" w:fill="auto"/>
            <w:noWrap w:val="0"/>
            <w:vAlign w:val="center"/>
          </w:tcPr>
          <w:p>
            <w:pPr>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功能模块</w:t>
            </w:r>
          </w:p>
        </w:tc>
        <w:tc>
          <w:tcPr>
            <w:tcW w:w="6755" w:type="dxa"/>
            <w:gridSpan w:val="6"/>
            <w:shd w:val="clear" w:color="auto" w:fill="auto"/>
            <w:noWrap w:val="0"/>
            <w:vAlign w:val="center"/>
          </w:tcPr>
          <w:p>
            <w:pPr>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功能说明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716" w:type="dxa"/>
            <w:shd w:val="clear" w:color="auto" w:fill="auto"/>
            <w:noWrap w:val="0"/>
            <w:vAlign w:val="center"/>
          </w:tcPr>
          <w:p>
            <w:pPr>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首页</w:t>
            </w:r>
          </w:p>
        </w:tc>
        <w:tc>
          <w:tcPr>
            <w:tcW w:w="1935" w:type="dxa"/>
            <w:shd w:val="clear" w:color="auto" w:fill="auto"/>
            <w:noWrap w:val="0"/>
            <w:vAlign w:val="center"/>
          </w:tcPr>
          <w:p>
            <w:pPr>
              <w:rPr>
                <w:rFonts w:hint="eastAsia" w:ascii="宋体" w:hAnsi="宋体" w:eastAsia="宋体" w:cs="宋体"/>
                <w:kern w:val="0"/>
                <w:sz w:val="21"/>
                <w:szCs w:val="21"/>
              </w:rPr>
            </w:pPr>
            <w:r>
              <w:rPr>
                <w:rFonts w:hint="eastAsia" w:ascii="宋体" w:hAnsi="宋体" w:eastAsia="宋体" w:cs="宋体"/>
                <w:kern w:val="0"/>
                <w:sz w:val="21"/>
                <w:szCs w:val="21"/>
              </w:rPr>
              <w:t>入组情况</w:t>
            </w:r>
          </w:p>
          <w:p>
            <w:pPr>
              <w:rPr>
                <w:rFonts w:hint="eastAsia" w:ascii="宋体" w:hAnsi="宋体" w:eastAsia="宋体" w:cs="宋体"/>
                <w:kern w:val="0"/>
                <w:sz w:val="21"/>
                <w:szCs w:val="21"/>
              </w:rPr>
            </w:pPr>
            <w:r>
              <w:rPr>
                <w:rFonts w:hint="eastAsia" w:ascii="宋体" w:hAnsi="宋体" w:eastAsia="宋体" w:cs="宋体"/>
                <w:kern w:val="0"/>
                <w:sz w:val="21"/>
                <w:szCs w:val="21"/>
              </w:rPr>
              <w:t>结算差异分析</w:t>
            </w:r>
          </w:p>
          <w:p>
            <w:pPr>
              <w:rPr>
                <w:rFonts w:hint="eastAsia" w:ascii="宋体" w:hAnsi="宋体" w:eastAsia="宋体" w:cs="宋体"/>
                <w:kern w:val="0"/>
                <w:sz w:val="21"/>
                <w:szCs w:val="21"/>
              </w:rPr>
            </w:pPr>
            <w:r>
              <w:rPr>
                <w:rFonts w:hint="eastAsia" w:ascii="宋体" w:hAnsi="宋体" w:eastAsia="宋体" w:cs="宋体"/>
                <w:kern w:val="0"/>
                <w:sz w:val="21"/>
                <w:szCs w:val="21"/>
              </w:rPr>
              <w:t>监控预警</w:t>
            </w:r>
          </w:p>
          <w:p>
            <w:pPr>
              <w:rPr>
                <w:rFonts w:hint="eastAsia" w:ascii="宋体" w:hAnsi="宋体" w:eastAsia="宋体" w:cs="宋体"/>
                <w:kern w:val="0"/>
                <w:sz w:val="21"/>
                <w:szCs w:val="21"/>
              </w:rPr>
            </w:pPr>
            <w:r>
              <w:rPr>
                <w:rFonts w:hint="eastAsia" w:ascii="宋体" w:hAnsi="宋体" w:eastAsia="宋体" w:cs="宋体"/>
                <w:kern w:val="0"/>
                <w:sz w:val="21"/>
                <w:szCs w:val="21"/>
              </w:rPr>
              <w:t>行为规范</w:t>
            </w:r>
          </w:p>
          <w:p>
            <w:pPr>
              <w:rPr>
                <w:rFonts w:hint="eastAsia" w:ascii="宋体" w:hAnsi="宋体" w:eastAsia="宋体" w:cs="宋体"/>
                <w:kern w:val="0"/>
                <w:sz w:val="21"/>
                <w:szCs w:val="21"/>
              </w:rPr>
            </w:pPr>
            <w:r>
              <w:rPr>
                <w:rFonts w:hint="eastAsia" w:ascii="宋体" w:hAnsi="宋体" w:eastAsia="宋体" w:cs="宋体"/>
                <w:kern w:val="0"/>
                <w:sz w:val="21"/>
                <w:szCs w:val="21"/>
              </w:rPr>
              <w:t>病例类型占比分析</w:t>
            </w:r>
          </w:p>
          <w:p>
            <w:pPr>
              <w:rPr>
                <w:rFonts w:hint="eastAsia" w:ascii="宋体" w:hAnsi="宋体" w:eastAsia="宋体" w:cs="宋体"/>
                <w:kern w:val="0"/>
                <w:sz w:val="21"/>
                <w:szCs w:val="21"/>
              </w:rPr>
            </w:pPr>
            <w:r>
              <w:rPr>
                <w:rFonts w:hint="eastAsia" w:ascii="宋体" w:hAnsi="宋体" w:eastAsia="宋体" w:cs="宋体"/>
                <w:kern w:val="0"/>
                <w:sz w:val="21"/>
                <w:szCs w:val="21"/>
              </w:rPr>
              <w:t>指标统计</w:t>
            </w:r>
          </w:p>
          <w:p>
            <w:pPr>
              <w:rPr>
                <w:rFonts w:hint="eastAsia" w:ascii="宋体" w:hAnsi="宋体" w:eastAsia="宋体" w:cs="宋体"/>
                <w:kern w:val="0"/>
                <w:sz w:val="21"/>
                <w:szCs w:val="21"/>
              </w:rPr>
            </w:pPr>
            <w:r>
              <w:rPr>
                <w:rFonts w:hint="eastAsia" w:ascii="宋体" w:hAnsi="宋体" w:eastAsia="宋体" w:cs="宋体"/>
                <w:kern w:val="0"/>
                <w:sz w:val="21"/>
                <w:szCs w:val="21"/>
              </w:rPr>
              <w:t>超支结余top5</w:t>
            </w:r>
          </w:p>
          <w:p>
            <w:pPr>
              <w:rPr>
                <w:rFonts w:hint="eastAsia" w:ascii="宋体" w:hAnsi="宋体" w:eastAsia="宋体" w:cs="宋体"/>
                <w:kern w:val="0"/>
                <w:sz w:val="21"/>
                <w:szCs w:val="21"/>
                <w:lang w:val="en-US" w:eastAsia="zh-CN" w:bidi="ar-SA"/>
              </w:rPr>
            </w:pPr>
          </w:p>
        </w:tc>
        <w:tc>
          <w:tcPr>
            <w:tcW w:w="6755" w:type="dxa"/>
            <w:gridSpan w:val="6"/>
            <w:shd w:val="clear" w:color="auto" w:fill="auto"/>
            <w:noWrap w:val="0"/>
            <w:vAlign w:val="center"/>
          </w:tcPr>
          <w:p>
            <w:pPr>
              <w:rPr>
                <w:rFonts w:hint="eastAsia" w:ascii="宋体" w:hAnsi="宋体" w:eastAsia="宋体" w:cs="宋体"/>
                <w:kern w:val="0"/>
                <w:sz w:val="21"/>
                <w:szCs w:val="21"/>
              </w:rPr>
            </w:pPr>
            <w:r>
              <w:rPr>
                <w:rFonts w:hint="eastAsia" w:ascii="宋体" w:hAnsi="宋体" w:eastAsia="宋体" w:cs="宋体"/>
                <w:kern w:val="0"/>
                <w:sz w:val="21"/>
                <w:szCs w:val="21"/>
              </w:rPr>
              <w:t>对系统各个子系统重点指标及维度进行综合展示，快速定位分组情况、结算差异、费用差异结构、监控预警、绩效评价及分配等关键指标。重点指标实时追踪及交互下钻。</w:t>
            </w:r>
          </w:p>
          <w:p>
            <w:pPr>
              <w:rPr>
                <w:rFonts w:hint="eastAsia" w:ascii="宋体" w:hAnsi="宋体" w:eastAsia="宋体" w:cs="宋体"/>
                <w:kern w:val="0"/>
                <w:sz w:val="21"/>
                <w:szCs w:val="21"/>
              </w:rPr>
            </w:pPr>
            <w:r>
              <w:rPr>
                <w:rFonts w:hint="eastAsia" w:ascii="宋体" w:hAnsi="宋体" w:eastAsia="宋体" w:cs="宋体"/>
                <w:kern w:val="0"/>
                <w:sz w:val="21"/>
                <w:szCs w:val="21"/>
              </w:rPr>
              <w:t>1.可快速定位分组效能，查看入组率，直接定位未入组病例详情，支持下钻；</w:t>
            </w:r>
          </w:p>
          <w:p>
            <w:pPr>
              <w:rPr>
                <w:rFonts w:hint="eastAsia" w:ascii="宋体" w:hAnsi="宋体" w:eastAsia="宋体" w:cs="宋体"/>
                <w:kern w:val="0"/>
                <w:sz w:val="21"/>
                <w:szCs w:val="21"/>
              </w:rPr>
            </w:pPr>
            <w:r>
              <w:rPr>
                <w:rFonts w:hint="eastAsia" w:ascii="宋体" w:hAnsi="宋体" w:eastAsia="宋体" w:cs="宋体"/>
                <w:kern w:val="0"/>
                <w:sz w:val="21"/>
                <w:szCs w:val="21"/>
              </w:rPr>
              <w:t>2.统计全院整体超支结余情况，从院区、专科、科室、病区多维度可视化展示其预估结算差异情况；</w:t>
            </w:r>
          </w:p>
          <w:p>
            <w:pPr>
              <w:rPr>
                <w:rFonts w:hint="eastAsia" w:ascii="宋体" w:hAnsi="宋体" w:eastAsia="宋体" w:cs="宋体"/>
                <w:kern w:val="0"/>
                <w:sz w:val="21"/>
                <w:szCs w:val="21"/>
              </w:rPr>
            </w:pPr>
            <w:r>
              <w:rPr>
                <w:rFonts w:hint="eastAsia" w:ascii="宋体" w:hAnsi="宋体" w:eastAsia="宋体" w:cs="宋体"/>
                <w:kern w:val="0"/>
                <w:sz w:val="21"/>
                <w:szCs w:val="21"/>
              </w:rPr>
              <w:t>3.统计展示医院的ADRG、DRG、时间消耗指数、费用消耗指数、CMI、再入院率及指标的同比环比情况；</w:t>
            </w:r>
          </w:p>
          <w:p>
            <w:pPr>
              <w:rPr>
                <w:rFonts w:hint="eastAsia" w:ascii="宋体" w:hAnsi="宋体" w:eastAsia="宋体" w:cs="宋体"/>
                <w:kern w:val="0"/>
                <w:sz w:val="21"/>
                <w:szCs w:val="21"/>
              </w:rPr>
            </w:pPr>
            <w:r>
              <w:rPr>
                <w:rFonts w:hint="eastAsia" w:ascii="宋体" w:hAnsi="宋体" w:eastAsia="宋体" w:cs="宋体"/>
                <w:kern w:val="0"/>
                <w:sz w:val="21"/>
                <w:szCs w:val="21"/>
              </w:rPr>
              <w:t>4.对医院体检住院、住院配药、分解住院、无治疗住院、超长住院等进行实时监控，可自定义配置指标；</w:t>
            </w:r>
          </w:p>
          <w:p>
            <w:pPr>
              <w:rPr>
                <w:rFonts w:hint="eastAsia" w:ascii="宋体" w:hAnsi="宋体" w:eastAsia="宋体" w:cs="宋体"/>
                <w:kern w:val="0"/>
                <w:sz w:val="21"/>
                <w:szCs w:val="21"/>
              </w:rPr>
            </w:pPr>
            <w:r>
              <w:rPr>
                <w:rFonts w:hint="eastAsia" w:ascii="宋体" w:hAnsi="宋体" w:eastAsia="宋体" w:cs="宋体"/>
                <w:kern w:val="0"/>
                <w:sz w:val="21"/>
                <w:szCs w:val="21"/>
              </w:rPr>
              <w:t>5.支持查看不同病例类型的病例数分布，支持下钻；</w:t>
            </w:r>
          </w:p>
          <w:p>
            <w:pPr>
              <w:rPr>
                <w:rFonts w:hint="eastAsia" w:ascii="宋体" w:hAnsi="宋体" w:eastAsia="宋体" w:cs="宋体"/>
                <w:kern w:val="0"/>
                <w:sz w:val="21"/>
                <w:szCs w:val="21"/>
              </w:rPr>
            </w:pPr>
            <w:r>
              <w:rPr>
                <w:rFonts w:hint="eastAsia" w:ascii="宋体" w:hAnsi="宋体" w:eastAsia="宋体" w:cs="宋体"/>
                <w:kern w:val="0"/>
                <w:sz w:val="21"/>
                <w:szCs w:val="21"/>
              </w:rPr>
              <w:t>6.统计全院整体超支结余情况，从院区、专科、科室、病区、医师小组、责任医生多维度可视化展示其预估结算差异情况；</w:t>
            </w:r>
          </w:p>
          <w:p>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7.展示超支、结余的院区/专科/科室/病区top5及其对应的预估结算差异；展示超支/结余病种top5及其对应的预估结算差异；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716" w:type="dxa"/>
            <w:shd w:val="clear" w:color="auto" w:fill="auto"/>
            <w:noWrap w:val="0"/>
            <w:vAlign w:val="center"/>
          </w:tcPr>
          <w:p>
            <w:pPr>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病例管理</w:t>
            </w:r>
          </w:p>
        </w:tc>
        <w:tc>
          <w:tcPr>
            <w:tcW w:w="1935" w:type="dxa"/>
            <w:shd w:val="clear" w:color="auto" w:fill="auto"/>
            <w:noWrap w:val="0"/>
            <w:vAlign w:val="center"/>
          </w:tcPr>
          <w:p>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病例查询</w:t>
            </w:r>
          </w:p>
        </w:tc>
        <w:tc>
          <w:tcPr>
            <w:tcW w:w="6755" w:type="dxa"/>
            <w:gridSpan w:val="6"/>
            <w:shd w:val="clear" w:color="auto" w:fill="auto"/>
            <w:noWrap w:val="0"/>
            <w:vAlign w:val="center"/>
          </w:tcPr>
          <w:p>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根据全院及科室账号权限，实现病例在住院状态、院区、专科、科室、病区、主诊组、责任医生下的差异分析，定位差异主因、对病例类型、总费用、住院天数、预估结算差额、差异比例等进行单项或综合查询，指标展示可灵活配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716" w:type="dxa"/>
            <w:vMerge w:val="restart"/>
            <w:shd w:val="clear" w:color="auto" w:fill="auto"/>
            <w:noWrap w:val="0"/>
            <w:vAlign w:val="center"/>
          </w:tcPr>
          <w:p>
            <w:pPr>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差异分析</w:t>
            </w:r>
          </w:p>
        </w:tc>
        <w:tc>
          <w:tcPr>
            <w:tcW w:w="1935" w:type="dxa"/>
            <w:shd w:val="clear" w:color="auto" w:fill="auto"/>
            <w:noWrap w:val="0"/>
            <w:vAlign w:val="center"/>
          </w:tcPr>
          <w:p>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差异汇总-总体汇总</w:t>
            </w:r>
          </w:p>
        </w:tc>
        <w:tc>
          <w:tcPr>
            <w:tcW w:w="6755" w:type="dxa"/>
            <w:gridSpan w:val="6"/>
            <w:shd w:val="clear" w:color="auto" w:fill="auto"/>
            <w:noWrap w:val="0"/>
            <w:vAlign w:val="center"/>
          </w:tcPr>
          <w:p>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根据数据口径进行联动筛选，对全院、院区、专科、科室、病区、医师小组、医生、病组等维度的超支结余分析。重点指标实时追踪及交互下钻。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716" w:type="dxa"/>
            <w:vMerge w:val="continue"/>
            <w:noWrap w:val="0"/>
            <w:vAlign w:val="top"/>
          </w:tcPr>
          <w:p>
            <w:pPr>
              <w:pStyle w:val="19"/>
              <w:numPr>
                <w:ilvl w:val="0"/>
                <w:numId w:val="0"/>
              </w:numPr>
              <w:rPr>
                <w:rFonts w:hint="eastAsia" w:ascii="宋体" w:hAnsi="宋体" w:eastAsia="宋体" w:cs="宋体"/>
                <w:sz w:val="21"/>
                <w:szCs w:val="21"/>
                <w:lang w:val="en-US" w:eastAsia="zh-CN"/>
              </w:rPr>
            </w:pPr>
          </w:p>
        </w:tc>
        <w:tc>
          <w:tcPr>
            <w:tcW w:w="1935" w:type="dxa"/>
            <w:shd w:val="clear" w:color="auto" w:fill="auto"/>
            <w:noWrap w:val="0"/>
            <w:vAlign w:val="center"/>
          </w:tcPr>
          <w:p>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差异汇总-医院院区</w:t>
            </w:r>
          </w:p>
        </w:tc>
        <w:tc>
          <w:tcPr>
            <w:tcW w:w="6755" w:type="dxa"/>
            <w:gridSpan w:val="6"/>
            <w:shd w:val="clear" w:color="auto" w:fill="auto"/>
            <w:noWrap w:val="0"/>
            <w:vAlign w:val="center"/>
          </w:tcPr>
          <w:p>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院区差异排名、时间序列趋势分析、科室结余超支、科室服务能力、科室服务质量分析。各科室下的病例下钻挖掘。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716" w:type="dxa"/>
            <w:vMerge w:val="continue"/>
            <w:noWrap w:val="0"/>
            <w:vAlign w:val="top"/>
          </w:tcPr>
          <w:p>
            <w:pPr>
              <w:pStyle w:val="19"/>
              <w:numPr>
                <w:ilvl w:val="0"/>
                <w:numId w:val="0"/>
              </w:numPr>
              <w:rPr>
                <w:rFonts w:hint="eastAsia" w:ascii="宋体" w:hAnsi="宋体" w:eastAsia="宋体" w:cs="宋体"/>
                <w:sz w:val="21"/>
                <w:szCs w:val="21"/>
                <w:lang w:val="en-US" w:eastAsia="zh-CN"/>
              </w:rPr>
            </w:pPr>
          </w:p>
        </w:tc>
        <w:tc>
          <w:tcPr>
            <w:tcW w:w="1935" w:type="dxa"/>
            <w:shd w:val="clear" w:color="auto" w:fill="auto"/>
            <w:noWrap w:val="0"/>
            <w:vAlign w:val="center"/>
          </w:tcPr>
          <w:p>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差异汇总-医院专科</w:t>
            </w:r>
          </w:p>
        </w:tc>
        <w:tc>
          <w:tcPr>
            <w:tcW w:w="6755" w:type="dxa"/>
            <w:gridSpan w:val="6"/>
            <w:shd w:val="clear" w:color="auto" w:fill="auto"/>
            <w:noWrap w:val="0"/>
            <w:vAlign w:val="center"/>
          </w:tcPr>
          <w:p>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专科差异排名、时间序列趋势分析、科室结余超支、科室服务能力、科室服务质量分析。各科室下的病例下钻挖掘。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716" w:type="dxa"/>
            <w:vMerge w:val="continue"/>
            <w:noWrap w:val="0"/>
            <w:vAlign w:val="top"/>
          </w:tcPr>
          <w:p>
            <w:pPr>
              <w:pStyle w:val="19"/>
              <w:numPr>
                <w:ilvl w:val="0"/>
                <w:numId w:val="0"/>
              </w:numPr>
              <w:rPr>
                <w:rFonts w:hint="eastAsia" w:ascii="宋体" w:hAnsi="宋体" w:eastAsia="宋体" w:cs="宋体"/>
                <w:sz w:val="21"/>
                <w:szCs w:val="21"/>
                <w:lang w:val="en-US" w:eastAsia="zh-CN"/>
              </w:rPr>
            </w:pPr>
          </w:p>
        </w:tc>
        <w:tc>
          <w:tcPr>
            <w:tcW w:w="1935" w:type="dxa"/>
            <w:shd w:val="clear" w:color="auto" w:fill="auto"/>
            <w:noWrap w:val="0"/>
            <w:vAlign w:val="center"/>
          </w:tcPr>
          <w:p>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差异汇总-医院科室</w:t>
            </w:r>
          </w:p>
        </w:tc>
        <w:tc>
          <w:tcPr>
            <w:tcW w:w="6755" w:type="dxa"/>
            <w:gridSpan w:val="6"/>
            <w:shd w:val="clear" w:color="auto" w:fill="auto"/>
            <w:noWrap w:val="0"/>
            <w:vAlign w:val="center"/>
          </w:tcPr>
          <w:p>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科室差异排名、时间序列趋势分析、科室结余超支、科室服务能力、科室服务质量分析。各科室下的病例下钻挖掘。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716" w:type="dxa"/>
            <w:vMerge w:val="continue"/>
            <w:noWrap w:val="0"/>
            <w:vAlign w:val="top"/>
          </w:tcPr>
          <w:p>
            <w:pPr>
              <w:pStyle w:val="19"/>
              <w:numPr>
                <w:ilvl w:val="0"/>
                <w:numId w:val="0"/>
              </w:numPr>
              <w:rPr>
                <w:rFonts w:hint="eastAsia" w:ascii="宋体" w:hAnsi="宋体" w:eastAsia="宋体" w:cs="宋体"/>
                <w:sz w:val="21"/>
                <w:szCs w:val="21"/>
                <w:lang w:val="en-US" w:eastAsia="zh-CN"/>
              </w:rPr>
            </w:pPr>
          </w:p>
        </w:tc>
        <w:tc>
          <w:tcPr>
            <w:tcW w:w="1935" w:type="dxa"/>
            <w:shd w:val="clear" w:color="auto" w:fill="auto"/>
            <w:noWrap w:val="0"/>
            <w:vAlign w:val="center"/>
          </w:tcPr>
          <w:p>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▲差异汇总-医院病区</w:t>
            </w:r>
          </w:p>
        </w:tc>
        <w:tc>
          <w:tcPr>
            <w:tcW w:w="6755" w:type="dxa"/>
            <w:gridSpan w:val="6"/>
            <w:shd w:val="clear" w:color="auto" w:fill="auto"/>
            <w:noWrap w:val="0"/>
            <w:vAlign w:val="center"/>
          </w:tcPr>
          <w:p>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病区差异排名、时间序列趋势分析、病区结余超支、病区服务能力、病区服务质量分析。各病区下的病例下钻挖掘。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716" w:type="dxa"/>
            <w:vMerge w:val="continue"/>
            <w:noWrap w:val="0"/>
            <w:vAlign w:val="top"/>
          </w:tcPr>
          <w:p>
            <w:pPr>
              <w:pStyle w:val="19"/>
              <w:numPr>
                <w:ilvl w:val="0"/>
                <w:numId w:val="0"/>
              </w:numPr>
              <w:rPr>
                <w:rFonts w:hint="eastAsia" w:ascii="宋体" w:hAnsi="宋体" w:eastAsia="宋体" w:cs="宋体"/>
                <w:sz w:val="21"/>
                <w:szCs w:val="21"/>
                <w:lang w:val="en-US" w:eastAsia="zh-CN"/>
              </w:rPr>
            </w:pPr>
          </w:p>
        </w:tc>
        <w:tc>
          <w:tcPr>
            <w:tcW w:w="1935" w:type="dxa"/>
            <w:shd w:val="clear" w:color="auto" w:fill="auto"/>
            <w:noWrap w:val="0"/>
            <w:vAlign w:val="center"/>
          </w:tcPr>
          <w:p>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▲差异汇总-医师小组</w:t>
            </w:r>
          </w:p>
        </w:tc>
        <w:tc>
          <w:tcPr>
            <w:tcW w:w="6755" w:type="dxa"/>
            <w:gridSpan w:val="6"/>
            <w:shd w:val="clear" w:color="auto" w:fill="auto"/>
            <w:noWrap w:val="0"/>
            <w:vAlign w:val="center"/>
          </w:tcPr>
          <w:p>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展示各医师小组下的时间序列结算差异及比例，各小组下的病例下钻挖掘。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716" w:type="dxa"/>
            <w:vMerge w:val="continue"/>
            <w:noWrap w:val="0"/>
            <w:vAlign w:val="top"/>
          </w:tcPr>
          <w:p>
            <w:pPr>
              <w:pStyle w:val="19"/>
              <w:numPr>
                <w:ilvl w:val="0"/>
                <w:numId w:val="0"/>
              </w:numPr>
              <w:rPr>
                <w:rFonts w:hint="eastAsia" w:ascii="宋体" w:hAnsi="宋体" w:eastAsia="宋体" w:cs="宋体"/>
                <w:sz w:val="21"/>
                <w:szCs w:val="21"/>
                <w:lang w:val="en-US" w:eastAsia="zh-CN"/>
              </w:rPr>
            </w:pPr>
          </w:p>
        </w:tc>
        <w:tc>
          <w:tcPr>
            <w:tcW w:w="1935" w:type="dxa"/>
            <w:shd w:val="clear" w:color="auto" w:fill="auto"/>
            <w:noWrap w:val="0"/>
            <w:vAlign w:val="center"/>
          </w:tcPr>
          <w:p>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▲差异汇总-责任医生</w:t>
            </w:r>
          </w:p>
        </w:tc>
        <w:tc>
          <w:tcPr>
            <w:tcW w:w="6755" w:type="dxa"/>
            <w:gridSpan w:val="6"/>
            <w:shd w:val="clear" w:color="auto" w:fill="auto"/>
            <w:noWrap w:val="0"/>
            <w:vAlign w:val="center"/>
          </w:tcPr>
          <w:p>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展示各责任医生下的时间序列结算差异及比例，各责任医生下的病例下钻挖掘。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716" w:type="dxa"/>
            <w:vMerge w:val="continue"/>
            <w:noWrap w:val="0"/>
            <w:vAlign w:val="top"/>
          </w:tcPr>
          <w:p>
            <w:pPr>
              <w:pStyle w:val="19"/>
              <w:numPr>
                <w:ilvl w:val="0"/>
                <w:numId w:val="0"/>
              </w:numPr>
              <w:rPr>
                <w:rFonts w:hint="eastAsia" w:ascii="宋体" w:hAnsi="宋体" w:eastAsia="宋体" w:cs="宋体"/>
                <w:sz w:val="21"/>
                <w:szCs w:val="21"/>
                <w:lang w:val="en-US" w:eastAsia="zh-CN"/>
              </w:rPr>
            </w:pPr>
          </w:p>
        </w:tc>
        <w:tc>
          <w:tcPr>
            <w:tcW w:w="1935" w:type="dxa"/>
            <w:shd w:val="clear" w:color="auto" w:fill="auto"/>
            <w:noWrap w:val="0"/>
            <w:vAlign w:val="center"/>
          </w:tcPr>
          <w:p>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▲差异汇总-病例类型</w:t>
            </w:r>
          </w:p>
        </w:tc>
        <w:tc>
          <w:tcPr>
            <w:tcW w:w="6755" w:type="dxa"/>
            <w:gridSpan w:val="6"/>
            <w:shd w:val="clear" w:color="auto" w:fill="auto"/>
            <w:noWrap w:val="0"/>
            <w:vAlign w:val="center"/>
          </w:tcPr>
          <w:p>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高低倍率的病例数和占比的趋势、各类病例的差异贡献度分析、不同倍率区间的病例数占比发展情况。重点指标实时追踪及交互下钻。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716" w:type="dxa"/>
            <w:vMerge w:val="continue"/>
            <w:noWrap w:val="0"/>
            <w:vAlign w:val="top"/>
          </w:tcPr>
          <w:p>
            <w:pPr>
              <w:pStyle w:val="19"/>
              <w:numPr>
                <w:ilvl w:val="0"/>
                <w:numId w:val="0"/>
              </w:numPr>
              <w:rPr>
                <w:rFonts w:hint="eastAsia" w:ascii="宋体" w:hAnsi="宋体" w:eastAsia="宋体" w:cs="宋体"/>
                <w:sz w:val="21"/>
                <w:szCs w:val="21"/>
                <w:lang w:val="en-US" w:eastAsia="zh-CN"/>
              </w:rPr>
            </w:pPr>
          </w:p>
        </w:tc>
        <w:tc>
          <w:tcPr>
            <w:tcW w:w="1935" w:type="dxa"/>
            <w:shd w:val="clear" w:color="auto" w:fill="auto"/>
            <w:noWrap w:val="0"/>
            <w:vAlign w:val="center"/>
          </w:tcPr>
          <w:p>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▲病组分析-病组查询</w:t>
            </w:r>
          </w:p>
        </w:tc>
        <w:tc>
          <w:tcPr>
            <w:tcW w:w="6755" w:type="dxa"/>
            <w:gridSpan w:val="6"/>
            <w:shd w:val="clear" w:color="auto" w:fill="auto"/>
            <w:noWrap w:val="0"/>
            <w:vAlign w:val="center"/>
          </w:tcPr>
          <w:p>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病组维度超支结余与DRG重点指标统计分析，重点指标实时追踪及交互下钻。针对识别出的重点病组进行明细信息挖掘，与医院个性化病组费用结构标杆值进行对比，分析差异主因，快速有效定位合理控费关键。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716" w:type="dxa"/>
            <w:vMerge w:val="continue"/>
            <w:noWrap w:val="0"/>
            <w:vAlign w:val="top"/>
          </w:tcPr>
          <w:p>
            <w:pPr>
              <w:pStyle w:val="19"/>
              <w:numPr>
                <w:ilvl w:val="0"/>
                <w:numId w:val="0"/>
              </w:numPr>
              <w:rPr>
                <w:rFonts w:hint="eastAsia" w:ascii="宋体" w:hAnsi="宋体" w:eastAsia="宋体" w:cs="宋体"/>
                <w:sz w:val="21"/>
                <w:szCs w:val="21"/>
                <w:lang w:val="en-US" w:eastAsia="zh-CN"/>
              </w:rPr>
            </w:pPr>
          </w:p>
        </w:tc>
        <w:tc>
          <w:tcPr>
            <w:tcW w:w="1935" w:type="dxa"/>
            <w:shd w:val="clear" w:color="auto" w:fill="auto"/>
            <w:noWrap w:val="0"/>
            <w:vAlign w:val="center"/>
          </w:tcPr>
          <w:p>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病组分析-综合查询</w:t>
            </w:r>
          </w:p>
        </w:tc>
        <w:tc>
          <w:tcPr>
            <w:tcW w:w="6755" w:type="dxa"/>
            <w:gridSpan w:val="6"/>
            <w:shd w:val="clear" w:color="auto" w:fill="auto"/>
            <w:noWrap w:val="0"/>
            <w:vAlign w:val="center"/>
          </w:tcPr>
          <w:p>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病组-院区、病组-专科、病组-科室、病组-病区、病组-医师小组、病组-医生维度超支结余与DRG重点指标统计分析，重点指标实时追踪及交互下钻。针对识别出的重点病组进行明细信息挖掘，与医院个性化病组费用结构标杆值进行对比，分析差异主因，快速有效定位合理控费关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716" w:type="dxa"/>
            <w:vMerge w:val="continue"/>
            <w:noWrap w:val="0"/>
            <w:vAlign w:val="top"/>
          </w:tcPr>
          <w:p>
            <w:pPr>
              <w:pStyle w:val="19"/>
              <w:numPr>
                <w:ilvl w:val="0"/>
                <w:numId w:val="0"/>
              </w:numPr>
              <w:rPr>
                <w:rFonts w:hint="eastAsia" w:ascii="宋体" w:hAnsi="宋体" w:eastAsia="宋体" w:cs="宋体"/>
                <w:sz w:val="21"/>
                <w:szCs w:val="21"/>
                <w:lang w:val="en-US" w:eastAsia="zh-CN"/>
              </w:rPr>
            </w:pPr>
          </w:p>
        </w:tc>
        <w:tc>
          <w:tcPr>
            <w:tcW w:w="1935" w:type="dxa"/>
            <w:shd w:val="clear" w:color="auto" w:fill="auto"/>
            <w:noWrap w:val="0"/>
            <w:vAlign w:val="center"/>
          </w:tcPr>
          <w:p>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▲病组对比分析</w:t>
            </w:r>
          </w:p>
        </w:tc>
        <w:tc>
          <w:tcPr>
            <w:tcW w:w="6755" w:type="dxa"/>
            <w:gridSpan w:val="6"/>
            <w:shd w:val="clear" w:color="auto" w:fill="auto"/>
            <w:noWrap w:val="0"/>
            <w:vAlign w:val="center"/>
          </w:tcPr>
          <w:p>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筛选单个病组在科室、病区、医师小组、责任医生维度下病例类型对比、差异统计与分析。各维度支持横向与时间维度的对比。重点指标实时追踪及交互下钻。针对识别出的重点病组进行明细信息挖掘，与医院个性化病组费用结构标杆值进行对比，分析差异主因，快速有效定位合理控费关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716" w:type="dxa"/>
            <w:vMerge w:val="restart"/>
            <w:shd w:val="clear" w:color="auto" w:fill="auto"/>
            <w:noWrap w:val="0"/>
            <w:vAlign w:val="center"/>
          </w:tcPr>
          <w:p>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▲监控预警</w:t>
            </w:r>
          </w:p>
        </w:tc>
        <w:tc>
          <w:tcPr>
            <w:tcW w:w="1935" w:type="dxa"/>
            <w:shd w:val="clear" w:color="auto" w:fill="auto"/>
            <w:noWrap w:val="0"/>
            <w:vAlign w:val="center"/>
          </w:tcPr>
          <w:p>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分组结果监控</w:t>
            </w:r>
          </w:p>
        </w:tc>
        <w:tc>
          <w:tcPr>
            <w:tcW w:w="6755" w:type="dxa"/>
            <w:gridSpan w:val="6"/>
            <w:shd w:val="clear" w:color="auto" w:fill="auto"/>
            <w:noWrap w:val="0"/>
            <w:vAlign w:val="center"/>
          </w:tcPr>
          <w:p>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对在院、出院病例进行监控，可视化展示纳入分组</w:t>
            </w:r>
            <w:r>
              <w:rPr>
                <w:rFonts w:hint="eastAsia" w:ascii="宋体" w:hAnsi="宋体" w:cs="宋体"/>
                <w:kern w:val="0"/>
                <w:sz w:val="21"/>
                <w:szCs w:val="21"/>
                <w:lang w:eastAsia="zh-CN"/>
              </w:rPr>
              <w:t>病例</w:t>
            </w:r>
            <w:r>
              <w:rPr>
                <w:rFonts w:hint="eastAsia" w:ascii="宋体" w:hAnsi="宋体" w:eastAsia="宋体" w:cs="宋体"/>
                <w:kern w:val="0"/>
                <w:sz w:val="21"/>
                <w:szCs w:val="21"/>
              </w:rPr>
              <w:t>数量、入组数量及比例，展示</w:t>
            </w:r>
            <w:r>
              <w:rPr>
                <w:rFonts w:hint="eastAsia" w:ascii="宋体" w:hAnsi="宋体" w:cs="宋体"/>
                <w:kern w:val="0"/>
                <w:sz w:val="21"/>
                <w:szCs w:val="21"/>
                <w:lang w:eastAsia="zh-CN"/>
              </w:rPr>
              <w:t>各</w:t>
            </w:r>
            <w:r>
              <w:rPr>
                <w:rFonts w:hint="eastAsia" w:ascii="宋体" w:hAnsi="宋体" w:eastAsia="宋体" w:cs="宋体"/>
                <w:kern w:val="0"/>
                <w:sz w:val="21"/>
                <w:szCs w:val="21"/>
              </w:rPr>
              <w:t>科室及病区的内科组、外科手术组、非手术操作组的病例数量及比例。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716" w:type="dxa"/>
            <w:vMerge w:val="continue"/>
            <w:noWrap w:val="0"/>
            <w:vAlign w:val="top"/>
          </w:tcPr>
          <w:p>
            <w:pPr>
              <w:pStyle w:val="19"/>
              <w:numPr>
                <w:ilvl w:val="0"/>
                <w:numId w:val="0"/>
              </w:numPr>
              <w:rPr>
                <w:rFonts w:hint="eastAsia" w:ascii="宋体" w:hAnsi="宋体" w:eastAsia="宋体" w:cs="宋体"/>
                <w:sz w:val="21"/>
                <w:szCs w:val="21"/>
                <w:lang w:val="en-US" w:eastAsia="zh-CN"/>
              </w:rPr>
            </w:pPr>
          </w:p>
        </w:tc>
        <w:tc>
          <w:tcPr>
            <w:tcW w:w="1935" w:type="dxa"/>
            <w:shd w:val="clear" w:color="auto" w:fill="auto"/>
            <w:noWrap w:val="0"/>
            <w:vAlign w:val="center"/>
          </w:tcPr>
          <w:p>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病案填报预警</w:t>
            </w:r>
          </w:p>
        </w:tc>
        <w:tc>
          <w:tcPr>
            <w:tcW w:w="6755" w:type="dxa"/>
            <w:gridSpan w:val="6"/>
            <w:shd w:val="clear" w:color="auto" w:fill="auto"/>
            <w:noWrap w:val="0"/>
            <w:vAlign w:val="center"/>
          </w:tcPr>
          <w:p>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针对病案手术漏传、手术未入手术组、平均诊断个数、手术占比情况实时汇总分析。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716" w:type="dxa"/>
            <w:vMerge w:val="continue"/>
            <w:noWrap w:val="0"/>
            <w:vAlign w:val="top"/>
          </w:tcPr>
          <w:p>
            <w:pPr>
              <w:pStyle w:val="19"/>
              <w:numPr>
                <w:ilvl w:val="0"/>
                <w:numId w:val="0"/>
              </w:numPr>
              <w:rPr>
                <w:rFonts w:hint="eastAsia" w:ascii="宋体" w:hAnsi="宋体" w:eastAsia="宋体" w:cs="宋体"/>
                <w:sz w:val="21"/>
                <w:szCs w:val="21"/>
                <w:lang w:val="en-US" w:eastAsia="zh-CN"/>
              </w:rPr>
            </w:pPr>
          </w:p>
        </w:tc>
        <w:tc>
          <w:tcPr>
            <w:tcW w:w="1935" w:type="dxa"/>
            <w:shd w:val="clear" w:color="auto" w:fill="auto"/>
            <w:noWrap w:val="0"/>
            <w:vAlign w:val="center"/>
          </w:tcPr>
          <w:p>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费用结构监控</w:t>
            </w:r>
          </w:p>
        </w:tc>
        <w:tc>
          <w:tcPr>
            <w:tcW w:w="6755" w:type="dxa"/>
            <w:gridSpan w:val="6"/>
            <w:shd w:val="clear" w:color="auto" w:fill="auto"/>
            <w:noWrap w:val="0"/>
            <w:vAlign w:val="center"/>
          </w:tcPr>
          <w:p>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对全院病例的费用结构进行汇总分析对比。</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716" w:type="dxa"/>
            <w:vMerge w:val="continue"/>
            <w:noWrap w:val="0"/>
            <w:vAlign w:val="top"/>
          </w:tcPr>
          <w:p>
            <w:pPr>
              <w:pStyle w:val="19"/>
              <w:numPr>
                <w:ilvl w:val="0"/>
                <w:numId w:val="0"/>
              </w:numPr>
              <w:rPr>
                <w:rFonts w:hint="eastAsia" w:ascii="宋体" w:hAnsi="宋体" w:eastAsia="宋体" w:cs="宋体"/>
                <w:sz w:val="21"/>
                <w:szCs w:val="21"/>
                <w:lang w:val="en-US" w:eastAsia="zh-CN"/>
              </w:rPr>
            </w:pPr>
          </w:p>
        </w:tc>
        <w:tc>
          <w:tcPr>
            <w:tcW w:w="1935" w:type="dxa"/>
            <w:shd w:val="clear" w:color="auto" w:fill="auto"/>
            <w:noWrap w:val="0"/>
            <w:vAlign w:val="center"/>
          </w:tcPr>
          <w:p>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重点指标监控</w:t>
            </w:r>
          </w:p>
        </w:tc>
        <w:tc>
          <w:tcPr>
            <w:tcW w:w="6755" w:type="dxa"/>
            <w:gridSpan w:val="6"/>
            <w:shd w:val="clear" w:color="auto" w:fill="auto"/>
            <w:noWrap w:val="0"/>
            <w:vAlign w:val="center"/>
          </w:tcPr>
          <w:p>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对总体病例覆盖广度ADRG组数、DRG组数、CMI、低风险死亡率、时间消耗指数、费用消耗指数、再入院率、人头人次比进行统计分析。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716" w:type="dxa"/>
            <w:vMerge w:val="continue"/>
            <w:noWrap w:val="0"/>
            <w:vAlign w:val="top"/>
          </w:tcPr>
          <w:p>
            <w:pPr>
              <w:pStyle w:val="19"/>
              <w:numPr>
                <w:ilvl w:val="0"/>
                <w:numId w:val="0"/>
              </w:numPr>
              <w:rPr>
                <w:rFonts w:hint="eastAsia" w:ascii="宋体" w:hAnsi="宋体" w:eastAsia="宋体" w:cs="宋体"/>
                <w:sz w:val="21"/>
                <w:szCs w:val="21"/>
                <w:lang w:val="en-US" w:eastAsia="zh-CN"/>
              </w:rPr>
            </w:pPr>
          </w:p>
        </w:tc>
        <w:tc>
          <w:tcPr>
            <w:tcW w:w="1935" w:type="dxa"/>
            <w:shd w:val="clear" w:color="auto" w:fill="auto"/>
            <w:noWrap w:val="0"/>
            <w:vAlign w:val="center"/>
          </w:tcPr>
          <w:p>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患者负担监控</w:t>
            </w:r>
          </w:p>
        </w:tc>
        <w:tc>
          <w:tcPr>
            <w:tcW w:w="6755" w:type="dxa"/>
            <w:gridSpan w:val="6"/>
            <w:shd w:val="clear" w:color="auto" w:fill="auto"/>
            <w:noWrap w:val="0"/>
            <w:vAlign w:val="center"/>
          </w:tcPr>
          <w:p>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对患者自付及患者自费进行实时监控。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716" w:type="dxa"/>
            <w:vMerge w:val="continue"/>
            <w:noWrap w:val="0"/>
            <w:vAlign w:val="top"/>
          </w:tcPr>
          <w:p>
            <w:pPr>
              <w:pStyle w:val="19"/>
              <w:numPr>
                <w:ilvl w:val="0"/>
                <w:numId w:val="0"/>
              </w:numPr>
              <w:rPr>
                <w:rFonts w:hint="eastAsia" w:ascii="宋体" w:hAnsi="宋体" w:eastAsia="宋体" w:cs="宋体"/>
                <w:sz w:val="21"/>
                <w:szCs w:val="21"/>
                <w:lang w:val="en-US" w:eastAsia="zh-CN"/>
              </w:rPr>
            </w:pPr>
          </w:p>
        </w:tc>
        <w:tc>
          <w:tcPr>
            <w:tcW w:w="1935" w:type="dxa"/>
            <w:shd w:val="clear" w:color="auto" w:fill="auto"/>
            <w:noWrap w:val="0"/>
            <w:vAlign w:val="center"/>
          </w:tcPr>
          <w:p>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行为规范预警</w:t>
            </w:r>
          </w:p>
        </w:tc>
        <w:tc>
          <w:tcPr>
            <w:tcW w:w="6755" w:type="dxa"/>
            <w:gridSpan w:val="6"/>
            <w:shd w:val="clear" w:color="auto" w:fill="auto"/>
            <w:noWrap w:val="0"/>
            <w:vAlign w:val="center"/>
          </w:tcPr>
          <w:p>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医院体检住院、住院配药、分解住院、无治疗住院、超长住院等进行实时监控，可自定义配置指标。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716" w:type="dxa"/>
            <w:vMerge w:val="continue"/>
            <w:noWrap w:val="0"/>
            <w:vAlign w:val="top"/>
          </w:tcPr>
          <w:p>
            <w:pPr>
              <w:pStyle w:val="19"/>
              <w:numPr>
                <w:ilvl w:val="0"/>
                <w:numId w:val="0"/>
              </w:numPr>
              <w:rPr>
                <w:rFonts w:hint="eastAsia" w:ascii="宋体" w:hAnsi="宋体" w:eastAsia="宋体" w:cs="宋体"/>
                <w:sz w:val="21"/>
                <w:szCs w:val="21"/>
                <w:lang w:val="en-US" w:eastAsia="zh-CN"/>
              </w:rPr>
            </w:pPr>
          </w:p>
        </w:tc>
        <w:tc>
          <w:tcPr>
            <w:tcW w:w="1935" w:type="dxa"/>
            <w:shd w:val="clear" w:color="auto" w:fill="auto"/>
            <w:noWrap w:val="0"/>
            <w:vAlign w:val="center"/>
          </w:tcPr>
          <w:p>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MDC挖掘监控</w:t>
            </w:r>
          </w:p>
        </w:tc>
        <w:tc>
          <w:tcPr>
            <w:tcW w:w="6755" w:type="dxa"/>
            <w:gridSpan w:val="6"/>
            <w:shd w:val="clear" w:color="auto" w:fill="auto"/>
            <w:noWrap w:val="0"/>
            <w:vAlign w:val="center"/>
          </w:tcPr>
          <w:p>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对各MDC组的病例占比、重点病组占比指标进行监控对比。</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716" w:type="dxa"/>
            <w:vMerge w:val="continue"/>
            <w:noWrap w:val="0"/>
            <w:vAlign w:val="top"/>
          </w:tcPr>
          <w:p>
            <w:pPr>
              <w:pStyle w:val="19"/>
              <w:numPr>
                <w:ilvl w:val="0"/>
                <w:numId w:val="0"/>
              </w:numPr>
              <w:rPr>
                <w:rFonts w:hint="eastAsia" w:ascii="宋体" w:hAnsi="宋体" w:eastAsia="宋体" w:cs="宋体"/>
                <w:sz w:val="21"/>
                <w:szCs w:val="21"/>
                <w:lang w:val="en-US" w:eastAsia="zh-CN"/>
              </w:rPr>
            </w:pPr>
          </w:p>
        </w:tc>
        <w:tc>
          <w:tcPr>
            <w:tcW w:w="1935" w:type="dxa"/>
            <w:shd w:val="clear" w:color="auto" w:fill="auto"/>
            <w:noWrap w:val="0"/>
            <w:vAlign w:val="center"/>
          </w:tcPr>
          <w:p>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在院数据监控</w:t>
            </w:r>
          </w:p>
        </w:tc>
        <w:tc>
          <w:tcPr>
            <w:tcW w:w="6755" w:type="dxa"/>
            <w:gridSpan w:val="6"/>
            <w:shd w:val="clear" w:color="auto" w:fill="auto"/>
            <w:noWrap w:val="0"/>
            <w:vAlign w:val="center"/>
          </w:tcPr>
          <w:p>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针对不同科室的预分组系统的使用情况进行监控，同时展示院内不同病例的占比。</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716" w:type="dxa"/>
            <w:vMerge w:val="restart"/>
            <w:shd w:val="clear" w:color="auto" w:fill="auto"/>
            <w:noWrap w:val="0"/>
            <w:vAlign w:val="center"/>
          </w:tcPr>
          <w:p>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服务绩效</w:t>
            </w:r>
          </w:p>
        </w:tc>
        <w:tc>
          <w:tcPr>
            <w:tcW w:w="1935" w:type="dxa"/>
            <w:shd w:val="clear" w:color="auto" w:fill="auto"/>
            <w:noWrap w:val="0"/>
            <w:vAlign w:val="center"/>
          </w:tcPr>
          <w:p>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医院总体绩效评价</w:t>
            </w:r>
          </w:p>
        </w:tc>
        <w:tc>
          <w:tcPr>
            <w:tcW w:w="6755" w:type="dxa"/>
            <w:gridSpan w:val="6"/>
            <w:shd w:val="clear" w:color="auto" w:fill="auto"/>
            <w:noWrap w:val="0"/>
            <w:vAlign w:val="center"/>
          </w:tcPr>
          <w:p>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对医院各月份、总体服务能力评价、服务效率评价、服务质量维度，进行时间序列趋势分析。通过历史数据的分析，为医院在绩效管理方面提供院内决策依据和绩效分配导向，推动医院服务绩效考核管理评价及绩效分配进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716" w:type="dxa"/>
            <w:vMerge w:val="continue"/>
            <w:noWrap w:val="0"/>
            <w:vAlign w:val="top"/>
          </w:tcPr>
          <w:p>
            <w:pPr>
              <w:pStyle w:val="19"/>
              <w:numPr>
                <w:ilvl w:val="0"/>
                <w:numId w:val="0"/>
              </w:numPr>
              <w:rPr>
                <w:rFonts w:hint="eastAsia" w:ascii="宋体" w:hAnsi="宋体" w:eastAsia="宋体" w:cs="宋体"/>
                <w:sz w:val="21"/>
                <w:szCs w:val="21"/>
                <w:lang w:val="en-US" w:eastAsia="zh-CN"/>
              </w:rPr>
            </w:pPr>
          </w:p>
        </w:tc>
        <w:tc>
          <w:tcPr>
            <w:tcW w:w="1935" w:type="dxa"/>
            <w:shd w:val="clear" w:color="auto" w:fill="auto"/>
            <w:noWrap w:val="0"/>
            <w:vAlign w:val="center"/>
          </w:tcPr>
          <w:p>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医院院区绩效评价</w:t>
            </w:r>
          </w:p>
        </w:tc>
        <w:tc>
          <w:tcPr>
            <w:tcW w:w="6755" w:type="dxa"/>
            <w:gridSpan w:val="6"/>
            <w:shd w:val="clear" w:color="auto" w:fill="auto"/>
            <w:noWrap w:val="0"/>
            <w:vAlign w:val="center"/>
          </w:tcPr>
          <w:p>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对各院区、院区各月份进行服务能力评价、服务效率评价、服务质量评价。支持自定义服务能力评价象限图。包含且不限于CMI、时间消耗指数、费用消耗指数、低风险组死亡率，再入院率等指标。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716" w:type="dxa"/>
            <w:vMerge w:val="continue"/>
            <w:noWrap w:val="0"/>
            <w:vAlign w:val="top"/>
          </w:tcPr>
          <w:p>
            <w:pPr>
              <w:pStyle w:val="19"/>
              <w:numPr>
                <w:ilvl w:val="0"/>
                <w:numId w:val="0"/>
              </w:numPr>
              <w:rPr>
                <w:rFonts w:hint="eastAsia" w:ascii="宋体" w:hAnsi="宋体" w:eastAsia="宋体" w:cs="宋体"/>
                <w:sz w:val="21"/>
                <w:szCs w:val="21"/>
                <w:lang w:val="en-US" w:eastAsia="zh-CN"/>
              </w:rPr>
            </w:pPr>
          </w:p>
        </w:tc>
        <w:tc>
          <w:tcPr>
            <w:tcW w:w="1935" w:type="dxa"/>
            <w:shd w:val="clear" w:color="auto" w:fill="auto"/>
            <w:noWrap w:val="0"/>
            <w:vAlign w:val="center"/>
          </w:tcPr>
          <w:p>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医院专科绩效评价</w:t>
            </w:r>
          </w:p>
        </w:tc>
        <w:tc>
          <w:tcPr>
            <w:tcW w:w="6755" w:type="dxa"/>
            <w:gridSpan w:val="6"/>
            <w:shd w:val="clear" w:color="auto" w:fill="auto"/>
            <w:noWrap w:val="0"/>
            <w:vAlign w:val="center"/>
          </w:tcPr>
          <w:p>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对各专科、专科各月份进行服务能力评价、服务效率评价、服务质量评价。支持自定义服务能力评价象限图。包含且不限于CMI、时间消耗指数、费用消耗指数、低风险组死亡率，再入院率等指标。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716" w:type="dxa"/>
            <w:vMerge w:val="continue"/>
            <w:noWrap w:val="0"/>
            <w:vAlign w:val="top"/>
          </w:tcPr>
          <w:p>
            <w:pPr>
              <w:pStyle w:val="19"/>
              <w:numPr>
                <w:ilvl w:val="0"/>
                <w:numId w:val="0"/>
              </w:numPr>
              <w:rPr>
                <w:rFonts w:hint="eastAsia" w:ascii="宋体" w:hAnsi="宋体" w:eastAsia="宋体" w:cs="宋体"/>
                <w:sz w:val="21"/>
                <w:szCs w:val="21"/>
                <w:lang w:val="en-US" w:eastAsia="zh-CN"/>
              </w:rPr>
            </w:pPr>
          </w:p>
        </w:tc>
        <w:tc>
          <w:tcPr>
            <w:tcW w:w="1935" w:type="dxa"/>
            <w:shd w:val="clear" w:color="auto" w:fill="auto"/>
            <w:noWrap w:val="0"/>
            <w:vAlign w:val="center"/>
          </w:tcPr>
          <w:p>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医院科室绩效评价</w:t>
            </w:r>
          </w:p>
        </w:tc>
        <w:tc>
          <w:tcPr>
            <w:tcW w:w="6755" w:type="dxa"/>
            <w:gridSpan w:val="6"/>
            <w:shd w:val="clear" w:color="auto" w:fill="auto"/>
            <w:noWrap w:val="0"/>
            <w:vAlign w:val="center"/>
          </w:tcPr>
          <w:p>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对各科室、科室各月份进行服务能力评价、服务效率评价、服务质量评价。支持自定义服务能力评价象限图。包含且不限于CMI、时间消耗指数、费用消耗指数、低风险组死亡率，再入院率等指标。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716" w:type="dxa"/>
            <w:vMerge w:val="continue"/>
            <w:noWrap w:val="0"/>
            <w:vAlign w:val="top"/>
          </w:tcPr>
          <w:p>
            <w:pPr>
              <w:pStyle w:val="19"/>
              <w:numPr>
                <w:ilvl w:val="0"/>
                <w:numId w:val="0"/>
              </w:numPr>
              <w:rPr>
                <w:rFonts w:hint="eastAsia" w:ascii="宋体" w:hAnsi="宋体" w:eastAsia="宋体" w:cs="宋体"/>
                <w:sz w:val="21"/>
                <w:szCs w:val="21"/>
                <w:lang w:val="en-US" w:eastAsia="zh-CN"/>
              </w:rPr>
            </w:pPr>
          </w:p>
        </w:tc>
        <w:tc>
          <w:tcPr>
            <w:tcW w:w="1935" w:type="dxa"/>
            <w:shd w:val="clear" w:color="auto" w:fill="auto"/>
            <w:noWrap w:val="0"/>
            <w:vAlign w:val="center"/>
          </w:tcPr>
          <w:p>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▲医院病区绩效评价</w:t>
            </w:r>
          </w:p>
        </w:tc>
        <w:tc>
          <w:tcPr>
            <w:tcW w:w="6755" w:type="dxa"/>
            <w:gridSpan w:val="6"/>
            <w:shd w:val="clear" w:color="auto" w:fill="auto"/>
            <w:noWrap w:val="0"/>
            <w:vAlign w:val="center"/>
          </w:tcPr>
          <w:p>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对各病区、病区各月份进行服务能力评价、服务效率评价、服务质量评价。支持自定义服务能力评价象限图。包含且不限于CMI、时间消耗指数、费用消耗指数、低风险组死亡率，再入院率等指标。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716" w:type="dxa"/>
            <w:vMerge w:val="continue"/>
            <w:noWrap w:val="0"/>
            <w:vAlign w:val="top"/>
          </w:tcPr>
          <w:p>
            <w:pPr>
              <w:pStyle w:val="19"/>
              <w:numPr>
                <w:ilvl w:val="0"/>
                <w:numId w:val="0"/>
              </w:numPr>
              <w:rPr>
                <w:rFonts w:hint="eastAsia" w:ascii="宋体" w:hAnsi="宋体" w:eastAsia="宋体" w:cs="宋体"/>
                <w:sz w:val="21"/>
                <w:szCs w:val="21"/>
                <w:lang w:val="en-US" w:eastAsia="zh-CN"/>
              </w:rPr>
            </w:pPr>
          </w:p>
        </w:tc>
        <w:tc>
          <w:tcPr>
            <w:tcW w:w="1935" w:type="dxa"/>
            <w:shd w:val="clear" w:color="auto" w:fill="auto"/>
            <w:noWrap w:val="0"/>
            <w:vAlign w:val="center"/>
          </w:tcPr>
          <w:p>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医师小组绩效评价</w:t>
            </w:r>
          </w:p>
        </w:tc>
        <w:tc>
          <w:tcPr>
            <w:tcW w:w="6755" w:type="dxa"/>
            <w:gridSpan w:val="6"/>
            <w:shd w:val="clear" w:color="auto" w:fill="auto"/>
            <w:noWrap w:val="0"/>
            <w:vAlign w:val="center"/>
          </w:tcPr>
          <w:p>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对各医师小组、医师小组各月份进行服务能力评价、服务效率评价、服务质量评价。包含且不限于CMI、时间消耗指数、费用消耗指数、低风险组死亡率，再入院率等指标。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716" w:type="dxa"/>
            <w:vMerge w:val="continue"/>
            <w:noWrap w:val="0"/>
            <w:vAlign w:val="top"/>
          </w:tcPr>
          <w:p>
            <w:pPr>
              <w:pStyle w:val="19"/>
              <w:numPr>
                <w:ilvl w:val="0"/>
                <w:numId w:val="0"/>
              </w:numPr>
              <w:rPr>
                <w:rFonts w:hint="eastAsia" w:ascii="宋体" w:hAnsi="宋体" w:eastAsia="宋体" w:cs="宋体"/>
                <w:sz w:val="21"/>
                <w:szCs w:val="21"/>
                <w:lang w:val="en-US" w:eastAsia="zh-CN"/>
              </w:rPr>
            </w:pPr>
          </w:p>
        </w:tc>
        <w:tc>
          <w:tcPr>
            <w:tcW w:w="1935" w:type="dxa"/>
            <w:shd w:val="clear" w:color="auto" w:fill="auto"/>
            <w:noWrap w:val="0"/>
            <w:vAlign w:val="center"/>
          </w:tcPr>
          <w:p>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责任医生绩效评价</w:t>
            </w:r>
          </w:p>
        </w:tc>
        <w:tc>
          <w:tcPr>
            <w:tcW w:w="6755" w:type="dxa"/>
            <w:gridSpan w:val="6"/>
            <w:shd w:val="clear" w:color="auto" w:fill="auto"/>
            <w:noWrap w:val="0"/>
            <w:vAlign w:val="center"/>
          </w:tcPr>
          <w:p>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对各责任医生、责任医生各月份进行服务能力评价、服务效率评价、服务质量评价。包含且不限于CMI、时间消耗指数、费用消耗指数、低风险组死亡率，再入院率等指标。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716" w:type="dxa"/>
            <w:vMerge w:val="restart"/>
            <w:shd w:val="clear" w:color="auto" w:fill="auto"/>
            <w:noWrap w:val="0"/>
            <w:vAlign w:val="center"/>
          </w:tcPr>
          <w:p>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▲医保导入</w:t>
            </w:r>
          </w:p>
        </w:tc>
        <w:tc>
          <w:tcPr>
            <w:tcW w:w="1935" w:type="dxa"/>
            <w:shd w:val="clear" w:color="auto" w:fill="auto"/>
            <w:noWrap w:val="0"/>
            <w:vAlign w:val="center"/>
          </w:tcPr>
          <w:p>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任务管理</w:t>
            </w:r>
          </w:p>
        </w:tc>
        <w:tc>
          <w:tcPr>
            <w:tcW w:w="6755" w:type="dxa"/>
            <w:gridSpan w:val="6"/>
            <w:shd w:val="clear" w:color="auto" w:fill="auto"/>
            <w:noWrap w:val="0"/>
            <w:vAlign w:val="center"/>
          </w:tcPr>
          <w:p>
            <w:pPr>
              <w:rPr>
                <w:rFonts w:hint="eastAsia" w:ascii="宋体" w:hAnsi="宋体" w:eastAsia="宋体" w:cs="宋体"/>
                <w:kern w:val="0"/>
                <w:sz w:val="21"/>
                <w:szCs w:val="21"/>
              </w:rPr>
            </w:pPr>
            <w:r>
              <w:rPr>
                <w:rFonts w:hint="eastAsia" w:ascii="宋体" w:hAnsi="宋体" w:eastAsia="宋体" w:cs="宋体"/>
                <w:kern w:val="0"/>
                <w:sz w:val="21"/>
                <w:szCs w:val="21"/>
              </w:rPr>
              <w:t>1.支持月度任务的创建、修改、编辑、删除；</w:t>
            </w:r>
          </w:p>
          <w:p>
            <w:pPr>
              <w:rPr>
                <w:rFonts w:hint="eastAsia" w:ascii="宋体" w:hAnsi="宋体" w:eastAsia="宋体" w:cs="宋体"/>
                <w:kern w:val="0"/>
                <w:sz w:val="21"/>
                <w:szCs w:val="21"/>
              </w:rPr>
            </w:pPr>
            <w:r>
              <w:rPr>
                <w:rFonts w:hint="eastAsia" w:ascii="宋体" w:hAnsi="宋体" w:eastAsia="宋体" w:cs="宋体"/>
                <w:kern w:val="0"/>
                <w:sz w:val="21"/>
                <w:szCs w:val="21"/>
              </w:rPr>
              <w:t>2.支持历史月度任务的状态、详情查看；</w:t>
            </w:r>
          </w:p>
          <w:p>
            <w:pPr>
              <w:rPr>
                <w:rFonts w:hint="eastAsia" w:ascii="宋体" w:hAnsi="宋体" w:eastAsia="宋体" w:cs="宋体"/>
                <w:kern w:val="0"/>
                <w:sz w:val="21"/>
                <w:szCs w:val="21"/>
              </w:rPr>
            </w:pPr>
            <w:r>
              <w:rPr>
                <w:rFonts w:hint="eastAsia" w:ascii="宋体" w:hAnsi="宋体" w:eastAsia="宋体" w:cs="宋体"/>
                <w:kern w:val="0"/>
                <w:sz w:val="21"/>
                <w:szCs w:val="21"/>
              </w:rPr>
              <w:t>3.支持任务截止时间的设定与修改；</w:t>
            </w:r>
          </w:p>
          <w:p>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4.支持字段关联设置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716" w:type="dxa"/>
            <w:vMerge w:val="continue"/>
            <w:noWrap w:val="0"/>
            <w:vAlign w:val="top"/>
          </w:tcPr>
          <w:p>
            <w:pPr>
              <w:pStyle w:val="19"/>
              <w:numPr>
                <w:ilvl w:val="0"/>
                <w:numId w:val="0"/>
              </w:numPr>
              <w:rPr>
                <w:rFonts w:hint="eastAsia" w:ascii="宋体" w:hAnsi="宋体" w:eastAsia="宋体" w:cs="宋体"/>
                <w:sz w:val="21"/>
                <w:szCs w:val="21"/>
                <w:lang w:val="en-US" w:eastAsia="zh-CN"/>
              </w:rPr>
            </w:pPr>
          </w:p>
        </w:tc>
        <w:tc>
          <w:tcPr>
            <w:tcW w:w="1935" w:type="dxa"/>
            <w:shd w:val="clear" w:color="auto" w:fill="auto"/>
            <w:noWrap w:val="0"/>
            <w:vAlign w:val="center"/>
          </w:tcPr>
          <w:p>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数据导入</w:t>
            </w:r>
          </w:p>
        </w:tc>
        <w:tc>
          <w:tcPr>
            <w:tcW w:w="6755" w:type="dxa"/>
            <w:gridSpan w:val="6"/>
            <w:shd w:val="clear" w:color="auto" w:fill="auto"/>
            <w:noWrap w:val="0"/>
            <w:vAlign w:val="center"/>
          </w:tcPr>
          <w:p>
            <w:pPr>
              <w:rPr>
                <w:rFonts w:hint="eastAsia" w:ascii="宋体" w:hAnsi="宋体" w:eastAsia="宋体" w:cs="宋体"/>
                <w:kern w:val="0"/>
                <w:sz w:val="21"/>
                <w:szCs w:val="21"/>
              </w:rPr>
            </w:pPr>
            <w:r>
              <w:rPr>
                <w:rFonts w:hint="eastAsia" w:ascii="宋体" w:hAnsi="宋体" w:eastAsia="宋体" w:cs="宋体"/>
                <w:kern w:val="0"/>
                <w:sz w:val="21"/>
                <w:szCs w:val="21"/>
              </w:rPr>
              <w:t>1.支持模板下载；</w:t>
            </w:r>
          </w:p>
          <w:p>
            <w:pPr>
              <w:rPr>
                <w:rFonts w:hint="eastAsia" w:ascii="宋体" w:hAnsi="宋体" w:eastAsia="宋体" w:cs="宋体"/>
                <w:kern w:val="0"/>
                <w:sz w:val="21"/>
                <w:szCs w:val="21"/>
              </w:rPr>
            </w:pPr>
            <w:r>
              <w:rPr>
                <w:rFonts w:hint="eastAsia" w:ascii="宋体" w:hAnsi="宋体" w:eastAsia="宋体" w:cs="宋体"/>
                <w:kern w:val="0"/>
                <w:sz w:val="21"/>
                <w:szCs w:val="21"/>
              </w:rPr>
              <w:t>2.支持医保数据的导入；</w:t>
            </w:r>
          </w:p>
          <w:p>
            <w:pPr>
              <w:rPr>
                <w:rFonts w:hint="eastAsia" w:ascii="宋体" w:hAnsi="宋体" w:eastAsia="宋体" w:cs="宋体"/>
                <w:kern w:val="0"/>
                <w:sz w:val="21"/>
                <w:szCs w:val="21"/>
              </w:rPr>
            </w:pPr>
            <w:r>
              <w:rPr>
                <w:rFonts w:hint="eastAsia" w:ascii="宋体" w:hAnsi="宋体" w:eastAsia="宋体" w:cs="宋体"/>
                <w:kern w:val="0"/>
                <w:sz w:val="21"/>
                <w:szCs w:val="21"/>
              </w:rPr>
              <w:t>3.支持医保数据与系统内数据，部分指标的比对，如入组是否相等、主诊断是否相等等；</w:t>
            </w:r>
          </w:p>
          <w:p>
            <w:pPr>
              <w:rPr>
                <w:rFonts w:hint="eastAsia" w:ascii="宋体" w:hAnsi="宋体" w:eastAsia="宋体" w:cs="宋体"/>
                <w:kern w:val="0"/>
                <w:sz w:val="21"/>
                <w:szCs w:val="21"/>
              </w:rPr>
            </w:pPr>
            <w:r>
              <w:rPr>
                <w:rFonts w:hint="eastAsia" w:ascii="宋体" w:hAnsi="宋体" w:eastAsia="宋体" w:cs="宋体"/>
                <w:kern w:val="0"/>
                <w:sz w:val="21"/>
                <w:szCs w:val="21"/>
              </w:rPr>
              <w:t>4.支持未匹配数据的科室分配；</w:t>
            </w:r>
          </w:p>
          <w:p>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5.支持检索条件与表头字段的自定义配置；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716" w:type="dxa"/>
            <w:vMerge w:val="continue"/>
            <w:noWrap w:val="0"/>
            <w:vAlign w:val="top"/>
          </w:tcPr>
          <w:p>
            <w:pPr>
              <w:pStyle w:val="19"/>
              <w:numPr>
                <w:ilvl w:val="0"/>
                <w:numId w:val="0"/>
              </w:numPr>
              <w:rPr>
                <w:rFonts w:hint="eastAsia" w:ascii="宋体" w:hAnsi="宋体" w:eastAsia="宋体" w:cs="宋体"/>
                <w:sz w:val="21"/>
                <w:szCs w:val="21"/>
                <w:lang w:val="en-US" w:eastAsia="zh-CN"/>
              </w:rPr>
            </w:pPr>
          </w:p>
        </w:tc>
        <w:tc>
          <w:tcPr>
            <w:tcW w:w="1935" w:type="dxa"/>
            <w:shd w:val="clear" w:color="auto" w:fill="auto"/>
            <w:noWrap w:val="0"/>
            <w:vAlign w:val="center"/>
          </w:tcPr>
          <w:p>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病例申诉</w:t>
            </w:r>
          </w:p>
        </w:tc>
        <w:tc>
          <w:tcPr>
            <w:tcW w:w="6755" w:type="dxa"/>
            <w:gridSpan w:val="6"/>
            <w:shd w:val="clear" w:color="auto" w:fill="auto"/>
            <w:noWrap w:val="0"/>
            <w:vAlign w:val="center"/>
          </w:tcPr>
          <w:p>
            <w:pPr>
              <w:rPr>
                <w:rFonts w:hint="eastAsia" w:ascii="宋体" w:hAnsi="宋体" w:eastAsia="宋体" w:cs="宋体"/>
                <w:kern w:val="0"/>
                <w:sz w:val="21"/>
                <w:szCs w:val="21"/>
              </w:rPr>
            </w:pPr>
            <w:r>
              <w:rPr>
                <w:rFonts w:hint="eastAsia" w:ascii="宋体" w:hAnsi="宋体" w:eastAsia="宋体" w:cs="宋体"/>
                <w:kern w:val="0"/>
                <w:sz w:val="21"/>
                <w:szCs w:val="21"/>
              </w:rPr>
              <w:t>1.支持</w:t>
            </w:r>
            <w:r>
              <w:rPr>
                <w:rFonts w:hint="eastAsia" w:ascii="宋体" w:hAnsi="宋体" w:cs="宋体"/>
                <w:kern w:val="0"/>
                <w:sz w:val="21"/>
                <w:szCs w:val="21"/>
                <w:lang w:eastAsia="zh-CN"/>
              </w:rPr>
              <w:t>病历</w:t>
            </w:r>
            <w:r>
              <w:rPr>
                <w:rFonts w:hint="eastAsia" w:ascii="宋体" w:hAnsi="宋体" w:eastAsia="宋体" w:cs="宋体"/>
                <w:kern w:val="0"/>
                <w:sz w:val="21"/>
                <w:szCs w:val="21"/>
              </w:rPr>
              <w:t>的申诉、查看、编辑；</w:t>
            </w:r>
          </w:p>
          <w:p>
            <w:pPr>
              <w:rPr>
                <w:rFonts w:hint="eastAsia" w:ascii="宋体" w:hAnsi="宋体" w:eastAsia="宋体" w:cs="宋体"/>
                <w:kern w:val="0"/>
                <w:sz w:val="21"/>
                <w:szCs w:val="21"/>
              </w:rPr>
            </w:pPr>
            <w:r>
              <w:rPr>
                <w:rFonts w:hint="eastAsia" w:ascii="宋体" w:hAnsi="宋体" w:eastAsia="宋体" w:cs="宋体"/>
                <w:kern w:val="0"/>
                <w:sz w:val="21"/>
                <w:szCs w:val="21"/>
              </w:rPr>
              <w:t>2.支持多种格式文件上传；</w:t>
            </w:r>
          </w:p>
          <w:p>
            <w:pPr>
              <w:rPr>
                <w:rFonts w:hint="eastAsia" w:ascii="宋体" w:hAnsi="宋体" w:eastAsia="宋体" w:cs="宋体"/>
                <w:kern w:val="0"/>
                <w:sz w:val="21"/>
                <w:szCs w:val="21"/>
              </w:rPr>
            </w:pPr>
            <w:r>
              <w:rPr>
                <w:rFonts w:hint="eastAsia" w:ascii="宋体" w:hAnsi="宋体" w:eastAsia="宋体" w:cs="宋体"/>
                <w:kern w:val="0"/>
                <w:sz w:val="21"/>
                <w:szCs w:val="21"/>
              </w:rPr>
              <w:t>3.支持任务截止日期的查看；</w:t>
            </w:r>
          </w:p>
          <w:p>
            <w:pPr>
              <w:rPr>
                <w:rFonts w:hint="eastAsia" w:ascii="宋体" w:hAnsi="宋体" w:eastAsia="宋体" w:cs="宋体"/>
                <w:kern w:val="0"/>
                <w:sz w:val="21"/>
                <w:szCs w:val="21"/>
              </w:rPr>
            </w:pPr>
            <w:r>
              <w:rPr>
                <w:rFonts w:hint="eastAsia" w:ascii="宋体" w:hAnsi="宋体" w:eastAsia="宋体" w:cs="宋体"/>
                <w:kern w:val="0"/>
                <w:sz w:val="21"/>
                <w:szCs w:val="21"/>
              </w:rPr>
              <w:t>4.支持申诉结果的导出；</w:t>
            </w:r>
          </w:p>
          <w:p>
            <w:pPr>
              <w:rPr>
                <w:rFonts w:hint="eastAsia" w:ascii="宋体" w:hAnsi="宋体" w:eastAsia="宋体" w:cs="宋体"/>
                <w:kern w:val="0"/>
                <w:sz w:val="21"/>
                <w:szCs w:val="21"/>
              </w:rPr>
            </w:pPr>
            <w:r>
              <w:rPr>
                <w:rFonts w:hint="eastAsia" w:ascii="宋体" w:hAnsi="宋体" w:eastAsia="宋体" w:cs="宋体"/>
                <w:kern w:val="0"/>
                <w:sz w:val="21"/>
                <w:szCs w:val="21"/>
              </w:rPr>
              <w:t>5.支持单条/多条数据的下载；</w:t>
            </w:r>
          </w:p>
          <w:p>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6.支持检索条件与表头字段的自定义配置；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716" w:type="dxa"/>
            <w:shd w:val="clear" w:color="auto" w:fill="auto"/>
            <w:noWrap w:val="0"/>
            <w:vAlign w:val="center"/>
          </w:tcPr>
          <w:p>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▲报告导出</w:t>
            </w:r>
          </w:p>
        </w:tc>
        <w:tc>
          <w:tcPr>
            <w:tcW w:w="1935" w:type="dxa"/>
            <w:shd w:val="clear" w:color="auto" w:fill="auto"/>
            <w:noWrap w:val="0"/>
            <w:vAlign w:val="center"/>
          </w:tcPr>
          <w:p>
            <w:pPr>
              <w:rPr>
                <w:rFonts w:hint="eastAsia" w:ascii="宋体" w:hAnsi="宋体" w:eastAsia="宋体" w:cs="宋体"/>
                <w:kern w:val="0"/>
                <w:sz w:val="21"/>
                <w:szCs w:val="21"/>
                <w:lang w:val="en-US" w:eastAsia="zh-CN" w:bidi="ar-SA"/>
              </w:rPr>
            </w:pPr>
          </w:p>
        </w:tc>
        <w:tc>
          <w:tcPr>
            <w:tcW w:w="6755" w:type="dxa"/>
            <w:gridSpan w:val="6"/>
            <w:shd w:val="clear" w:color="auto" w:fill="auto"/>
            <w:noWrap w:val="0"/>
            <w:vAlign w:val="center"/>
          </w:tcPr>
          <w:p>
            <w:pPr>
              <w:rPr>
                <w:rFonts w:hint="eastAsia" w:ascii="宋体" w:hAnsi="宋体" w:eastAsia="宋体" w:cs="宋体"/>
                <w:kern w:val="0"/>
                <w:sz w:val="21"/>
                <w:szCs w:val="21"/>
              </w:rPr>
            </w:pPr>
            <w:r>
              <w:rPr>
                <w:rFonts w:hint="eastAsia" w:ascii="宋体" w:hAnsi="宋体" w:eastAsia="宋体" w:cs="宋体"/>
                <w:kern w:val="0"/>
                <w:sz w:val="21"/>
                <w:szCs w:val="21"/>
              </w:rPr>
              <w:t>1.支持多种报告模板；</w:t>
            </w:r>
          </w:p>
          <w:p>
            <w:pPr>
              <w:rPr>
                <w:rFonts w:hint="eastAsia" w:ascii="宋体" w:hAnsi="宋体" w:eastAsia="宋体" w:cs="宋体"/>
                <w:kern w:val="0"/>
                <w:sz w:val="21"/>
                <w:szCs w:val="21"/>
              </w:rPr>
            </w:pPr>
            <w:r>
              <w:rPr>
                <w:rFonts w:hint="eastAsia" w:ascii="宋体" w:hAnsi="宋体" w:eastAsia="宋体" w:cs="宋体"/>
                <w:kern w:val="0"/>
                <w:sz w:val="21"/>
                <w:szCs w:val="21"/>
              </w:rPr>
              <w:t>2.支持模板预览；</w:t>
            </w:r>
          </w:p>
          <w:p>
            <w:pPr>
              <w:rPr>
                <w:rFonts w:hint="eastAsia" w:ascii="宋体" w:hAnsi="宋体" w:eastAsia="宋体" w:cs="宋体"/>
                <w:kern w:val="0"/>
                <w:sz w:val="21"/>
                <w:szCs w:val="21"/>
              </w:rPr>
            </w:pPr>
            <w:r>
              <w:rPr>
                <w:rFonts w:hint="eastAsia" w:ascii="宋体" w:hAnsi="宋体" w:eastAsia="宋体" w:cs="宋体"/>
                <w:kern w:val="0"/>
                <w:sz w:val="21"/>
                <w:szCs w:val="21"/>
              </w:rPr>
              <w:t>3.支持报告的在线生成；</w:t>
            </w:r>
          </w:p>
          <w:p>
            <w:pPr>
              <w:rPr>
                <w:rFonts w:hint="eastAsia" w:ascii="宋体" w:hAnsi="宋体" w:eastAsia="宋体" w:cs="宋体"/>
                <w:kern w:val="0"/>
                <w:sz w:val="21"/>
                <w:szCs w:val="21"/>
              </w:rPr>
            </w:pPr>
            <w:r>
              <w:rPr>
                <w:rFonts w:hint="eastAsia" w:ascii="宋体" w:hAnsi="宋体" w:eastAsia="宋体" w:cs="宋体"/>
                <w:kern w:val="0"/>
                <w:sz w:val="21"/>
                <w:szCs w:val="21"/>
              </w:rPr>
              <w:t>4.支持历史报告的预览、下载、删除；</w:t>
            </w:r>
          </w:p>
          <w:p>
            <w:pP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5.支持报告的PDF/Word版本下载；</w:t>
            </w:r>
          </w:p>
        </w:tc>
      </w:tr>
      <w:tr>
        <w:tblPrEx>
          <w:tblCellMar>
            <w:top w:w="0" w:type="dxa"/>
            <w:left w:w="108" w:type="dxa"/>
            <w:bottom w:w="0" w:type="dxa"/>
            <w:right w:w="108" w:type="dxa"/>
          </w:tblCellMar>
        </w:tblPrEx>
        <w:trPr>
          <w:trHeight w:val="589" w:hRule="atLeast"/>
          <w:jc w:val="center"/>
        </w:trPr>
        <w:tc>
          <w:tcPr>
            <w:tcW w:w="10406" w:type="dxa"/>
            <w:gridSpan w:val="8"/>
            <w:shd w:val="clear" w:color="auto" w:fill="auto"/>
            <w:noWrap w:val="0"/>
            <w:vAlign w:val="center"/>
          </w:tcPr>
          <w:p>
            <w:pPr>
              <w:widowControl/>
              <w:numPr>
                <w:ilvl w:val="0"/>
                <w:numId w:val="5"/>
              </w:numPr>
              <w:adjustRightInd w:val="0"/>
              <w:snapToGrid w:val="0"/>
              <w:spacing w:line="400" w:lineRule="exact"/>
              <w:jc w:val="left"/>
              <w:rPr>
                <w:rFonts w:hint="default" w:ascii="仿宋" w:hAnsi="仿宋" w:eastAsia="仿宋"/>
                <w:kern w:val="0"/>
                <w:sz w:val="24"/>
                <w:lang w:val="en-US" w:eastAsia="zh-CN"/>
              </w:rPr>
            </w:pPr>
            <w:r>
              <w:rPr>
                <w:rFonts w:hint="eastAsia" w:ascii="黑体" w:hAnsi="黑体" w:eastAsia="黑体" w:cs="黑体"/>
                <w:b w:val="0"/>
                <w:bCs w:val="0"/>
                <w:sz w:val="24"/>
                <w:szCs w:val="24"/>
                <w:highlight w:val="none"/>
                <w:lang w:val="en-US" w:eastAsia="zh-CN"/>
              </w:rPr>
              <w:t>软件技术参数需求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716" w:type="dxa"/>
            <w:vMerge w:val="restart"/>
            <w:shd w:val="clear" w:color="auto" w:fill="auto"/>
            <w:noWrap w:val="0"/>
            <w:vAlign w:val="center"/>
          </w:tcPr>
          <w:p>
            <w:pPr>
              <w:rPr>
                <w:rFonts w:hint="eastAsia" w:ascii="宋体" w:hAnsi="宋体" w:eastAsia="宋体" w:cs="宋体"/>
                <w:b w:val="0"/>
                <w:bCs w:val="0"/>
                <w:kern w:val="0"/>
                <w:sz w:val="21"/>
                <w:szCs w:val="21"/>
              </w:rPr>
            </w:pPr>
            <w:r>
              <w:rPr>
                <w:rFonts w:hint="eastAsia" w:ascii="宋体" w:hAnsi="宋体" w:eastAsia="宋体" w:cs="宋体"/>
                <w:b w:val="0"/>
                <w:bCs w:val="0"/>
                <w:kern w:val="0"/>
                <w:sz w:val="21"/>
                <w:szCs w:val="21"/>
              </w:rPr>
              <w:t>软件架构参数</w:t>
            </w:r>
          </w:p>
        </w:tc>
        <w:tc>
          <w:tcPr>
            <w:tcW w:w="1935" w:type="dxa"/>
            <w:vMerge w:val="restart"/>
            <w:shd w:val="clear" w:color="auto" w:fill="auto"/>
            <w:noWrap w:val="0"/>
            <w:vAlign w:val="center"/>
          </w:tcPr>
          <w:p>
            <w:pPr>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总体架构</w:t>
            </w:r>
          </w:p>
        </w:tc>
        <w:tc>
          <w:tcPr>
            <w:tcW w:w="1260" w:type="dxa"/>
            <w:gridSpan w:val="2"/>
            <w:shd w:val="clear" w:color="auto" w:fill="auto"/>
            <w:noWrap w:val="0"/>
            <w:vAlign w:val="center"/>
          </w:tcPr>
          <w:p>
            <w:pPr>
              <w:rPr>
                <w:rFonts w:hint="eastAsia" w:ascii="宋体" w:hAnsi="宋体" w:eastAsia="宋体" w:cs="宋体"/>
                <w:b w:val="0"/>
                <w:bCs w:val="0"/>
                <w:kern w:val="0"/>
                <w:sz w:val="21"/>
                <w:szCs w:val="21"/>
              </w:rPr>
            </w:pPr>
            <w:r>
              <w:rPr>
                <w:rFonts w:hint="eastAsia" w:ascii="宋体" w:hAnsi="宋体" w:eastAsia="宋体" w:cs="宋体"/>
                <w:b w:val="0"/>
                <w:bCs w:val="0"/>
                <w:kern w:val="0"/>
                <w:sz w:val="21"/>
                <w:szCs w:val="21"/>
              </w:rPr>
              <w:t>架构类型</w:t>
            </w:r>
          </w:p>
        </w:tc>
        <w:tc>
          <w:tcPr>
            <w:tcW w:w="5495" w:type="dxa"/>
            <w:gridSpan w:val="4"/>
            <w:shd w:val="clear" w:color="auto" w:fill="auto"/>
            <w:noWrap w:val="0"/>
            <w:vAlign w:val="center"/>
          </w:tcPr>
          <w:p>
            <w:pPr>
              <w:rPr>
                <w:rFonts w:hint="eastAsia" w:ascii="宋体" w:hAnsi="宋体" w:eastAsia="宋体" w:cs="宋体"/>
                <w:b w:val="0"/>
                <w:bCs w:val="0"/>
                <w:kern w:val="0"/>
                <w:sz w:val="21"/>
                <w:szCs w:val="21"/>
              </w:rPr>
            </w:pPr>
            <w:r>
              <w:rPr>
                <w:rFonts w:hint="eastAsia" w:ascii="宋体" w:hAnsi="宋体" w:eastAsia="宋体" w:cs="宋体"/>
                <w:b w:val="0"/>
                <w:bCs w:val="0"/>
                <w:kern w:val="0"/>
                <w:sz w:val="21"/>
                <w:szCs w:val="21"/>
              </w:rPr>
              <w:t>多层 B/S 结构，采用微服务架构设计，各模块松耦合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716" w:type="dxa"/>
            <w:vMerge w:val="continue"/>
            <w:shd w:val="clear" w:color="auto" w:fill="auto"/>
            <w:noWrap w:val="0"/>
            <w:vAlign w:val="center"/>
          </w:tcPr>
          <w:p>
            <w:pPr>
              <w:rPr>
                <w:rFonts w:hint="eastAsia" w:ascii="宋体" w:hAnsi="宋体" w:eastAsia="宋体" w:cs="宋体"/>
                <w:b w:val="0"/>
                <w:bCs w:val="0"/>
                <w:kern w:val="0"/>
                <w:sz w:val="21"/>
                <w:szCs w:val="21"/>
              </w:rPr>
            </w:pPr>
          </w:p>
        </w:tc>
        <w:tc>
          <w:tcPr>
            <w:tcW w:w="1935" w:type="dxa"/>
            <w:vMerge w:val="continue"/>
            <w:shd w:val="clear" w:color="auto" w:fill="auto"/>
            <w:noWrap w:val="0"/>
            <w:vAlign w:val="center"/>
          </w:tcPr>
          <w:p>
            <w:pPr>
              <w:rPr>
                <w:rFonts w:hint="eastAsia" w:ascii="宋体" w:hAnsi="宋体" w:eastAsia="宋体" w:cs="宋体"/>
                <w:b w:val="0"/>
                <w:bCs w:val="0"/>
                <w:kern w:val="0"/>
                <w:sz w:val="21"/>
                <w:szCs w:val="21"/>
                <w:lang w:val="en-US" w:eastAsia="zh-CN" w:bidi="ar-SA"/>
              </w:rPr>
            </w:pPr>
          </w:p>
        </w:tc>
        <w:tc>
          <w:tcPr>
            <w:tcW w:w="1260" w:type="dxa"/>
            <w:gridSpan w:val="2"/>
            <w:shd w:val="clear" w:color="auto" w:fill="auto"/>
            <w:noWrap w:val="0"/>
            <w:vAlign w:val="center"/>
          </w:tcPr>
          <w:p>
            <w:pPr>
              <w:rPr>
                <w:rFonts w:hint="eastAsia" w:ascii="宋体" w:hAnsi="宋体" w:eastAsia="宋体" w:cs="宋体"/>
                <w:b w:val="0"/>
                <w:bCs w:val="0"/>
                <w:kern w:val="0"/>
                <w:sz w:val="21"/>
                <w:szCs w:val="21"/>
              </w:rPr>
            </w:pPr>
            <w:r>
              <w:rPr>
                <w:rFonts w:hint="eastAsia" w:ascii="宋体" w:hAnsi="宋体" w:eastAsia="宋体" w:cs="宋体"/>
                <w:b w:val="0"/>
                <w:bCs w:val="0"/>
                <w:kern w:val="0"/>
                <w:sz w:val="21"/>
                <w:szCs w:val="21"/>
              </w:rPr>
              <w:t>前端技术</w:t>
            </w:r>
          </w:p>
        </w:tc>
        <w:tc>
          <w:tcPr>
            <w:tcW w:w="5495" w:type="dxa"/>
            <w:gridSpan w:val="4"/>
            <w:shd w:val="clear" w:color="auto" w:fill="auto"/>
            <w:noWrap w:val="0"/>
            <w:vAlign w:val="center"/>
          </w:tcPr>
          <w:p>
            <w:pPr>
              <w:rPr>
                <w:rFonts w:hint="eastAsia" w:ascii="宋体" w:hAnsi="宋体" w:eastAsia="宋体" w:cs="宋体"/>
                <w:b w:val="0"/>
                <w:bCs w:val="0"/>
                <w:kern w:val="0"/>
                <w:sz w:val="21"/>
                <w:szCs w:val="21"/>
              </w:rPr>
            </w:pPr>
            <w:r>
              <w:rPr>
                <w:rFonts w:hint="eastAsia" w:ascii="宋体" w:hAnsi="宋体" w:eastAsia="宋体" w:cs="宋体"/>
                <w:b w:val="0"/>
                <w:bCs w:val="0"/>
                <w:kern w:val="0"/>
                <w:sz w:val="21"/>
                <w:szCs w:val="21"/>
              </w:rPr>
              <w:t>基于 HTML5 开发，支持跨平台（Windows、IOS、Android）</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716" w:type="dxa"/>
            <w:vMerge w:val="continue"/>
            <w:shd w:val="clear" w:color="auto" w:fill="auto"/>
            <w:noWrap w:val="0"/>
            <w:vAlign w:val="center"/>
          </w:tcPr>
          <w:p>
            <w:pPr>
              <w:rPr>
                <w:rFonts w:hint="eastAsia" w:ascii="宋体" w:hAnsi="宋体" w:eastAsia="宋体" w:cs="宋体"/>
                <w:b w:val="0"/>
                <w:bCs w:val="0"/>
                <w:kern w:val="0"/>
                <w:sz w:val="21"/>
                <w:szCs w:val="21"/>
              </w:rPr>
            </w:pPr>
          </w:p>
        </w:tc>
        <w:tc>
          <w:tcPr>
            <w:tcW w:w="1935" w:type="dxa"/>
            <w:vMerge w:val="continue"/>
            <w:shd w:val="clear" w:color="auto" w:fill="auto"/>
            <w:noWrap w:val="0"/>
            <w:vAlign w:val="center"/>
          </w:tcPr>
          <w:p>
            <w:pPr>
              <w:rPr>
                <w:rFonts w:hint="eastAsia" w:ascii="宋体" w:hAnsi="宋体" w:eastAsia="宋体" w:cs="宋体"/>
                <w:b w:val="0"/>
                <w:bCs w:val="0"/>
                <w:kern w:val="0"/>
                <w:sz w:val="21"/>
                <w:szCs w:val="21"/>
                <w:lang w:val="en-US" w:eastAsia="zh-CN" w:bidi="ar-SA"/>
              </w:rPr>
            </w:pPr>
          </w:p>
        </w:tc>
        <w:tc>
          <w:tcPr>
            <w:tcW w:w="1260" w:type="dxa"/>
            <w:gridSpan w:val="2"/>
            <w:shd w:val="clear" w:color="auto" w:fill="auto"/>
            <w:noWrap w:val="0"/>
            <w:vAlign w:val="center"/>
          </w:tcPr>
          <w:p>
            <w:pPr>
              <w:rPr>
                <w:rFonts w:hint="eastAsia" w:ascii="宋体" w:hAnsi="宋体" w:eastAsia="宋体" w:cs="宋体"/>
                <w:b w:val="0"/>
                <w:bCs w:val="0"/>
                <w:kern w:val="0"/>
                <w:sz w:val="21"/>
                <w:szCs w:val="21"/>
              </w:rPr>
            </w:pPr>
            <w:r>
              <w:rPr>
                <w:rFonts w:hint="eastAsia" w:ascii="宋体" w:hAnsi="宋体" w:eastAsia="宋体" w:cs="宋体"/>
                <w:b w:val="0"/>
                <w:bCs w:val="0"/>
                <w:kern w:val="0"/>
                <w:sz w:val="21"/>
                <w:szCs w:val="21"/>
              </w:rPr>
              <w:t>部署方式</w:t>
            </w:r>
          </w:p>
        </w:tc>
        <w:tc>
          <w:tcPr>
            <w:tcW w:w="5495" w:type="dxa"/>
            <w:gridSpan w:val="4"/>
            <w:shd w:val="clear" w:color="auto" w:fill="auto"/>
            <w:noWrap w:val="0"/>
            <w:vAlign w:val="center"/>
          </w:tcPr>
          <w:p>
            <w:pPr>
              <w:rPr>
                <w:rFonts w:hint="eastAsia" w:ascii="宋体" w:hAnsi="宋体" w:eastAsia="宋体" w:cs="宋体"/>
                <w:b w:val="0"/>
                <w:bCs w:val="0"/>
                <w:kern w:val="0"/>
                <w:sz w:val="21"/>
                <w:szCs w:val="21"/>
              </w:rPr>
            </w:pPr>
            <w:r>
              <w:rPr>
                <w:rFonts w:hint="eastAsia" w:ascii="宋体" w:hAnsi="宋体" w:eastAsia="宋体" w:cs="宋体"/>
                <w:b w:val="0"/>
                <w:bCs w:val="0"/>
                <w:kern w:val="0"/>
                <w:sz w:val="21"/>
                <w:szCs w:val="21"/>
              </w:rPr>
              <w:t>Docker 容器化部署，支持快速扩展与迁移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716" w:type="dxa"/>
            <w:vMerge w:val="continue"/>
            <w:shd w:val="clear" w:color="auto" w:fill="auto"/>
            <w:noWrap w:val="0"/>
            <w:vAlign w:val="center"/>
          </w:tcPr>
          <w:p>
            <w:pPr>
              <w:rPr>
                <w:rFonts w:hint="eastAsia" w:ascii="宋体" w:hAnsi="宋体" w:eastAsia="宋体" w:cs="宋体"/>
                <w:b w:val="0"/>
                <w:bCs w:val="0"/>
                <w:kern w:val="0"/>
                <w:sz w:val="21"/>
                <w:szCs w:val="21"/>
              </w:rPr>
            </w:pPr>
          </w:p>
        </w:tc>
        <w:tc>
          <w:tcPr>
            <w:tcW w:w="1935" w:type="dxa"/>
            <w:vMerge w:val="restart"/>
            <w:shd w:val="clear" w:color="auto" w:fill="auto"/>
            <w:noWrap w:val="0"/>
            <w:vAlign w:val="center"/>
          </w:tcPr>
          <w:p>
            <w:pPr>
              <w:rPr>
                <w:rFonts w:hint="eastAsia" w:ascii="宋体" w:hAnsi="宋体" w:eastAsia="宋体" w:cs="宋体"/>
                <w:b w:val="0"/>
                <w:bCs w:val="0"/>
                <w:kern w:val="0"/>
                <w:sz w:val="21"/>
                <w:szCs w:val="21"/>
                <w:lang w:val="en-US" w:eastAsia="zh-CN" w:bidi="ar-SA"/>
              </w:rPr>
            </w:pPr>
            <w:r>
              <w:rPr>
                <w:rStyle w:val="51"/>
                <w:rFonts w:hint="eastAsia" w:ascii="宋体" w:hAnsi="宋体" w:eastAsia="宋体" w:cs="宋体"/>
                <w:b w:val="0"/>
                <w:bCs w:val="0"/>
                <w:i w:val="0"/>
                <w:iCs w:val="0"/>
                <w:caps w:val="0"/>
                <w:spacing w:val="0"/>
                <w:sz w:val="21"/>
                <w:szCs w:val="21"/>
                <w:shd w:val="clear" w:fill="FFFFFF"/>
              </w:rPr>
              <w:t>数据层</w:t>
            </w:r>
          </w:p>
        </w:tc>
        <w:tc>
          <w:tcPr>
            <w:tcW w:w="1260" w:type="dxa"/>
            <w:gridSpan w:val="2"/>
            <w:shd w:val="clear" w:color="auto" w:fill="auto"/>
            <w:noWrap w:val="0"/>
            <w:vAlign w:val="center"/>
          </w:tcPr>
          <w:p>
            <w:pPr>
              <w:rPr>
                <w:rFonts w:hint="eastAsia" w:ascii="宋体" w:hAnsi="宋体" w:eastAsia="宋体" w:cs="宋体"/>
                <w:b w:val="0"/>
                <w:bCs w:val="0"/>
                <w:kern w:val="0"/>
                <w:sz w:val="21"/>
                <w:szCs w:val="21"/>
              </w:rPr>
            </w:pPr>
            <w:r>
              <w:rPr>
                <w:rFonts w:hint="eastAsia" w:ascii="宋体" w:hAnsi="宋体" w:eastAsia="宋体" w:cs="宋体"/>
                <w:b w:val="0"/>
                <w:bCs w:val="0"/>
                <w:i w:val="0"/>
                <w:iCs w:val="0"/>
                <w:caps w:val="0"/>
                <w:spacing w:val="0"/>
                <w:sz w:val="21"/>
                <w:szCs w:val="21"/>
                <w:shd w:val="clear" w:fill="FFFFFF"/>
              </w:rPr>
              <w:t>数据库</w:t>
            </w:r>
          </w:p>
        </w:tc>
        <w:tc>
          <w:tcPr>
            <w:tcW w:w="5495" w:type="dxa"/>
            <w:gridSpan w:val="4"/>
            <w:shd w:val="clear" w:color="auto" w:fill="auto"/>
            <w:noWrap w:val="0"/>
            <w:vAlign w:val="center"/>
          </w:tcPr>
          <w:p>
            <w:pPr>
              <w:rPr>
                <w:rFonts w:hint="eastAsia" w:ascii="宋体" w:hAnsi="宋体" w:eastAsia="宋体" w:cs="宋体"/>
                <w:b w:val="0"/>
                <w:bCs w:val="0"/>
                <w:kern w:val="0"/>
                <w:sz w:val="21"/>
                <w:szCs w:val="21"/>
              </w:rPr>
            </w:pPr>
            <w:r>
              <w:rPr>
                <w:rFonts w:hint="eastAsia" w:ascii="宋体" w:hAnsi="宋体" w:cs="宋体"/>
                <w:b w:val="0"/>
                <w:bCs w:val="0"/>
                <w:i w:val="0"/>
                <w:iCs w:val="0"/>
                <w:caps w:val="0"/>
                <w:spacing w:val="0"/>
                <w:sz w:val="21"/>
                <w:szCs w:val="21"/>
                <w:shd w:val="clear" w:fill="FFFFFF"/>
                <w:lang w:val="en-US" w:eastAsia="zh-CN"/>
              </w:rPr>
              <w:t>支持主流数据库:如Oracle、</w:t>
            </w:r>
            <w:r>
              <w:rPr>
                <w:rFonts w:hint="eastAsia" w:ascii="宋体" w:hAnsi="宋体" w:eastAsia="宋体" w:cs="宋体"/>
                <w:b w:val="0"/>
                <w:bCs w:val="0"/>
                <w:i w:val="0"/>
                <w:iCs w:val="0"/>
                <w:caps w:val="0"/>
                <w:spacing w:val="0"/>
                <w:sz w:val="21"/>
                <w:szCs w:val="21"/>
                <w:shd w:val="clear" w:fill="FFFFFF"/>
              </w:rPr>
              <w:t>MySQL</w:t>
            </w:r>
            <w:r>
              <w:rPr>
                <w:rFonts w:hint="eastAsia" w:ascii="宋体" w:hAnsi="宋体" w:cs="宋体"/>
                <w:b w:val="0"/>
                <w:bCs w:val="0"/>
                <w:i w:val="0"/>
                <w:iCs w:val="0"/>
                <w:caps w:val="0"/>
                <w:spacing w:val="0"/>
                <w:sz w:val="21"/>
                <w:szCs w:val="21"/>
                <w:shd w:val="clear" w:fill="FFFFFF"/>
                <w:lang w:val="en-US" w:eastAsia="zh-CN"/>
              </w:rPr>
              <w:t>等</w:t>
            </w:r>
            <w:r>
              <w:rPr>
                <w:rFonts w:hint="eastAsia" w:ascii="宋体" w:hAnsi="宋体" w:eastAsia="宋体" w:cs="宋体"/>
                <w:b w:val="0"/>
                <w:bCs w:val="0"/>
                <w:i w:val="0"/>
                <w:iCs w:val="0"/>
                <w:caps w:val="0"/>
                <w:spacing w:val="0"/>
                <w:sz w:val="21"/>
                <w:szCs w:val="21"/>
                <w:shd w:val="clear" w:fill="FFFFFF"/>
              </w:rPr>
              <w:t>（主从架构，读写分离），支持 OLTP；ClickHouse（列式数据库，支持 OLAP）</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716" w:type="dxa"/>
            <w:vMerge w:val="continue"/>
            <w:shd w:val="clear" w:color="auto" w:fill="auto"/>
            <w:noWrap w:val="0"/>
            <w:vAlign w:val="center"/>
          </w:tcPr>
          <w:p>
            <w:pPr>
              <w:rPr>
                <w:rFonts w:hint="eastAsia" w:ascii="宋体" w:hAnsi="宋体" w:eastAsia="宋体" w:cs="宋体"/>
                <w:b w:val="0"/>
                <w:bCs w:val="0"/>
                <w:kern w:val="0"/>
                <w:sz w:val="21"/>
                <w:szCs w:val="21"/>
              </w:rPr>
            </w:pPr>
          </w:p>
        </w:tc>
        <w:tc>
          <w:tcPr>
            <w:tcW w:w="1935" w:type="dxa"/>
            <w:vMerge w:val="continue"/>
            <w:shd w:val="clear" w:color="auto" w:fill="auto"/>
            <w:noWrap w:val="0"/>
            <w:vAlign w:val="center"/>
          </w:tcPr>
          <w:p>
            <w:pPr>
              <w:rPr>
                <w:rFonts w:hint="eastAsia" w:ascii="宋体" w:hAnsi="宋体" w:eastAsia="宋体" w:cs="宋体"/>
                <w:b w:val="0"/>
                <w:bCs w:val="0"/>
                <w:kern w:val="0"/>
                <w:sz w:val="21"/>
                <w:szCs w:val="21"/>
                <w:lang w:val="en-US" w:eastAsia="zh-CN" w:bidi="ar-SA"/>
              </w:rPr>
            </w:pPr>
          </w:p>
        </w:tc>
        <w:tc>
          <w:tcPr>
            <w:tcW w:w="1260" w:type="dxa"/>
            <w:gridSpan w:val="2"/>
            <w:shd w:val="clear" w:color="auto" w:fill="auto"/>
            <w:noWrap w:val="0"/>
            <w:vAlign w:val="center"/>
          </w:tcPr>
          <w:p>
            <w:pPr>
              <w:rPr>
                <w:rFonts w:hint="eastAsia" w:ascii="宋体" w:hAnsi="宋体" w:eastAsia="宋体" w:cs="宋体"/>
                <w:b w:val="0"/>
                <w:bCs w:val="0"/>
                <w:kern w:val="0"/>
                <w:sz w:val="21"/>
                <w:szCs w:val="21"/>
              </w:rPr>
            </w:pPr>
            <w:r>
              <w:rPr>
                <w:rFonts w:hint="eastAsia" w:ascii="宋体" w:hAnsi="宋体" w:eastAsia="宋体" w:cs="宋体"/>
                <w:b w:val="0"/>
                <w:bCs w:val="0"/>
                <w:i w:val="0"/>
                <w:iCs w:val="0"/>
                <w:caps w:val="0"/>
                <w:spacing w:val="0"/>
                <w:sz w:val="21"/>
                <w:szCs w:val="21"/>
                <w:shd w:val="clear" w:fill="FFFFFF"/>
              </w:rPr>
              <w:t>缓存</w:t>
            </w:r>
          </w:p>
        </w:tc>
        <w:tc>
          <w:tcPr>
            <w:tcW w:w="5495" w:type="dxa"/>
            <w:gridSpan w:val="4"/>
            <w:shd w:val="clear" w:color="auto" w:fill="auto"/>
            <w:noWrap w:val="0"/>
            <w:vAlign w:val="center"/>
          </w:tcPr>
          <w:p>
            <w:pPr>
              <w:rPr>
                <w:rFonts w:hint="eastAsia" w:ascii="宋体" w:hAnsi="宋体" w:eastAsia="宋体" w:cs="宋体"/>
                <w:b w:val="0"/>
                <w:bCs w:val="0"/>
                <w:kern w:val="0"/>
                <w:sz w:val="21"/>
                <w:szCs w:val="21"/>
              </w:rPr>
            </w:pPr>
            <w:r>
              <w:rPr>
                <w:rFonts w:hint="eastAsia" w:ascii="宋体" w:hAnsi="宋体" w:eastAsia="宋体" w:cs="宋体"/>
                <w:b w:val="0"/>
                <w:bCs w:val="0"/>
                <w:i w:val="0"/>
                <w:iCs w:val="0"/>
                <w:caps w:val="0"/>
                <w:spacing w:val="0"/>
                <w:sz w:val="21"/>
                <w:szCs w:val="21"/>
                <w:shd w:val="clear" w:fill="FFFFFF"/>
              </w:rPr>
              <w:t>Redis 哨兵模式集群，保障高可用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716" w:type="dxa"/>
            <w:vMerge w:val="continue"/>
            <w:shd w:val="clear" w:color="auto" w:fill="auto"/>
            <w:noWrap w:val="0"/>
            <w:vAlign w:val="center"/>
          </w:tcPr>
          <w:p>
            <w:pPr>
              <w:rPr>
                <w:rFonts w:hint="eastAsia" w:ascii="宋体" w:hAnsi="宋体" w:eastAsia="宋体" w:cs="宋体"/>
                <w:b w:val="0"/>
                <w:bCs w:val="0"/>
                <w:kern w:val="0"/>
                <w:sz w:val="21"/>
                <w:szCs w:val="21"/>
              </w:rPr>
            </w:pPr>
          </w:p>
        </w:tc>
        <w:tc>
          <w:tcPr>
            <w:tcW w:w="1935" w:type="dxa"/>
            <w:vMerge w:val="continue"/>
            <w:shd w:val="clear" w:color="auto" w:fill="auto"/>
            <w:noWrap w:val="0"/>
            <w:vAlign w:val="center"/>
          </w:tcPr>
          <w:p>
            <w:pPr>
              <w:rPr>
                <w:rFonts w:hint="eastAsia" w:ascii="宋体" w:hAnsi="宋体" w:eastAsia="宋体" w:cs="宋体"/>
                <w:b w:val="0"/>
                <w:bCs w:val="0"/>
                <w:kern w:val="0"/>
                <w:sz w:val="21"/>
                <w:szCs w:val="21"/>
                <w:lang w:val="en-US" w:eastAsia="zh-CN" w:bidi="ar-SA"/>
              </w:rPr>
            </w:pPr>
          </w:p>
        </w:tc>
        <w:tc>
          <w:tcPr>
            <w:tcW w:w="1260" w:type="dxa"/>
            <w:gridSpan w:val="2"/>
            <w:shd w:val="clear" w:color="auto" w:fill="auto"/>
            <w:noWrap w:val="0"/>
            <w:vAlign w:val="center"/>
          </w:tcPr>
          <w:p>
            <w:pPr>
              <w:rPr>
                <w:rFonts w:hint="eastAsia" w:ascii="宋体" w:hAnsi="宋体" w:eastAsia="宋体" w:cs="宋体"/>
                <w:b w:val="0"/>
                <w:bCs w:val="0"/>
                <w:kern w:val="0"/>
                <w:sz w:val="21"/>
                <w:szCs w:val="21"/>
              </w:rPr>
            </w:pPr>
            <w:r>
              <w:rPr>
                <w:rFonts w:hint="eastAsia" w:ascii="宋体" w:hAnsi="宋体" w:eastAsia="宋体" w:cs="宋体"/>
                <w:b w:val="0"/>
                <w:bCs w:val="0"/>
                <w:i w:val="0"/>
                <w:iCs w:val="0"/>
                <w:caps w:val="0"/>
                <w:spacing w:val="0"/>
                <w:sz w:val="21"/>
                <w:szCs w:val="21"/>
                <w:shd w:val="clear" w:fill="FFFFFF"/>
              </w:rPr>
              <w:t>搜索引擎</w:t>
            </w:r>
          </w:p>
        </w:tc>
        <w:tc>
          <w:tcPr>
            <w:tcW w:w="5495" w:type="dxa"/>
            <w:gridSpan w:val="4"/>
            <w:shd w:val="clear" w:color="auto" w:fill="auto"/>
            <w:noWrap w:val="0"/>
            <w:vAlign w:val="center"/>
          </w:tcPr>
          <w:p>
            <w:pPr>
              <w:rPr>
                <w:rFonts w:hint="eastAsia" w:ascii="宋体" w:hAnsi="宋体" w:eastAsia="宋体" w:cs="宋体"/>
                <w:b w:val="0"/>
                <w:bCs w:val="0"/>
                <w:kern w:val="0"/>
                <w:sz w:val="21"/>
                <w:szCs w:val="21"/>
              </w:rPr>
            </w:pPr>
            <w:r>
              <w:rPr>
                <w:rFonts w:hint="eastAsia" w:ascii="宋体" w:hAnsi="宋体" w:eastAsia="宋体" w:cs="宋体"/>
                <w:b w:val="0"/>
                <w:bCs w:val="0"/>
                <w:i w:val="0"/>
                <w:iCs w:val="0"/>
                <w:caps w:val="0"/>
                <w:spacing w:val="0"/>
                <w:sz w:val="21"/>
                <w:szCs w:val="21"/>
                <w:shd w:val="clear" w:fill="FFFFFF"/>
              </w:rPr>
              <w:t>ElasticSearch（ES）集群，支持高效检索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716" w:type="dxa"/>
            <w:vMerge w:val="restart"/>
            <w:shd w:val="clear" w:color="auto" w:fill="auto"/>
            <w:noWrap w:val="0"/>
            <w:vAlign w:val="center"/>
          </w:tcPr>
          <w:p>
            <w:pPr>
              <w:pStyle w:val="5"/>
              <w:keepNext w:val="0"/>
              <w:keepLines w:val="0"/>
              <w:widowControl/>
              <w:suppressLineNumbers w:val="0"/>
              <w:pBdr>
                <w:bottom w:val="none" w:color="auto" w:sz="0" w:space="0"/>
              </w:pBdr>
              <w:shd w:val="clear" w:fill="FFFFFF"/>
              <w:ind w:left="0" w:firstLine="0"/>
              <w:rPr>
                <w:rFonts w:hint="eastAsia" w:ascii="宋体" w:hAnsi="宋体" w:eastAsia="宋体" w:cs="宋体"/>
                <w:b w:val="0"/>
                <w:bCs w:val="0"/>
                <w:kern w:val="0"/>
                <w:sz w:val="21"/>
                <w:szCs w:val="21"/>
              </w:rPr>
            </w:pPr>
            <w:r>
              <w:rPr>
                <w:rFonts w:hint="eastAsia" w:ascii="宋体" w:hAnsi="宋体" w:eastAsia="宋体" w:cs="宋体"/>
                <w:b w:val="0"/>
                <w:bCs w:val="0"/>
                <w:i w:val="0"/>
                <w:iCs w:val="0"/>
                <w:caps w:val="0"/>
                <w:color w:val="000000"/>
                <w:spacing w:val="0"/>
                <w:sz w:val="21"/>
                <w:szCs w:val="21"/>
                <w:shd w:val="clear" w:fill="FFFFFF"/>
              </w:rPr>
              <w:t>核心功能与性能参数</w:t>
            </w:r>
          </w:p>
        </w:tc>
        <w:tc>
          <w:tcPr>
            <w:tcW w:w="1935" w:type="dxa"/>
            <w:vMerge w:val="restart"/>
            <w:shd w:val="clear" w:color="auto" w:fill="auto"/>
            <w:noWrap w:val="0"/>
            <w:vAlign w:val="center"/>
          </w:tcPr>
          <w:p>
            <w:pPr>
              <w:rPr>
                <w:rFonts w:hint="eastAsia" w:ascii="宋体" w:hAnsi="宋体" w:eastAsia="宋体" w:cs="宋体"/>
                <w:b w:val="0"/>
                <w:bCs w:val="0"/>
                <w:kern w:val="0"/>
                <w:sz w:val="21"/>
                <w:szCs w:val="21"/>
                <w:lang w:val="en-US" w:eastAsia="zh-CN" w:bidi="ar-SA"/>
              </w:rPr>
            </w:pPr>
            <w:r>
              <w:rPr>
                <w:rStyle w:val="51"/>
                <w:rFonts w:hint="eastAsia" w:ascii="宋体" w:hAnsi="宋体" w:eastAsia="宋体" w:cs="宋体"/>
                <w:b w:val="0"/>
                <w:bCs w:val="0"/>
                <w:i w:val="0"/>
                <w:iCs w:val="0"/>
                <w:caps w:val="0"/>
                <w:spacing w:val="0"/>
                <w:sz w:val="21"/>
                <w:szCs w:val="21"/>
                <w:shd w:val="clear" w:fill="FFFFFF"/>
              </w:rPr>
              <w:t>DRG 分组引擎</w:t>
            </w:r>
          </w:p>
        </w:tc>
        <w:tc>
          <w:tcPr>
            <w:tcW w:w="1260" w:type="dxa"/>
            <w:gridSpan w:val="2"/>
            <w:shd w:val="clear" w:color="auto" w:fill="auto"/>
            <w:noWrap w:val="0"/>
            <w:vAlign w:val="center"/>
          </w:tcPr>
          <w:p>
            <w:pPr>
              <w:rPr>
                <w:rFonts w:hint="eastAsia" w:ascii="宋体" w:hAnsi="宋体" w:eastAsia="宋体" w:cs="宋体"/>
                <w:b w:val="0"/>
                <w:bCs w:val="0"/>
                <w:kern w:val="0"/>
                <w:sz w:val="21"/>
                <w:szCs w:val="21"/>
              </w:rPr>
            </w:pPr>
            <w:r>
              <w:rPr>
                <w:rFonts w:hint="eastAsia" w:ascii="宋体" w:hAnsi="宋体" w:eastAsia="宋体" w:cs="宋体"/>
                <w:b w:val="0"/>
                <w:bCs w:val="0"/>
                <w:i w:val="0"/>
                <w:iCs w:val="0"/>
                <w:caps w:val="0"/>
                <w:spacing w:val="0"/>
                <w:sz w:val="21"/>
                <w:szCs w:val="21"/>
                <w:shd w:val="clear" w:fill="FFFFFF"/>
              </w:rPr>
              <w:t>响应速度</w:t>
            </w:r>
          </w:p>
        </w:tc>
        <w:tc>
          <w:tcPr>
            <w:tcW w:w="5495" w:type="dxa"/>
            <w:gridSpan w:val="4"/>
            <w:shd w:val="clear" w:color="auto" w:fill="auto"/>
            <w:noWrap w:val="0"/>
            <w:vAlign w:val="center"/>
          </w:tcPr>
          <w:p>
            <w:pPr>
              <w:rPr>
                <w:rFonts w:hint="eastAsia" w:ascii="宋体" w:hAnsi="宋体" w:eastAsia="宋体" w:cs="宋体"/>
                <w:b w:val="0"/>
                <w:bCs w:val="0"/>
                <w:kern w:val="0"/>
                <w:sz w:val="21"/>
                <w:szCs w:val="21"/>
              </w:rPr>
            </w:pPr>
            <w:r>
              <w:rPr>
                <w:rFonts w:hint="eastAsia" w:ascii="宋体" w:hAnsi="宋体" w:eastAsia="宋体" w:cs="宋体"/>
                <w:b w:val="0"/>
                <w:bCs w:val="0"/>
                <w:i w:val="0"/>
                <w:iCs w:val="0"/>
                <w:caps w:val="0"/>
                <w:spacing w:val="0"/>
                <w:sz w:val="21"/>
                <w:szCs w:val="21"/>
                <w:shd w:val="clear" w:fill="FFFFFF"/>
              </w:rPr>
              <w:t>毫秒级（≤100ms）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716" w:type="dxa"/>
            <w:vMerge w:val="continue"/>
            <w:shd w:val="clear" w:color="auto" w:fill="auto"/>
            <w:noWrap w:val="0"/>
            <w:vAlign w:val="center"/>
          </w:tcPr>
          <w:p>
            <w:pPr>
              <w:rPr>
                <w:rFonts w:hint="eastAsia" w:ascii="宋体" w:hAnsi="宋体" w:eastAsia="宋体" w:cs="宋体"/>
                <w:b w:val="0"/>
                <w:bCs w:val="0"/>
                <w:kern w:val="0"/>
                <w:sz w:val="21"/>
                <w:szCs w:val="21"/>
              </w:rPr>
            </w:pPr>
          </w:p>
        </w:tc>
        <w:tc>
          <w:tcPr>
            <w:tcW w:w="1935" w:type="dxa"/>
            <w:vMerge w:val="continue"/>
            <w:shd w:val="clear" w:color="auto" w:fill="auto"/>
            <w:noWrap w:val="0"/>
            <w:vAlign w:val="center"/>
          </w:tcPr>
          <w:p>
            <w:pPr>
              <w:rPr>
                <w:rFonts w:hint="eastAsia" w:ascii="宋体" w:hAnsi="宋体" w:eastAsia="宋体" w:cs="宋体"/>
                <w:b w:val="0"/>
                <w:bCs w:val="0"/>
                <w:kern w:val="0"/>
                <w:sz w:val="21"/>
                <w:szCs w:val="21"/>
                <w:lang w:val="en-US" w:eastAsia="zh-CN" w:bidi="ar-SA"/>
              </w:rPr>
            </w:pPr>
          </w:p>
        </w:tc>
        <w:tc>
          <w:tcPr>
            <w:tcW w:w="1260" w:type="dxa"/>
            <w:gridSpan w:val="2"/>
            <w:shd w:val="clear" w:color="auto" w:fill="auto"/>
            <w:noWrap w:val="0"/>
            <w:vAlign w:val="center"/>
          </w:tcPr>
          <w:p>
            <w:pPr>
              <w:rPr>
                <w:rFonts w:hint="eastAsia" w:ascii="宋体" w:hAnsi="宋体" w:eastAsia="宋体" w:cs="宋体"/>
                <w:b w:val="0"/>
                <w:bCs w:val="0"/>
                <w:kern w:val="0"/>
                <w:sz w:val="21"/>
                <w:szCs w:val="21"/>
              </w:rPr>
            </w:pPr>
            <w:r>
              <w:rPr>
                <w:rFonts w:hint="eastAsia" w:ascii="宋体" w:hAnsi="宋体" w:eastAsia="宋体" w:cs="宋体"/>
                <w:b w:val="0"/>
                <w:bCs w:val="0"/>
                <w:i w:val="0"/>
                <w:iCs w:val="0"/>
                <w:caps w:val="0"/>
                <w:spacing w:val="0"/>
                <w:sz w:val="21"/>
                <w:szCs w:val="21"/>
                <w:shd w:val="clear" w:fill="FFFFFF"/>
              </w:rPr>
              <w:t>分组一致性</w:t>
            </w:r>
          </w:p>
        </w:tc>
        <w:tc>
          <w:tcPr>
            <w:tcW w:w="5495" w:type="dxa"/>
            <w:gridSpan w:val="4"/>
            <w:shd w:val="clear" w:color="auto" w:fill="auto"/>
            <w:noWrap w:val="0"/>
            <w:vAlign w:val="center"/>
          </w:tcPr>
          <w:p>
            <w:pPr>
              <w:rPr>
                <w:rFonts w:hint="eastAsia" w:ascii="宋体" w:hAnsi="宋体" w:eastAsia="宋体" w:cs="宋体"/>
                <w:b w:val="0"/>
                <w:bCs w:val="0"/>
                <w:kern w:val="0"/>
                <w:sz w:val="21"/>
                <w:szCs w:val="21"/>
              </w:rPr>
            </w:pPr>
            <w:r>
              <w:rPr>
                <w:rFonts w:hint="eastAsia" w:ascii="宋体" w:hAnsi="宋体" w:eastAsia="宋体" w:cs="宋体"/>
                <w:b w:val="0"/>
                <w:bCs w:val="0"/>
                <w:i w:val="0"/>
                <w:iCs w:val="0"/>
                <w:caps w:val="0"/>
                <w:spacing w:val="0"/>
                <w:sz w:val="21"/>
                <w:szCs w:val="21"/>
                <w:shd w:val="clear" w:fill="FFFFFF"/>
              </w:rPr>
              <w:t>与医保局 DRG 分组器完全一致，支持同期更新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716" w:type="dxa"/>
            <w:vMerge w:val="continue"/>
            <w:shd w:val="clear" w:color="auto" w:fill="auto"/>
            <w:noWrap w:val="0"/>
            <w:vAlign w:val="center"/>
          </w:tcPr>
          <w:p>
            <w:pPr>
              <w:rPr>
                <w:rFonts w:hint="eastAsia" w:ascii="宋体" w:hAnsi="宋体" w:eastAsia="宋体" w:cs="宋体"/>
                <w:b w:val="0"/>
                <w:bCs w:val="0"/>
                <w:kern w:val="0"/>
                <w:sz w:val="21"/>
                <w:szCs w:val="21"/>
              </w:rPr>
            </w:pPr>
          </w:p>
        </w:tc>
        <w:tc>
          <w:tcPr>
            <w:tcW w:w="1935" w:type="dxa"/>
            <w:vMerge w:val="continue"/>
            <w:shd w:val="clear" w:color="auto" w:fill="auto"/>
            <w:noWrap w:val="0"/>
            <w:vAlign w:val="center"/>
          </w:tcPr>
          <w:p>
            <w:pPr>
              <w:rPr>
                <w:rFonts w:hint="eastAsia" w:ascii="宋体" w:hAnsi="宋体" w:eastAsia="宋体" w:cs="宋体"/>
                <w:b w:val="0"/>
                <w:bCs w:val="0"/>
                <w:kern w:val="0"/>
                <w:sz w:val="21"/>
                <w:szCs w:val="21"/>
                <w:lang w:val="en-US" w:eastAsia="zh-CN" w:bidi="ar-SA"/>
              </w:rPr>
            </w:pPr>
          </w:p>
        </w:tc>
        <w:tc>
          <w:tcPr>
            <w:tcW w:w="1260" w:type="dxa"/>
            <w:gridSpan w:val="2"/>
            <w:shd w:val="clear" w:color="auto" w:fill="auto"/>
            <w:noWrap w:val="0"/>
            <w:vAlign w:val="center"/>
          </w:tcPr>
          <w:p>
            <w:pPr>
              <w:rPr>
                <w:rFonts w:hint="eastAsia" w:ascii="宋体" w:hAnsi="宋体" w:eastAsia="宋体" w:cs="宋体"/>
                <w:b w:val="0"/>
                <w:bCs w:val="0"/>
                <w:kern w:val="0"/>
                <w:sz w:val="21"/>
                <w:szCs w:val="21"/>
              </w:rPr>
            </w:pPr>
            <w:r>
              <w:rPr>
                <w:rFonts w:hint="eastAsia" w:ascii="宋体" w:hAnsi="宋体" w:eastAsia="宋体" w:cs="宋体"/>
                <w:b w:val="0"/>
                <w:bCs w:val="0"/>
                <w:i w:val="0"/>
                <w:iCs w:val="0"/>
                <w:caps w:val="0"/>
                <w:spacing w:val="0"/>
                <w:sz w:val="21"/>
                <w:szCs w:val="21"/>
                <w:shd w:val="clear" w:fill="FFFFFF"/>
              </w:rPr>
              <w:t>分组能力</w:t>
            </w:r>
          </w:p>
        </w:tc>
        <w:tc>
          <w:tcPr>
            <w:tcW w:w="5495" w:type="dxa"/>
            <w:gridSpan w:val="4"/>
            <w:shd w:val="clear" w:color="auto" w:fill="auto"/>
            <w:noWrap w:val="0"/>
            <w:vAlign w:val="center"/>
          </w:tcPr>
          <w:p>
            <w:pPr>
              <w:rPr>
                <w:rFonts w:hint="eastAsia" w:ascii="宋体" w:hAnsi="宋体" w:eastAsia="宋体" w:cs="宋体"/>
                <w:b w:val="0"/>
                <w:bCs w:val="0"/>
                <w:kern w:val="0"/>
                <w:sz w:val="21"/>
                <w:szCs w:val="21"/>
              </w:rPr>
            </w:pPr>
            <w:r>
              <w:rPr>
                <w:rFonts w:hint="eastAsia" w:ascii="宋体" w:hAnsi="宋体" w:eastAsia="宋体" w:cs="宋体"/>
                <w:b w:val="0"/>
                <w:bCs w:val="0"/>
                <w:i w:val="0"/>
                <w:iCs w:val="0"/>
                <w:caps w:val="0"/>
                <w:spacing w:val="0"/>
                <w:sz w:val="21"/>
                <w:szCs w:val="21"/>
                <w:shd w:val="clear" w:fill="FFFFFF"/>
              </w:rPr>
              <w:t>支持 CHS-DRG 1.0/1.1/2.0 版本分组方案，可适配地方政策调整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716" w:type="dxa"/>
            <w:vMerge w:val="continue"/>
            <w:shd w:val="clear" w:color="auto" w:fill="auto"/>
            <w:noWrap w:val="0"/>
            <w:vAlign w:val="center"/>
          </w:tcPr>
          <w:p>
            <w:pPr>
              <w:rPr>
                <w:rFonts w:hint="eastAsia" w:ascii="宋体" w:hAnsi="宋体" w:eastAsia="宋体" w:cs="宋体"/>
                <w:b w:val="0"/>
                <w:bCs w:val="0"/>
                <w:kern w:val="0"/>
                <w:sz w:val="21"/>
                <w:szCs w:val="21"/>
              </w:rPr>
            </w:pPr>
          </w:p>
        </w:tc>
        <w:tc>
          <w:tcPr>
            <w:tcW w:w="1935" w:type="dxa"/>
            <w:vMerge w:val="restart"/>
            <w:shd w:val="clear" w:color="auto" w:fill="auto"/>
            <w:noWrap w:val="0"/>
            <w:vAlign w:val="center"/>
          </w:tcPr>
          <w:p>
            <w:pPr>
              <w:rPr>
                <w:rFonts w:hint="eastAsia" w:ascii="宋体" w:hAnsi="宋体" w:eastAsia="宋体" w:cs="宋体"/>
                <w:b w:val="0"/>
                <w:bCs w:val="0"/>
                <w:kern w:val="0"/>
                <w:sz w:val="21"/>
                <w:szCs w:val="21"/>
                <w:lang w:val="en-US" w:eastAsia="zh-CN" w:bidi="ar-SA"/>
              </w:rPr>
            </w:pPr>
            <w:r>
              <w:rPr>
                <w:rStyle w:val="51"/>
                <w:rFonts w:hint="eastAsia" w:ascii="宋体" w:hAnsi="宋体" w:eastAsia="宋体" w:cs="宋体"/>
                <w:b w:val="0"/>
                <w:bCs w:val="0"/>
                <w:i w:val="0"/>
                <w:iCs w:val="0"/>
                <w:caps w:val="0"/>
                <w:spacing w:val="0"/>
                <w:sz w:val="21"/>
                <w:szCs w:val="21"/>
                <w:shd w:val="clear" w:fill="FFFFFF"/>
              </w:rPr>
              <w:t>基金模拟拨付引擎</w:t>
            </w:r>
          </w:p>
        </w:tc>
        <w:tc>
          <w:tcPr>
            <w:tcW w:w="1260" w:type="dxa"/>
            <w:gridSpan w:val="2"/>
            <w:shd w:val="clear" w:color="auto" w:fill="auto"/>
            <w:noWrap w:val="0"/>
            <w:vAlign w:val="center"/>
          </w:tcPr>
          <w:p>
            <w:pPr>
              <w:rPr>
                <w:rFonts w:hint="eastAsia" w:ascii="宋体" w:hAnsi="宋体" w:eastAsia="宋体" w:cs="宋体"/>
                <w:b w:val="0"/>
                <w:bCs w:val="0"/>
                <w:kern w:val="0"/>
                <w:sz w:val="21"/>
                <w:szCs w:val="21"/>
              </w:rPr>
            </w:pPr>
            <w:r>
              <w:rPr>
                <w:rFonts w:hint="eastAsia" w:ascii="宋体" w:hAnsi="宋体" w:eastAsia="宋体" w:cs="宋体"/>
                <w:b w:val="0"/>
                <w:bCs w:val="0"/>
                <w:i w:val="0"/>
                <w:iCs w:val="0"/>
                <w:caps w:val="0"/>
                <w:spacing w:val="0"/>
                <w:sz w:val="21"/>
                <w:szCs w:val="21"/>
                <w:shd w:val="clear" w:fill="FFFFFF"/>
              </w:rPr>
              <w:t>响应速度</w:t>
            </w:r>
          </w:p>
        </w:tc>
        <w:tc>
          <w:tcPr>
            <w:tcW w:w="5495" w:type="dxa"/>
            <w:gridSpan w:val="4"/>
            <w:shd w:val="clear" w:color="auto" w:fill="auto"/>
            <w:noWrap w:val="0"/>
            <w:vAlign w:val="center"/>
          </w:tcPr>
          <w:p>
            <w:pPr>
              <w:rPr>
                <w:rFonts w:hint="eastAsia" w:ascii="宋体" w:hAnsi="宋体" w:eastAsia="宋体" w:cs="宋体"/>
                <w:b w:val="0"/>
                <w:bCs w:val="0"/>
                <w:kern w:val="0"/>
                <w:sz w:val="21"/>
                <w:szCs w:val="21"/>
              </w:rPr>
            </w:pPr>
            <w:r>
              <w:rPr>
                <w:rFonts w:hint="eastAsia" w:ascii="宋体" w:hAnsi="宋体" w:eastAsia="宋体" w:cs="宋体"/>
                <w:b w:val="0"/>
                <w:bCs w:val="0"/>
                <w:i w:val="0"/>
                <w:iCs w:val="0"/>
                <w:caps w:val="0"/>
                <w:spacing w:val="0"/>
                <w:sz w:val="21"/>
                <w:szCs w:val="21"/>
                <w:shd w:val="clear" w:fill="FFFFFF"/>
              </w:rPr>
              <w:t>毫秒级（≤100ms）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716" w:type="dxa"/>
            <w:vMerge w:val="continue"/>
            <w:shd w:val="clear" w:color="auto" w:fill="auto"/>
            <w:noWrap w:val="0"/>
            <w:vAlign w:val="center"/>
          </w:tcPr>
          <w:p>
            <w:pPr>
              <w:rPr>
                <w:rFonts w:hint="eastAsia" w:ascii="宋体" w:hAnsi="宋体" w:eastAsia="宋体" w:cs="宋体"/>
                <w:b w:val="0"/>
                <w:bCs w:val="0"/>
                <w:kern w:val="0"/>
                <w:sz w:val="21"/>
                <w:szCs w:val="21"/>
              </w:rPr>
            </w:pPr>
          </w:p>
        </w:tc>
        <w:tc>
          <w:tcPr>
            <w:tcW w:w="1935" w:type="dxa"/>
            <w:vMerge w:val="continue"/>
            <w:shd w:val="clear" w:color="auto" w:fill="auto"/>
            <w:noWrap w:val="0"/>
            <w:vAlign w:val="center"/>
          </w:tcPr>
          <w:p>
            <w:pPr>
              <w:rPr>
                <w:rFonts w:hint="eastAsia" w:ascii="宋体" w:hAnsi="宋体" w:eastAsia="宋体" w:cs="宋体"/>
                <w:b w:val="0"/>
                <w:bCs w:val="0"/>
                <w:kern w:val="0"/>
                <w:sz w:val="21"/>
                <w:szCs w:val="21"/>
                <w:lang w:val="en-US" w:eastAsia="zh-CN" w:bidi="ar-SA"/>
              </w:rPr>
            </w:pPr>
          </w:p>
        </w:tc>
        <w:tc>
          <w:tcPr>
            <w:tcW w:w="1260" w:type="dxa"/>
            <w:gridSpan w:val="2"/>
            <w:shd w:val="clear" w:color="auto" w:fill="auto"/>
            <w:noWrap w:val="0"/>
            <w:vAlign w:val="center"/>
          </w:tcPr>
          <w:p>
            <w:pPr>
              <w:rPr>
                <w:rFonts w:hint="eastAsia" w:ascii="宋体" w:hAnsi="宋体" w:eastAsia="宋体" w:cs="宋体"/>
                <w:b w:val="0"/>
                <w:bCs w:val="0"/>
                <w:kern w:val="0"/>
                <w:sz w:val="21"/>
                <w:szCs w:val="21"/>
              </w:rPr>
            </w:pPr>
            <w:r>
              <w:rPr>
                <w:rFonts w:hint="eastAsia" w:ascii="宋体" w:hAnsi="宋体" w:eastAsia="宋体" w:cs="宋体"/>
                <w:b w:val="0"/>
                <w:bCs w:val="0"/>
                <w:i w:val="0"/>
                <w:iCs w:val="0"/>
                <w:caps w:val="0"/>
                <w:spacing w:val="0"/>
                <w:sz w:val="21"/>
                <w:szCs w:val="21"/>
                <w:shd w:val="clear" w:fill="FFFFFF"/>
              </w:rPr>
              <w:t>准确性</w:t>
            </w:r>
          </w:p>
        </w:tc>
        <w:tc>
          <w:tcPr>
            <w:tcW w:w="5495" w:type="dxa"/>
            <w:gridSpan w:val="4"/>
            <w:shd w:val="clear" w:color="auto" w:fill="auto"/>
            <w:noWrap w:val="0"/>
            <w:vAlign w:val="center"/>
          </w:tcPr>
          <w:p>
            <w:pPr>
              <w:rPr>
                <w:rFonts w:hint="eastAsia" w:ascii="宋体" w:hAnsi="宋体" w:eastAsia="宋体" w:cs="宋体"/>
                <w:b w:val="0"/>
                <w:bCs w:val="0"/>
                <w:kern w:val="0"/>
                <w:sz w:val="21"/>
                <w:szCs w:val="21"/>
              </w:rPr>
            </w:pPr>
            <w:r>
              <w:rPr>
                <w:rFonts w:hint="eastAsia" w:ascii="宋体" w:hAnsi="宋体" w:eastAsia="宋体" w:cs="宋体"/>
                <w:b w:val="0"/>
                <w:bCs w:val="0"/>
                <w:i w:val="0"/>
                <w:iCs w:val="0"/>
                <w:caps w:val="0"/>
                <w:spacing w:val="0"/>
                <w:sz w:val="21"/>
                <w:szCs w:val="21"/>
                <w:shd w:val="clear" w:fill="FFFFFF"/>
              </w:rPr>
              <w:t>严格遵循地方医保结算细则，参数支持动态更新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716" w:type="dxa"/>
            <w:vMerge w:val="continue"/>
            <w:shd w:val="clear" w:color="auto" w:fill="auto"/>
            <w:noWrap w:val="0"/>
            <w:vAlign w:val="center"/>
          </w:tcPr>
          <w:p>
            <w:pPr>
              <w:rPr>
                <w:rFonts w:hint="eastAsia" w:ascii="宋体" w:hAnsi="宋体" w:eastAsia="宋体" w:cs="宋体"/>
                <w:b w:val="0"/>
                <w:bCs w:val="0"/>
                <w:kern w:val="0"/>
                <w:sz w:val="21"/>
                <w:szCs w:val="21"/>
              </w:rPr>
            </w:pPr>
          </w:p>
        </w:tc>
        <w:tc>
          <w:tcPr>
            <w:tcW w:w="1935" w:type="dxa"/>
            <w:vMerge w:val="continue"/>
            <w:shd w:val="clear" w:color="auto" w:fill="auto"/>
            <w:noWrap w:val="0"/>
            <w:vAlign w:val="center"/>
          </w:tcPr>
          <w:p>
            <w:pPr>
              <w:rPr>
                <w:rFonts w:hint="eastAsia" w:ascii="宋体" w:hAnsi="宋体" w:eastAsia="宋体" w:cs="宋体"/>
                <w:b w:val="0"/>
                <w:bCs w:val="0"/>
                <w:kern w:val="0"/>
                <w:sz w:val="21"/>
                <w:szCs w:val="21"/>
                <w:lang w:val="en-US" w:eastAsia="zh-CN" w:bidi="ar-SA"/>
              </w:rPr>
            </w:pPr>
          </w:p>
        </w:tc>
        <w:tc>
          <w:tcPr>
            <w:tcW w:w="1260" w:type="dxa"/>
            <w:gridSpan w:val="2"/>
            <w:shd w:val="clear" w:color="auto" w:fill="auto"/>
            <w:noWrap w:val="0"/>
            <w:vAlign w:val="center"/>
          </w:tcPr>
          <w:p>
            <w:pPr>
              <w:rPr>
                <w:rFonts w:hint="eastAsia" w:ascii="宋体" w:hAnsi="宋体" w:eastAsia="宋体" w:cs="宋体"/>
                <w:b w:val="0"/>
                <w:bCs w:val="0"/>
                <w:kern w:val="0"/>
                <w:sz w:val="21"/>
                <w:szCs w:val="21"/>
              </w:rPr>
            </w:pPr>
            <w:r>
              <w:rPr>
                <w:rFonts w:hint="eastAsia" w:ascii="宋体" w:hAnsi="宋体" w:eastAsia="宋体" w:cs="宋体"/>
                <w:b w:val="0"/>
                <w:bCs w:val="0"/>
                <w:i w:val="0"/>
                <w:iCs w:val="0"/>
                <w:caps w:val="0"/>
                <w:spacing w:val="0"/>
                <w:sz w:val="21"/>
                <w:szCs w:val="21"/>
                <w:shd w:val="clear" w:fill="FFFFFF"/>
              </w:rPr>
              <w:t>模拟能力</w:t>
            </w:r>
          </w:p>
        </w:tc>
        <w:tc>
          <w:tcPr>
            <w:tcW w:w="5495" w:type="dxa"/>
            <w:gridSpan w:val="4"/>
            <w:shd w:val="clear" w:color="auto" w:fill="auto"/>
            <w:noWrap w:val="0"/>
            <w:vAlign w:val="center"/>
          </w:tcPr>
          <w:p>
            <w:pPr>
              <w:rPr>
                <w:rFonts w:hint="eastAsia" w:ascii="宋体" w:hAnsi="宋体" w:eastAsia="宋体" w:cs="宋体"/>
                <w:b w:val="0"/>
                <w:bCs w:val="0"/>
                <w:kern w:val="0"/>
                <w:sz w:val="21"/>
                <w:szCs w:val="21"/>
              </w:rPr>
            </w:pPr>
            <w:r>
              <w:rPr>
                <w:rFonts w:hint="eastAsia" w:ascii="宋体" w:hAnsi="宋体" w:eastAsia="宋体" w:cs="宋体"/>
                <w:b w:val="0"/>
                <w:bCs w:val="0"/>
                <w:i w:val="0"/>
                <w:iCs w:val="0"/>
                <w:caps w:val="0"/>
                <w:spacing w:val="0"/>
                <w:sz w:val="21"/>
                <w:szCs w:val="21"/>
                <w:shd w:val="clear" w:fill="FFFFFF"/>
              </w:rPr>
              <w:t>支持月度、年度累计结算差异预估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716" w:type="dxa"/>
            <w:vMerge w:val="continue"/>
            <w:shd w:val="clear" w:color="auto" w:fill="auto"/>
            <w:noWrap w:val="0"/>
            <w:vAlign w:val="center"/>
          </w:tcPr>
          <w:p>
            <w:pPr>
              <w:rPr>
                <w:rFonts w:hint="eastAsia" w:ascii="宋体" w:hAnsi="宋体" w:eastAsia="宋体" w:cs="宋体"/>
                <w:b w:val="0"/>
                <w:bCs w:val="0"/>
                <w:kern w:val="0"/>
                <w:sz w:val="21"/>
                <w:szCs w:val="21"/>
              </w:rPr>
            </w:pPr>
          </w:p>
        </w:tc>
        <w:tc>
          <w:tcPr>
            <w:tcW w:w="1935" w:type="dxa"/>
            <w:vMerge w:val="restart"/>
            <w:shd w:val="clear" w:color="auto" w:fill="auto"/>
            <w:noWrap w:val="0"/>
            <w:vAlign w:val="center"/>
          </w:tcPr>
          <w:p>
            <w:pPr>
              <w:rPr>
                <w:rFonts w:hint="eastAsia" w:ascii="宋体" w:hAnsi="宋体" w:eastAsia="宋体" w:cs="宋体"/>
                <w:b w:val="0"/>
                <w:bCs w:val="0"/>
                <w:kern w:val="0"/>
                <w:sz w:val="21"/>
                <w:szCs w:val="21"/>
                <w:lang w:val="en-US" w:eastAsia="zh-CN" w:bidi="ar-SA"/>
              </w:rPr>
            </w:pPr>
            <w:r>
              <w:rPr>
                <w:rStyle w:val="51"/>
                <w:rFonts w:hint="eastAsia" w:ascii="宋体" w:hAnsi="宋体" w:eastAsia="宋体" w:cs="宋体"/>
                <w:b w:val="0"/>
                <w:bCs w:val="0"/>
                <w:i w:val="0"/>
                <w:iCs w:val="0"/>
                <w:caps w:val="0"/>
                <w:spacing w:val="0"/>
                <w:sz w:val="21"/>
                <w:szCs w:val="21"/>
                <w:shd w:val="clear" w:fill="FFFFFF"/>
              </w:rPr>
              <w:t>实时动态监控</w:t>
            </w:r>
          </w:p>
        </w:tc>
        <w:tc>
          <w:tcPr>
            <w:tcW w:w="1260" w:type="dxa"/>
            <w:gridSpan w:val="2"/>
            <w:shd w:val="clear" w:color="auto" w:fill="auto"/>
            <w:noWrap w:val="0"/>
            <w:vAlign w:val="center"/>
          </w:tcPr>
          <w:p>
            <w:pPr>
              <w:rPr>
                <w:rFonts w:hint="eastAsia" w:ascii="宋体" w:hAnsi="宋体" w:eastAsia="宋体" w:cs="宋体"/>
                <w:b w:val="0"/>
                <w:bCs w:val="0"/>
                <w:kern w:val="0"/>
                <w:sz w:val="21"/>
                <w:szCs w:val="21"/>
              </w:rPr>
            </w:pPr>
            <w:r>
              <w:rPr>
                <w:rFonts w:hint="eastAsia" w:ascii="宋体" w:hAnsi="宋体" w:eastAsia="宋体" w:cs="宋体"/>
                <w:b w:val="0"/>
                <w:bCs w:val="0"/>
                <w:i w:val="0"/>
                <w:iCs w:val="0"/>
                <w:caps w:val="0"/>
                <w:spacing w:val="0"/>
                <w:sz w:val="21"/>
                <w:szCs w:val="21"/>
                <w:shd w:val="clear" w:fill="FFFFFF"/>
              </w:rPr>
              <w:t>监控指标</w:t>
            </w:r>
          </w:p>
        </w:tc>
        <w:tc>
          <w:tcPr>
            <w:tcW w:w="5495" w:type="dxa"/>
            <w:gridSpan w:val="4"/>
            <w:shd w:val="clear" w:color="auto" w:fill="auto"/>
            <w:noWrap w:val="0"/>
            <w:vAlign w:val="center"/>
          </w:tcPr>
          <w:p>
            <w:pPr>
              <w:rPr>
                <w:rFonts w:hint="eastAsia" w:ascii="宋体" w:hAnsi="宋体" w:eastAsia="宋体" w:cs="宋体"/>
                <w:b w:val="0"/>
                <w:bCs w:val="0"/>
                <w:kern w:val="0"/>
                <w:sz w:val="21"/>
                <w:szCs w:val="21"/>
              </w:rPr>
            </w:pPr>
            <w:r>
              <w:rPr>
                <w:rFonts w:hint="eastAsia" w:ascii="宋体" w:hAnsi="宋体" w:eastAsia="宋体" w:cs="宋体"/>
                <w:b w:val="0"/>
                <w:bCs w:val="0"/>
                <w:i w:val="0"/>
                <w:iCs w:val="0"/>
                <w:caps w:val="0"/>
                <w:spacing w:val="0"/>
                <w:sz w:val="21"/>
                <w:szCs w:val="21"/>
                <w:shd w:val="clear" w:fill="FFFFFF"/>
              </w:rPr>
              <w:t>病组入组率、CV（变异系数）、RIV（风险调整系数）、住院总费用、平均住院日等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716" w:type="dxa"/>
            <w:vMerge w:val="continue"/>
            <w:shd w:val="clear" w:color="auto" w:fill="auto"/>
            <w:noWrap w:val="0"/>
            <w:vAlign w:val="center"/>
          </w:tcPr>
          <w:p>
            <w:pPr>
              <w:rPr>
                <w:rFonts w:hint="eastAsia" w:ascii="宋体" w:hAnsi="宋体" w:eastAsia="宋体" w:cs="宋体"/>
                <w:b w:val="0"/>
                <w:bCs w:val="0"/>
                <w:kern w:val="0"/>
                <w:sz w:val="21"/>
                <w:szCs w:val="21"/>
              </w:rPr>
            </w:pPr>
          </w:p>
        </w:tc>
        <w:tc>
          <w:tcPr>
            <w:tcW w:w="1935" w:type="dxa"/>
            <w:vMerge w:val="continue"/>
            <w:shd w:val="clear" w:color="auto" w:fill="auto"/>
            <w:noWrap w:val="0"/>
            <w:vAlign w:val="center"/>
          </w:tcPr>
          <w:p>
            <w:pPr>
              <w:rPr>
                <w:rFonts w:hint="eastAsia" w:ascii="宋体" w:hAnsi="宋体" w:eastAsia="宋体" w:cs="宋体"/>
                <w:b w:val="0"/>
                <w:bCs w:val="0"/>
                <w:kern w:val="0"/>
                <w:sz w:val="21"/>
                <w:szCs w:val="21"/>
                <w:lang w:val="en-US" w:eastAsia="zh-CN" w:bidi="ar-SA"/>
              </w:rPr>
            </w:pPr>
          </w:p>
        </w:tc>
        <w:tc>
          <w:tcPr>
            <w:tcW w:w="1260" w:type="dxa"/>
            <w:gridSpan w:val="2"/>
            <w:shd w:val="clear" w:color="auto" w:fill="auto"/>
            <w:noWrap w:val="0"/>
            <w:vAlign w:val="center"/>
          </w:tcPr>
          <w:p>
            <w:pPr>
              <w:rPr>
                <w:rFonts w:hint="eastAsia" w:ascii="宋体" w:hAnsi="宋体" w:eastAsia="宋体" w:cs="宋体"/>
                <w:b w:val="0"/>
                <w:bCs w:val="0"/>
                <w:kern w:val="0"/>
                <w:sz w:val="21"/>
                <w:szCs w:val="21"/>
              </w:rPr>
            </w:pPr>
            <w:r>
              <w:rPr>
                <w:rFonts w:hint="eastAsia" w:ascii="宋体" w:hAnsi="宋体" w:eastAsia="宋体" w:cs="宋体"/>
                <w:b w:val="0"/>
                <w:bCs w:val="0"/>
                <w:i w:val="0"/>
                <w:iCs w:val="0"/>
                <w:caps w:val="0"/>
                <w:spacing w:val="0"/>
                <w:sz w:val="21"/>
                <w:szCs w:val="21"/>
                <w:shd w:val="clear" w:fill="FFFFFF"/>
              </w:rPr>
              <w:t>预警响应</w:t>
            </w:r>
          </w:p>
        </w:tc>
        <w:tc>
          <w:tcPr>
            <w:tcW w:w="5495" w:type="dxa"/>
            <w:gridSpan w:val="4"/>
            <w:shd w:val="clear" w:color="auto" w:fill="auto"/>
            <w:noWrap w:val="0"/>
            <w:vAlign w:val="center"/>
          </w:tcPr>
          <w:p>
            <w:pPr>
              <w:rPr>
                <w:rFonts w:hint="eastAsia" w:ascii="宋体" w:hAnsi="宋体" w:eastAsia="宋体" w:cs="宋体"/>
                <w:b w:val="0"/>
                <w:bCs w:val="0"/>
                <w:kern w:val="0"/>
                <w:sz w:val="21"/>
                <w:szCs w:val="21"/>
              </w:rPr>
            </w:pPr>
            <w:r>
              <w:rPr>
                <w:rFonts w:hint="eastAsia" w:ascii="宋体" w:hAnsi="宋体" w:eastAsia="宋体" w:cs="宋体"/>
                <w:b w:val="0"/>
                <w:bCs w:val="0"/>
                <w:i w:val="0"/>
                <w:iCs w:val="0"/>
                <w:caps w:val="0"/>
                <w:spacing w:val="0"/>
                <w:sz w:val="21"/>
                <w:szCs w:val="21"/>
                <w:shd w:val="clear" w:fill="FFFFFF"/>
              </w:rPr>
              <w:t>在院病例费用超支、分组异常等情况实时预警（≤5 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716" w:type="dxa"/>
            <w:vMerge w:val="continue"/>
            <w:shd w:val="clear" w:color="auto" w:fill="auto"/>
            <w:noWrap w:val="0"/>
            <w:vAlign w:val="center"/>
          </w:tcPr>
          <w:p>
            <w:pPr>
              <w:rPr>
                <w:rFonts w:hint="eastAsia" w:ascii="宋体" w:hAnsi="宋体" w:eastAsia="宋体" w:cs="宋体"/>
                <w:b w:val="0"/>
                <w:bCs w:val="0"/>
                <w:kern w:val="0"/>
                <w:sz w:val="21"/>
                <w:szCs w:val="21"/>
              </w:rPr>
            </w:pPr>
          </w:p>
        </w:tc>
        <w:tc>
          <w:tcPr>
            <w:tcW w:w="1935" w:type="dxa"/>
            <w:vMerge w:val="restart"/>
            <w:shd w:val="clear" w:color="auto" w:fill="auto"/>
            <w:noWrap w:val="0"/>
            <w:vAlign w:val="center"/>
          </w:tcPr>
          <w:p>
            <w:pPr>
              <w:rPr>
                <w:rFonts w:hint="eastAsia" w:ascii="宋体" w:hAnsi="宋体" w:eastAsia="宋体" w:cs="宋体"/>
                <w:b w:val="0"/>
                <w:bCs w:val="0"/>
                <w:kern w:val="0"/>
                <w:sz w:val="21"/>
                <w:szCs w:val="21"/>
                <w:lang w:val="en-US" w:eastAsia="zh-CN" w:bidi="ar-SA"/>
              </w:rPr>
            </w:pPr>
            <w:r>
              <w:rPr>
                <w:rStyle w:val="51"/>
                <w:rFonts w:hint="eastAsia" w:ascii="宋体" w:hAnsi="宋体" w:eastAsia="宋体" w:cs="宋体"/>
                <w:b w:val="0"/>
                <w:bCs w:val="0"/>
                <w:i w:val="0"/>
                <w:iCs w:val="0"/>
                <w:caps w:val="0"/>
                <w:spacing w:val="0"/>
                <w:sz w:val="21"/>
                <w:szCs w:val="21"/>
                <w:shd w:val="clear" w:fill="FFFFFF"/>
              </w:rPr>
              <w:t>病案质控功能</w:t>
            </w:r>
          </w:p>
        </w:tc>
        <w:tc>
          <w:tcPr>
            <w:tcW w:w="1260" w:type="dxa"/>
            <w:gridSpan w:val="2"/>
            <w:shd w:val="clear" w:color="auto" w:fill="auto"/>
            <w:noWrap w:val="0"/>
            <w:vAlign w:val="center"/>
          </w:tcPr>
          <w:p>
            <w:pPr>
              <w:rPr>
                <w:rFonts w:hint="eastAsia" w:ascii="宋体" w:hAnsi="宋体" w:eastAsia="宋体" w:cs="宋体"/>
                <w:b w:val="0"/>
                <w:bCs w:val="0"/>
                <w:kern w:val="0"/>
                <w:sz w:val="21"/>
                <w:szCs w:val="21"/>
              </w:rPr>
            </w:pPr>
            <w:r>
              <w:rPr>
                <w:rFonts w:hint="eastAsia" w:ascii="宋体" w:hAnsi="宋体" w:eastAsia="宋体" w:cs="宋体"/>
                <w:b w:val="0"/>
                <w:bCs w:val="0"/>
                <w:i w:val="0"/>
                <w:iCs w:val="0"/>
                <w:caps w:val="0"/>
                <w:spacing w:val="0"/>
                <w:sz w:val="21"/>
                <w:szCs w:val="21"/>
                <w:shd w:val="clear" w:fill="FFFFFF"/>
              </w:rPr>
              <w:t>自动校对</w:t>
            </w:r>
          </w:p>
        </w:tc>
        <w:tc>
          <w:tcPr>
            <w:tcW w:w="5495" w:type="dxa"/>
            <w:gridSpan w:val="4"/>
            <w:shd w:val="clear" w:color="auto" w:fill="auto"/>
            <w:noWrap w:val="0"/>
            <w:vAlign w:val="center"/>
          </w:tcPr>
          <w:p>
            <w:pPr>
              <w:rPr>
                <w:rFonts w:hint="eastAsia" w:ascii="宋体" w:hAnsi="宋体" w:eastAsia="宋体" w:cs="宋体"/>
                <w:b w:val="0"/>
                <w:bCs w:val="0"/>
                <w:kern w:val="0"/>
                <w:sz w:val="21"/>
                <w:szCs w:val="21"/>
              </w:rPr>
            </w:pPr>
            <w:r>
              <w:rPr>
                <w:rFonts w:hint="eastAsia" w:ascii="宋体" w:hAnsi="宋体" w:eastAsia="宋体" w:cs="宋体"/>
                <w:b w:val="0"/>
                <w:bCs w:val="0"/>
                <w:i w:val="0"/>
                <w:iCs w:val="0"/>
                <w:caps w:val="0"/>
                <w:spacing w:val="0"/>
                <w:sz w:val="21"/>
                <w:szCs w:val="21"/>
                <w:shd w:val="clear" w:fill="FFFFFF"/>
              </w:rPr>
              <w:t>病案首页诊断编码、手术编码等自动校验，支持 ICD-10、ICD-9-CM3 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716" w:type="dxa"/>
            <w:vMerge w:val="continue"/>
            <w:shd w:val="clear" w:color="auto" w:fill="auto"/>
            <w:noWrap w:val="0"/>
            <w:vAlign w:val="center"/>
          </w:tcPr>
          <w:p>
            <w:pPr>
              <w:rPr>
                <w:rFonts w:hint="eastAsia" w:ascii="宋体" w:hAnsi="宋体" w:eastAsia="宋体" w:cs="宋体"/>
                <w:b w:val="0"/>
                <w:bCs w:val="0"/>
                <w:kern w:val="0"/>
                <w:sz w:val="21"/>
                <w:szCs w:val="21"/>
              </w:rPr>
            </w:pPr>
          </w:p>
        </w:tc>
        <w:tc>
          <w:tcPr>
            <w:tcW w:w="1935" w:type="dxa"/>
            <w:vMerge w:val="continue"/>
            <w:shd w:val="clear" w:color="auto" w:fill="auto"/>
            <w:noWrap w:val="0"/>
            <w:vAlign w:val="center"/>
          </w:tcPr>
          <w:p>
            <w:pPr>
              <w:rPr>
                <w:rFonts w:hint="eastAsia" w:ascii="宋体" w:hAnsi="宋体" w:eastAsia="宋体" w:cs="宋体"/>
                <w:b w:val="0"/>
                <w:bCs w:val="0"/>
                <w:kern w:val="0"/>
                <w:sz w:val="21"/>
                <w:szCs w:val="21"/>
                <w:lang w:val="en-US" w:eastAsia="zh-CN" w:bidi="ar-SA"/>
              </w:rPr>
            </w:pPr>
          </w:p>
        </w:tc>
        <w:tc>
          <w:tcPr>
            <w:tcW w:w="1260" w:type="dxa"/>
            <w:gridSpan w:val="2"/>
            <w:shd w:val="clear" w:color="auto" w:fill="auto"/>
            <w:noWrap w:val="0"/>
            <w:vAlign w:val="center"/>
          </w:tcPr>
          <w:p>
            <w:pPr>
              <w:rPr>
                <w:rFonts w:hint="eastAsia" w:ascii="宋体" w:hAnsi="宋体" w:eastAsia="宋体" w:cs="宋体"/>
                <w:b w:val="0"/>
                <w:bCs w:val="0"/>
                <w:kern w:val="0"/>
                <w:sz w:val="21"/>
                <w:szCs w:val="21"/>
              </w:rPr>
            </w:pPr>
            <w:r>
              <w:rPr>
                <w:rFonts w:hint="eastAsia" w:ascii="宋体" w:hAnsi="宋体" w:eastAsia="宋体" w:cs="宋体"/>
                <w:b w:val="0"/>
                <w:bCs w:val="0"/>
                <w:i w:val="0"/>
                <w:iCs w:val="0"/>
                <w:caps w:val="0"/>
                <w:spacing w:val="0"/>
                <w:sz w:val="21"/>
                <w:szCs w:val="21"/>
                <w:shd w:val="clear" w:fill="FFFFFF"/>
              </w:rPr>
              <w:t>质控规则</w:t>
            </w:r>
          </w:p>
        </w:tc>
        <w:tc>
          <w:tcPr>
            <w:tcW w:w="5495" w:type="dxa"/>
            <w:gridSpan w:val="4"/>
            <w:shd w:val="clear" w:color="auto" w:fill="auto"/>
            <w:noWrap w:val="0"/>
            <w:vAlign w:val="center"/>
          </w:tcPr>
          <w:p>
            <w:pPr>
              <w:rPr>
                <w:rFonts w:hint="eastAsia" w:ascii="宋体" w:hAnsi="宋体" w:eastAsia="宋体" w:cs="宋体"/>
                <w:b w:val="0"/>
                <w:bCs w:val="0"/>
                <w:kern w:val="0"/>
                <w:sz w:val="21"/>
                <w:szCs w:val="21"/>
              </w:rPr>
            </w:pPr>
            <w:r>
              <w:rPr>
                <w:rFonts w:hint="eastAsia" w:ascii="宋体" w:hAnsi="宋体" w:eastAsia="宋体" w:cs="宋体"/>
                <w:b w:val="0"/>
                <w:bCs w:val="0"/>
                <w:i w:val="0"/>
                <w:iCs w:val="0"/>
                <w:caps w:val="0"/>
                <w:spacing w:val="0"/>
                <w:sz w:val="21"/>
                <w:szCs w:val="21"/>
                <w:shd w:val="clear" w:fill="FFFFFF"/>
              </w:rPr>
              <w:t>可配置医保局、卫健委双重规则，支持自定义规则维护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716" w:type="dxa"/>
            <w:vMerge w:val="continue"/>
            <w:shd w:val="clear" w:color="auto" w:fill="auto"/>
            <w:noWrap w:val="0"/>
            <w:vAlign w:val="center"/>
          </w:tcPr>
          <w:p>
            <w:pPr>
              <w:rPr>
                <w:rFonts w:hint="eastAsia" w:ascii="宋体" w:hAnsi="宋体" w:eastAsia="宋体" w:cs="宋体"/>
                <w:b w:val="0"/>
                <w:bCs w:val="0"/>
                <w:kern w:val="0"/>
                <w:sz w:val="21"/>
                <w:szCs w:val="21"/>
              </w:rPr>
            </w:pPr>
          </w:p>
        </w:tc>
        <w:tc>
          <w:tcPr>
            <w:tcW w:w="1935" w:type="dxa"/>
            <w:vMerge w:val="continue"/>
            <w:shd w:val="clear" w:color="auto" w:fill="auto"/>
            <w:noWrap w:val="0"/>
            <w:vAlign w:val="center"/>
          </w:tcPr>
          <w:p>
            <w:pPr>
              <w:rPr>
                <w:rFonts w:hint="eastAsia" w:ascii="宋体" w:hAnsi="宋体" w:eastAsia="宋体" w:cs="宋体"/>
                <w:b w:val="0"/>
                <w:bCs w:val="0"/>
                <w:kern w:val="0"/>
                <w:sz w:val="21"/>
                <w:szCs w:val="21"/>
                <w:lang w:val="en-US" w:eastAsia="zh-CN" w:bidi="ar-SA"/>
              </w:rPr>
            </w:pPr>
          </w:p>
        </w:tc>
        <w:tc>
          <w:tcPr>
            <w:tcW w:w="1260" w:type="dxa"/>
            <w:gridSpan w:val="2"/>
            <w:shd w:val="clear" w:color="auto" w:fill="auto"/>
            <w:noWrap w:val="0"/>
            <w:vAlign w:val="center"/>
          </w:tcPr>
          <w:p>
            <w:pPr>
              <w:rPr>
                <w:rFonts w:hint="eastAsia" w:ascii="宋体" w:hAnsi="宋体" w:eastAsia="宋体" w:cs="宋体"/>
                <w:b w:val="0"/>
                <w:bCs w:val="0"/>
                <w:kern w:val="0"/>
                <w:sz w:val="21"/>
                <w:szCs w:val="21"/>
              </w:rPr>
            </w:pPr>
            <w:r>
              <w:rPr>
                <w:rFonts w:hint="eastAsia" w:ascii="宋体" w:hAnsi="宋体" w:eastAsia="宋体" w:cs="宋体"/>
                <w:b w:val="0"/>
                <w:bCs w:val="0"/>
                <w:i w:val="0"/>
                <w:iCs w:val="0"/>
                <w:caps w:val="0"/>
                <w:spacing w:val="0"/>
                <w:sz w:val="21"/>
                <w:szCs w:val="21"/>
                <w:shd w:val="clear" w:fill="FFFFFF"/>
              </w:rPr>
              <w:t>响应时间</w:t>
            </w:r>
          </w:p>
        </w:tc>
        <w:tc>
          <w:tcPr>
            <w:tcW w:w="5495" w:type="dxa"/>
            <w:gridSpan w:val="4"/>
            <w:shd w:val="clear" w:color="auto" w:fill="auto"/>
            <w:noWrap w:val="0"/>
            <w:vAlign w:val="center"/>
          </w:tcPr>
          <w:p>
            <w:pPr>
              <w:rPr>
                <w:rFonts w:hint="eastAsia" w:ascii="宋体" w:hAnsi="宋体" w:eastAsia="宋体" w:cs="宋体"/>
                <w:b w:val="0"/>
                <w:bCs w:val="0"/>
                <w:kern w:val="0"/>
                <w:sz w:val="21"/>
                <w:szCs w:val="21"/>
              </w:rPr>
            </w:pPr>
            <w:r>
              <w:rPr>
                <w:rFonts w:hint="eastAsia" w:ascii="宋体" w:hAnsi="宋体" w:eastAsia="宋体" w:cs="宋体"/>
                <w:b w:val="0"/>
                <w:bCs w:val="0"/>
                <w:i w:val="0"/>
                <w:iCs w:val="0"/>
                <w:caps w:val="0"/>
                <w:spacing w:val="0"/>
                <w:sz w:val="21"/>
                <w:szCs w:val="21"/>
                <w:shd w:val="clear" w:fill="FFFFFF"/>
              </w:rPr>
              <w:t>单病例质控校验≤1 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716" w:type="dxa"/>
            <w:vMerge w:val="continue"/>
            <w:shd w:val="clear" w:color="auto" w:fill="auto"/>
            <w:noWrap w:val="0"/>
            <w:vAlign w:val="center"/>
          </w:tcPr>
          <w:p>
            <w:pPr>
              <w:rPr>
                <w:rFonts w:hint="eastAsia" w:ascii="宋体" w:hAnsi="宋体" w:eastAsia="宋体" w:cs="宋体"/>
                <w:b w:val="0"/>
                <w:bCs w:val="0"/>
                <w:kern w:val="0"/>
                <w:sz w:val="21"/>
                <w:szCs w:val="21"/>
              </w:rPr>
            </w:pPr>
          </w:p>
        </w:tc>
        <w:tc>
          <w:tcPr>
            <w:tcW w:w="1935" w:type="dxa"/>
            <w:vMerge w:val="restart"/>
            <w:shd w:val="clear" w:color="auto" w:fill="auto"/>
            <w:noWrap w:val="0"/>
            <w:vAlign w:val="center"/>
          </w:tcPr>
          <w:p>
            <w:pPr>
              <w:rPr>
                <w:rFonts w:hint="eastAsia" w:ascii="宋体" w:hAnsi="宋体" w:eastAsia="宋体" w:cs="宋体"/>
                <w:b w:val="0"/>
                <w:bCs w:val="0"/>
                <w:kern w:val="0"/>
                <w:sz w:val="21"/>
                <w:szCs w:val="21"/>
                <w:lang w:val="en-US" w:eastAsia="zh-CN" w:bidi="ar-SA"/>
              </w:rPr>
            </w:pPr>
            <w:r>
              <w:rPr>
                <w:rStyle w:val="51"/>
                <w:rFonts w:hint="eastAsia" w:ascii="宋体" w:hAnsi="宋体" w:eastAsia="宋体" w:cs="宋体"/>
                <w:b w:val="0"/>
                <w:bCs w:val="0"/>
                <w:i w:val="0"/>
                <w:iCs w:val="0"/>
                <w:caps w:val="0"/>
                <w:spacing w:val="0"/>
                <w:sz w:val="21"/>
                <w:szCs w:val="21"/>
                <w:shd w:val="clear" w:fill="FFFFFF"/>
              </w:rPr>
              <w:t>数据分析能力</w:t>
            </w:r>
          </w:p>
        </w:tc>
        <w:tc>
          <w:tcPr>
            <w:tcW w:w="1260" w:type="dxa"/>
            <w:gridSpan w:val="2"/>
            <w:shd w:val="clear" w:color="auto" w:fill="auto"/>
            <w:noWrap w:val="0"/>
            <w:vAlign w:val="center"/>
          </w:tcPr>
          <w:p>
            <w:pPr>
              <w:rPr>
                <w:rFonts w:hint="eastAsia" w:ascii="宋体" w:hAnsi="宋体" w:eastAsia="宋体" w:cs="宋体"/>
                <w:b w:val="0"/>
                <w:bCs w:val="0"/>
                <w:kern w:val="0"/>
                <w:sz w:val="21"/>
                <w:szCs w:val="21"/>
              </w:rPr>
            </w:pPr>
            <w:r>
              <w:rPr>
                <w:rFonts w:hint="eastAsia" w:ascii="宋体" w:hAnsi="宋体" w:eastAsia="宋体" w:cs="宋体"/>
                <w:b w:val="0"/>
                <w:bCs w:val="0"/>
                <w:i w:val="0"/>
                <w:iCs w:val="0"/>
                <w:caps w:val="0"/>
                <w:spacing w:val="0"/>
                <w:sz w:val="21"/>
                <w:szCs w:val="21"/>
                <w:shd w:val="clear" w:fill="FFFFFF"/>
              </w:rPr>
              <w:t>指标分析</w:t>
            </w:r>
          </w:p>
        </w:tc>
        <w:tc>
          <w:tcPr>
            <w:tcW w:w="5495" w:type="dxa"/>
            <w:gridSpan w:val="4"/>
            <w:shd w:val="clear" w:color="auto" w:fill="auto"/>
            <w:noWrap w:val="0"/>
            <w:vAlign w:val="center"/>
          </w:tcPr>
          <w:p>
            <w:pPr>
              <w:rPr>
                <w:rFonts w:hint="eastAsia" w:ascii="宋体" w:hAnsi="宋体" w:eastAsia="宋体" w:cs="宋体"/>
                <w:b w:val="0"/>
                <w:bCs w:val="0"/>
                <w:kern w:val="0"/>
                <w:sz w:val="21"/>
                <w:szCs w:val="21"/>
              </w:rPr>
            </w:pPr>
            <w:r>
              <w:rPr>
                <w:rFonts w:hint="eastAsia" w:ascii="宋体" w:hAnsi="宋体" w:eastAsia="宋体" w:cs="宋体"/>
                <w:b w:val="0"/>
                <w:bCs w:val="0"/>
                <w:i w:val="0"/>
                <w:iCs w:val="0"/>
                <w:caps w:val="0"/>
                <w:spacing w:val="0"/>
                <w:sz w:val="21"/>
                <w:szCs w:val="21"/>
                <w:shd w:val="clear" w:fill="FFFFFF"/>
              </w:rPr>
              <w:t>支持病组入组率、次均费用、结算差异等 20 + 指标自动分析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716" w:type="dxa"/>
            <w:vMerge w:val="continue"/>
            <w:shd w:val="clear" w:color="auto" w:fill="auto"/>
            <w:noWrap w:val="0"/>
            <w:vAlign w:val="center"/>
          </w:tcPr>
          <w:p>
            <w:pPr>
              <w:rPr>
                <w:rFonts w:hint="eastAsia" w:ascii="宋体" w:hAnsi="宋体" w:eastAsia="宋体" w:cs="宋体"/>
                <w:b w:val="0"/>
                <w:bCs w:val="0"/>
                <w:kern w:val="0"/>
                <w:sz w:val="21"/>
                <w:szCs w:val="21"/>
              </w:rPr>
            </w:pPr>
          </w:p>
        </w:tc>
        <w:tc>
          <w:tcPr>
            <w:tcW w:w="1935" w:type="dxa"/>
            <w:vMerge w:val="continue"/>
            <w:shd w:val="clear" w:color="auto" w:fill="auto"/>
            <w:noWrap w:val="0"/>
            <w:vAlign w:val="center"/>
          </w:tcPr>
          <w:p>
            <w:pPr>
              <w:rPr>
                <w:rFonts w:hint="eastAsia" w:ascii="宋体" w:hAnsi="宋体" w:eastAsia="宋体" w:cs="宋体"/>
                <w:b w:val="0"/>
                <w:bCs w:val="0"/>
                <w:kern w:val="0"/>
                <w:sz w:val="21"/>
                <w:szCs w:val="21"/>
                <w:lang w:val="en-US" w:eastAsia="zh-CN" w:bidi="ar-SA"/>
              </w:rPr>
            </w:pPr>
          </w:p>
        </w:tc>
        <w:tc>
          <w:tcPr>
            <w:tcW w:w="1260" w:type="dxa"/>
            <w:gridSpan w:val="2"/>
            <w:shd w:val="clear" w:color="auto" w:fill="auto"/>
            <w:noWrap w:val="0"/>
            <w:vAlign w:val="center"/>
          </w:tcPr>
          <w:p>
            <w:pPr>
              <w:rPr>
                <w:rFonts w:hint="eastAsia" w:ascii="宋体" w:hAnsi="宋体" w:eastAsia="宋体" w:cs="宋体"/>
                <w:b w:val="0"/>
                <w:bCs w:val="0"/>
                <w:kern w:val="0"/>
                <w:sz w:val="21"/>
                <w:szCs w:val="21"/>
              </w:rPr>
            </w:pPr>
            <w:r>
              <w:rPr>
                <w:rFonts w:hint="eastAsia" w:ascii="宋体" w:hAnsi="宋体" w:eastAsia="宋体" w:cs="宋体"/>
                <w:b w:val="0"/>
                <w:bCs w:val="0"/>
                <w:i w:val="0"/>
                <w:iCs w:val="0"/>
                <w:caps w:val="0"/>
                <w:spacing w:val="0"/>
                <w:sz w:val="21"/>
                <w:szCs w:val="21"/>
                <w:shd w:val="clear" w:fill="FFFFFF"/>
              </w:rPr>
              <w:t>可视化</w:t>
            </w:r>
          </w:p>
        </w:tc>
        <w:tc>
          <w:tcPr>
            <w:tcW w:w="5495" w:type="dxa"/>
            <w:gridSpan w:val="4"/>
            <w:shd w:val="clear" w:color="auto" w:fill="auto"/>
            <w:noWrap w:val="0"/>
            <w:vAlign w:val="center"/>
          </w:tcPr>
          <w:p>
            <w:pPr>
              <w:rPr>
                <w:rFonts w:hint="eastAsia" w:ascii="宋体" w:hAnsi="宋体" w:eastAsia="宋体" w:cs="宋体"/>
                <w:b w:val="0"/>
                <w:bCs w:val="0"/>
                <w:kern w:val="0"/>
                <w:sz w:val="21"/>
                <w:szCs w:val="21"/>
              </w:rPr>
            </w:pPr>
            <w:r>
              <w:rPr>
                <w:rFonts w:hint="eastAsia" w:ascii="宋体" w:hAnsi="宋体" w:eastAsia="宋体" w:cs="宋体"/>
                <w:b w:val="0"/>
                <w:bCs w:val="0"/>
                <w:i w:val="0"/>
                <w:iCs w:val="0"/>
                <w:caps w:val="0"/>
                <w:spacing w:val="0"/>
                <w:sz w:val="21"/>
                <w:szCs w:val="21"/>
                <w:shd w:val="clear" w:fill="FFFFFF"/>
              </w:rPr>
              <w:t>支持趋势图、占比图等多维度数据展示，数据更新频率≤1 小时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716" w:type="dxa"/>
            <w:vMerge w:val="restart"/>
            <w:shd w:val="clear" w:color="auto" w:fill="auto"/>
            <w:noWrap w:val="0"/>
            <w:vAlign w:val="center"/>
          </w:tcPr>
          <w:p>
            <w:pPr>
              <w:pStyle w:val="5"/>
              <w:keepNext w:val="0"/>
              <w:keepLines w:val="0"/>
              <w:widowControl/>
              <w:suppressLineNumbers w:val="0"/>
              <w:pBdr>
                <w:bottom w:val="none" w:color="auto" w:sz="0" w:space="0"/>
              </w:pBdr>
              <w:shd w:val="clear" w:fill="FFFFFF"/>
              <w:ind w:left="0" w:firstLine="0"/>
              <w:rPr>
                <w:rFonts w:hint="eastAsia" w:ascii="宋体" w:hAnsi="宋体" w:eastAsia="宋体" w:cs="宋体"/>
                <w:b w:val="0"/>
                <w:bCs w:val="0"/>
                <w:i w:val="0"/>
                <w:iCs w:val="0"/>
                <w:caps w:val="0"/>
                <w:color w:val="000000"/>
                <w:spacing w:val="0"/>
                <w:sz w:val="21"/>
                <w:szCs w:val="21"/>
              </w:rPr>
            </w:pPr>
            <w:r>
              <w:rPr>
                <w:rFonts w:hint="eastAsia" w:ascii="宋体" w:hAnsi="宋体" w:eastAsia="宋体" w:cs="宋体"/>
                <w:b w:val="0"/>
                <w:bCs w:val="0"/>
                <w:i w:val="0"/>
                <w:iCs w:val="0"/>
                <w:caps w:val="0"/>
                <w:color w:val="000000"/>
                <w:spacing w:val="0"/>
                <w:sz w:val="21"/>
                <w:szCs w:val="21"/>
                <w:shd w:val="clear" w:fill="FFFFFF"/>
              </w:rPr>
              <w:t>接口规范参数</w:t>
            </w:r>
          </w:p>
          <w:p>
            <w:pPr>
              <w:rPr>
                <w:rFonts w:hint="eastAsia" w:ascii="宋体" w:hAnsi="宋体" w:eastAsia="宋体" w:cs="宋体"/>
                <w:b w:val="0"/>
                <w:bCs w:val="0"/>
                <w:kern w:val="0"/>
                <w:sz w:val="21"/>
                <w:szCs w:val="21"/>
              </w:rPr>
            </w:pPr>
          </w:p>
        </w:tc>
        <w:tc>
          <w:tcPr>
            <w:tcW w:w="1935" w:type="dxa"/>
            <w:shd w:val="clear" w:color="auto" w:fill="auto"/>
            <w:noWrap w:val="0"/>
            <w:vAlign w:val="center"/>
          </w:tcPr>
          <w:p>
            <w:pPr>
              <w:rPr>
                <w:rFonts w:hint="eastAsia" w:ascii="宋体" w:hAnsi="宋体" w:eastAsia="宋体" w:cs="宋体"/>
                <w:b w:val="0"/>
                <w:bCs w:val="0"/>
                <w:kern w:val="0"/>
                <w:sz w:val="21"/>
                <w:szCs w:val="21"/>
                <w:lang w:val="en-US" w:eastAsia="zh-CN" w:bidi="ar-SA"/>
              </w:rPr>
            </w:pPr>
            <w:r>
              <w:rPr>
                <w:rStyle w:val="51"/>
                <w:rFonts w:hint="eastAsia" w:ascii="宋体" w:hAnsi="宋体" w:eastAsia="宋体" w:cs="宋体"/>
                <w:b w:val="0"/>
                <w:bCs w:val="0"/>
                <w:i w:val="0"/>
                <w:iCs w:val="0"/>
                <w:caps w:val="0"/>
                <w:spacing w:val="0"/>
                <w:sz w:val="21"/>
                <w:szCs w:val="21"/>
                <w:shd w:val="clear" w:fill="FFFFFF"/>
              </w:rPr>
              <w:t>对接系统</w:t>
            </w:r>
          </w:p>
        </w:tc>
        <w:tc>
          <w:tcPr>
            <w:tcW w:w="6755" w:type="dxa"/>
            <w:gridSpan w:val="6"/>
            <w:shd w:val="clear" w:color="auto" w:fill="auto"/>
            <w:noWrap w:val="0"/>
            <w:vAlign w:val="center"/>
          </w:tcPr>
          <w:p>
            <w:pPr>
              <w:keepNext w:val="0"/>
              <w:keepLines w:val="0"/>
              <w:widowControl/>
              <w:numPr>
                <w:ilvl w:val="-1"/>
                <w:numId w:val="0"/>
              </w:numPr>
              <w:suppressLineNumbers w:val="0"/>
              <w:pBdr>
                <w:left w:val="none" w:color="auto" w:sz="0" w:space="0"/>
              </w:pBdr>
              <w:spacing w:before="0" w:beforeAutospacing="1" w:after="0" w:afterAutospacing="1"/>
              <w:ind w:left="0" w:firstLine="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i w:val="0"/>
                <w:iCs w:val="0"/>
                <w:caps w:val="0"/>
                <w:spacing w:val="0"/>
                <w:sz w:val="21"/>
                <w:szCs w:val="21"/>
                <w:shd w:val="clear" w:fill="FFFFFF"/>
              </w:rPr>
              <w:t>支持</w:t>
            </w:r>
            <w:r>
              <w:rPr>
                <w:rFonts w:hint="eastAsia" w:ascii="宋体" w:hAnsi="宋体" w:eastAsia="宋体" w:cs="宋体"/>
                <w:b w:val="0"/>
                <w:bCs w:val="0"/>
                <w:i w:val="0"/>
                <w:iCs w:val="0"/>
                <w:caps w:val="0"/>
                <w:color w:val="0000FF"/>
                <w:spacing w:val="0"/>
                <w:sz w:val="21"/>
                <w:szCs w:val="21"/>
                <w:shd w:val="clear" w:fill="FFFFFF"/>
                <w:lang w:val="en-US" w:eastAsia="zh-CN"/>
              </w:rPr>
              <w:t>免费</w:t>
            </w:r>
            <w:r>
              <w:rPr>
                <w:rFonts w:hint="eastAsia" w:ascii="宋体" w:hAnsi="宋体" w:eastAsia="宋体" w:cs="宋体"/>
                <w:b w:val="0"/>
                <w:bCs w:val="0"/>
                <w:i w:val="0"/>
                <w:iCs w:val="0"/>
                <w:caps w:val="0"/>
                <w:spacing w:val="0"/>
                <w:sz w:val="21"/>
                <w:szCs w:val="21"/>
                <w:shd w:val="clear" w:fill="FFFFFF"/>
              </w:rPr>
              <w:t>对接 HIS、PACS/RIS、LIS、电子病历等医院业务系统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716" w:type="dxa"/>
            <w:vMerge w:val="continue"/>
            <w:shd w:val="clear" w:color="auto" w:fill="auto"/>
            <w:noWrap w:val="0"/>
            <w:vAlign w:val="center"/>
          </w:tcPr>
          <w:p>
            <w:pPr>
              <w:rPr>
                <w:rFonts w:hint="eastAsia" w:ascii="宋体" w:hAnsi="宋体" w:eastAsia="宋体" w:cs="宋体"/>
                <w:b w:val="0"/>
                <w:bCs w:val="0"/>
                <w:kern w:val="0"/>
                <w:sz w:val="21"/>
                <w:szCs w:val="21"/>
              </w:rPr>
            </w:pPr>
          </w:p>
        </w:tc>
        <w:tc>
          <w:tcPr>
            <w:tcW w:w="1935" w:type="dxa"/>
            <w:shd w:val="clear" w:color="auto" w:fill="auto"/>
            <w:noWrap w:val="0"/>
            <w:vAlign w:val="center"/>
          </w:tcPr>
          <w:p>
            <w:pPr>
              <w:rPr>
                <w:rFonts w:hint="eastAsia" w:ascii="宋体" w:hAnsi="宋体" w:eastAsia="宋体" w:cs="宋体"/>
                <w:b w:val="0"/>
                <w:bCs w:val="0"/>
                <w:kern w:val="0"/>
                <w:sz w:val="21"/>
                <w:szCs w:val="21"/>
                <w:lang w:val="en-US" w:eastAsia="zh-CN" w:bidi="ar-SA"/>
              </w:rPr>
            </w:pPr>
            <w:r>
              <w:rPr>
                <w:rStyle w:val="51"/>
                <w:rFonts w:hint="eastAsia" w:ascii="宋体" w:hAnsi="宋体" w:eastAsia="宋体" w:cs="宋体"/>
                <w:b w:val="0"/>
                <w:bCs w:val="0"/>
                <w:i w:val="0"/>
                <w:iCs w:val="0"/>
                <w:caps w:val="0"/>
                <w:spacing w:val="0"/>
                <w:sz w:val="21"/>
                <w:szCs w:val="21"/>
                <w:shd w:val="clear" w:fill="FFFFFF"/>
              </w:rPr>
              <w:t>接口技术</w:t>
            </w:r>
          </w:p>
        </w:tc>
        <w:tc>
          <w:tcPr>
            <w:tcW w:w="6755" w:type="dxa"/>
            <w:gridSpan w:val="6"/>
            <w:shd w:val="clear" w:color="auto" w:fill="auto"/>
            <w:noWrap w:val="0"/>
            <w:vAlign w:val="center"/>
          </w:tcPr>
          <w:p>
            <w:pPr>
              <w:keepNext w:val="0"/>
              <w:keepLines w:val="0"/>
              <w:widowControl/>
              <w:numPr>
                <w:ilvl w:val="-1"/>
                <w:numId w:val="0"/>
              </w:numPr>
              <w:suppressLineNumbers w:val="0"/>
              <w:pBdr>
                <w:left w:val="none" w:color="auto" w:sz="0" w:space="0"/>
              </w:pBdr>
              <w:spacing w:before="0" w:beforeAutospacing="0" w:after="0" w:afterAutospacing="0"/>
              <w:ind w:left="0" w:firstLine="0"/>
              <w:jc w:val="left"/>
              <w:rPr>
                <w:rFonts w:hint="eastAsia" w:ascii="宋体" w:hAnsi="宋体" w:eastAsia="宋体" w:cs="宋体"/>
                <w:b w:val="0"/>
                <w:bCs w:val="0"/>
                <w:sz w:val="21"/>
                <w:szCs w:val="21"/>
                <w:shd w:val="clear" w:fill="FFFFFF"/>
              </w:rPr>
            </w:pPr>
            <w:r>
              <w:rPr>
                <w:rFonts w:hint="eastAsia" w:ascii="宋体" w:hAnsi="宋体" w:cs="宋体"/>
                <w:b w:val="0"/>
                <w:bCs w:val="0"/>
                <w:i w:val="0"/>
                <w:iCs w:val="0"/>
                <w:caps w:val="0"/>
                <w:spacing w:val="0"/>
                <w:sz w:val="21"/>
                <w:szCs w:val="21"/>
                <w:shd w:val="clear" w:fill="FFFFFF"/>
                <w:lang w:val="en-US" w:eastAsia="zh-CN"/>
              </w:rPr>
              <w:t>1.</w:t>
            </w:r>
            <w:r>
              <w:rPr>
                <w:rFonts w:hint="eastAsia" w:ascii="宋体" w:hAnsi="宋体" w:eastAsia="宋体" w:cs="宋体"/>
                <w:b w:val="0"/>
                <w:bCs w:val="0"/>
                <w:i w:val="0"/>
                <w:iCs w:val="0"/>
                <w:caps w:val="0"/>
                <w:spacing w:val="0"/>
                <w:sz w:val="21"/>
                <w:szCs w:val="21"/>
                <w:shd w:val="clear" w:fill="FFFFFF"/>
              </w:rPr>
              <w:t>协议：HTTP/HTTPS</w:t>
            </w:r>
          </w:p>
          <w:p>
            <w:pPr>
              <w:keepNext w:val="0"/>
              <w:keepLines w:val="0"/>
              <w:widowControl/>
              <w:numPr>
                <w:ilvl w:val="-1"/>
                <w:numId w:val="0"/>
              </w:numPr>
              <w:suppressLineNumbers w:val="0"/>
              <w:pBdr>
                <w:left w:val="none" w:color="auto" w:sz="0" w:space="0"/>
              </w:pBdr>
              <w:spacing w:before="0" w:beforeAutospacing="0" w:after="0" w:afterAutospacing="0"/>
              <w:ind w:left="0" w:firstLine="0"/>
              <w:jc w:val="left"/>
              <w:rPr>
                <w:rFonts w:hint="eastAsia" w:ascii="宋体" w:hAnsi="宋体" w:eastAsia="宋体" w:cs="宋体"/>
                <w:b w:val="0"/>
                <w:bCs w:val="0"/>
                <w:sz w:val="21"/>
                <w:szCs w:val="21"/>
                <w:shd w:val="clear" w:fill="FFFFFF"/>
              </w:rPr>
            </w:pPr>
            <w:r>
              <w:rPr>
                <w:rFonts w:hint="eastAsia" w:ascii="宋体" w:hAnsi="宋体" w:cs="宋体"/>
                <w:b w:val="0"/>
                <w:bCs w:val="0"/>
                <w:i w:val="0"/>
                <w:iCs w:val="0"/>
                <w:caps w:val="0"/>
                <w:spacing w:val="0"/>
                <w:sz w:val="21"/>
                <w:szCs w:val="21"/>
                <w:shd w:val="clear" w:fill="FFFFFF"/>
                <w:lang w:val="en-US" w:eastAsia="zh-CN"/>
              </w:rPr>
              <w:t>2.</w:t>
            </w:r>
            <w:r>
              <w:rPr>
                <w:rFonts w:hint="eastAsia" w:ascii="宋体" w:hAnsi="宋体" w:eastAsia="宋体" w:cs="宋体"/>
                <w:b w:val="0"/>
                <w:bCs w:val="0"/>
                <w:i w:val="0"/>
                <w:iCs w:val="0"/>
                <w:caps w:val="0"/>
                <w:spacing w:val="0"/>
                <w:sz w:val="21"/>
                <w:szCs w:val="21"/>
                <w:shd w:val="clear" w:fill="FFFFFF"/>
              </w:rPr>
              <w:t>方式：Restful API，编码格式 UTF-8</w:t>
            </w:r>
          </w:p>
          <w:p>
            <w:pPr>
              <w:keepNext w:val="0"/>
              <w:keepLines w:val="0"/>
              <w:widowControl/>
              <w:numPr>
                <w:ilvl w:val="-1"/>
                <w:numId w:val="0"/>
              </w:numPr>
              <w:suppressLineNumbers w:val="0"/>
              <w:pBdr>
                <w:left w:val="none" w:color="auto" w:sz="0" w:space="0"/>
              </w:pBdr>
              <w:spacing w:before="0" w:beforeAutospacing="0" w:after="0" w:afterAutospacing="0"/>
              <w:ind w:left="0" w:firstLine="0"/>
              <w:jc w:val="left"/>
              <w:rPr>
                <w:rFonts w:hint="eastAsia" w:ascii="宋体" w:hAnsi="宋体" w:eastAsia="宋体" w:cs="宋体"/>
                <w:b w:val="0"/>
                <w:bCs w:val="0"/>
                <w:sz w:val="21"/>
                <w:szCs w:val="21"/>
                <w:shd w:val="clear" w:fill="FFFFFF"/>
              </w:rPr>
            </w:pPr>
            <w:r>
              <w:rPr>
                <w:rFonts w:hint="eastAsia" w:ascii="宋体" w:hAnsi="宋体" w:cs="宋体"/>
                <w:b w:val="0"/>
                <w:bCs w:val="0"/>
                <w:i w:val="0"/>
                <w:iCs w:val="0"/>
                <w:caps w:val="0"/>
                <w:spacing w:val="0"/>
                <w:sz w:val="21"/>
                <w:szCs w:val="21"/>
                <w:shd w:val="clear" w:fill="FFFFFF"/>
                <w:lang w:val="en-US" w:eastAsia="zh-CN"/>
              </w:rPr>
              <w:t>3.</w:t>
            </w:r>
            <w:r>
              <w:rPr>
                <w:rFonts w:hint="eastAsia" w:ascii="宋体" w:hAnsi="宋体" w:eastAsia="宋体" w:cs="宋体"/>
                <w:b w:val="0"/>
                <w:bCs w:val="0"/>
                <w:i w:val="0"/>
                <w:iCs w:val="0"/>
                <w:caps w:val="0"/>
                <w:spacing w:val="0"/>
                <w:sz w:val="21"/>
                <w:szCs w:val="21"/>
                <w:shd w:val="clear" w:fill="FFFFFF"/>
              </w:rPr>
              <w:t>数据格式：JSON，返回值包含操作状态、错误码、描述及数据体</w:t>
            </w:r>
          </w:p>
          <w:p>
            <w:pPr>
              <w:keepNext w:val="0"/>
              <w:keepLines w:val="0"/>
              <w:widowControl/>
              <w:numPr>
                <w:ilvl w:val="-1"/>
                <w:numId w:val="0"/>
              </w:numPr>
              <w:suppressLineNumbers w:val="0"/>
              <w:pBdr>
                <w:left w:val="none" w:color="auto" w:sz="0" w:space="0"/>
              </w:pBdr>
              <w:spacing w:before="0" w:beforeAutospacing="0" w:after="0" w:afterAutospacing="0"/>
              <w:ind w:left="0" w:firstLine="0"/>
              <w:jc w:val="left"/>
              <w:rPr>
                <w:rFonts w:hint="eastAsia" w:ascii="宋体" w:hAnsi="宋体" w:eastAsia="宋体" w:cs="宋体"/>
                <w:b w:val="0"/>
                <w:bCs w:val="0"/>
                <w:kern w:val="0"/>
                <w:sz w:val="21"/>
                <w:szCs w:val="21"/>
              </w:rPr>
            </w:pPr>
            <w:r>
              <w:rPr>
                <w:rFonts w:hint="eastAsia" w:ascii="宋体" w:hAnsi="宋体" w:cs="宋体"/>
                <w:b w:val="0"/>
                <w:bCs w:val="0"/>
                <w:i w:val="0"/>
                <w:iCs w:val="0"/>
                <w:caps w:val="0"/>
                <w:spacing w:val="0"/>
                <w:sz w:val="21"/>
                <w:szCs w:val="21"/>
                <w:shd w:val="clear" w:fill="FFFFFF"/>
                <w:lang w:val="en-US" w:eastAsia="zh-CN"/>
              </w:rPr>
              <w:t>4.</w:t>
            </w:r>
            <w:r>
              <w:rPr>
                <w:rFonts w:hint="eastAsia" w:ascii="宋体" w:hAnsi="宋体" w:eastAsia="宋体" w:cs="宋体"/>
                <w:b w:val="0"/>
                <w:bCs w:val="0"/>
                <w:i w:val="0"/>
                <w:iCs w:val="0"/>
                <w:caps w:val="0"/>
                <w:spacing w:val="0"/>
                <w:sz w:val="21"/>
                <w:szCs w:val="21"/>
                <w:shd w:val="clear" w:fill="FFFFFF"/>
              </w:rPr>
              <w:t>核心接口：患者</w:t>
            </w:r>
            <w:r>
              <w:rPr>
                <w:rFonts w:hint="eastAsia" w:ascii="宋体" w:hAnsi="宋体" w:cs="宋体"/>
                <w:b w:val="0"/>
                <w:bCs w:val="0"/>
                <w:i w:val="0"/>
                <w:iCs w:val="0"/>
                <w:caps w:val="0"/>
                <w:spacing w:val="0"/>
                <w:sz w:val="21"/>
                <w:szCs w:val="21"/>
                <w:shd w:val="clear" w:fill="FFFFFF"/>
                <w:lang w:eastAsia="zh-CN"/>
              </w:rPr>
              <w:t>病历</w:t>
            </w:r>
            <w:r>
              <w:rPr>
                <w:rFonts w:hint="eastAsia" w:ascii="宋体" w:hAnsi="宋体" w:eastAsia="宋体" w:cs="宋体"/>
                <w:b w:val="0"/>
                <w:bCs w:val="0"/>
                <w:i w:val="0"/>
                <w:iCs w:val="0"/>
                <w:caps w:val="0"/>
                <w:spacing w:val="0"/>
                <w:sz w:val="21"/>
                <w:szCs w:val="21"/>
                <w:shd w:val="clear" w:fill="FFFFFF"/>
              </w:rPr>
              <w:t>信息接口、费用明细接口、病案信息接口等（详见文件中接口列表）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716" w:type="dxa"/>
            <w:vMerge w:val="continue"/>
            <w:shd w:val="clear" w:color="auto" w:fill="auto"/>
            <w:noWrap w:val="0"/>
            <w:vAlign w:val="center"/>
          </w:tcPr>
          <w:p>
            <w:pPr>
              <w:rPr>
                <w:rFonts w:hint="eastAsia" w:ascii="宋体" w:hAnsi="宋体" w:eastAsia="宋体" w:cs="宋体"/>
                <w:b w:val="0"/>
                <w:bCs w:val="0"/>
                <w:kern w:val="0"/>
                <w:sz w:val="21"/>
                <w:szCs w:val="21"/>
              </w:rPr>
            </w:pPr>
          </w:p>
        </w:tc>
        <w:tc>
          <w:tcPr>
            <w:tcW w:w="1935" w:type="dxa"/>
            <w:shd w:val="clear" w:color="auto" w:fill="auto"/>
            <w:noWrap w:val="0"/>
            <w:vAlign w:val="center"/>
          </w:tcPr>
          <w:p>
            <w:pPr>
              <w:rPr>
                <w:rFonts w:hint="eastAsia" w:ascii="宋体" w:hAnsi="宋体" w:eastAsia="宋体" w:cs="宋体"/>
                <w:b w:val="0"/>
                <w:bCs w:val="0"/>
                <w:kern w:val="0"/>
                <w:sz w:val="21"/>
                <w:szCs w:val="21"/>
                <w:lang w:val="en-US" w:eastAsia="zh-CN" w:bidi="ar-SA"/>
              </w:rPr>
            </w:pPr>
            <w:r>
              <w:rPr>
                <w:rStyle w:val="51"/>
                <w:rFonts w:hint="eastAsia" w:ascii="宋体" w:hAnsi="宋体" w:eastAsia="宋体" w:cs="宋体"/>
                <w:b w:val="0"/>
                <w:bCs w:val="0"/>
                <w:i w:val="0"/>
                <w:iCs w:val="0"/>
                <w:caps w:val="0"/>
                <w:spacing w:val="0"/>
                <w:sz w:val="21"/>
                <w:szCs w:val="21"/>
                <w:shd w:val="clear" w:fill="FFFFFF"/>
              </w:rPr>
              <w:t>数据交互</w:t>
            </w:r>
          </w:p>
        </w:tc>
        <w:tc>
          <w:tcPr>
            <w:tcW w:w="6755" w:type="dxa"/>
            <w:gridSpan w:val="6"/>
            <w:shd w:val="clear" w:color="auto" w:fill="auto"/>
            <w:noWrap w:val="0"/>
            <w:vAlign w:val="center"/>
          </w:tcPr>
          <w:p>
            <w:pPr>
              <w:keepNext w:val="0"/>
              <w:keepLines w:val="0"/>
              <w:widowControl/>
              <w:numPr>
                <w:ilvl w:val="-1"/>
                <w:numId w:val="0"/>
              </w:numPr>
              <w:suppressLineNumbers w:val="0"/>
              <w:pBdr>
                <w:left w:val="none" w:color="auto" w:sz="0" w:space="0"/>
              </w:pBdr>
              <w:spacing w:before="0" w:beforeAutospacing="0" w:after="0" w:afterAutospacing="0"/>
              <w:ind w:left="0" w:firstLine="0"/>
              <w:jc w:val="left"/>
              <w:rPr>
                <w:rFonts w:hint="eastAsia" w:ascii="宋体" w:hAnsi="宋体" w:eastAsia="宋体" w:cs="宋体"/>
                <w:b w:val="0"/>
                <w:bCs w:val="0"/>
                <w:sz w:val="21"/>
                <w:szCs w:val="21"/>
                <w:shd w:val="clear" w:fill="FFFFFF"/>
              </w:rPr>
            </w:pPr>
            <w:r>
              <w:rPr>
                <w:rFonts w:hint="eastAsia" w:ascii="宋体" w:hAnsi="宋体" w:cs="宋体"/>
                <w:b w:val="0"/>
                <w:bCs w:val="0"/>
                <w:i w:val="0"/>
                <w:iCs w:val="0"/>
                <w:caps w:val="0"/>
                <w:spacing w:val="0"/>
                <w:sz w:val="21"/>
                <w:szCs w:val="21"/>
                <w:shd w:val="clear" w:fill="FFFFFF"/>
                <w:lang w:val="en-US" w:eastAsia="zh-CN"/>
              </w:rPr>
              <w:t>1.</w:t>
            </w:r>
            <w:r>
              <w:rPr>
                <w:rFonts w:hint="eastAsia" w:ascii="宋体" w:hAnsi="宋体" w:eastAsia="宋体" w:cs="宋体"/>
                <w:b w:val="0"/>
                <w:bCs w:val="0"/>
                <w:i w:val="0"/>
                <w:iCs w:val="0"/>
                <w:caps w:val="0"/>
                <w:spacing w:val="0"/>
                <w:sz w:val="21"/>
                <w:szCs w:val="21"/>
                <w:shd w:val="clear" w:fill="FFFFFF"/>
              </w:rPr>
              <w:t>支持增量数据同步（基于 CDC 技术，不影响业务系统运行）</w:t>
            </w:r>
          </w:p>
          <w:p>
            <w:pPr>
              <w:keepNext w:val="0"/>
              <w:keepLines w:val="0"/>
              <w:widowControl/>
              <w:numPr>
                <w:ilvl w:val="-1"/>
                <w:numId w:val="0"/>
              </w:numPr>
              <w:suppressLineNumbers w:val="0"/>
              <w:pBdr>
                <w:left w:val="none" w:color="auto" w:sz="0" w:space="0"/>
              </w:pBdr>
              <w:spacing w:before="0" w:beforeAutospacing="0" w:after="0" w:afterAutospacing="0"/>
              <w:ind w:left="0" w:firstLine="0"/>
              <w:jc w:val="left"/>
              <w:rPr>
                <w:rFonts w:hint="eastAsia" w:ascii="宋体" w:hAnsi="宋体" w:eastAsia="宋体" w:cs="宋体"/>
                <w:b w:val="0"/>
                <w:bCs w:val="0"/>
                <w:kern w:val="0"/>
                <w:sz w:val="21"/>
                <w:szCs w:val="21"/>
              </w:rPr>
            </w:pPr>
            <w:r>
              <w:rPr>
                <w:rFonts w:hint="eastAsia" w:ascii="宋体" w:hAnsi="宋体" w:cs="宋体"/>
                <w:b w:val="0"/>
                <w:bCs w:val="0"/>
                <w:i w:val="0"/>
                <w:iCs w:val="0"/>
                <w:caps w:val="0"/>
                <w:spacing w:val="0"/>
                <w:sz w:val="21"/>
                <w:szCs w:val="21"/>
                <w:shd w:val="clear" w:fill="FFFFFF"/>
                <w:lang w:val="en-US" w:eastAsia="zh-CN"/>
              </w:rPr>
              <w:t>2.</w:t>
            </w:r>
            <w:r>
              <w:rPr>
                <w:rFonts w:hint="eastAsia" w:ascii="宋体" w:hAnsi="宋体" w:eastAsia="宋体" w:cs="宋体"/>
                <w:b w:val="0"/>
                <w:bCs w:val="0"/>
                <w:i w:val="0"/>
                <w:iCs w:val="0"/>
                <w:caps w:val="0"/>
                <w:spacing w:val="0"/>
                <w:sz w:val="21"/>
                <w:szCs w:val="21"/>
                <w:shd w:val="clear" w:fill="FFFFFF"/>
              </w:rPr>
              <w:t>提供数据查询导出工具，支持加密数据标准化转义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716" w:type="dxa"/>
            <w:vMerge w:val="restart"/>
            <w:shd w:val="clear" w:color="auto" w:fill="auto"/>
            <w:noWrap w:val="0"/>
            <w:vAlign w:val="center"/>
          </w:tcPr>
          <w:p>
            <w:pPr>
              <w:pStyle w:val="5"/>
              <w:keepNext w:val="0"/>
              <w:keepLines w:val="0"/>
              <w:widowControl/>
              <w:suppressLineNumbers w:val="0"/>
              <w:pBdr>
                <w:bottom w:val="none" w:color="auto" w:sz="0" w:space="0"/>
              </w:pBdr>
              <w:shd w:val="clear" w:fill="FFFFFF"/>
              <w:ind w:left="0" w:firstLine="0"/>
              <w:rPr>
                <w:rFonts w:hint="eastAsia" w:ascii="宋体" w:hAnsi="宋体" w:eastAsia="宋体" w:cs="宋体"/>
                <w:b w:val="0"/>
                <w:bCs w:val="0"/>
                <w:i w:val="0"/>
                <w:iCs w:val="0"/>
                <w:caps w:val="0"/>
                <w:color w:val="000000"/>
                <w:spacing w:val="0"/>
                <w:sz w:val="21"/>
                <w:szCs w:val="21"/>
              </w:rPr>
            </w:pPr>
            <w:r>
              <w:rPr>
                <w:rFonts w:hint="eastAsia" w:ascii="宋体" w:hAnsi="宋体" w:eastAsia="宋体" w:cs="宋体"/>
                <w:b w:val="0"/>
                <w:bCs w:val="0"/>
                <w:i w:val="0"/>
                <w:iCs w:val="0"/>
                <w:caps w:val="0"/>
                <w:color w:val="000000"/>
                <w:spacing w:val="0"/>
                <w:sz w:val="21"/>
                <w:szCs w:val="21"/>
                <w:shd w:val="clear" w:fill="FFFFFF"/>
              </w:rPr>
              <w:t>安全与可靠性参数</w:t>
            </w:r>
          </w:p>
          <w:p>
            <w:pPr>
              <w:rPr>
                <w:rFonts w:hint="eastAsia" w:ascii="宋体" w:hAnsi="宋体" w:eastAsia="宋体" w:cs="宋体"/>
                <w:b w:val="0"/>
                <w:bCs w:val="0"/>
                <w:kern w:val="0"/>
                <w:sz w:val="21"/>
                <w:szCs w:val="21"/>
              </w:rPr>
            </w:pPr>
          </w:p>
        </w:tc>
        <w:tc>
          <w:tcPr>
            <w:tcW w:w="1935" w:type="dxa"/>
            <w:shd w:val="clear" w:color="auto" w:fill="auto"/>
            <w:noWrap w:val="0"/>
            <w:vAlign w:val="center"/>
          </w:tcPr>
          <w:p>
            <w:pPr>
              <w:rPr>
                <w:rFonts w:hint="eastAsia" w:ascii="宋体" w:hAnsi="宋体" w:eastAsia="宋体" w:cs="宋体"/>
                <w:b w:val="0"/>
                <w:bCs w:val="0"/>
                <w:kern w:val="0"/>
                <w:sz w:val="21"/>
                <w:szCs w:val="21"/>
                <w:lang w:val="en-US" w:eastAsia="zh-CN" w:bidi="ar-SA"/>
              </w:rPr>
            </w:pPr>
            <w:r>
              <w:rPr>
                <w:rStyle w:val="51"/>
                <w:rFonts w:hint="eastAsia" w:ascii="宋体" w:hAnsi="宋体" w:eastAsia="宋体" w:cs="宋体"/>
                <w:b w:val="0"/>
                <w:bCs w:val="0"/>
                <w:i w:val="0"/>
                <w:iCs w:val="0"/>
                <w:caps w:val="0"/>
                <w:spacing w:val="0"/>
                <w:sz w:val="21"/>
                <w:szCs w:val="21"/>
                <w:shd w:val="clear" w:fill="FFFFFF"/>
              </w:rPr>
              <w:t>安全性</w:t>
            </w:r>
          </w:p>
        </w:tc>
        <w:tc>
          <w:tcPr>
            <w:tcW w:w="6755" w:type="dxa"/>
            <w:gridSpan w:val="6"/>
            <w:shd w:val="clear" w:color="auto" w:fill="auto"/>
            <w:noWrap w:val="0"/>
            <w:vAlign w:val="center"/>
          </w:tcPr>
          <w:p>
            <w:pPr>
              <w:keepNext w:val="0"/>
              <w:keepLines w:val="0"/>
              <w:widowControl/>
              <w:numPr>
                <w:ilvl w:val="-1"/>
                <w:numId w:val="0"/>
              </w:numPr>
              <w:suppressLineNumbers w:val="0"/>
              <w:pBdr>
                <w:left w:val="none" w:color="auto" w:sz="0" w:space="0"/>
              </w:pBdr>
              <w:spacing w:before="0" w:beforeAutospacing="0" w:after="0" w:afterAutospacing="0"/>
              <w:ind w:left="0" w:firstLine="0"/>
              <w:jc w:val="left"/>
              <w:rPr>
                <w:rFonts w:hint="eastAsia" w:ascii="宋体" w:hAnsi="宋体" w:eastAsia="宋体" w:cs="宋体"/>
                <w:b w:val="0"/>
                <w:bCs w:val="0"/>
                <w:sz w:val="21"/>
                <w:szCs w:val="21"/>
                <w:shd w:val="clear" w:fill="FFFFFF"/>
              </w:rPr>
            </w:pPr>
            <w:r>
              <w:rPr>
                <w:rFonts w:hint="eastAsia" w:ascii="宋体" w:hAnsi="宋体" w:cs="宋体"/>
                <w:b w:val="0"/>
                <w:bCs w:val="0"/>
                <w:i w:val="0"/>
                <w:iCs w:val="0"/>
                <w:caps w:val="0"/>
                <w:spacing w:val="0"/>
                <w:sz w:val="21"/>
                <w:szCs w:val="21"/>
                <w:shd w:val="clear" w:fill="FFFFFF"/>
                <w:lang w:val="en-US" w:eastAsia="zh-CN"/>
              </w:rPr>
              <w:t>1.</w:t>
            </w:r>
            <w:r>
              <w:rPr>
                <w:rFonts w:hint="eastAsia" w:ascii="宋体" w:hAnsi="宋体" w:eastAsia="宋体" w:cs="宋体"/>
                <w:b w:val="0"/>
                <w:bCs w:val="0"/>
                <w:i w:val="0"/>
                <w:iCs w:val="0"/>
                <w:caps w:val="0"/>
                <w:spacing w:val="0"/>
                <w:sz w:val="21"/>
                <w:szCs w:val="21"/>
                <w:shd w:val="clear" w:fill="FFFFFF"/>
              </w:rPr>
              <w:t>认证授权：基于角色的权限管理（RBAC），支持 JWT/Token 身份验证</w:t>
            </w:r>
          </w:p>
          <w:p>
            <w:pPr>
              <w:keepNext w:val="0"/>
              <w:keepLines w:val="0"/>
              <w:widowControl/>
              <w:numPr>
                <w:ilvl w:val="-1"/>
                <w:numId w:val="0"/>
              </w:numPr>
              <w:suppressLineNumbers w:val="0"/>
              <w:pBdr>
                <w:left w:val="none" w:color="auto" w:sz="0" w:space="0"/>
              </w:pBdr>
              <w:spacing w:before="0" w:beforeAutospacing="0" w:after="0" w:afterAutospacing="0"/>
              <w:ind w:left="0" w:firstLine="0"/>
              <w:jc w:val="left"/>
              <w:rPr>
                <w:rFonts w:hint="eastAsia" w:ascii="宋体" w:hAnsi="宋体" w:eastAsia="宋体" w:cs="宋体"/>
                <w:b w:val="0"/>
                <w:bCs w:val="0"/>
                <w:sz w:val="21"/>
                <w:szCs w:val="21"/>
                <w:shd w:val="clear" w:fill="FFFFFF"/>
              </w:rPr>
            </w:pPr>
            <w:r>
              <w:rPr>
                <w:rFonts w:hint="eastAsia" w:ascii="宋体" w:hAnsi="宋体" w:cs="宋体"/>
                <w:b w:val="0"/>
                <w:bCs w:val="0"/>
                <w:i w:val="0"/>
                <w:iCs w:val="0"/>
                <w:caps w:val="0"/>
                <w:spacing w:val="0"/>
                <w:sz w:val="21"/>
                <w:szCs w:val="21"/>
                <w:shd w:val="clear" w:fill="FFFFFF"/>
                <w:lang w:val="en-US" w:eastAsia="zh-CN"/>
              </w:rPr>
              <w:t>2.</w:t>
            </w:r>
            <w:r>
              <w:rPr>
                <w:rFonts w:hint="eastAsia" w:ascii="宋体" w:hAnsi="宋体" w:eastAsia="宋体" w:cs="宋体"/>
                <w:b w:val="0"/>
                <w:bCs w:val="0"/>
                <w:i w:val="0"/>
                <w:iCs w:val="0"/>
                <w:caps w:val="0"/>
                <w:spacing w:val="0"/>
                <w:sz w:val="21"/>
                <w:szCs w:val="21"/>
                <w:shd w:val="clear" w:fill="FFFFFF"/>
              </w:rPr>
              <w:t>数据加密：敏感数据传输与存储加密（符合国家信息安全标准）</w:t>
            </w:r>
          </w:p>
          <w:p>
            <w:pPr>
              <w:keepNext w:val="0"/>
              <w:keepLines w:val="0"/>
              <w:widowControl/>
              <w:numPr>
                <w:ilvl w:val="-1"/>
                <w:numId w:val="0"/>
              </w:numPr>
              <w:suppressLineNumbers w:val="0"/>
              <w:pBdr>
                <w:left w:val="none" w:color="auto" w:sz="0" w:space="0"/>
              </w:pBdr>
              <w:spacing w:before="0" w:beforeAutospacing="0" w:after="0" w:afterAutospacing="0"/>
              <w:ind w:left="0" w:firstLine="0"/>
              <w:jc w:val="left"/>
              <w:rPr>
                <w:rFonts w:hint="eastAsia" w:ascii="宋体" w:hAnsi="宋体" w:eastAsia="宋体" w:cs="宋体"/>
                <w:b w:val="0"/>
                <w:bCs w:val="0"/>
                <w:kern w:val="0"/>
                <w:sz w:val="21"/>
                <w:szCs w:val="21"/>
              </w:rPr>
            </w:pPr>
            <w:r>
              <w:rPr>
                <w:rFonts w:hint="eastAsia" w:ascii="宋体" w:hAnsi="宋体" w:cs="宋体"/>
                <w:b w:val="0"/>
                <w:bCs w:val="0"/>
                <w:i w:val="0"/>
                <w:iCs w:val="0"/>
                <w:caps w:val="0"/>
                <w:spacing w:val="0"/>
                <w:sz w:val="21"/>
                <w:szCs w:val="21"/>
                <w:shd w:val="clear" w:fill="FFFFFF"/>
                <w:lang w:val="en-US" w:eastAsia="zh-CN"/>
              </w:rPr>
              <w:t>3.</w:t>
            </w:r>
            <w:r>
              <w:rPr>
                <w:rFonts w:hint="eastAsia" w:ascii="宋体" w:hAnsi="宋体" w:eastAsia="宋体" w:cs="宋体"/>
                <w:b w:val="0"/>
                <w:bCs w:val="0"/>
                <w:i w:val="0"/>
                <w:iCs w:val="0"/>
                <w:caps w:val="0"/>
                <w:spacing w:val="0"/>
                <w:sz w:val="21"/>
                <w:szCs w:val="21"/>
                <w:shd w:val="clear" w:fill="FFFFFF"/>
              </w:rPr>
              <w:t>审计日志：记录所有操作行为，支持追溯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716" w:type="dxa"/>
            <w:vMerge w:val="continue"/>
            <w:shd w:val="clear" w:color="auto" w:fill="auto"/>
            <w:noWrap w:val="0"/>
            <w:vAlign w:val="center"/>
          </w:tcPr>
          <w:p>
            <w:pPr>
              <w:rPr>
                <w:rFonts w:hint="eastAsia" w:ascii="宋体" w:hAnsi="宋体" w:eastAsia="宋体" w:cs="宋体"/>
                <w:b w:val="0"/>
                <w:bCs w:val="0"/>
                <w:kern w:val="0"/>
                <w:sz w:val="21"/>
                <w:szCs w:val="21"/>
              </w:rPr>
            </w:pPr>
          </w:p>
        </w:tc>
        <w:tc>
          <w:tcPr>
            <w:tcW w:w="1935" w:type="dxa"/>
            <w:shd w:val="clear" w:color="auto" w:fill="auto"/>
            <w:noWrap w:val="0"/>
            <w:vAlign w:val="center"/>
          </w:tcPr>
          <w:p>
            <w:pPr>
              <w:rPr>
                <w:rFonts w:hint="eastAsia" w:ascii="宋体" w:hAnsi="宋体" w:eastAsia="宋体" w:cs="宋体"/>
                <w:b w:val="0"/>
                <w:bCs w:val="0"/>
                <w:kern w:val="0"/>
                <w:sz w:val="21"/>
                <w:szCs w:val="21"/>
                <w:lang w:val="en-US" w:eastAsia="zh-CN" w:bidi="ar-SA"/>
              </w:rPr>
            </w:pPr>
            <w:r>
              <w:rPr>
                <w:rStyle w:val="51"/>
                <w:rFonts w:hint="eastAsia" w:ascii="宋体" w:hAnsi="宋体" w:eastAsia="宋体" w:cs="宋体"/>
                <w:b w:val="0"/>
                <w:bCs w:val="0"/>
                <w:i w:val="0"/>
                <w:iCs w:val="0"/>
                <w:caps w:val="0"/>
                <w:spacing w:val="0"/>
                <w:sz w:val="21"/>
                <w:szCs w:val="21"/>
                <w:shd w:val="clear" w:fill="FFFFFF"/>
              </w:rPr>
              <w:t>可靠性</w:t>
            </w:r>
          </w:p>
        </w:tc>
        <w:tc>
          <w:tcPr>
            <w:tcW w:w="6755" w:type="dxa"/>
            <w:gridSpan w:val="6"/>
            <w:shd w:val="clear" w:color="auto" w:fill="auto"/>
            <w:noWrap w:val="0"/>
            <w:vAlign w:val="center"/>
          </w:tcPr>
          <w:p>
            <w:pPr>
              <w:keepNext w:val="0"/>
              <w:keepLines w:val="0"/>
              <w:widowControl/>
              <w:numPr>
                <w:ilvl w:val="-1"/>
                <w:numId w:val="0"/>
              </w:numPr>
              <w:suppressLineNumbers w:val="0"/>
              <w:pBdr>
                <w:left w:val="none" w:color="auto" w:sz="0" w:space="0"/>
              </w:pBdr>
              <w:spacing w:before="0" w:beforeAutospacing="0" w:after="0" w:afterAutospacing="0"/>
              <w:ind w:left="0" w:firstLine="0"/>
              <w:jc w:val="left"/>
              <w:rPr>
                <w:rFonts w:hint="eastAsia" w:ascii="宋体" w:hAnsi="宋体" w:eastAsia="宋体" w:cs="宋体"/>
                <w:b w:val="0"/>
                <w:bCs w:val="0"/>
                <w:sz w:val="21"/>
                <w:szCs w:val="21"/>
                <w:shd w:val="clear" w:fill="FFFFFF"/>
              </w:rPr>
            </w:pPr>
            <w:r>
              <w:rPr>
                <w:rFonts w:hint="eastAsia" w:ascii="宋体" w:hAnsi="宋体" w:cs="宋体"/>
                <w:b w:val="0"/>
                <w:bCs w:val="0"/>
                <w:i w:val="0"/>
                <w:iCs w:val="0"/>
                <w:caps w:val="0"/>
                <w:spacing w:val="0"/>
                <w:sz w:val="21"/>
                <w:szCs w:val="21"/>
                <w:shd w:val="clear" w:fill="FFFFFF"/>
                <w:lang w:val="en-US" w:eastAsia="zh-CN"/>
              </w:rPr>
              <w:t>1.</w:t>
            </w:r>
            <w:r>
              <w:rPr>
                <w:rFonts w:hint="eastAsia" w:ascii="宋体" w:hAnsi="宋体" w:eastAsia="宋体" w:cs="宋体"/>
                <w:b w:val="0"/>
                <w:bCs w:val="0"/>
                <w:i w:val="0"/>
                <w:iCs w:val="0"/>
                <w:caps w:val="0"/>
                <w:spacing w:val="0"/>
                <w:sz w:val="21"/>
                <w:szCs w:val="21"/>
                <w:shd w:val="clear" w:fill="FFFFFF"/>
              </w:rPr>
              <w:t>可用性：7×24 小时服务，年上线率≥99.99%</w:t>
            </w:r>
          </w:p>
          <w:p>
            <w:pPr>
              <w:keepNext w:val="0"/>
              <w:keepLines w:val="0"/>
              <w:widowControl/>
              <w:numPr>
                <w:ilvl w:val="-1"/>
                <w:numId w:val="0"/>
              </w:numPr>
              <w:suppressLineNumbers w:val="0"/>
              <w:pBdr>
                <w:left w:val="none" w:color="auto" w:sz="0" w:space="0"/>
              </w:pBdr>
              <w:spacing w:before="0" w:beforeAutospacing="0" w:after="0" w:afterAutospacing="0"/>
              <w:ind w:left="0" w:firstLine="0"/>
              <w:jc w:val="left"/>
              <w:rPr>
                <w:rFonts w:hint="eastAsia" w:ascii="宋体" w:hAnsi="宋体" w:eastAsia="宋体" w:cs="宋体"/>
                <w:b w:val="0"/>
                <w:bCs w:val="0"/>
                <w:sz w:val="21"/>
                <w:szCs w:val="21"/>
                <w:shd w:val="clear" w:fill="FFFFFF"/>
              </w:rPr>
            </w:pPr>
            <w:r>
              <w:rPr>
                <w:rFonts w:hint="eastAsia" w:ascii="宋体" w:hAnsi="宋体" w:cs="宋体"/>
                <w:b w:val="0"/>
                <w:bCs w:val="0"/>
                <w:i w:val="0"/>
                <w:iCs w:val="0"/>
                <w:caps w:val="0"/>
                <w:spacing w:val="0"/>
                <w:sz w:val="21"/>
                <w:szCs w:val="21"/>
                <w:shd w:val="clear" w:fill="FFFFFF"/>
                <w:lang w:val="en-US" w:eastAsia="zh-CN"/>
              </w:rPr>
              <w:t>2.</w:t>
            </w:r>
            <w:r>
              <w:rPr>
                <w:rFonts w:hint="eastAsia" w:ascii="宋体" w:hAnsi="宋体" w:eastAsia="宋体" w:cs="宋体"/>
                <w:b w:val="0"/>
                <w:bCs w:val="0"/>
                <w:i w:val="0"/>
                <w:iCs w:val="0"/>
                <w:caps w:val="0"/>
                <w:spacing w:val="0"/>
                <w:sz w:val="21"/>
                <w:szCs w:val="21"/>
                <w:shd w:val="clear" w:fill="FFFFFF"/>
              </w:rPr>
              <w:t>备份恢复：支持自动定时备份（至少每日 1 次），恢复时间≤1 小时</w:t>
            </w:r>
          </w:p>
          <w:p>
            <w:pPr>
              <w:keepNext w:val="0"/>
              <w:keepLines w:val="0"/>
              <w:widowControl/>
              <w:numPr>
                <w:ilvl w:val="-1"/>
                <w:numId w:val="0"/>
              </w:numPr>
              <w:suppressLineNumbers w:val="0"/>
              <w:pBdr>
                <w:left w:val="none" w:color="auto" w:sz="0" w:space="0"/>
              </w:pBdr>
              <w:spacing w:before="0" w:beforeAutospacing="0" w:after="0" w:afterAutospacing="0"/>
              <w:ind w:left="0" w:firstLine="0"/>
              <w:jc w:val="left"/>
              <w:rPr>
                <w:rFonts w:hint="eastAsia" w:ascii="宋体" w:hAnsi="宋体" w:eastAsia="宋体" w:cs="宋体"/>
                <w:b w:val="0"/>
                <w:bCs w:val="0"/>
                <w:kern w:val="0"/>
                <w:sz w:val="21"/>
                <w:szCs w:val="21"/>
              </w:rPr>
            </w:pPr>
            <w:r>
              <w:rPr>
                <w:rFonts w:hint="eastAsia" w:ascii="宋体" w:hAnsi="宋体" w:cs="宋体"/>
                <w:b w:val="0"/>
                <w:bCs w:val="0"/>
                <w:i w:val="0"/>
                <w:iCs w:val="0"/>
                <w:caps w:val="0"/>
                <w:spacing w:val="0"/>
                <w:sz w:val="21"/>
                <w:szCs w:val="21"/>
                <w:shd w:val="clear" w:fill="FFFFFF"/>
                <w:lang w:val="en-US" w:eastAsia="zh-CN"/>
              </w:rPr>
              <w:t>3.</w:t>
            </w:r>
            <w:r>
              <w:rPr>
                <w:rFonts w:hint="eastAsia" w:ascii="宋体" w:hAnsi="宋体" w:eastAsia="宋体" w:cs="宋体"/>
                <w:b w:val="0"/>
                <w:bCs w:val="0"/>
                <w:i w:val="0"/>
                <w:iCs w:val="0"/>
                <w:caps w:val="0"/>
                <w:spacing w:val="0"/>
                <w:sz w:val="21"/>
                <w:szCs w:val="21"/>
                <w:shd w:val="clear" w:fill="FFFFFF"/>
              </w:rPr>
              <w:t>容错能力：支持服务熔断、降级，避免单点故障</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10406" w:type="dxa"/>
            <w:gridSpan w:val="8"/>
            <w:tcBorders>
              <w:top w:val="single" w:color="auto" w:sz="4" w:space="0"/>
              <w:left w:val="single" w:color="auto" w:sz="4" w:space="0"/>
              <w:bottom w:val="single" w:color="auto" w:sz="4" w:space="0"/>
              <w:right w:val="single" w:color="auto" w:sz="4" w:space="0"/>
            </w:tcBorders>
            <w:noWrap w:val="0"/>
            <w:vAlign w:val="top"/>
          </w:tcPr>
          <w:p>
            <w:pPr>
              <w:tabs>
                <w:tab w:val="left" w:pos="180"/>
                <w:tab w:val="left" w:pos="1620"/>
              </w:tabs>
              <w:spacing w:line="240" w:lineRule="auto"/>
              <w:jc w:val="center"/>
              <w:rPr>
                <w:rFonts w:hint="default"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商务要求参数</w:t>
            </w:r>
          </w:p>
          <w:p>
            <w:pPr>
              <w:widowControl/>
              <w:numPr>
                <w:ilvl w:val="0"/>
                <w:numId w:val="0"/>
              </w:numPr>
              <w:adjustRightInd w:val="0"/>
              <w:snapToGrid w:val="0"/>
              <w:spacing w:line="240" w:lineRule="auto"/>
              <w:jc w:val="center"/>
            </w:pPr>
            <w:r>
              <w:rPr>
                <w:rFonts w:hint="eastAsia" w:ascii="宋体" w:hAnsi="宋体" w:eastAsia="宋体" w:cs="宋体"/>
                <w:szCs w:val="21"/>
                <w:highlight w:val="none"/>
                <w:lang w:val="en-US" w:eastAsia="zh-CN"/>
              </w:rPr>
              <w:t>（对供应商资质、报价、履约、售后等详细要求）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21" w:hRule="atLeast"/>
          <w:jc w:val="center"/>
        </w:trPr>
        <w:tc>
          <w:tcPr>
            <w:tcW w:w="1716"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default" w:ascii="宋体" w:hAnsi="宋体" w:eastAsia="宋体"/>
                <w:b/>
                <w:bCs/>
                <w:color w:val="000000"/>
                <w:szCs w:val="21"/>
                <w:highlight w:val="none"/>
                <w:lang w:val="en-US" w:eastAsia="zh-CN"/>
              </w:rPr>
            </w:pPr>
            <w:r>
              <w:rPr>
                <w:rFonts w:hint="eastAsia" w:ascii="宋体" w:hAnsi="宋体" w:cs="宋体"/>
                <w:b/>
                <w:bCs/>
                <w:color w:val="000000"/>
                <w:szCs w:val="21"/>
                <w:highlight w:val="none"/>
                <w:lang w:val="en-US" w:eastAsia="zh-CN"/>
              </w:rPr>
              <w:t>供应商资质要求</w:t>
            </w:r>
          </w:p>
        </w:tc>
        <w:tc>
          <w:tcPr>
            <w:tcW w:w="8690" w:type="dxa"/>
            <w:gridSpan w:val="7"/>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0"/>
              </w:numPr>
              <w:adjustRightInd w:val="0"/>
              <w:snapToGrid w:val="0"/>
              <w:spacing w:line="400" w:lineRule="exact"/>
              <w:rPr>
                <w:rFonts w:hint="eastAsia" w:ascii="宋体" w:hAnsi="宋体" w:eastAsia="宋体" w:cs="宋体"/>
                <w:szCs w:val="21"/>
                <w:highlight w:val="none"/>
              </w:rPr>
            </w:pPr>
            <w:r>
              <w:rPr>
                <w:rFonts w:hint="eastAsia" w:ascii="宋体" w:hAnsi="宋体" w:eastAsia="宋体" w:cs="宋体"/>
                <w:kern w:val="2"/>
                <w:sz w:val="21"/>
                <w:szCs w:val="21"/>
                <w:lang w:val="en-US" w:eastAsia="zh-CN" w:bidi="ar-SA"/>
              </w:rPr>
              <w:t>1.</w:t>
            </w:r>
            <w:r>
              <w:rPr>
                <w:rFonts w:hint="eastAsia" w:ascii="宋体" w:hAnsi="宋体" w:eastAsia="宋体" w:cs="宋体"/>
                <w:szCs w:val="21"/>
                <w:highlight w:val="none"/>
                <w:lang w:val="en-US" w:eastAsia="zh-CN"/>
              </w:rPr>
              <w:t>符合</w:t>
            </w:r>
            <w:r>
              <w:rPr>
                <w:rFonts w:hint="eastAsia" w:ascii="宋体" w:hAnsi="宋体" w:eastAsia="宋体" w:cs="宋体"/>
                <w:szCs w:val="21"/>
                <w:highlight w:val="none"/>
              </w:rPr>
              <w:t>政府采购法第二十二条第一款规定的条件，提供下列材料</w:t>
            </w:r>
            <w:r>
              <w:rPr>
                <w:rFonts w:hint="eastAsia" w:ascii="宋体" w:hAnsi="宋体" w:cs="宋体"/>
                <w:szCs w:val="21"/>
                <w:highlight w:val="none"/>
                <w:lang w:eastAsia="zh-CN"/>
              </w:rPr>
              <w:t>：</w:t>
            </w:r>
          </w:p>
          <w:p>
            <w:pPr>
              <w:widowControl/>
              <w:numPr>
                <w:ilvl w:val="0"/>
                <w:numId w:val="0"/>
              </w:numPr>
              <w:adjustRightInd w:val="0"/>
              <w:snapToGrid w:val="0"/>
              <w:spacing w:line="400" w:lineRule="exact"/>
              <w:rPr>
                <w:rFonts w:hint="eastAsia" w:ascii="宋体" w:hAnsi="宋体" w:eastAsia="宋体" w:cs="宋体"/>
                <w:szCs w:val="21"/>
                <w:highlight w:val="none"/>
                <w:lang w:eastAsia="zh-CN"/>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1</w:t>
            </w:r>
            <w:r>
              <w:rPr>
                <w:rFonts w:hint="eastAsia" w:ascii="宋体" w:hAnsi="宋体" w:eastAsia="宋体" w:cs="宋体"/>
                <w:szCs w:val="21"/>
                <w:highlight w:val="none"/>
                <w:lang w:eastAsia="zh-CN"/>
              </w:rPr>
              <w:t>.</w:t>
            </w:r>
            <w:r>
              <w:rPr>
                <w:rFonts w:hint="eastAsia" w:ascii="宋体" w:hAnsi="宋体" w:eastAsia="宋体" w:cs="宋体"/>
                <w:szCs w:val="21"/>
                <w:highlight w:val="none"/>
              </w:rPr>
              <w:t>法人或者其他组织的营业执照等证明文件，自然人的身份证明</w:t>
            </w:r>
            <w:r>
              <w:rPr>
                <w:rFonts w:hint="eastAsia" w:ascii="宋体" w:hAnsi="宋体" w:eastAsia="宋体" w:cs="宋体"/>
                <w:szCs w:val="21"/>
                <w:highlight w:val="none"/>
                <w:lang w:eastAsia="zh-CN"/>
              </w:rPr>
              <w:t>；</w:t>
            </w:r>
          </w:p>
          <w:p>
            <w:pPr>
              <w:widowControl/>
              <w:numPr>
                <w:ilvl w:val="0"/>
                <w:numId w:val="0"/>
              </w:numPr>
              <w:adjustRightInd w:val="0"/>
              <w:snapToGrid w:val="0"/>
              <w:spacing w:line="400" w:lineRule="exact"/>
              <w:rPr>
                <w:rFonts w:hint="eastAsia" w:ascii="宋体" w:hAnsi="宋体" w:eastAsia="宋体" w:cs="宋体"/>
                <w:szCs w:val="21"/>
                <w:highlight w:val="none"/>
                <w:lang w:eastAsia="zh-CN"/>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2</w:t>
            </w:r>
            <w:r>
              <w:rPr>
                <w:rFonts w:hint="eastAsia" w:ascii="宋体" w:hAnsi="宋体" w:eastAsia="宋体" w:cs="宋体"/>
                <w:szCs w:val="21"/>
                <w:highlight w:val="none"/>
                <w:lang w:eastAsia="zh-CN"/>
              </w:rPr>
              <w:t>.</w:t>
            </w:r>
            <w:r>
              <w:rPr>
                <w:rFonts w:hint="eastAsia" w:ascii="宋体" w:hAnsi="宋体" w:eastAsia="宋体" w:cs="宋体"/>
                <w:szCs w:val="21"/>
                <w:highlight w:val="none"/>
              </w:rPr>
              <w:t>财务状况报告，依法缴纳税收和社会保障资金的相关材料</w:t>
            </w:r>
            <w:r>
              <w:rPr>
                <w:rFonts w:hint="eastAsia" w:ascii="宋体" w:hAnsi="宋体" w:eastAsia="宋体" w:cs="宋体"/>
                <w:szCs w:val="21"/>
                <w:highlight w:val="none"/>
                <w:lang w:eastAsia="zh-CN"/>
              </w:rPr>
              <w:t>；</w:t>
            </w:r>
          </w:p>
          <w:p>
            <w:pPr>
              <w:widowControl/>
              <w:numPr>
                <w:ilvl w:val="0"/>
                <w:numId w:val="0"/>
              </w:numPr>
              <w:adjustRightInd w:val="0"/>
              <w:snapToGrid w:val="0"/>
              <w:spacing w:line="400" w:lineRule="exact"/>
              <w:rPr>
                <w:rFonts w:hint="eastAsia" w:ascii="宋体" w:hAnsi="宋体" w:eastAsia="宋体" w:cs="宋体"/>
                <w:szCs w:val="21"/>
                <w:highlight w:val="none"/>
                <w:lang w:eastAsia="zh-CN"/>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3</w:t>
            </w:r>
            <w:r>
              <w:rPr>
                <w:rFonts w:hint="eastAsia" w:ascii="宋体" w:hAnsi="宋体" w:eastAsia="宋体" w:cs="宋体"/>
                <w:szCs w:val="21"/>
                <w:highlight w:val="none"/>
                <w:lang w:eastAsia="zh-CN"/>
              </w:rPr>
              <w:t>.</w:t>
            </w:r>
            <w:r>
              <w:rPr>
                <w:rFonts w:hint="eastAsia" w:ascii="宋体" w:hAnsi="宋体" w:eastAsia="宋体" w:cs="宋体"/>
                <w:szCs w:val="21"/>
                <w:highlight w:val="none"/>
              </w:rPr>
              <w:t>具备履行合同所必需的设备和专业技术能力的证明材料</w:t>
            </w:r>
            <w:r>
              <w:rPr>
                <w:rFonts w:hint="eastAsia" w:ascii="宋体" w:hAnsi="宋体" w:eastAsia="宋体" w:cs="宋体"/>
                <w:szCs w:val="21"/>
                <w:highlight w:val="none"/>
                <w:lang w:eastAsia="zh-CN"/>
              </w:rPr>
              <w:t>；</w:t>
            </w:r>
          </w:p>
          <w:p>
            <w:pPr>
              <w:widowControl/>
              <w:numPr>
                <w:ilvl w:val="0"/>
                <w:numId w:val="0"/>
              </w:numPr>
              <w:adjustRightInd w:val="0"/>
              <w:snapToGrid w:val="0"/>
              <w:spacing w:line="400" w:lineRule="exact"/>
              <w:rPr>
                <w:rFonts w:hint="eastAsia" w:ascii="宋体" w:hAnsi="宋体" w:eastAsia="宋体" w:cs="宋体"/>
                <w:szCs w:val="21"/>
                <w:highlight w:val="none"/>
                <w:lang w:eastAsia="zh-CN"/>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4</w:t>
            </w:r>
            <w:r>
              <w:rPr>
                <w:rFonts w:hint="eastAsia" w:ascii="宋体" w:hAnsi="宋体" w:eastAsia="宋体" w:cs="宋体"/>
                <w:szCs w:val="21"/>
                <w:highlight w:val="none"/>
                <w:lang w:eastAsia="zh-CN"/>
              </w:rPr>
              <w:t>.</w:t>
            </w:r>
            <w:r>
              <w:rPr>
                <w:rFonts w:hint="eastAsia" w:ascii="宋体" w:hAnsi="宋体" w:eastAsia="宋体" w:cs="宋体"/>
                <w:szCs w:val="21"/>
                <w:highlight w:val="none"/>
              </w:rPr>
              <w:t>参加政府采购活动前3年内在经营活动中没有重大违法记录的书面声明</w:t>
            </w:r>
            <w:r>
              <w:rPr>
                <w:rFonts w:hint="eastAsia" w:ascii="宋体" w:hAnsi="宋体" w:eastAsia="宋体" w:cs="宋体"/>
                <w:szCs w:val="21"/>
                <w:highlight w:val="none"/>
                <w:lang w:val="en-US" w:eastAsia="zh-CN"/>
              </w:rPr>
              <w:t>和失信行为的证明</w:t>
            </w:r>
            <w:r>
              <w:rPr>
                <w:rFonts w:hint="eastAsia" w:ascii="宋体" w:hAnsi="宋体" w:eastAsia="宋体" w:cs="宋体"/>
                <w:szCs w:val="21"/>
                <w:highlight w:val="none"/>
                <w:lang w:eastAsia="zh-CN"/>
              </w:rPr>
              <w:t>；</w:t>
            </w:r>
          </w:p>
          <w:p>
            <w:pPr>
              <w:widowControl/>
              <w:numPr>
                <w:ilvl w:val="0"/>
                <w:numId w:val="0"/>
              </w:numPr>
              <w:adjustRightInd w:val="0"/>
              <w:snapToGrid w:val="0"/>
              <w:spacing w:line="400" w:lineRule="exac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2.本项目特定要求：</w:t>
            </w:r>
          </w:p>
          <w:p>
            <w:pPr>
              <w:widowControl/>
              <w:numPr>
                <w:ilvl w:val="0"/>
                <w:numId w:val="0"/>
              </w:numPr>
              <w:adjustRightInd w:val="0"/>
              <w:snapToGrid w:val="0"/>
              <w:spacing w:line="400" w:lineRule="exact"/>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（1）具有履行合同所必需的条件，在南宁市有固定的服务团队和经营场所；</w:t>
            </w:r>
          </w:p>
          <w:p>
            <w:pPr>
              <w:widowControl/>
              <w:numPr>
                <w:ilvl w:val="0"/>
                <w:numId w:val="0"/>
              </w:numPr>
              <w:adjustRightInd w:val="0"/>
              <w:snapToGrid w:val="0"/>
              <w:spacing w:line="400" w:lineRule="exac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3.是否接收联合体投标：□是   ☑否</w:t>
            </w:r>
          </w:p>
          <w:p>
            <w:pPr>
              <w:widowControl/>
              <w:numPr>
                <w:ilvl w:val="0"/>
                <w:numId w:val="0"/>
              </w:numPr>
              <w:adjustRightInd w:val="0"/>
              <w:snapToGrid w:val="0"/>
              <w:spacing w:line="400" w:lineRule="exac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4.是否面向中小微企业预留份额：☑是     □否</w:t>
            </w:r>
          </w:p>
          <w:p>
            <w:pPr>
              <w:widowControl/>
              <w:numPr>
                <w:ilvl w:val="0"/>
                <w:numId w:val="0"/>
              </w:numPr>
              <w:adjustRightInd w:val="0"/>
              <w:snapToGrid w:val="0"/>
              <w:spacing w:line="400" w:lineRule="exact"/>
              <w:rPr>
                <w:rFonts w:hint="eastAsia" w:ascii="宋体" w:hAnsi="宋体"/>
                <w:b/>
                <w:color w:val="000000"/>
                <w:szCs w:val="21"/>
                <w:highlight w:val="none"/>
              </w:rPr>
            </w:pPr>
            <w:r>
              <w:rPr>
                <w:rFonts w:hint="eastAsia" w:ascii="宋体" w:hAnsi="宋体" w:eastAsia="宋体" w:cs="宋体"/>
                <w:szCs w:val="21"/>
                <w:highlight w:val="none"/>
                <w:lang w:val="en-US" w:eastAsia="zh-CN"/>
              </w:rPr>
              <w:t>5.是否允许分包/转包：□是   ☑否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16"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宋体" w:hAnsi="宋体" w:cs="宋体"/>
                <w:b/>
                <w:bCs/>
                <w:color w:val="000000"/>
                <w:szCs w:val="21"/>
                <w:highlight w:val="none"/>
              </w:rPr>
            </w:pPr>
            <w:r>
              <w:rPr>
                <w:rFonts w:hint="eastAsia" w:ascii="宋体" w:hAnsi="宋体" w:cs="宋体"/>
                <w:b/>
                <w:bCs/>
                <w:color w:val="000000"/>
                <w:szCs w:val="21"/>
                <w:highlight w:val="none"/>
              </w:rPr>
              <w:t>实施期限和地点</w:t>
            </w:r>
          </w:p>
        </w:tc>
        <w:tc>
          <w:tcPr>
            <w:tcW w:w="8690" w:type="dxa"/>
            <w:gridSpan w:val="7"/>
            <w:tcBorders>
              <w:top w:val="single" w:color="auto" w:sz="4" w:space="0"/>
              <w:left w:val="single" w:color="auto" w:sz="4" w:space="0"/>
              <w:bottom w:val="single" w:color="auto" w:sz="4" w:space="0"/>
              <w:right w:val="single" w:color="auto" w:sz="4" w:space="0"/>
            </w:tcBorders>
            <w:noWrap w:val="0"/>
            <w:vAlign w:val="center"/>
          </w:tcPr>
          <w:p>
            <w:pPr>
              <w:spacing w:line="400" w:lineRule="exact"/>
              <w:ind w:left="315" w:hanging="315" w:hangingChars="150"/>
              <w:rPr>
                <w:rFonts w:ascii="宋体" w:hAnsi="宋体"/>
                <w:color w:val="FF0000"/>
                <w:szCs w:val="21"/>
                <w:highlight w:val="none"/>
              </w:rPr>
            </w:pPr>
            <w:r>
              <w:rPr>
                <w:rFonts w:hint="eastAsia" w:ascii="宋体" w:hAnsi="宋体"/>
                <w:szCs w:val="21"/>
                <w:highlight w:val="none"/>
              </w:rPr>
              <w:t>1、</w:t>
            </w:r>
            <w:r>
              <w:rPr>
                <w:rFonts w:hint="eastAsia" w:ascii="宋体" w:hAnsi="宋体"/>
                <w:szCs w:val="21"/>
                <w:highlight w:val="none"/>
                <w:lang w:val="en-US" w:eastAsia="zh-CN"/>
              </w:rPr>
              <w:t>实施</w:t>
            </w:r>
            <w:r>
              <w:rPr>
                <w:rFonts w:hint="eastAsia" w:ascii="宋体" w:hAnsi="宋体"/>
                <w:szCs w:val="21"/>
                <w:highlight w:val="none"/>
              </w:rPr>
              <w:t>期限：自签订合同之日起</w:t>
            </w:r>
            <w:r>
              <w:rPr>
                <w:rFonts w:hint="eastAsia" w:ascii="宋体" w:hAnsi="宋体"/>
                <w:szCs w:val="21"/>
                <w:highlight w:val="none"/>
                <w:u w:val="single"/>
                <w:lang w:val="en-US" w:eastAsia="zh-CN"/>
              </w:rPr>
              <w:t>两个月内</w:t>
            </w:r>
            <w:r>
              <w:rPr>
                <w:rFonts w:hint="eastAsia" w:ascii="宋体" w:hAnsi="宋体"/>
                <w:szCs w:val="21"/>
                <w:highlight w:val="none"/>
                <w:u w:val="none"/>
                <w:lang w:val="en-US" w:eastAsia="zh-CN"/>
              </w:rPr>
              <w:t>完成系统软件上线、测试、验收</w:t>
            </w:r>
            <w:r>
              <w:rPr>
                <w:rFonts w:hint="eastAsia" w:ascii="宋体" w:hAnsi="宋体"/>
                <w:szCs w:val="21"/>
                <w:highlight w:val="none"/>
              </w:rPr>
              <w:t>。</w:t>
            </w:r>
          </w:p>
          <w:p>
            <w:pPr>
              <w:spacing w:line="400" w:lineRule="exact"/>
              <w:rPr>
                <w:rFonts w:hint="eastAsia" w:ascii="宋体" w:hAnsi="宋体"/>
                <w:szCs w:val="21"/>
                <w:highlight w:val="none"/>
              </w:rPr>
            </w:pPr>
            <w:r>
              <w:rPr>
                <w:rFonts w:hint="eastAsia" w:ascii="宋体" w:hAnsi="宋体"/>
                <w:szCs w:val="21"/>
                <w:highlight w:val="none"/>
              </w:rPr>
              <w:t>2、服务地点：</w:t>
            </w:r>
            <w:r>
              <w:rPr>
                <w:rFonts w:hint="eastAsia" w:ascii="宋体" w:hAnsi="宋体"/>
                <w:szCs w:val="21"/>
                <w:highlight w:val="none"/>
                <w:lang w:val="en-US" w:eastAsia="zh-CN"/>
              </w:rPr>
              <w:t xml:space="preserve"> 广西骨伤医院</w:t>
            </w:r>
            <w:r>
              <w:rPr>
                <w:rFonts w:hint="eastAsia" w:ascii="宋体" w:hAnsi="宋体"/>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16"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default" w:ascii="宋体" w:hAnsi="宋体" w:eastAsia="宋体" w:cs="宋体"/>
                <w:b/>
                <w:bCs/>
                <w:color w:val="000000"/>
                <w:szCs w:val="21"/>
                <w:highlight w:val="none"/>
                <w:lang w:val="en-US" w:eastAsia="zh-CN"/>
              </w:rPr>
            </w:pPr>
            <w:r>
              <w:rPr>
                <w:rFonts w:hint="eastAsia" w:ascii="宋体" w:hAnsi="宋体" w:cs="宋体"/>
                <w:b/>
                <w:bCs/>
                <w:color w:val="000000"/>
                <w:szCs w:val="21"/>
                <w:highlight w:val="none"/>
                <w:lang w:val="en-US" w:eastAsia="zh-CN"/>
              </w:rPr>
              <w:t>合同签订期限</w:t>
            </w:r>
          </w:p>
        </w:tc>
        <w:tc>
          <w:tcPr>
            <w:tcW w:w="8690" w:type="dxa"/>
            <w:gridSpan w:val="7"/>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hint="default" w:ascii="宋体" w:hAnsi="宋体" w:eastAsia="宋体"/>
                <w:szCs w:val="21"/>
                <w:highlight w:val="none"/>
                <w:lang w:val="en-US" w:eastAsia="zh-CN"/>
              </w:rPr>
            </w:pPr>
            <w:r>
              <w:rPr>
                <w:rFonts w:hint="eastAsia" w:ascii="宋体" w:hAnsi="宋体"/>
                <w:szCs w:val="21"/>
                <w:highlight w:val="none"/>
                <w:lang w:val="en-US" w:eastAsia="zh-CN"/>
              </w:rPr>
              <w:t>自成交通知书发出之日起</w:t>
            </w:r>
            <w:r>
              <w:rPr>
                <w:rFonts w:hint="eastAsia" w:ascii="宋体" w:hAnsi="宋体"/>
                <w:szCs w:val="21"/>
                <w:highlight w:val="none"/>
                <w:u w:val="single"/>
                <w:lang w:val="en-US" w:eastAsia="zh-CN"/>
              </w:rPr>
              <w:t>15</w:t>
            </w:r>
            <w:r>
              <w:rPr>
                <w:rFonts w:hint="eastAsia" w:ascii="宋体" w:hAnsi="宋体"/>
                <w:szCs w:val="21"/>
                <w:highlight w:val="none"/>
                <w:lang w:val="en-US" w:eastAsia="zh-CN"/>
              </w:rPr>
              <w:t>个工作日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716"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宋体" w:hAnsi="宋体" w:cs="宋体"/>
                <w:b/>
                <w:szCs w:val="21"/>
                <w:highlight w:val="none"/>
              </w:rPr>
            </w:pPr>
            <w:r>
              <w:rPr>
                <w:rFonts w:hint="eastAsia" w:ascii="宋体" w:hAnsi="宋体" w:cs="宋体"/>
                <w:b/>
                <w:szCs w:val="21"/>
                <w:highlight w:val="none"/>
              </w:rPr>
              <w:t>质保期</w:t>
            </w:r>
          </w:p>
        </w:tc>
        <w:tc>
          <w:tcPr>
            <w:tcW w:w="8690" w:type="dxa"/>
            <w:gridSpan w:val="7"/>
            <w:tcBorders>
              <w:top w:val="single" w:color="auto" w:sz="4" w:space="0"/>
              <w:left w:val="single" w:color="auto" w:sz="4" w:space="0"/>
              <w:bottom w:val="single" w:color="auto" w:sz="4" w:space="0"/>
              <w:right w:val="single" w:color="auto" w:sz="4" w:space="0"/>
            </w:tcBorders>
            <w:noWrap w:val="0"/>
            <w:vAlign w:val="center"/>
          </w:tcPr>
          <w:p>
            <w:pPr>
              <w:spacing w:line="400" w:lineRule="exact"/>
              <w:jc w:val="left"/>
              <w:rPr>
                <w:rFonts w:hint="eastAsia" w:ascii="宋体" w:hAnsi="宋体" w:cs="宋体"/>
                <w:szCs w:val="21"/>
                <w:highlight w:val="none"/>
              </w:rPr>
            </w:pPr>
            <w:r>
              <w:rPr>
                <w:rFonts w:hint="eastAsia" w:ascii="宋体" w:hAnsi="宋体" w:cs="宋体"/>
                <w:szCs w:val="21"/>
                <w:highlight w:val="none"/>
              </w:rPr>
              <w:t>按国家有关产品“三包”规定执行“三包”，</w:t>
            </w:r>
            <w:r>
              <w:rPr>
                <w:rFonts w:hint="eastAsia" w:ascii="宋体" w:hAnsi="宋体" w:cs="宋体"/>
                <w:szCs w:val="21"/>
                <w:highlight w:val="none"/>
                <w:lang w:val="en-US" w:eastAsia="zh-CN"/>
              </w:rPr>
              <w:t>自</w:t>
            </w:r>
            <w:r>
              <w:rPr>
                <w:rFonts w:hint="eastAsia" w:ascii="宋体" w:hAnsi="宋体" w:cs="宋体"/>
                <w:szCs w:val="21"/>
                <w:highlight w:val="none"/>
              </w:rPr>
              <w:t>验收合格之日起所有货物、</w:t>
            </w:r>
            <w:r>
              <w:rPr>
                <w:rFonts w:hint="eastAsia" w:ascii="宋体" w:hAnsi="宋体" w:cs="宋体"/>
                <w:szCs w:val="21"/>
                <w:highlight w:val="none"/>
                <w:lang w:val="en-US" w:eastAsia="zh-CN"/>
              </w:rPr>
              <w:t>配件</w:t>
            </w:r>
            <w:r>
              <w:rPr>
                <w:rFonts w:hint="eastAsia" w:ascii="宋体" w:hAnsi="宋体" w:cs="宋体"/>
                <w:szCs w:val="21"/>
                <w:highlight w:val="none"/>
              </w:rPr>
              <w:t>提供</w:t>
            </w:r>
            <w:r>
              <w:rPr>
                <w:rFonts w:hint="eastAsia" w:ascii="宋体" w:hAnsi="宋体" w:cs="宋体"/>
                <w:szCs w:val="21"/>
                <w:highlight w:val="none"/>
                <w:u w:val="single"/>
                <w:lang w:val="en-US" w:eastAsia="zh-CN"/>
              </w:rPr>
              <w:t>≥一</w:t>
            </w:r>
            <w:r>
              <w:rPr>
                <w:rFonts w:hint="eastAsia" w:ascii="宋体" w:hAnsi="宋体" w:cs="宋体"/>
                <w:szCs w:val="21"/>
                <w:highlight w:val="none"/>
              </w:rPr>
              <w:t>年的</w:t>
            </w:r>
            <w:r>
              <w:rPr>
                <w:rFonts w:hint="eastAsia" w:ascii="宋体" w:hAnsi="宋体" w:cs="宋体"/>
                <w:szCs w:val="21"/>
                <w:highlight w:val="none"/>
                <w:lang w:val="en-US" w:eastAsia="zh-CN"/>
              </w:rPr>
              <w:t>免费维保</w:t>
            </w:r>
            <w:r>
              <w:rPr>
                <w:rFonts w:hint="eastAsia" w:ascii="宋体" w:hAnsi="宋体" w:cs="宋体"/>
                <w:szCs w:val="21"/>
                <w:highlight w:val="none"/>
              </w:rPr>
              <w:t>服务。质保期内上门更换有质量问题的货物</w:t>
            </w:r>
            <w:r>
              <w:rPr>
                <w:rFonts w:hint="eastAsia" w:ascii="宋体" w:hAnsi="宋体" w:cs="宋体"/>
                <w:szCs w:val="21"/>
                <w:highlight w:val="none"/>
                <w:lang w:eastAsia="zh-CN"/>
              </w:rPr>
              <w:t>，</w:t>
            </w:r>
            <w:r>
              <w:rPr>
                <w:rFonts w:hint="eastAsia" w:ascii="宋体" w:hAnsi="宋体" w:cs="宋体"/>
                <w:szCs w:val="21"/>
                <w:highlight w:val="none"/>
              </w:rPr>
              <w:t>相关费用应包含在投标总价中。</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716"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color w:val="000000"/>
                <w:szCs w:val="21"/>
                <w:highlight w:val="none"/>
              </w:rPr>
            </w:pPr>
            <w:r>
              <w:rPr>
                <w:rFonts w:hint="eastAsia" w:ascii="宋体" w:hAnsi="宋体" w:cs="宋体"/>
                <w:b/>
                <w:szCs w:val="21"/>
                <w:highlight w:val="none"/>
              </w:rPr>
              <w:t>售后服务要求</w:t>
            </w:r>
          </w:p>
        </w:tc>
        <w:tc>
          <w:tcPr>
            <w:tcW w:w="8690" w:type="dxa"/>
            <w:gridSpan w:val="7"/>
            <w:tcBorders>
              <w:top w:val="single" w:color="auto" w:sz="4" w:space="0"/>
              <w:left w:val="single" w:color="auto" w:sz="4" w:space="0"/>
              <w:bottom w:val="single" w:color="auto" w:sz="4" w:space="0"/>
              <w:right w:val="single" w:color="auto" w:sz="4" w:space="0"/>
            </w:tcBorders>
            <w:noWrap w:val="0"/>
            <w:vAlign w:val="center"/>
          </w:tcPr>
          <w:p>
            <w:pPr>
              <w:spacing w:line="400" w:lineRule="exact"/>
              <w:jc w:val="left"/>
              <w:rPr>
                <w:rFonts w:hint="eastAsia"/>
                <w:color w:val="000000"/>
                <w:szCs w:val="21"/>
                <w:highlight w:val="none"/>
                <w:lang w:val="en-US" w:eastAsia="zh-CN"/>
              </w:rPr>
            </w:pPr>
            <w:r>
              <w:rPr>
                <w:rFonts w:hint="eastAsia"/>
                <w:color w:val="000000"/>
                <w:szCs w:val="21"/>
                <w:highlight w:val="none"/>
                <w:lang w:val="en-US" w:eastAsia="zh-CN"/>
              </w:rPr>
              <w:t>软件：</w:t>
            </w:r>
          </w:p>
          <w:p>
            <w:pPr>
              <w:spacing w:line="400" w:lineRule="exact"/>
              <w:jc w:val="left"/>
              <w:rPr>
                <w:rFonts w:hint="eastAsia"/>
                <w:color w:val="000000"/>
                <w:szCs w:val="21"/>
                <w:highlight w:val="none"/>
                <w:lang w:val="en-US" w:eastAsia="zh-CN"/>
              </w:rPr>
            </w:pPr>
            <w:r>
              <w:rPr>
                <w:rFonts w:hint="eastAsia"/>
                <w:color w:val="000000"/>
                <w:szCs w:val="21"/>
                <w:highlight w:val="none"/>
                <w:lang w:val="en-US" w:eastAsia="zh-CN"/>
              </w:rPr>
              <w:t>1、服务响应：提供 7x24小时售后服务，包括邮件、电话、远程维护、驻点服务等方式。有足够的人员保障系统正常工作，并保证2小时响应，24小时之内解决问题。</w:t>
            </w:r>
          </w:p>
          <w:p>
            <w:pPr>
              <w:spacing w:line="400" w:lineRule="exact"/>
              <w:jc w:val="left"/>
              <w:rPr>
                <w:rFonts w:hint="eastAsia"/>
                <w:color w:val="000000"/>
                <w:szCs w:val="21"/>
                <w:highlight w:val="none"/>
                <w:lang w:val="en-US" w:eastAsia="zh-CN"/>
              </w:rPr>
            </w:pPr>
            <w:r>
              <w:rPr>
                <w:rFonts w:hint="eastAsia"/>
                <w:color w:val="000000"/>
                <w:szCs w:val="21"/>
                <w:highlight w:val="none"/>
                <w:lang w:val="en-US" w:eastAsia="zh-CN"/>
              </w:rPr>
              <w:t>2、政策同步更新：根据国家及地方医保 DRG 政策调整（如分组方案升级至 2.0 版本、结算细则变更），同步更新系统分组引擎、拨付规则等核心模块，确保院端与医保局规则一致。</w:t>
            </w:r>
          </w:p>
          <w:p>
            <w:pPr>
              <w:spacing w:line="400" w:lineRule="exact"/>
              <w:jc w:val="left"/>
              <w:rPr>
                <w:rFonts w:hint="eastAsia"/>
                <w:color w:val="000000"/>
                <w:szCs w:val="21"/>
                <w:highlight w:val="none"/>
                <w:lang w:val="en-US" w:eastAsia="zh-CN"/>
              </w:rPr>
            </w:pPr>
            <w:r>
              <w:rPr>
                <w:rFonts w:hint="eastAsia"/>
                <w:color w:val="000000"/>
                <w:szCs w:val="21"/>
                <w:highlight w:val="none"/>
                <w:lang w:val="en-US" w:eastAsia="zh-CN"/>
              </w:rPr>
              <w:t>3、功能迭代：结合医院实际使用需求，免费提供系统功能优化与迭代（如新增自定义报表、调整预警阈值），提升系统适配性。</w:t>
            </w:r>
          </w:p>
          <w:p>
            <w:pPr>
              <w:spacing w:line="400" w:lineRule="exact"/>
              <w:jc w:val="left"/>
              <w:rPr>
                <w:rFonts w:hint="eastAsia"/>
                <w:color w:val="000000"/>
                <w:szCs w:val="21"/>
                <w:highlight w:val="none"/>
                <w:lang w:val="en-US" w:eastAsia="zh-CN"/>
              </w:rPr>
            </w:pPr>
            <w:r>
              <w:rPr>
                <w:rFonts w:hint="eastAsia"/>
                <w:color w:val="000000"/>
                <w:szCs w:val="21"/>
                <w:highlight w:val="none"/>
                <w:lang w:val="en-US" w:eastAsia="zh-CN"/>
              </w:rPr>
              <w:t>4、数据备份：协助医院建立定期数据备份机制（至少每日 1 次），支持自动备份与手动备份，备份数据需异地存储，保障数据安全性。</w:t>
            </w:r>
          </w:p>
          <w:p>
            <w:pPr>
              <w:spacing w:line="400" w:lineRule="exact"/>
              <w:jc w:val="left"/>
              <w:rPr>
                <w:rFonts w:hint="eastAsia"/>
                <w:color w:val="000000"/>
                <w:szCs w:val="21"/>
                <w:highlight w:val="none"/>
                <w:lang w:val="en-US" w:eastAsia="zh-CN"/>
              </w:rPr>
            </w:pPr>
            <w:r>
              <w:rPr>
                <w:rFonts w:hint="eastAsia"/>
                <w:color w:val="000000"/>
                <w:szCs w:val="21"/>
                <w:highlight w:val="none"/>
                <w:lang w:val="en-US" w:eastAsia="zh-CN"/>
              </w:rPr>
              <w:t>5、恢复支持：若发生数据丢失或损坏，提供数据恢复服务，恢复时间不超过 1 小时，确保业务连续性。</w:t>
            </w:r>
          </w:p>
          <w:p>
            <w:pPr>
              <w:pStyle w:val="19"/>
              <w:rPr>
                <w:rFonts w:hint="eastAsia"/>
                <w:color w:val="000000"/>
                <w:sz w:val="21"/>
                <w:szCs w:val="21"/>
                <w:highlight w:val="none"/>
                <w:lang w:val="en-US" w:eastAsia="zh-CN"/>
              </w:rPr>
            </w:pPr>
            <w:r>
              <w:rPr>
                <w:rFonts w:hint="eastAsia"/>
                <w:color w:val="000000"/>
                <w:sz w:val="21"/>
                <w:szCs w:val="21"/>
                <w:highlight w:val="none"/>
                <w:lang w:val="en-US" w:eastAsia="zh-CN"/>
              </w:rPr>
              <w:t>6、日常技术支持：提供远程技术咨询（电话、邮件、视频会议等），解答系统操作、报表生成、指标解读等问题，响应时间不超过 30 分钟。</w:t>
            </w:r>
          </w:p>
          <w:p>
            <w:pPr>
              <w:pStyle w:val="19"/>
              <w:rPr>
                <w:rFonts w:hint="eastAsia"/>
                <w:color w:val="000000"/>
                <w:sz w:val="21"/>
                <w:szCs w:val="21"/>
                <w:highlight w:val="none"/>
                <w:lang w:val="en-US" w:eastAsia="zh-CN"/>
              </w:rPr>
            </w:pPr>
            <w:r>
              <w:rPr>
                <w:rFonts w:hint="eastAsia"/>
                <w:color w:val="000000"/>
                <w:sz w:val="21"/>
                <w:szCs w:val="21"/>
                <w:highlight w:val="none"/>
                <w:lang w:val="en-US" w:eastAsia="zh-CN"/>
              </w:rPr>
              <w:t>7、系统培训：开展全院相关人员系统培训工作，确保相关人员熟悉使用系统。</w:t>
            </w:r>
          </w:p>
          <w:p>
            <w:pPr>
              <w:spacing w:line="400" w:lineRule="exact"/>
              <w:jc w:val="left"/>
              <w:rPr>
                <w:rFonts w:hint="eastAsia"/>
                <w:color w:val="000000"/>
                <w:szCs w:val="21"/>
                <w:highlight w:val="none"/>
                <w:lang w:val="en-US" w:eastAsia="zh-CN"/>
              </w:rPr>
            </w:pPr>
            <w:r>
              <w:rPr>
                <w:rFonts w:hint="eastAsia"/>
                <w:color w:val="000000"/>
                <w:sz w:val="21"/>
                <w:szCs w:val="21"/>
                <w:highlight w:val="none"/>
                <w:lang w:val="en-US" w:eastAsia="zh-CN"/>
              </w:rPr>
              <w:t>8、</w:t>
            </w:r>
            <w:r>
              <w:rPr>
                <w:rFonts w:hint="eastAsia"/>
                <w:color w:val="000000"/>
                <w:szCs w:val="21"/>
                <w:highlight w:val="none"/>
                <w:lang w:val="en-US" w:eastAsia="zh-CN"/>
              </w:rPr>
              <w:t>其他：</w:t>
            </w:r>
          </w:p>
          <w:p>
            <w:pPr>
              <w:pStyle w:val="19"/>
              <w:rPr>
                <w:rFonts w:hint="eastAsia"/>
                <w:color w:val="000000"/>
                <w:sz w:val="21"/>
                <w:szCs w:val="21"/>
                <w:highlight w:val="none"/>
                <w:lang w:val="en-US" w:eastAsia="zh-CN"/>
              </w:rPr>
            </w:pPr>
            <w:r>
              <w:rPr>
                <w:rFonts w:hint="eastAsia"/>
                <w:color w:val="000000"/>
                <w:sz w:val="21"/>
                <w:szCs w:val="21"/>
                <w:highlight w:val="none"/>
                <w:lang w:val="en-US" w:eastAsia="zh-CN"/>
              </w:rPr>
              <w:t>（1）系统交付验收时移交系统技术文档（数据库字典、系统操作说明书等）给医院信息网络中心；</w:t>
            </w:r>
          </w:p>
          <w:p>
            <w:pPr>
              <w:pStyle w:val="19"/>
              <w:rPr>
                <w:rFonts w:hint="default"/>
                <w:lang w:val="en-US" w:eastAsia="zh-CN"/>
              </w:rPr>
            </w:pPr>
            <w:r>
              <w:rPr>
                <w:rFonts w:hint="eastAsia"/>
                <w:color w:val="000000"/>
                <w:sz w:val="21"/>
                <w:szCs w:val="21"/>
                <w:highlight w:val="none"/>
                <w:lang w:val="en-US" w:eastAsia="zh-CN"/>
              </w:rPr>
              <w:t>（2）负责为医院培养2名技术工程师，项目结束后2名工程师能达到独立运维的能力。</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716"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default" w:ascii="宋体" w:hAnsi="宋体" w:eastAsia="宋体" w:cs="宋体"/>
                <w:b/>
                <w:szCs w:val="21"/>
                <w:highlight w:val="none"/>
                <w:lang w:val="en-US" w:eastAsia="zh-CN"/>
              </w:rPr>
            </w:pPr>
            <w:r>
              <w:rPr>
                <w:rFonts w:hint="eastAsia" w:ascii="宋体" w:hAnsi="宋体" w:cs="宋体"/>
                <w:b/>
                <w:szCs w:val="21"/>
                <w:highlight w:val="none"/>
                <w:lang w:val="en-US" w:eastAsia="zh-CN"/>
              </w:rPr>
              <w:t>报价要求</w:t>
            </w:r>
          </w:p>
        </w:tc>
        <w:tc>
          <w:tcPr>
            <w:tcW w:w="8690" w:type="dxa"/>
            <w:gridSpan w:val="7"/>
            <w:tcBorders>
              <w:top w:val="single" w:color="auto" w:sz="4" w:space="0"/>
              <w:left w:val="single" w:color="auto" w:sz="4" w:space="0"/>
              <w:bottom w:val="single" w:color="auto" w:sz="4" w:space="0"/>
              <w:right w:val="single" w:color="auto" w:sz="4" w:space="0"/>
            </w:tcBorders>
            <w:noWrap w:val="0"/>
            <w:vAlign w:val="center"/>
          </w:tcPr>
          <w:p>
            <w:pPr>
              <w:pStyle w:val="19"/>
              <w:numPr>
                <w:ilvl w:val="-1"/>
                <w:numId w:val="0"/>
              </w:numPr>
              <w:tabs>
                <w:tab w:val="left" w:pos="312"/>
              </w:tabs>
              <w:rPr>
                <w:rFonts w:hint="eastAsia"/>
                <w:color w:val="000000"/>
                <w:sz w:val="21"/>
                <w:szCs w:val="21"/>
                <w:highlight w:val="none"/>
                <w:lang w:val="en-US" w:eastAsia="zh-CN"/>
              </w:rPr>
            </w:pPr>
            <w:r>
              <w:rPr>
                <w:rFonts w:hint="eastAsia"/>
                <w:color w:val="000000"/>
                <w:sz w:val="21"/>
                <w:szCs w:val="21"/>
                <w:highlight w:val="none"/>
                <w:lang w:val="en-US" w:eastAsia="zh-CN"/>
              </w:rPr>
              <w:t>1.本项目实行全包价报价，投标报价中已包含满足采购货物、服务以及保证项目顺利实施的各项费用，包括采购、运输、劳务、管理、利润、税金、保险、协调、培训、售后服务、配送产品以及所有的不定因素的风险等，其他未明确列明的费用采购人将不再予以支付。</w:t>
            </w:r>
          </w:p>
          <w:p>
            <w:pPr>
              <w:pStyle w:val="19"/>
              <w:tabs>
                <w:tab w:val="left" w:pos="312"/>
              </w:tabs>
              <w:rPr>
                <w:rFonts w:hint="default"/>
                <w:color w:val="000000"/>
                <w:sz w:val="21"/>
                <w:szCs w:val="21"/>
                <w:highlight w:val="none"/>
                <w:lang w:val="en-US" w:eastAsia="zh-CN"/>
              </w:rPr>
            </w:pPr>
            <w:r>
              <w:rPr>
                <w:rFonts w:hint="eastAsia"/>
                <w:color w:val="000000"/>
                <w:sz w:val="21"/>
                <w:szCs w:val="21"/>
                <w:highlight w:val="none"/>
                <w:lang w:val="en-US" w:eastAsia="zh-CN"/>
              </w:rPr>
              <w:t>2.系统</w:t>
            </w:r>
            <w:r>
              <w:rPr>
                <w:rFonts w:hint="eastAsia" w:ascii="宋体" w:hAnsi="宋体" w:eastAsia="宋体" w:cs="宋体"/>
                <w:b w:val="0"/>
                <w:bCs w:val="0"/>
                <w:sz w:val="22"/>
                <w:szCs w:val="22"/>
                <w:highlight w:val="none"/>
                <w:lang w:val="en-US" w:eastAsia="zh-CN"/>
              </w:rPr>
              <w:t>需与</w:t>
            </w:r>
            <w:r>
              <w:rPr>
                <w:rFonts w:hint="eastAsia" w:ascii="宋体" w:hAnsi="宋体" w:cs="宋体"/>
                <w:b w:val="0"/>
                <w:bCs w:val="0"/>
                <w:sz w:val="22"/>
                <w:szCs w:val="22"/>
                <w:highlight w:val="none"/>
                <w:lang w:val="en-US" w:eastAsia="zh-CN"/>
              </w:rPr>
              <w:t>医院</w:t>
            </w:r>
            <w:r>
              <w:rPr>
                <w:rFonts w:hint="eastAsia" w:ascii="宋体" w:hAnsi="宋体" w:eastAsia="宋体" w:cs="宋体"/>
                <w:b w:val="0"/>
                <w:bCs w:val="0"/>
                <w:sz w:val="22"/>
                <w:szCs w:val="22"/>
                <w:highlight w:val="none"/>
                <w:lang w:val="en-US" w:eastAsia="zh-CN"/>
              </w:rPr>
              <w:t>HIS对接</w:t>
            </w:r>
            <w:r>
              <w:rPr>
                <w:rFonts w:hint="eastAsia" w:ascii="宋体" w:hAnsi="宋体" w:cs="宋体"/>
                <w:b w:val="0"/>
                <w:bCs w:val="0"/>
                <w:sz w:val="22"/>
                <w:szCs w:val="22"/>
                <w:highlight w:val="none"/>
                <w:lang w:val="en-US" w:eastAsia="zh-CN"/>
              </w:rPr>
              <w:t>，</w:t>
            </w:r>
            <w:r>
              <w:rPr>
                <w:rFonts w:hint="eastAsia" w:ascii="宋体" w:hAnsi="宋体" w:eastAsia="宋体" w:cs="宋体"/>
                <w:b w:val="0"/>
                <w:bCs w:val="0"/>
                <w:sz w:val="22"/>
                <w:szCs w:val="22"/>
                <w:highlight w:val="none"/>
                <w:lang w:val="en-US" w:eastAsia="zh-CN"/>
              </w:rPr>
              <w:t>实现数据传输，</w:t>
            </w:r>
            <w:r>
              <w:rPr>
                <w:rFonts w:hint="eastAsia" w:ascii="宋体" w:hAnsi="宋体" w:cs="宋体"/>
                <w:b w:val="0"/>
                <w:bCs w:val="0"/>
                <w:sz w:val="22"/>
                <w:szCs w:val="22"/>
                <w:highlight w:val="none"/>
                <w:lang w:val="en-US" w:eastAsia="zh-CN"/>
              </w:rPr>
              <w:t>接口费用包含在投标总价中。具体接口费用由投标人与HIS维保公司磋商谈判。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716" w:type="dxa"/>
            <w:tcBorders>
              <w:top w:val="single" w:color="auto" w:sz="4" w:space="0"/>
              <w:left w:val="single" w:color="auto" w:sz="4" w:space="0"/>
              <w:bottom w:val="single" w:color="auto" w:sz="4" w:space="0"/>
              <w:right w:val="single" w:color="auto" w:sz="4" w:space="0"/>
            </w:tcBorders>
            <w:noWrap w:val="0"/>
            <w:vAlign w:val="center"/>
          </w:tcPr>
          <w:p>
            <w:pPr>
              <w:wordWrap w:val="0"/>
              <w:topLinePunct/>
              <w:snapToGrid w:val="0"/>
              <w:jc w:val="center"/>
              <w:rPr>
                <w:color w:val="000000"/>
                <w:szCs w:val="21"/>
                <w:highlight w:val="none"/>
              </w:rPr>
            </w:pPr>
            <w:r>
              <w:rPr>
                <w:rFonts w:hint="eastAsia" w:ascii="宋体" w:hAnsi="宋体" w:cs="宋体"/>
                <w:b/>
                <w:szCs w:val="21"/>
                <w:highlight w:val="none"/>
              </w:rPr>
              <w:t>验收标准</w:t>
            </w:r>
          </w:p>
        </w:tc>
        <w:tc>
          <w:tcPr>
            <w:tcW w:w="8690" w:type="dxa"/>
            <w:gridSpan w:val="7"/>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hint="default" w:ascii="宋体" w:hAnsi="宋体" w:eastAsia="宋体" w:cs="宋体"/>
                <w:szCs w:val="21"/>
                <w:highlight w:val="none"/>
                <w:lang w:val="en-US" w:eastAsia="zh-CN"/>
              </w:rPr>
            </w:pPr>
            <w:r>
              <w:rPr>
                <w:rFonts w:hint="eastAsia" w:ascii="宋体" w:hAnsi="宋体" w:cs="宋体"/>
                <w:szCs w:val="21"/>
                <w:highlight w:val="none"/>
              </w:rPr>
              <w:t>1、</w:t>
            </w:r>
            <w:r>
              <w:rPr>
                <w:rFonts w:hint="eastAsia" w:ascii="宋体" w:hAnsi="宋体" w:cs="宋体"/>
                <w:szCs w:val="21"/>
                <w:highlight w:val="none"/>
                <w:lang w:val="en-US" w:eastAsia="zh-CN"/>
              </w:rPr>
              <w:t>系统及相关硬件能正常流畅使用。</w:t>
            </w:r>
          </w:p>
          <w:p>
            <w:pPr>
              <w:spacing w:line="400" w:lineRule="exact"/>
              <w:rPr>
                <w:rFonts w:hint="default" w:ascii="宋体" w:hAnsi="宋体" w:eastAsia="宋体" w:cs="宋体"/>
                <w:szCs w:val="21"/>
                <w:highlight w:val="none"/>
                <w:lang w:val="en-US" w:eastAsia="zh-CN"/>
              </w:rPr>
            </w:pPr>
            <w:r>
              <w:rPr>
                <w:rFonts w:hint="eastAsia" w:ascii="宋体" w:hAnsi="宋体" w:cs="宋体"/>
                <w:szCs w:val="21"/>
                <w:highlight w:val="none"/>
              </w:rPr>
              <w:t>2、</w:t>
            </w:r>
            <w:r>
              <w:rPr>
                <w:rFonts w:hint="eastAsia" w:ascii="宋体" w:hAnsi="宋体" w:cs="宋体"/>
                <w:szCs w:val="21"/>
                <w:highlight w:val="none"/>
                <w:lang w:val="en-US" w:eastAsia="zh-CN"/>
              </w:rPr>
              <w:t>与HIS系统可正常连接。</w:t>
            </w:r>
          </w:p>
          <w:p>
            <w:pPr>
              <w:spacing w:line="400" w:lineRule="exact"/>
              <w:rPr>
                <w:rFonts w:hint="eastAsia" w:eastAsia="宋体"/>
                <w:color w:val="000000"/>
                <w:szCs w:val="21"/>
                <w:highlight w:val="none"/>
                <w:lang w:eastAsia="zh-CN"/>
              </w:rPr>
            </w:pPr>
            <w:r>
              <w:rPr>
                <w:rFonts w:hint="eastAsia" w:ascii="宋体" w:hAnsi="宋体" w:cs="宋体"/>
                <w:szCs w:val="21"/>
                <w:highlight w:val="none"/>
              </w:rPr>
              <w:t>3、</w:t>
            </w:r>
            <w:r>
              <w:rPr>
                <w:rFonts w:hint="eastAsia" w:ascii="宋体" w:hAnsi="宋体" w:cs="宋体"/>
                <w:szCs w:val="21"/>
                <w:highlight w:val="none"/>
                <w:lang w:val="en-US" w:eastAsia="zh-CN"/>
              </w:rPr>
              <w:t>使用科室无修改意见。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716" w:type="dxa"/>
            <w:tcBorders>
              <w:top w:val="single" w:color="auto" w:sz="4" w:space="0"/>
              <w:left w:val="single" w:color="auto" w:sz="4" w:space="0"/>
              <w:bottom w:val="single" w:color="auto" w:sz="4" w:space="0"/>
              <w:right w:val="single" w:color="auto" w:sz="4" w:space="0"/>
            </w:tcBorders>
            <w:noWrap w:val="0"/>
            <w:vAlign w:val="center"/>
          </w:tcPr>
          <w:p>
            <w:pPr>
              <w:wordWrap w:val="0"/>
              <w:topLinePunct/>
              <w:snapToGrid w:val="0"/>
              <w:jc w:val="center"/>
              <w:rPr>
                <w:color w:val="000000"/>
                <w:szCs w:val="21"/>
                <w:highlight w:val="none"/>
              </w:rPr>
            </w:pPr>
            <w:r>
              <w:rPr>
                <w:rFonts w:hint="eastAsia" w:ascii="宋体" w:hAnsi="宋体" w:cs="宋体"/>
                <w:b/>
                <w:szCs w:val="21"/>
                <w:highlight w:val="none"/>
              </w:rPr>
              <w:t>付款条件</w:t>
            </w:r>
          </w:p>
        </w:tc>
        <w:tc>
          <w:tcPr>
            <w:tcW w:w="8690" w:type="dxa"/>
            <w:gridSpan w:val="7"/>
            <w:tcBorders>
              <w:top w:val="single" w:color="auto" w:sz="4" w:space="0"/>
              <w:left w:val="single" w:color="auto" w:sz="4" w:space="0"/>
              <w:bottom w:val="single" w:color="auto" w:sz="4" w:space="0"/>
              <w:right w:val="single" w:color="auto" w:sz="4" w:space="0"/>
            </w:tcBorders>
            <w:noWrap w:val="0"/>
            <w:vAlign w:val="center"/>
          </w:tcPr>
          <w:p>
            <w:pPr>
              <w:wordWrap w:val="0"/>
              <w:topLinePunct/>
              <w:snapToGrid w:val="0"/>
              <w:spacing w:line="400" w:lineRule="exact"/>
              <w:rPr>
                <w:rFonts w:hint="eastAsia"/>
                <w:color w:val="000000"/>
                <w:szCs w:val="21"/>
                <w:highlight w:val="none"/>
              </w:rPr>
            </w:pPr>
            <w:r>
              <w:rPr>
                <w:rFonts w:hint="eastAsia"/>
                <w:color w:val="000000"/>
                <w:szCs w:val="21"/>
                <w:highlight w:val="none"/>
              </w:rPr>
              <w:t>合同签订后乙方开具正规增值税普通发票，甲方收到发票或10个工作日内向乙方支付合同总金额</w:t>
            </w:r>
            <w:r>
              <w:rPr>
                <w:rFonts w:hint="eastAsia"/>
                <w:color w:val="000000"/>
                <w:szCs w:val="21"/>
                <w:highlight w:val="none"/>
                <w:lang w:val="en-US" w:eastAsia="zh-CN"/>
              </w:rPr>
              <w:t>50</w:t>
            </w:r>
            <w:r>
              <w:rPr>
                <w:rFonts w:hint="eastAsia"/>
                <w:color w:val="000000"/>
                <w:szCs w:val="21"/>
                <w:highlight w:val="none"/>
              </w:rPr>
              <w:t>%，验收合格后乙方开具正规增值税普通发票，甲方收到发票后10个工作日内向乙方支付合同总金额</w:t>
            </w:r>
            <w:r>
              <w:rPr>
                <w:rFonts w:hint="eastAsia"/>
                <w:color w:val="000000"/>
                <w:szCs w:val="21"/>
                <w:highlight w:val="none"/>
                <w:lang w:val="en-US" w:eastAsia="zh-CN"/>
              </w:rPr>
              <w:t>50</w:t>
            </w:r>
            <w:r>
              <w:rPr>
                <w:rFonts w:hint="eastAsia"/>
                <w:color w:val="000000"/>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7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jc w:val="center"/>
              <w:rPr>
                <w:color w:val="000000"/>
                <w:szCs w:val="21"/>
                <w:highlight w:val="none"/>
              </w:rPr>
            </w:pPr>
            <w:r>
              <w:rPr>
                <w:rFonts w:hint="eastAsia" w:ascii="宋体" w:hAnsi="宋体" w:cs="宋体"/>
                <w:b/>
                <w:szCs w:val="21"/>
                <w:highlight w:val="none"/>
              </w:rPr>
              <w:t>知识产权要求</w:t>
            </w:r>
          </w:p>
        </w:tc>
        <w:tc>
          <w:tcPr>
            <w:tcW w:w="8690" w:type="dxa"/>
            <w:gridSpan w:val="7"/>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hint="eastAsia"/>
                <w:color w:val="000000"/>
                <w:szCs w:val="21"/>
                <w:highlight w:val="none"/>
              </w:rPr>
            </w:pPr>
            <w:r>
              <w:rPr>
                <w:rFonts w:hint="eastAsia" w:ascii="宋体" w:hAnsi="宋体" w:cs="宋体"/>
                <w:szCs w:val="21"/>
                <w:highlight w:val="none"/>
              </w:rPr>
              <w:t>须保证招标人在使用过程中不受到第三方关于侵犯专利权等知识产权的指控。任何第三方如果提出指控，投标人须与第三方交涉并承担可能发生的一切法律责任和费用。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7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jc w:val="center"/>
              <w:rPr>
                <w:rFonts w:hint="eastAsia" w:ascii="宋体" w:hAnsi="宋体" w:cs="宋体"/>
                <w:b/>
                <w:szCs w:val="21"/>
                <w:highlight w:val="none"/>
              </w:rPr>
            </w:pPr>
            <w:r>
              <w:rPr>
                <w:rFonts w:hint="eastAsia" w:ascii="宋体" w:hAnsi="宋体" w:cs="宋体"/>
                <w:b/>
                <w:szCs w:val="21"/>
                <w:highlight w:val="none"/>
              </w:rPr>
              <w:t>保密要求</w:t>
            </w:r>
          </w:p>
        </w:tc>
        <w:tc>
          <w:tcPr>
            <w:tcW w:w="8690" w:type="dxa"/>
            <w:gridSpan w:val="7"/>
            <w:tcBorders>
              <w:top w:val="single" w:color="auto" w:sz="4" w:space="0"/>
              <w:left w:val="single" w:color="auto" w:sz="4" w:space="0"/>
              <w:bottom w:val="single" w:color="auto" w:sz="4" w:space="0"/>
              <w:right w:val="single" w:color="auto" w:sz="4" w:space="0"/>
            </w:tcBorders>
            <w:noWrap w:val="0"/>
            <w:vAlign w:val="center"/>
          </w:tcPr>
          <w:p>
            <w:pPr>
              <w:wordWrap w:val="0"/>
              <w:topLinePunct/>
              <w:snapToGrid w:val="0"/>
              <w:spacing w:line="400" w:lineRule="exact"/>
              <w:rPr>
                <w:rFonts w:hint="eastAsia" w:ascii="宋体" w:hAnsi="宋体" w:cs="宋体"/>
                <w:szCs w:val="21"/>
                <w:highlight w:val="none"/>
              </w:rPr>
            </w:pPr>
            <w:r>
              <w:rPr>
                <w:rFonts w:hint="eastAsia" w:ascii="宋体" w:hAnsi="宋体" w:cs="宋体"/>
                <w:szCs w:val="21"/>
                <w:highlight w:val="none"/>
              </w:rPr>
              <w:t>投标人应承诺遵守知识产权与安全保密有关规定，投标人必须承诺对本项目技术文件以及由采购人提供的所有内部资料、技术文档和信息予以保密；未经采购人书面许可，不得以任何形式向第三方透露本项目标书以及本项目的任何内容；如采购人要求，投标人必须按照采购人的要求签订相关的保密协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9" w:hRule="atLeast"/>
          <w:jc w:val="center"/>
        </w:trPr>
        <w:tc>
          <w:tcPr>
            <w:tcW w:w="10406" w:type="dxa"/>
            <w:gridSpan w:val="8"/>
            <w:tcBorders>
              <w:top w:val="single" w:color="auto" w:sz="4" w:space="0"/>
              <w:left w:val="single" w:color="auto" w:sz="4" w:space="0"/>
              <w:bottom w:val="single" w:color="auto" w:sz="4" w:space="0"/>
              <w:right w:val="single" w:color="auto" w:sz="4" w:space="0"/>
            </w:tcBorders>
            <w:noWrap w:val="0"/>
            <w:vAlign w:val="top"/>
          </w:tcPr>
          <w:p>
            <w:pPr>
              <w:spacing w:line="400" w:lineRule="exact"/>
              <w:jc w:val="center"/>
              <w:rPr>
                <w:rFonts w:hint="eastAsia" w:ascii="宋体" w:hAnsi="宋体" w:cs="宋体"/>
                <w:szCs w:val="21"/>
                <w:highlight w:val="none"/>
              </w:rPr>
            </w:pPr>
            <w:r>
              <w:rPr>
                <w:rFonts w:hint="eastAsia" w:ascii="黑体" w:hAnsi="黑体" w:eastAsia="黑体" w:cs="黑体"/>
                <w:b/>
                <w:color w:val="000000"/>
                <w:sz w:val="28"/>
                <w:szCs w:val="28"/>
                <w:highlight w:val="none"/>
                <w:lang w:val="en-US" w:eastAsia="zh-CN"/>
              </w:rPr>
              <w:t>其他</w:t>
            </w:r>
            <w:r>
              <w:rPr>
                <w:rFonts w:hint="eastAsia" w:ascii="黑体" w:hAnsi="黑体" w:eastAsia="黑体" w:cs="黑体"/>
                <w:b/>
                <w:color w:val="000000"/>
                <w:sz w:val="28"/>
                <w:szCs w:val="28"/>
                <w:highlight w:val="none"/>
              </w:rPr>
              <w:t>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9" w:hRule="atLeast"/>
          <w:jc w:val="center"/>
        </w:trPr>
        <w:tc>
          <w:tcPr>
            <w:tcW w:w="10406" w:type="dxa"/>
            <w:gridSpan w:val="8"/>
            <w:tcBorders>
              <w:top w:val="single" w:color="auto" w:sz="4" w:space="0"/>
              <w:left w:val="single" w:color="auto" w:sz="4" w:space="0"/>
              <w:bottom w:val="single" w:color="auto" w:sz="4" w:space="0"/>
              <w:right w:val="single" w:color="auto" w:sz="4" w:space="0"/>
            </w:tcBorders>
            <w:noWrap w:val="0"/>
            <w:vAlign w:val="top"/>
          </w:tcPr>
          <w:p>
            <w:pPr>
              <w:spacing w:line="400" w:lineRule="exact"/>
              <w:rPr>
                <w:rFonts w:hint="eastAsia"/>
                <w:b/>
                <w:highlight w:val="none"/>
              </w:rPr>
            </w:pPr>
            <w:r>
              <w:rPr>
                <w:rFonts w:hint="eastAsia" w:hAnsi="宋体"/>
                <w:color w:val="000000"/>
                <w:highlight w:val="none"/>
              </w:rPr>
              <w:t>▲</w:t>
            </w:r>
            <w:r>
              <w:rPr>
                <w:rFonts w:hint="eastAsia"/>
                <w:b/>
                <w:highlight w:val="none"/>
              </w:rPr>
              <w:t>本项目中涉及采购的货物不接受进口产品投标（</w:t>
            </w:r>
            <w:r>
              <w:rPr>
                <w:rFonts w:hint="eastAsia" w:hAnsi="宋体"/>
                <w:b/>
                <w:highlight w:val="none"/>
              </w:rPr>
              <w:t>即通过中国海关报关验放进入中国境内且产自关境外的产品</w:t>
            </w:r>
            <w:r>
              <w:rPr>
                <w:rFonts w:hint="eastAsia"/>
                <w:b/>
                <w:highlight w:val="none"/>
              </w:rPr>
              <w:t>）</w:t>
            </w:r>
            <w:r>
              <w:rPr>
                <w:rFonts w:hint="eastAsia"/>
                <w:highlight w:val="none"/>
              </w:rPr>
              <w:t>，</w:t>
            </w:r>
            <w:r>
              <w:rPr>
                <w:rFonts w:hint="eastAsia"/>
                <w:b/>
                <w:highlight w:val="none"/>
              </w:rPr>
              <w:t>如有此类产品参与投标的作无效投标处理。</w:t>
            </w:r>
          </w:p>
          <w:p>
            <w:pPr>
              <w:spacing w:line="400" w:lineRule="exact"/>
              <w:rPr>
                <w:rFonts w:hint="eastAsia" w:hAnsi="宋体"/>
                <w:color w:val="000000"/>
                <w:highlight w:val="none"/>
                <w:lang w:val="en-US" w:eastAsia="zh-CN"/>
              </w:rPr>
            </w:pPr>
            <w:r>
              <w:rPr>
                <w:rFonts w:hint="eastAsia" w:hAnsi="宋体"/>
                <w:color w:val="000000"/>
                <w:highlight w:val="none"/>
              </w:rPr>
              <w:t>▲</w:t>
            </w:r>
            <w:r>
              <w:rPr>
                <w:rFonts w:hint="eastAsia" w:hAnsi="宋体"/>
                <w:color w:val="000000"/>
                <w:highlight w:val="none"/>
                <w:lang w:val="en-US" w:eastAsia="zh-CN"/>
              </w:rPr>
              <w:t>相关货物材质、环保等级符合国家强制性或行业标准</w:t>
            </w:r>
          </w:p>
          <w:p>
            <w:pPr>
              <w:spacing w:line="400" w:lineRule="exact"/>
              <w:rPr>
                <w:rFonts w:hint="default" w:hAnsi="宋体"/>
                <w:color w:val="000000"/>
                <w:highlight w:val="none"/>
                <w:lang w:val="en-US" w:eastAsia="zh-CN"/>
              </w:rPr>
            </w:pPr>
          </w:p>
        </w:tc>
      </w:tr>
    </w:tbl>
    <w:p>
      <w:pPr>
        <w:spacing w:before="156" w:beforeLines="50" w:after="156" w:afterLines="50" w:line="40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br w:type="page"/>
      </w:r>
    </w:p>
    <w:p>
      <w:pPr>
        <w:keepNext/>
        <w:keepLines/>
        <w:spacing w:before="260" w:after="260" w:line="415" w:lineRule="auto"/>
        <w:jc w:val="center"/>
        <w:outlineLvl w:val="1"/>
        <w:rPr>
          <w:rFonts w:ascii="Cambria" w:hAnsi="Cambria" w:eastAsia="宋体" w:cs="宋体"/>
          <w:b/>
          <w:bCs/>
          <w:color w:val="000000"/>
          <w:sz w:val="32"/>
          <w:szCs w:val="32"/>
        </w:rPr>
      </w:pPr>
      <w:bookmarkStart w:id="19" w:name="_Toc26063"/>
      <w:bookmarkStart w:id="20" w:name="_Toc16541"/>
      <w:r>
        <w:rPr>
          <w:rFonts w:hint="eastAsia" w:ascii="宋体" w:hAnsi="宋体"/>
          <w:b/>
          <w:color w:val="auto"/>
          <w:sz w:val="32"/>
          <w:szCs w:val="32"/>
          <w:highlight w:val="none"/>
        </w:rPr>
        <w:t xml:space="preserve">第六章  </w:t>
      </w:r>
      <w:bookmarkEnd w:id="19"/>
      <w:r>
        <w:rPr>
          <w:rFonts w:hint="eastAsia" w:ascii="Cambria" w:hAnsi="Cambria" w:eastAsia="宋体" w:cs="宋体"/>
          <w:b/>
          <w:bCs/>
          <w:color w:val="000000"/>
          <w:sz w:val="32"/>
          <w:szCs w:val="32"/>
        </w:rPr>
        <w:t>评审程序、评审方法和评审标准</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一、评审程序和评审方法</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（一）磋商小组成立</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1.磋商小组由采购人组织评审</w:t>
      </w:r>
      <w:r>
        <w:rPr>
          <w:rFonts w:hint="eastAsia" w:ascii="宋体" w:hAnsi="宋体" w:eastAsia="宋体" w:cs="Calibri"/>
          <w:color w:val="000000"/>
          <w:szCs w:val="21"/>
          <w:highlight w:val="none"/>
        </w:rPr>
        <w:t>专家共</w:t>
      </w:r>
      <w:r>
        <w:rPr>
          <w:rFonts w:hint="eastAsia" w:ascii="宋体" w:hAnsi="宋体" w:eastAsia="宋体" w:cs="Calibri"/>
          <w:color w:val="000000"/>
          <w:szCs w:val="21"/>
          <w:highlight w:val="none"/>
          <w:lang w:val="en-US" w:eastAsia="zh-CN"/>
        </w:rPr>
        <w:t>3</w:t>
      </w:r>
      <w:r>
        <w:rPr>
          <w:rFonts w:hint="eastAsia" w:ascii="宋体" w:hAnsi="宋体" w:eastAsia="宋体" w:cs="Calibri"/>
          <w:color w:val="000000"/>
          <w:szCs w:val="21"/>
          <w:highlight w:val="none"/>
        </w:rPr>
        <w:t>人及</w:t>
      </w:r>
      <w:r>
        <w:rPr>
          <w:rFonts w:hint="eastAsia" w:ascii="宋体" w:hAnsi="宋体" w:eastAsia="宋体" w:cs="Calibri"/>
          <w:color w:val="000000"/>
          <w:szCs w:val="21"/>
        </w:rPr>
        <w:t>以上单数组成</w:t>
      </w:r>
      <w:r>
        <w:rPr>
          <w:rFonts w:hint="eastAsia" w:ascii="宋体" w:hAnsi="宋体" w:eastAsia="宋体" w:cs="Calibri"/>
          <w:szCs w:val="21"/>
        </w:rPr>
        <w:t>，具体人数见“供应商须知前附表”</w:t>
      </w:r>
      <w:r>
        <w:rPr>
          <w:rFonts w:hint="eastAsia" w:ascii="宋体" w:hAnsi="宋体" w:eastAsia="宋体" w:cs="Calibri"/>
          <w:color w:val="000000"/>
          <w:szCs w:val="21"/>
        </w:rPr>
        <w:t>。</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2.响应文件的开启：具体详见“供应商须知前附表”。</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（二）响应文件评审程序</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 xml:space="preserve">.1响应文件开启后，磋商小组依法对供应商的资格证明文件进行审查。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.2资格审查标准为本竞争性磋商文件中载明对供应商资格要求的条件。资格审查采用合格制，凡符合竞争性磋商文件规定的供应商资格要求的响应文件均通过资格审查。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.3供应商有下列情形之一的，资格审查不通过，其响应文件按无效响应处理：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（1）不具备竞争性磋商文件中规定的资格要求的；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）响应文件未提供任一项“供应商须知前附表”资格证明文件规定的“必须提供”的文件资料的；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）响应文件提供的资格证明文件出现任一项不符合“供应商须知前附表”资格证明文件规定的“必须提供”的文件资料要求或者无效的。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.4通过资格审查的合格供应商不足3家的，不得进入符合性审查环节，采购人应当重新开展采购活动。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.符合性审查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.1由磋商小组对通过资格审查的合格供应商的响应文件的竞标报价、商务、技术等实质性要求进行符合性审查，以确定其是否满足竞争性磋商文件的实质性要求。</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pacing w:val="-6"/>
          <w:szCs w:val="21"/>
        </w:rPr>
      </w:pPr>
      <w:r>
        <w:rPr>
          <w:rFonts w:ascii="宋体" w:hAnsi="宋体" w:eastAsia="宋体" w:cs="Calibri"/>
          <w:color w:val="000000"/>
          <w:szCs w:val="21"/>
        </w:rPr>
        <w:t>4</w:t>
      </w:r>
      <w:r>
        <w:rPr>
          <w:rFonts w:hint="eastAsia" w:ascii="宋体" w:hAnsi="宋体" w:eastAsia="宋体" w:cs="Calibri"/>
          <w:color w:val="000000"/>
          <w:szCs w:val="21"/>
        </w:rPr>
        <w:t>.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w:t>
      </w:r>
      <w:r>
        <w:rPr>
          <w:rFonts w:hint="eastAsia" w:ascii="宋体" w:hAnsi="宋体" w:eastAsia="宋体" w:cs="Calibri"/>
          <w:color w:val="000000"/>
          <w:spacing w:val="-6"/>
          <w:szCs w:val="21"/>
        </w:rPr>
        <w:t>应当附法定代表人授权书</w:t>
      </w:r>
      <w:r>
        <w:rPr>
          <w:rFonts w:hint="eastAsia" w:ascii="宋体" w:hAnsi="宋体" w:eastAsia="宋体" w:cs="Calibri"/>
          <w:color w:val="000000"/>
          <w:szCs w:val="21"/>
        </w:rPr>
        <w:t>（若委托代理人为响应文件中承诺的授权委托代理人的，无须出示法定代表人授权委托书）</w:t>
      </w:r>
      <w:r>
        <w:rPr>
          <w:rFonts w:hint="eastAsia" w:ascii="宋体" w:hAnsi="宋体" w:eastAsia="宋体" w:cs="Calibri"/>
          <w:color w:val="000000"/>
          <w:spacing w:val="-6"/>
          <w:szCs w:val="21"/>
        </w:rPr>
        <w:t>。</w:t>
      </w:r>
    </w:p>
    <w:p>
      <w:pPr>
        <w:spacing w:line="400" w:lineRule="exact"/>
        <w:ind w:firstLine="396" w:firstLineChars="200"/>
        <w:rPr>
          <w:rFonts w:ascii="宋体" w:hAnsi="宋体" w:eastAsia="宋体" w:cs="Calibri"/>
          <w:color w:val="000000"/>
          <w:szCs w:val="21"/>
        </w:rPr>
      </w:pPr>
      <w:r>
        <w:rPr>
          <w:rFonts w:ascii="宋体" w:hAnsi="宋体" w:eastAsia="宋体" w:cs="Calibri"/>
          <w:color w:val="000000"/>
          <w:spacing w:val="-6"/>
          <w:szCs w:val="21"/>
        </w:rPr>
        <w:t>4</w:t>
      </w:r>
      <w:r>
        <w:rPr>
          <w:rFonts w:hint="eastAsia" w:ascii="宋体" w:hAnsi="宋体" w:eastAsia="宋体" w:cs="Calibri"/>
          <w:color w:val="000000"/>
          <w:spacing w:val="-6"/>
          <w:szCs w:val="21"/>
        </w:rPr>
        <w:t>.4</w:t>
      </w:r>
      <w:r>
        <w:rPr>
          <w:rFonts w:hint="eastAsia" w:ascii="宋体" w:hAnsi="宋体" w:eastAsia="宋体" w:cs="Calibri"/>
          <w:color w:val="000000"/>
          <w:szCs w:val="21"/>
        </w:rPr>
        <w:t xml:space="preserve">首次响应文件报价出现前后不一致的，按照下列规定修正：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同时出现两种以上不一致的，按照顺序逐条进行修正。修正后的报价经供应商确认后产生约束力，供应商不确认的，其响应文件按无效响应处理。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.5商务技术报价评审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在评审时，如发现下列情形之一的，将被视为响应文件无效处理：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（1）商务技术评审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1）提供响应文件正、副本数量不足的；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2）响应文件未按竞争性磋商文件要求签署、盖章的；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3）委托代理人未能出具有效身份证明或出具的身份证明与授权委托书中的信息不符的；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4）响应文件未提供任一项“供应商须知前附表”第1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.2条规定的“必须提供”或者“委托时必须提供”的文件资料的；响应文件提供的报价商务技术文件出现任一项不符合“供应商须知前附表”第1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5</w:t>
      </w:r>
      <w:r>
        <w:rPr>
          <w:rFonts w:hint="eastAsia" w:ascii="宋体" w:hAnsi="宋体" w:eastAsia="宋体" w:cs="Calibri"/>
          <w:color w:val="000000"/>
          <w:szCs w:val="21"/>
        </w:rPr>
        <w:t>）商务条款中标“▲”的条款发生负偏离的或允许负偏离的条款数超过“供应商须知前附表”规定项数的或标明实质性的要求发生负偏离的；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）未对竞标有效期作出响应或响应文件承诺的竞标有效期不满足竞争性磋商文件要求的；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）响应文件的实质性内容未使用中文表述、使用计量单位不符合竞争性磋商文件要求的；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）响应文件中的文件资料因填写不齐全或者内容虚假或者出现其他情形而导致被磋商小组认定无效的；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）响应文件含有采购人不能接受的附加条件的；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）明显不满足竞争性磋商文件要求的技术规格、安全、质量标准，或者与竞争性磋商文件中标“▲”的技术需求或标明实质性的要求发生负偏离的；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）技术需求允许负偏离的条款数超过“供应商须知前附表”规定项数的；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）虚假竞标，或者出现其他情形而导致被磋商小组认定无效的；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）竞标技术方案不明确，竞争性磋商文件未允许</w:t>
      </w:r>
      <w:r>
        <w:rPr>
          <w:rFonts w:hint="eastAsia" w:ascii="宋体" w:hAnsi="宋体" w:eastAsia="宋体" w:cs="Calibri"/>
          <w:szCs w:val="21"/>
        </w:rPr>
        <w:t>但响应文件中</w:t>
      </w:r>
      <w:r>
        <w:rPr>
          <w:rFonts w:hint="eastAsia" w:ascii="宋体" w:hAnsi="宋体" w:eastAsia="宋体" w:cs="Calibri"/>
          <w:color w:val="000000"/>
          <w:szCs w:val="21"/>
        </w:rPr>
        <w:t>存在一个或一个以上备选（替代）竞标方案的；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）未响应竞争性磋商文件实质性要求的；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）法律、法规和竞争性磋商文件规定的其他无效情形。</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 响应文件未提供“供应商须知前附表”第1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.2条规定中的“竞标报价表”的；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2）未采用人民币报价或者未按照竞争性磋商文件标明的币种报价的；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 xml:space="preserve">）修正后的报价，供应商不确认的；或经供应商确认修正后的竞标报价（包含首次报价、最后报价）超过规定的采购预算金额或者最高限价的（如本项目公布了最高限价）；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6磋商小组对响应文件进行评审，未实质性响应竞争性磋商文件的响应文件按无效处理，由磋商小组告知有关供应商。磋商小组从符合竞争性磋商文件规定的相应资格条件的供应商名单中确定不少于3家的供应商参加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.7通过符合性审查的合格供应商不足3家的，不得进入磋商环节，采购人应当重新开展采购活动。</w:t>
      </w:r>
    </w:p>
    <w:p>
      <w:pPr>
        <w:spacing w:line="400" w:lineRule="exact"/>
        <w:ind w:firstLine="422" w:firstLineChars="200"/>
        <w:rPr>
          <w:rFonts w:ascii="宋体" w:hAnsi="宋体" w:eastAsia="宋体" w:cs="Calibri"/>
          <w:b/>
          <w:color w:val="000000"/>
          <w:kern w:val="0"/>
          <w:szCs w:val="21"/>
        </w:rPr>
      </w:pPr>
      <w:r>
        <w:rPr>
          <w:rFonts w:hint="eastAsia" w:ascii="宋体" w:hAnsi="宋体" w:eastAsia="宋体" w:cs="Calibri"/>
          <w:b/>
          <w:color w:val="000000"/>
          <w:kern w:val="0"/>
          <w:szCs w:val="21"/>
        </w:rPr>
        <w:t>（三）磋商</w:t>
      </w:r>
    </w:p>
    <w:p>
      <w:pPr>
        <w:spacing w:line="400" w:lineRule="exact"/>
        <w:ind w:firstLine="420" w:firstLineChars="200"/>
        <w:rPr>
          <w:rFonts w:ascii="宋体" w:hAnsi="宋体" w:eastAsia="宋体" w:cs="Calibri"/>
          <w:color w:val="000000"/>
          <w:kern w:val="0"/>
          <w:szCs w:val="21"/>
        </w:rPr>
      </w:pPr>
      <w:r>
        <w:rPr>
          <w:rFonts w:ascii="宋体" w:hAnsi="宋体" w:eastAsia="宋体" w:cs="Calibri"/>
          <w:color w:val="000000"/>
          <w:kern w:val="0"/>
          <w:szCs w:val="21"/>
        </w:rPr>
        <w:t>5</w:t>
      </w:r>
      <w:r>
        <w:rPr>
          <w:rFonts w:hint="eastAsia" w:ascii="宋体" w:hAnsi="宋体" w:eastAsia="宋体" w:cs="Calibri"/>
          <w:color w:val="000000"/>
          <w:kern w:val="0"/>
          <w:szCs w:val="21"/>
        </w:rPr>
        <w:t>.磋商小组按照“供应商须知前附表”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在磋商过程中，磋商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 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2" w:firstLineChars="200"/>
        <w:jc w:val="left"/>
        <w:rPr>
          <w:rFonts w:ascii="宋体" w:hAnsi="宋体" w:eastAsia="宋体" w:cs="Calibri"/>
          <w:b/>
          <w:color w:val="000000"/>
          <w:szCs w:val="21"/>
        </w:rPr>
      </w:pPr>
      <w:r>
        <w:rPr>
          <w:rFonts w:hint="eastAsia" w:ascii="宋体" w:hAnsi="宋体" w:eastAsia="宋体" w:cs="Calibri"/>
          <w:b/>
          <w:color w:val="000000"/>
          <w:szCs w:val="21"/>
        </w:rPr>
        <w:t>（四）最后报价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 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.已经提交响应文件的供应商，在提交最后报价之前，可以根据磋商情况退出磋商，退出磋商的供应商的响应文件按无效响应处理。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.磋商小组收齐最后报价后统一开启，磋商小组对最后报价进行有效性、完整性和响应程度的审查。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.响应文件最后报价出现前后不一致的，按照本章第</w:t>
      </w:r>
      <w:r>
        <w:rPr>
          <w:rFonts w:ascii="宋体" w:hAnsi="宋体" w:eastAsia="宋体" w:cs="Calibri"/>
          <w:color w:val="000000"/>
          <w:szCs w:val="21"/>
        </w:rPr>
        <w:t>4</w:t>
      </w:r>
      <w:r>
        <w:rPr>
          <w:rFonts w:hint="eastAsia" w:ascii="宋体" w:hAnsi="宋体" w:eastAsia="宋体" w:cs="Calibri"/>
          <w:color w:val="000000"/>
          <w:szCs w:val="21"/>
        </w:rPr>
        <w:t xml:space="preserve">.4条的规定修正。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20</w:t>
      </w:r>
      <w:r>
        <w:rPr>
          <w:rFonts w:hint="eastAsia" w:ascii="宋体" w:hAnsi="宋体" w:eastAsia="宋体" w:cs="Calibri"/>
          <w:color w:val="000000"/>
          <w:szCs w:val="21"/>
        </w:rPr>
        <w:t>.最后报价结束后，磋商小组不得再与供应商进行任何形式的商谈。</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（五）比较与评价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.评审方法：综合评分法。</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.经磋商确定最终采购需求和提交最后报价的供应商后，由磋商小组采用综合评分法对提交最后报价的供应商的响应文件和最后报价进行综合评分。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.评审时，磋商小组各成员应当独立对每个有效响应的文件进行评价、打分，然后汇总每个供应商每项评分因素的得分。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（1）磋商小组按照竞争性磋商文件中规定的评审标准计算各供应商的报价得分。项目评审过程中，不得去掉最后报价中的最高报价和最低报价。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（2）各供应商的得分为磋商小组所有成员的有效评分的算术平均数。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4</w:t>
      </w:r>
      <w:r>
        <w:rPr>
          <w:rFonts w:hint="eastAsia" w:ascii="宋体" w:hAnsi="宋体" w:eastAsia="宋体" w:cs="Calibri"/>
          <w:color w:val="000000"/>
          <w:szCs w:val="21"/>
        </w:rPr>
        <w:t>.评审价为供应商的最后报价进行政策性扣除后的价格，评审价只是作为评审时使用。最终成交供应商的成交金额等于最后报价（如有修正，以确认修正后的最后报价为准）。</w:t>
      </w:r>
    </w:p>
    <w:p>
      <w:pPr>
        <w:spacing w:line="400" w:lineRule="exact"/>
        <w:rPr>
          <w:rFonts w:ascii="黑体" w:hAnsi="黑体" w:eastAsia="黑体" w:cs="Times New Roman"/>
          <w:b/>
          <w:color w:val="000000"/>
          <w:szCs w:val="21"/>
        </w:rPr>
      </w:pPr>
      <w:r>
        <w:rPr>
          <w:rFonts w:hint="eastAsia" w:ascii="宋体" w:hAnsi="宋体" w:eastAsia="宋体" w:cs="Times New Roman"/>
          <w:b/>
          <w:color w:val="000000"/>
          <w:sz w:val="28"/>
          <w:szCs w:val="28"/>
        </w:rPr>
        <w:t xml:space="preserve"> </w:t>
      </w:r>
      <w:r>
        <w:rPr>
          <w:rFonts w:ascii="宋体" w:hAnsi="宋体" w:eastAsia="宋体" w:cs="Times New Roman"/>
          <w:b/>
          <w:color w:val="000000"/>
          <w:sz w:val="28"/>
          <w:szCs w:val="28"/>
        </w:rPr>
        <w:t xml:space="preserve">   </w:t>
      </w:r>
      <w:r>
        <w:rPr>
          <w:rFonts w:hint="eastAsia" w:ascii="宋体" w:hAnsi="宋体" w:eastAsia="宋体" w:cs="Times New Roman"/>
          <w:b/>
          <w:color w:val="000000"/>
          <w:szCs w:val="21"/>
        </w:rPr>
        <w:t>二、评审标准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评审依据：磋商小组将以磋商响应文件为评审依据，对供应商的报价、技术、商务等方面内容按百分制打分。（计分方法按四舍五入取至百分位）</w:t>
      </w:r>
    </w:p>
    <w:tbl>
      <w:tblPr>
        <w:tblStyle w:val="48"/>
        <w:tblW w:w="93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9"/>
        <w:gridCol w:w="1105"/>
        <w:gridCol w:w="6628"/>
        <w:gridCol w:w="10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89"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序号</w:t>
            </w:r>
          </w:p>
        </w:tc>
        <w:tc>
          <w:tcPr>
            <w:tcW w:w="1105"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w:t>
            </w:r>
          </w:p>
        </w:tc>
        <w:tc>
          <w:tcPr>
            <w:tcW w:w="6628"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评审因素具体内容</w:t>
            </w:r>
          </w:p>
        </w:tc>
        <w:tc>
          <w:tcPr>
            <w:tcW w:w="1032"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cs="Tahoma"/>
                <w:b/>
                <w:bCs/>
                <w:color w:val="000000"/>
                <w:kern w:val="0"/>
                <w:szCs w:val="21"/>
                <w:lang w:val="en-US" w:eastAsia="zh-CN"/>
              </w:rPr>
              <w:t>满</w:t>
            </w:r>
            <w:r>
              <w:rPr>
                <w:rFonts w:hint="eastAsia" w:ascii="宋体" w:hAnsi="宋体" w:eastAsia="宋体" w:cs="Tahoma"/>
                <w:b/>
                <w:bCs/>
                <w:color w:val="000000"/>
                <w:kern w:val="0"/>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89"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p>
        </w:tc>
        <w:tc>
          <w:tcPr>
            <w:tcW w:w="1105" w:type="dxa"/>
            <w:vAlign w:val="center"/>
          </w:tcPr>
          <w:p>
            <w:pPr>
              <w:widowControl/>
              <w:spacing w:line="400" w:lineRule="exact"/>
              <w:jc w:val="center"/>
              <w:rPr>
                <w:rFonts w:hint="eastAsia" w:ascii="宋体" w:hAnsi="宋体" w:eastAsia="宋体" w:cs="Tahoma"/>
                <w:color w:val="000000"/>
                <w:kern w:val="0"/>
                <w:szCs w:val="21"/>
                <w:lang w:eastAsia="zh-CN"/>
              </w:rPr>
            </w:pPr>
            <w:r>
              <w:rPr>
                <w:rFonts w:hint="eastAsia" w:ascii="宋体" w:hAnsi="宋体" w:eastAsia="宋体" w:cs="Tahoma"/>
                <w:color w:val="000000"/>
                <w:kern w:val="0"/>
                <w:szCs w:val="21"/>
              </w:rPr>
              <w:t>价格分</w:t>
            </w:r>
          </w:p>
        </w:tc>
        <w:tc>
          <w:tcPr>
            <w:tcW w:w="6628" w:type="dxa"/>
          </w:tcPr>
          <w:p>
            <w:pPr>
              <w:spacing w:line="400" w:lineRule="exact"/>
              <w:rPr>
                <w:rFonts w:ascii="宋体" w:hAnsi="宋体" w:eastAsia="宋体" w:cs="Calibri"/>
                <w:color w:val="000000"/>
                <w:szCs w:val="21"/>
              </w:rPr>
            </w:pPr>
            <w:r>
              <w:rPr>
                <w:rFonts w:hint="eastAsia" w:ascii="宋体" w:hAnsi="宋体" w:eastAsia="宋体" w:cs="Courier New"/>
                <w:bCs/>
                <w:color w:val="000000"/>
                <w:szCs w:val="21"/>
              </w:rPr>
              <w:t>1.</w:t>
            </w:r>
            <w:r>
              <w:rPr>
                <w:rFonts w:hint="eastAsia" w:ascii="宋体" w:hAnsi="宋体" w:eastAsia="宋体" w:cs="Calibri"/>
                <w:color w:val="000000"/>
                <w:szCs w:val="21"/>
              </w:rPr>
              <w:t>评审价为供应商的最后报价进行政策性扣除后的价格，评审价只是作为评审时使用。最终成交供应商的成交金额等于最后报价（如有修正，以确认修正后的最后报价为准）。</w:t>
            </w:r>
          </w:p>
          <w:p>
            <w:pPr>
              <w:spacing w:line="400" w:lineRule="exact"/>
              <w:rPr>
                <w:rFonts w:ascii="宋体" w:hAnsi="宋体" w:eastAsia="宋体" w:cs="宋体"/>
                <w:color w:val="000000"/>
                <w:kern w:val="0"/>
                <w:szCs w:val="21"/>
              </w:rPr>
            </w:pPr>
            <w:r>
              <w:rPr>
                <w:rFonts w:hint="eastAsia" w:ascii="宋体" w:hAnsi="宋体" w:eastAsia="宋体" w:cs="Courier New"/>
                <w:bCs/>
                <w:color w:val="000000"/>
                <w:szCs w:val="21"/>
              </w:rPr>
              <w:t>2.政府采购政策性扣除计算方法</w:t>
            </w:r>
          </w:p>
          <w:p>
            <w:pPr>
              <w:spacing w:line="400" w:lineRule="exact"/>
              <w:rPr>
                <w:rFonts w:ascii="宋体" w:hAnsi="宋体" w:eastAsia="宋体" w:cs="Calibri"/>
                <w:color w:val="000000"/>
                <w:szCs w:val="21"/>
              </w:rPr>
            </w:pPr>
            <w:r>
              <w:rPr>
                <w:rFonts w:hint="eastAsia" w:ascii="宋体" w:hAnsi="宋体" w:eastAsia="宋体" w:cs="Calibri"/>
                <w:color w:val="000000"/>
                <w:szCs w:val="21"/>
              </w:rPr>
              <w:t>（1）按照《政府采购促进中小企业发展暂行办法》（财库〔2011〕181号）的规定，供应商为小型和微型企业，并在其响应文件中提供《中小企业声明函》，且其所竞标产品全部为小型和微型企业产品的，对其最后报价给予6%的扣除。</w:t>
            </w:r>
          </w:p>
          <w:p>
            <w:pPr>
              <w:spacing w:line="400" w:lineRule="exact"/>
              <w:rPr>
                <w:rFonts w:ascii="宋体" w:hAnsi="宋体" w:eastAsia="宋体" w:cs="Calibri"/>
                <w:color w:val="000000"/>
                <w:szCs w:val="21"/>
              </w:rPr>
            </w:pPr>
            <w:r>
              <w:rPr>
                <w:rFonts w:hint="eastAsia" w:ascii="宋体" w:hAnsi="宋体" w:eastAsia="宋体" w:cs="Calibri"/>
                <w:color w:val="000000"/>
                <w:szCs w:val="21"/>
              </w:rPr>
              <w:t>（2）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pPr>
              <w:spacing w:line="400" w:lineRule="exact"/>
              <w:rPr>
                <w:rFonts w:ascii="宋体" w:hAnsi="宋体" w:eastAsia="宋体" w:cs="Calibri"/>
                <w:color w:val="000000"/>
                <w:szCs w:val="21"/>
              </w:rPr>
            </w:pPr>
            <w:r>
              <w:rPr>
                <w:rFonts w:hint="eastAsia" w:ascii="宋体" w:hAnsi="宋体" w:eastAsia="宋体" w:cs="Calibri"/>
                <w:color w:val="000000"/>
                <w:szCs w:val="21"/>
              </w:rPr>
              <w:t>（3）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pPr>
              <w:spacing w:line="400" w:lineRule="exact"/>
              <w:rPr>
                <w:rFonts w:ascii="宋体" w:hAnsi="宋体" w:eastAsia="宋体" w:cs="Calibri"/>
                <w:color w:val="000000"/>
                <w:szCs w:val="21"/>
              </w:rPr>
            </w:pPr>
            <w:r>
              <w:rPr>
                <w:rFonts w:hint="eastAsia" w:ascii="宋体" w:hAnsi="宋体" w:eastAsia="宋体" w:cs="Calibri"/>
                <w:color w:val="000000"/>
                <w:szCs w:val="21"/>
              </w:rPr>
              <w:t>（4）政策性扣除计算方法。</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被评定为监狱企业或残疾人福利性单位或小型和微型企业且其所竞标全部产品为小型和微型企业产品的，该供应商的最后报价给予6%的扣除，扣除后的价格为评审价，即评审价=最后报价×（1-6%）；大中型企业和其他自然人、法人或者其他组织与小型、微型企业组成联合体竞标，且联合体协议中约定小型、微型企业的协议合同金额占到联合体协议合同总金额30%以上的，联合体最后报价给予2%的扣除，扣除后的价格为评审价，即评审价=最后报价×（1-2%）；除上述情况外，评审价=最后报价。</w:t>
            </w:r>
          </w:p>
          <w:p>
            <w:pPr>
              <w:snapToGrid w:val="0"/>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（5）除上述情况外，评审价＝最后报价。</w:t>
            </w:r>
          </w:p>
          <w:p>
            <w:pPr>
              <w:spacing w:line="400" w:lineRule="exact"/>
              <w:ind w:firstLine="420" w:firstLineChars="200"/>
              <w:rPr>
                <w:rFonts w:ascii="宋体" w:hAnsi="宋体" w:eastAsia="宋体" w:cs="Courier New"/>
                <w:bCs/>
                <w:color w:val="000000"/>
                <w:szCs w:val="21"/>
              </w:rPr>
            </w:pPr>
            <w:r>
              <w:rPr>
                <w:rFonts w:hint="eastAsia" w:ascii="宋体" w:hAnsi="宋体" w:eastAsia="宋体" w:cs="Courier New"/>
                <w:bCs/>
                <w:color w:val="000000"/>
                <w:szCs w:val="21"/>
              </w:rPr>
              <w:t>（6）以进入比较与评价环节的最低的评审价为基准价，基准价得分为</w:t>
            </w:r>
            <w:r>
              <w:rPr>
                <w:rFonts w:hint="eastAsia" w:ascii="宋体" w:hAnsi="宋体" w:eastAsia="宋体" w:cs="Courier New"/>
                <w:bCs/>
                <w:color w:val="000000"/>
                <w:szCs w:val="21"/>
                <w:u w:val="single"/>
              </w:rPr>
              <w:t xml:space="preserve"> </w:t>
            </w:r>
            <w:r>
              <w:rPr>
                <w:rFonts w:ascii="宋体" w:hAnsi="宋体" w:eastAsia="宋体" w:cs="Courier New"/>
                <w:bCs/>
                <w:color w:val="000000"/>
                <w:szCs w:val="21"/>
                <w:u w:val="single"/>
              </w:rPr>
              <w:t>30</w:t>
            </w:r>
            <w:r>
              <w:rPr>
                <w:rFonts w:hint="eastAsia" w:ascii="宋体" w:hAnsi="宋体" w:eastAsia="宋体" w:cs="Courier New"/>
                <w:bCs/>
                <w:color w:val="000000"/>
                <w:szCs w:val="21"/>
                <w:u w:val="single"/>
              </w:rPr>
              <w:t>分</w:t>
            </w:r>
            <w:r>
              <w:rPr>
                <w:rFonts w:hint="eastAsia" w:ascii="宋体" w:hAnsi="宋体" w:eastAsia="宋体" w:cs="Courier New"/>
                <w:bCs/>
                <w:color w:val="000000"/>
                <w:szCs w:val="21"/>
              </w:rPr>
              <w:t>。</w:t>
            </w:r>
          </w:p>
          <w:p>
            <w:pPr>
              <w:spacing w:line="400" w:lineRule="exact"/>
              <w:ind w:firstLine="420" w:firstLineChars="200"/>
              <w:rPr>
                <w:rFonts w:ascii="宋体" w:hAnsi="宋体" w:eastAsia="宋体" w:cs="Courier New"/>
                <w:bCs/>
                <w:color w:val="000000"/>
                <w:szCs w:val="21"/>
              </w:rPr>
            </w:pPr>
            <w:r>
              <w:rPr>
                <w:rFonts w:hint="eastAsia" w:ascii="宋体" w:hAnsi="宋体" w:eastAsia="宋体" w:cs="Courier New"/>
                <w:bCs/>
                <w:color w:val="000000"/>
                <w:szCs w:val="21"/>
              </w:rPr>
              <w:t>（7）价格分计算公式：</w:t>
            </w:r>
          </w:p>
          <w:p>
            <w:pPr>
              <w:ind w:firstLine="420" w:firstLineChars="200"/>
              <w:rPr>
                <w:rFonts w:hint="eastAsia" w:ascii="宋体" w:hAnsi="宋体" w:eastAsia="宋体" w:cs="Courier New"/>
                <w:bCs/>
                <w:color w:val="000000"/>
                <w:szCs w:val="21"/>
                <w:u w:val="single"/>
              </w:rPr>
            </w:pPr>
            <w:r>
              <w:rPr>
                <w:rFonts w:hint="eastAsia" w:ascii="宋体" w:hAnsi="宋体" w:eastAsia="宋体" w:cs="Courier New"/>
                <w:bCs/>
                <w:color w:val="000000"/>
                <w:szCs w:val="21"/>
              </w:rPr>
              <w:t>报价得分</w:t>
            </w:r>
            <w:r>
              <w:rPr>
                <w:rFonts w:hint="eastAsia" w:ascii="Calibri" w:hAnsi="Calibri" w:eastAsia="宋体" w:cs="Calibri"/>
                <w:bCs/>
                <w:color w:val="000000"/>
                <w:szCs w:val="21"/>
              </w:rPr>
              <w:t>=</w:t>
            </w:r>
            <w:r>
              <w:rPr>
                <w:rFonts w:hint="eastAsia" w:ascii="宋体" w:hAnsi="宋体" w:eastAsia="宋体" w:cs="Courier New"/>
                <w:bCs/>
                <w:color w:val="000000"/>
                <w:szCs w:val="21"/>
              </w:rPr>
              <w:t>（基准价</w:t>
            </w:r>
            <w:r>
              <w:rPr>
                <w:rFonts w:hint="eastAsia" w:ascii="Calibri" w:hAnsi="Calibri" w:eastAsia="宋体" w:cs="Calibri"/>
                <w:bCs/>
                <w:color w:val="000000"/>
                <w:szCs w:val="21"/>
              </w:rPr>
              <w:t>/</w:t>
            </w:r>
            <w:r>
              <w:rPr>
                <w:rFonts w:hint="eastAsia" w:ascii="宋体" w:hAnsi="宋体" w:eastAsia="宋体" w:cs="Courier New"/>
                <w:bCs/>
                <w:color w:val="000000"/>
                <w:szCs w:val="21"/>
              </w:rPr>
              <w:t>最后报价）×</w:t>
            </w:r>
            <w:r>
              <w:rPr>
                <w:rFonts w:ascii="Calibri" w:hAnsi="Calibri" w:eastAsia="宋体" w:cs="Calibri"/>
                <w:bCs/>
                <w:color w:val="000000"/>
                <w:szCs w:val="21"/>
                <w:u w:val="single"/>
              </w:rPr>
              <w:t>30</w:t>
            </w:r>
            <w:r>
              <w:rPr>
                <w:rFonts w:hint="eastAsia" w:ascii="宋体" w:hAnsi="宋体" w:eastAsia="宋体" w:cs="Courier New"/>
                <w:bCs/>
                <w:color w:val="000000"/>
                <w:szCs w:val="21"/>
                <w:u w:val="single"/>
              </w:rPr>
              <w:t>分</w:t>
            </w:r>
          </w:p>
        </w:tc>
        <w:tc>
          <w:tcPr>
            <w:tcW w:w="1032" w:type="dxa"/>
            <w:vAlign w:val="center"/>
          </w:tcPr>
          <w:p>
            <w:pPr>
              <w:widowControl/>
              <w:spacing w:line="400" w:lineRule="exact"/>
              <w:jc w:val="left"/>
              <w:rPr>
                <w:rFonts w:ascii="宋体" w:hAnsi="宋体" w:eastAsia="宋体" w:cs="Tahoma"/>
                <w:color w:val="000000"/>
                <w:kern w:val="0"/>
                <w:szCs w:val="21"/>
              </w:rPr>
            </w:pPr>
            <w:r>
              <w:rPr>
                <w:rFonts w:hint="eastAsia" w:ascii="宋体" w:hAnsi="宋体" w:eastAsia="宋体" w:cs="Tahoma"/>
                <w:color w:val="000000"/>
                <w:kern w:val="0"/>
                <w:szCs w:val="21"/>
              </w:rPr>
              <w:t xml:space="preserve"> 30分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89" w:type="dxa"/>
            <w:shd w:val="clear" w:color="auto" w:fill="D7D7D7" w:themeFill="background1" w:themeFillShade="D8"/>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2</w:t>
            </w:r>
          </w:p>
        </w:tc>
        <w:tc>
          <w:tcPr>
            <w:tcW w:w="1105" w:type="dxa"/>
            <w:shd w:val="clear" w:color="auto" w:fill="D7D7D7" w:themeFill="background1" w:themeFillShade="D8"/>
            <w:vAlign w:val="center"/>
          </w:tcPr>
          <w:p>
            <w:pPr>
              <w:widowControl/>
              <w:spacing w:line="400" w:lineRule="exact"/>
              <w:jc w:val="center"/>
              <w:rPr>
                <w:rFonts w:hint="eastAsia" w:ascii="宋体" w:hAnsi="宋体" w:eastAsia="宋体" w:cs="Tahoma"/>
                <w:b/>
                <w:bCs w:val="0"/>
                <w:color w:val="000000"/>
                <w:kern w:val="0"/>
                <w:szCs w:val="21"/>
                <w:lang w:eastAsia="zh-CN"/>
              </w:rPr>
            </w:pPr>
            <w:r>
              <w:rPr>
                <w:rFonts w:hint="eastAsia" w:ascii="宋体" w:hAnsi="宋体" w:eastAsia="宋体" w:cs="Times New Roman"/>
                <w:b/>
                <w:bCs w:val="0"/>
                <w:color w:val="000000"/>
                <w:kern w:val="0"/>
                <w:szCs w:val="21"/>
              </w:rPr>
              <w:t>技术分</w:t>
            </w:r>
          </w:p>
        </w:tc>
        <w:tc>
          <w:tcPr>
            <w:tcW w:w="6628" w:type="dxa"/>
            <w:shd w:val="clear" w:color="auto" w:fill="D7D7D7" w:themeFill="background1" w:themeFillShade="D8"/>
          </w:tcPr>
          <w:p>
            <w:pPr>
              <w:widowControl/>
              <w:spacing w:line="400" w:lineRule="exact"/>
              <w:jc w:val="center"/>
              <w:rPr>
                <w:rFonts w:ascii="宋体" w:hAnsi="宋体" w:eastAsia="宋体" w:cs="Tahoma"/>
                <w:b/>
                <w:bCs w:val="0"/>
                <w:color w:val="000000"/>
                <w:kern w:val="0"/>
                <w:szCs w:val="21"/>
              </w:rPr>
            </w:pPr>
            <w:r>
              <w:rPr>
                <w:rFonts w:hint="eastAsia" w:ascii="宋体" w:hAnsi="宋体" w:eastAsia="宋体" w:cs="Tahoma"/>
                <w:b/>
                <w:bCs w:val="0"/>
                <w:color w:val="000000"/>
                <w:kern w:val="0"/>
                <w:szCs w:val="21"/>
              </w:rPr>
              <w:t>评审因素</w:t>
            </w:r>
          </w:p>
        </w:tc>
        <w:tc>
          <w:tcPr>
            <w:tcW w:w="1032" w:type="dxa"/>
            <w:shd w:val="clear" w:color="auto" w:fill="D7D7D7" w:themeFill="background1" w:themeFillShade="D8"/>
          </w:tcPr>
          <w:p>
            <w:pPr>
              <w:widowControl/>
              <w:spacing w:line="400" w:lineRule="exact"/>
              <w:jc w:val="center"/>
              <w:rPr>
                <w:rFonts w:hint="default" w:ascii="宋体" w:hAnsi="宋体" w:eastAsia="宋体" w:cs="Tahoma"/>
                <w:b/>
                <w:bCs w:val="0"/>
                <w:color w:val="000000"/>
                <w:kern w:val="0"/>
                <w:szCs w:val="21"/>
                <w:lang w:val="en-US" w:eastAsia="zh-CN"/>
              </w:rPr>
            </w:pPr>
            <w:r>
              <w:rPr>
                <w:rFonts w:hint="eastAsia" w:ascii="宋体" w:hAnsi="宋体" w:cs="Tahoma"/>
                <w:b/>
                <w:bCs w:val="0"/>
                <w:color w:val="000000"/>
                <w:kern w:val="0"/>
                <w:szCs w:val="21"/>
                <w:lang w:val="en-US" w:eastAsia="zh-CN"/>
              </w:rPr>
              <w:t>56分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1" w:hRule="atLeast"/>
          <w:jc w:val="center"/>
        </w:trPr>
        <w:tc>
          <w:tcPr>
            <w:tcW w:w="589"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hint="eastAsia" w:ascii="宋体" w:hAnsi="宋体" w:eastAsia="宋体" w:cs="Times New Roman"/>
                <w:bCs/>
                <w:color w:val="000000"/>
                <w:kern w:val="0"/>
                <w:szCs w:val="21"/>
              </w:rPr>
              <w:t>2</w:t>
            </w:r>
            <w:r>
              <w:rPr>
                <w:rFonts w:ascii="宋体" w:hAnsi="宋体" w:eastAsia="宋体" w:cs="Times New Roman"/>
                <w:bCs/>
                <w:color w:val="000000"/>
                <w:kern w:val="0"/>
                <w:szCs w:val="21"/>
              </w:rPr>
              <w:t>.1</w:t>
            </w:r>
          </w:p>
        </w:tc>
        <w:tc>
          <w:tcPr>
            <w:tcW w:w="1105" w:type="dxa"/>
            <w:vAlign w:val="center"/>
          </w:tcPr>
          <w:p>
            <w:pPr>
              <w:jc w:val="center"/>
              <w:rPr>
                <w:rFonts w:hint="eastAsia" w:ascii="宋体" w:hAnsi="宋体" w:eastAsia="宋体" w:cs="Arial"/>
                <w:szCs w:val="21"/>
                <w:highlight w:val="none"/>
                <w:lang w:eastAsia="zh-CN"/>
              </w:rPr>
            </w:pPr>
            <w:r>
              <w:rPr>
                <w:rFonts w:hint="eastAsia" w:ascii="宋体" w:hAnsi="宋体" w:eastAsia="宋体" w:cs="宋体"/>
                <w:color w:val="auto"/>
                <w:spacing w:val="2"/>
                <w:sz w:val="20"/>
                <w:szCs w:val="20"/>
                <w:lang w:val="en-US" w:eastAsia="zh-CN"/>
              </w:rPr>
              <w:t>技术</w:t>
            </w:r>
            <w:r>
              <w:rPr>
                <w:rFonts w:hint="eastAsia" w:ascii="宋体" w:hAnsi="宋体" w:cs="宋体"/>
                <w:color w:val="auto"/>
                <w:spacing w:val="2"/>
                <w:sz w:val="20"/>
                <w:szCs w:val="20"/>
                <w:lang w:val="en-US" w:eastAsia="zh-CN"/>
              </w:rPr>
              <w:t>性能</w:t>
            </w:r>
            <w:r>
              <w:rPr>
                <w:rFonts w:hint="eastAsia" w:ascii="宋体" w:hAnsi="宋体" w:cs="Times New Roman"/>
                <w:bCs/>
                <w:color w:val="000000"/>
                <w:szCs w:val="24"/>
                <w:highlight w:val="none"/>
                <w:lang w:val="en-US" w:eastAsia="zh-CN"/>
              </w:rPr>
              <w:t>分</w:t>
            </w:r>
          </w:p>
        </w:tc>
        <w:tc>
          <w:tcPr>
            <w:tcW w:w="6628" w:type="dxa"/>
            <w:vAlign w:val="center"/>
          </w:tcPr>
          <w:p>
            <w:pPr>
              <w:spacing w:line="400" w:lineRule="exact"/>
              <w:ind w:firstLine="420" w:firstLineChars="200"/>
              <w:rPr>
                <w:rFonts w:hint="eastAsia" w:ascii="宋体" w:hAnsi="宋体" w:eastAsia="宋体" w:cs="Calibri"/>
                <w:color w:val="000000"/>
                <w:szCs w:val="21"/>
                <w:highlight w:val="none"/>
              </w:rPr>
            </w:pPr>
            <w:r>
              <w:rPr>
                <w:rFonts w:hint="eastAsia" w:ascii="宋体" w:hAnsi="宋体" w:eastAsia="宋体" w:cs="Calibri"/>
                <w:color w:val="000000"/>
                <w:szCs w:val="21"/>
                <w:highlight w:val="none"/>
              </w:rPr>
              <w:t>所投产品技术参数及性能（配置）完全满足招标文件要求的得</w:t>
            </w:r>
            <w:r>
              <w:rPr>
                <w:rFonts w:hint="eastAsia" w:ascii="宋体" w:hAnsi="宋体" w:cs="Calibri"/>
                <w:color w:val="000000"/>
                <w:szCs w:val="21"/>
                <w:highlight w:val="none"/>
                <w:lang w:val="en-US" w:eastAsia="zh-CN"/>
              </w:rPr>
              <w:t>36</w:t>
            </w:r>
            <w:r>
              <w:rPr>
                <w:rFonts w:hint="eastAsia" w:ascii="宋体" w:hAnsi="宋体" w:eastAsia="宋体" w:cs="Calibri"/>
                <w:color w:val="000000"/>
                <w:szCs w:val="21"/>
                <w:highlight w:val="none"/>
              </w:rPr>
              <w:t>分，每有1项负偏离的扣除本项满分分值的</w:t>
            </w:r>
            <w:r>
              <w:rPr>
                <w:rFonts w:hint="eastAsia" w:ascii="宋体" w:hAnsi="宋体" w:cs="Calibri"/>
                <w:color w:val="000000"/>
                <w:szCs w:val="21"/>
                <w:highlight w:val="none"/>
                <w:lang w:val="en-US" w:eastAsia="zh-CN"/>
              </w:rPr>
              <w:t>1</w:t>
            </w:r>
            <w:r>
              <w:rPr>
                <w:rFonts w:hint="eastAsia" w:ascii="宋体" w:hAnsi="宋体" w:eastAsia="宋体" w:cs="Calibri"/>
                <w:color w:val="000000"/>
                <w:szCs w:val="21"/>
                <w:highlight w:val="none"/>
              </w:rPr>
              <w:t>分，直至本项分值扣完为止。</w:t>
            </w:r>
          </w:p>
          <w:p>
            <w:pPr>
              <w:spacing w:line="400" w:lineRule="exact"/>
              <w:ind w:firstLine="420" w:firstLineChars="200"/>
              <w:rPr>
                <w:rFonts w:ascii="宋体" w:hAnsi="宋体" w:eastAsia="宋体" w:cs="Courier New"/>
                <w:bCs/>
                <w:color w:val="000000"/>
                <w:kern w:val="0"/>
                <w:szCs w:val="21"/>
                <w:highlight w:val="none"/>
              </w:rPr>
            </w:pPr>
            <w:r>
              <w:rPr>
                <w:rFonts w:hint="eastAsia" w:ascii="宋体" w:hAnsi="宋体" w:eastAsia="宋体" w:cs="Calibri"/>
                <w:color w:val="000000"/>
                <w:szCs w:val="21"/>
                <w:highlight w:val="none"/>
              </w:rPr>
              <w:t>注：(1)如涉及提供相关承诺或证明材料，未提供不得分。</w:t>
            </w:r>
          </w:p>
        </w:tc>
        <w:tc>
          <w:tcPr>
            <w:tcW w:w="1032" w:type="dxa"/>
            <w:vAlign w:val="center"/>
          </w:tcPr>
          <w:p>
            <w:pPr>
              <w:spacing w:line="400" w:lineRule="exact"/>
              <w:jc w:val="center"/>
              <w:rPr>
                <w:rFonts w:ascii="宋体" w:hAnsi="宋体" w:eastAsia="宋体" w:cs="Tahoma"/>
                <w:color w:val="000000"/>
                <w:kern w:val="0"/>
                <w:szCs w:val="21"/>
              </w:rPr>
            </w:pPr>
            <w:r>
              <w:rPr>
                <w:rFonts w:hint="eastAsia" w:ascii="宋体" w:hAnsi="宋体" w:cs="Tahoma"/>
                <w:color w:val="000000"/>
                <w:kern w:val="0"/>
                <w:szCs w:val="21"/>
                <w:lang w:val="en-US" w:eastAsia="zh-CN"/>
              </w:rPr>
              <w:t>36</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589"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hint="eastAsia" w:ascii="宋体" w:hAnsi="宋体" w:eastAsia="宋体" w:cs="Times New Roman"/>
                <w:bCs/>
                <w:color w:val="000000"/>
                <w:kern w:val="0"/>
                <w:szCs w:val="21"/>
              </w:rPr>
              <w:t>2</w:t>
            </w:r>
            <w:r>
              <w:rPr>
                <w:rFonts w:ascii="宋体" w:hAnsi="宋体" w:eastAsia="宋体" w:cs="Times New Roman"/>
                <w:bCs/>
                <w:color w:val="000000"/>
                <w:kern w:val="0"/>
                <w:szCs w:val="21"/>
              </w:rPr>
              <w:t>.2</w:t>
            </w:r>
          </w:p>
        </w:tc>
        <w:tc>
          <w:tcPr>
            <w:tcW w:w="1105" w:type="dxa"/>
            <w:vAlign w:val="center"/>
          </w:tcPr>
          <w:p>
            <w:pPr>
              <w:jc w:val="center"/>
              <w:rPr>
                <w:rFonts w:hint="eastAsia" w:hAnsi="宋体" w:eastAsia="宋体"/>
                <w:b/>
                <w:bCs/>
                <w:lang w:val="en-US" w:eastAsia="zh-CN"/>
              </w:rPr>
            </w:pPr>
            <w:r>
              <w:rPr>
                <w:rFonts w:hint="eastAsia" w:hAnsi="宋体"/>
                <w:b/>
                <w:bCs/>
              </w:rPr>
              <w:t>实施方案</w:t>
            </w:r>
          </w:p>
          <w:p>
            <w:pPr>
              <w:jc w:val="both"/>
              <w:rPr>
                <w:rFonts w:hint="eastAsia" w:ascii="宋体" w:hAnsi="宋体" w:eastAsia="宋体" w:cs="Times New Roman"/>
                <w:bCs/>
                <w:color w:val="000000"/>
                <w:szCs w:val="24"/>
                <w:highlight w:val="none"/>
                <w:lang w:eastAsia="zh-CN"/>
              </w:rPr>
            </w:pPr>
          </w:p>
        </w:tc>
        <w:tc>
          <w:tcPr>
            <w:tcW w:w="6628" w:type="dxa"/>
            <w:vAlign w:val="center"/>
          </w:tcPr>
          <w:p>
            <w:pPr>
              <w:pStyle w:val="26"/>
              <w:spacing w:line="360" w:lineRule="auto"/>
              <w:ind w:firstLine="361" w:firstLineChars="172"/>
              <w:rPr>
                <w:sz w:val="21"/>
              </w:rPr>
            </w:pPr>
            <w:r>
              <w:rPr>
                <w:rFonts w:hint="eastAsia"/>
                <w:sz w:val="21"/>
              </w:rPr>
              <w:t>一档（</w:t>
            </w:r>
            <w:r>
              <w:rPr>
                <w:sz w:val="21"/>
              </w:rPr>
              <w:t>1</w:t>
            </w:r>
            <w:r>
              <w:rPr>
                <w:rFonts w:hint="eastAsia"/>
                <w:sz w:val="21"/>
                <w:lang w:val="en-US" w:eastAsia="zh-CN"/>
              </w:rPr>
              <w:t>0</w:t>
            </w:r>
            <w:r>
              <w:rPr>
                <w:rFonts w:hint="eastAsia"/>
                <w:sz w:val="21"/>
              </w:rPr>
              <w:t>分）：</w:t>
            </w:r>
            <w:r>
              <w:rPr>
                <w:rFonts w:hint="eastAsia" w:hAnsi="宋体"/>
                <w:sz w:val="21"/>
              </w:rPr>
              <w:t>投标人提供的项目实施方案内容切合实际，实施步骤、计划及组织方案完整周全；组织机构健全，分工明确，能较好保障项目实施质量；能承诺本项目实施人员进场时间在</w:t>
            </w:r>
            <w:r>
              <w:rPr>
                <w:rFonts w:hAnsi="宋体"/>
                <w:sz w:val="21"/>
              </w:rPr>
              <w:t>3</w:t>
            </w:r>
            <w:r>
              <w:rPr>
                <w:rFonts w:hint="eastAsia" w:hAnsi="宋体"/>
                <w:sz w:val="21"/>
              </w:rPr>
              <w:t>个</w:t>
            </w:r>
            <w:r>
              <w:rPr>
                <w:rFonts w:hAnsi="宋体"/>
                <w:sz w:val="21"/>
              </w:rPr>
              <w:t>工作日</w:t>
            </w:r>
            <w:r>
              <w:rPr>
                <w:rFonts w:hint="eastAsia" w:hAnsi="宋体"/>
                <w:sz w:val="21"/>
              </w:rPr>
              <w:t>内（含），</w:t>
            </w:r>
            <w:r>
              <w:rPr>
                <w:rFonts w:hint="eastAsia" w:hAnsi="宋体"/>
                <w:sz w:val="21"/>
                <w:lang w:val="en-US" w:eastAsia="zh-CN"/>
              </w:rPr>
              <w:t>2</w:t>
            </w:r>
            <w:r>
              <w:rPr>
                <w:rFonts w:hint="eastAsia" w:hAnsi="宋体"/>
                <w:sz w:val="21"/>
              </w:rPr>
              <w:t>个月内完成安装、软件调试及上线；</w:t>
            </w:r>
            <w:r>
              <w:rPr>
                <w:rFonts w:hAnsi="宋体"/>
                <w:sz w:val="21"/>
              </w:rPr>
              <w:t>能提供</w:t>
            </w:r>
            <w:r>
              <w:rPr>
                <w:rFonts w:hint="eastAsia" w:hAnsi="宋体" w:cs="Courier New"/>
                <w:bCs/>
                <w:sz w:val="21"/>
              </w:rPr>
              <w:t>实施进度计划表，</w:t>
            </w:r>
            <w:r>
              <w:rPr>
                <w:rFonts w:hint="eastAsia" w:hAnsi="宋体" w:cs="Courier New"/>
                <w:bCs/>
                <w:kern w:val="2"/>
                <w:sz w:val="21"/>
              </w:rPr>
              <w:t>对各个时间节点的实施内容有详细的描述及承诺，确保项目高效完成；</w:t>
            </w:r>
            <w:r>
              <w:rPr>
                <w:rFonts w:hint="eastAsia" w:hAnsi="宋体"/>
                <w:sz w:val="21"/>
              </w:rPr>
              <w:t>能切合本项目实际提供具体的实施对接方案（含</w:t>
            </w:r>
            <w:r>
              <w:rPr>
                <w:rFonts w:hAnsi="宋体"/>
                <w:sz w:val="21"/>
              </w:rPr>
              <w:t>对接采购人的信息系统</w:t>
            </w:r>
            <w:r>
              <w:rPr>
                <w:rFonts w:hint="eastAsia" w:hAnsi="宋体"/>
                <w:sz w:val="21"/>
              </w:rPr>
              <w:t>），方案能清楚的表明对本项目的熟悉程度，技术路线清晰；能</w:t>
            </w:r>
            <w:r>
              <w:rPr>
                <w:rFonts w:hAnsi="宋体"/>
                <w:sz w:val="21"/>
              </w:rPr>
              <w:t>提供</w:t>
            </w:r>
            <w:r>
              <w:rPr>
                <w:rFonts w:hint="eastAsia" w:hAnsi="宋体"/>
                <w:sz w:val="21"/>
              </w:rPr>
              <w:t>交付时间保证措施、技术服务等内容；</w:t>
            </w:r>
            <w:r>
              <w:rPr>
                <w:rFonts w:hint="eastAsia" w:hAnsi="宋体" w:cs="Courier New"/>
                <w:bCs/>
                <w:kern w:val="2"/>
                <w:sz w:val="21"/>
              </w:rPr>
              <w:t>能提供有建设性的安装、调试、验收方法或方案。</w:t>
            </w:r>
          </w:p>
          <w:p>
            <w:pPr>
              <w:pStyle w:val="26"/>
              <w:spacing w:line="360" w:lineRule="auto"/>
              <w:ind w:firstLine="361" w:firstLineChars="172"/>
              <w:rPr>
                <w:sz w:val="21"/>
              </w:rPr>
            </w:pPr>
            <w:r>
              <w:rPr>
                <w:rFonts w:hint="eastAsia"/>
                <w:sz w:val="21"/>
              </w:rPr>
              <w:t>二档（</w:t>
            </w:r>
            <w:r>
              <w:rPr>
                <w:rFonts w:hint="eastAsia"/>
                <w:sz w:val="21"/>
                <w:lang w:val="en-US" w:eastAsia="zh-CN"/>
              </w:rPr>
              <w:t>7</w:t>
            </w:r>
            <w:r>
              <w:rPr>
                <w:rFonts w:hint="eastAsia"/>
                <w:sz w:val="21"/>
              </w:rPr>
              <w:t>分）：</w:t>
            </w:r>
            <w:r>
              <w:rPr>
                <w:rFonts w:hint="eastAsia" w:hAnsi="宋体"/>
                <w:sz w:val="21"/>
              </w:rPr>
              <w:t>投标人提供的项目实施方案内容方案详细，实施步骤、计划及组织方案周全，分工明确，能较好保障项目实施质量；</w:t>
            </w:r>
            <w:r>
              <w:rPr>
                <w:rFonts w:hAnsi="宋体"/>
                <w:sz w:val="21"/>
              </w:rPr>
              <w:t>能提供</w:t>
            </w:r>
            <w:r>
              <w:rPr>
                <w:rFonts w:hint="eastAsia" w:hAnsi="宋体" w:cs="Courier New"/>
                <w:bCs/>
                <w:sz w:val="21"/>
              </w:rPr>
              <w:t>实施进度计划表；</w:t>
            </w:r>
            <w:r>
              <w:rPr>
                <w:rFonts w:hint="eastAsia" w:hAnsi="宋体"/>
                <w:sz w:val="21"/>
              </w:rPr>
              <w:t>能切合本项目提供具体的实施对接方案，方案能表明对本项目的熟悉程度，技术路线；能承诺本项目实施人员进场时间在</w:t>
            </w:r>
            <w:r>
              <w:rPr>
                <w:rFonts w:hAnsi="宋体"/>
                <w:sz w:val="21"/>
              </w:rPr>
              <w:t>5</w:t>
            </w:r>
            <w:r>
              <w:rPr>
                <w:rFonts w:hint="eastAsia" w:hAnsi="宋体"/>
                <w:sz w:val="21"/>
              </w:rPr>
              <w:t>个</w:t>
            </w:r>
            <w:r>
              <w:rPr>
                <w:rFonts w:hAnsi="宋体"/>
                <w:sz w:val="21"/>
              </w:rPr>
              <w:t>工作日</w:t>
            </w:r>
            <w:r>
              <w:rPr>
                <w:rFonts w:hint="eastAsia" w:hAnsi="宋体"/>
                <w:sz w:val="21"/>
              </w:rPr>
              <w:t>内（含），</w:t>
            </w:r>
            <w:r>
              <w:rPr>
                <w:rFonts w:hint="eastAsia" w:hAnsi="宋体"/>
                <w:sz w:val="21"/>
                <w:lang w:val="en-US" w:eastAsia="zh-CN"/>
              </w:rPr>
              <w:t>2</w:t>
            </w:r>
            <w:r>
              <w:rPr>
                <w:rFonts w:hint="eastAsia" w:hAnsi="宋体"/>
                <w:sz w:val="21"/>
              </w:rPr>
              <w:t>个月内完成设备安装、软件调试及上线；能</w:t>
            </w:r>
            <w:r>
              <w:rPr>
                <w:rFonts w:hAnsi="宋体"/>
                <w:sz w:val="21"/>
              </w:rPr>
              <w:t>提供</w:t>
            </w:r>
            <w:r>
              <w:rPr>
                <w:rFonts w:hint="eastAsia" w:hAnsi="宋体"/>
                <w:sz w:val="21"/>
              </w:rPr>
              <w:t>交付时间保证措施、技术服务等内容。</w:t>
            </w:r>
          </w:p>
          <w:p>
            <w:pPr>
              <w:spacing w:line="360" w:lineRule="auto"/>
              <w:ind w:firstLine="420"/>
              <w:rPr>
                <w:rFonts w:hint="eastAsia"/>
                <w:szCs w:val="21"/>
              </w:rPr>
            </w:pPr>
            <w:r>
              <w:rPr>
                <w:rFonts w:hint="eastAsia"/>
                <w:szCs w:val="21"/>
              </w:rPr>
              <w:t>三档（</w:t>
            </w:r>
            <w:r>
              <w:rPr>
                <w:rFonts w:hint="eastAsia"/>
                <w:szCs w:val="21"/>
                <w:lang w:val="en-US" w:eastAsia="zh-CN"/>
              </w:rPr>
              <w:t>4</w:t>
            </w:r>
            <w:r>
              <w:rPr>
                <w:rFonts w:hint="eastAsia"/>
                <w:szCs w:val="21"/>
              </w:rPr>
              <w:t>分）：</w:t>
            </w:r>
            <w:r>
              <w:rPr>
                <w:rFonts w:hint="eastAsia" w:hAnsi="宋体"/>
                <w:szCs w:val="21"/>
              </w:rPr>
              <w:t>投标人提供的项目实施方案内容方案可行，实施步骤、计划及组织方案较完整具体，</w:t>
            </w:r>
            <w:r>
              <w:rPr>
                <w:rFonts w:hAnsi="宋体"/>
                <w:szCs w:val="21"/>
              </w:rPr>
              <w:t>能提供</w:t>
            </w:r>
            <w:r>
              <w:rPr>
                <w:rFonts w:hint="eastAsia" w:hAnsi="宋体" w:cs="Courier New"/>
                <w:bCs/>
                <w:szCs w:val="21"/>
              </w:rPr>
              <w:t>实施进度进度计划表</w:t>
            </w:r>
            <w:r>
              <w:rPr>
                <w:rFonts w:hint="eastAsia" w:hAnsi="宋体"/>
                <w:szCs w:val="21"/>
              </w:rPr>
              <w:t>。</w:t>
            </w:r>
          </w:p>
          <w:p>
            <w:pPr>
              <w:spacing w:line="360" w:lineRule="auto"/>
              <w:ind w:firstLine="420" w:firstLineChars="200"/>
              <w:rPr>
                <w:rFonts w:ascii="宋体" w:hAnsi="宋体" w:eastAsia="宋体" w:cs="Courier New"/>
                <w:bCs/>
                <w:color w:val="000000"/>
                <w:kern w:val="0"/>
                <w:szCs w:val="21"/>
                <w:highlight w:val="none"/>
              </w:rPr>
            </w:pPr>
            <w:r>
              <w:rPr>
                <w:rFonts w:hint="eastAsia" w:hAnsi="宋体"/>
                <w:sz w:val="21"/>
                <w:szCs w:val="21"/>
              </w:rPr>
              <w:t>四档（</w:t>
            </w:r>
            <w:r>
              <w:rPr>
                <w:rFonts w:hint="eastAsia" w:hAnsi="宋体"/>
                <w:sz w:val="21"/>
                <w:szCs w:val="21"/>
                <w:lang w:val="en-US" w:eastAsia="zh-CN"/>
              </w:rPr>
              <w:t>1</w:t>
            </w:r>
            <w:r>
              <w:rPr>
                <w:rFonts w:hint="eastAsia" w:hAnsi="宋体"/>
                <w:sz w:val="21"/>
                <w:szCs w:val="21"/>
              </w:rPr>
              <w:t>分）：投标人提供的项目实施方案符合采购需求，</w:t>
            </w:r>
            <w:r>
              <w:rPr>
                <w:rFonts w:hAnsi="宋体"/>
                <w:sz w:val="21"/>
                <w:szCs w:val="21"/>
              </w:rPr>
              <w:t>有</w:t>
            </w:r>
            <w:r>
              <w:rPr>
                <w:rFonts w:hint="eastAsia" w:hAnsi="宋体"/>
                <w:sz w:val="21"/>
                <w:szCs w:val="21"/>
              </w:rPr>
              <w:t>实施步骤。</w:t>
            </w:r>
          </w:p>
        </w:tc>
        <w:tc>
          <w:tcPr>
            <w:tcW w:w="1032"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r>
              <w:rPr>
                <w:rFonts w:hint="eastAsia" w:ascii="宋体" w:hAnsi="宋体" w:cs="Tahoma"/>
                <w:color w:val="000000"/>
                <w:kern w:val="0"/>
                <w:szCs w:val="21"/>
                <w:lang w:val="en-US" w:eastAsia="zh-CN"/>
              </w:rPr>
              <w:t>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589"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2.4</w:t>
            </w:r>
          </w:p>
        </w:tc>
        <w:tc>
          <w:tcPr>
            <w:tcW w:w="1105" w:type="dxa"/>
            <w:vAlign w:val="center"/>
          </w:tcPr>
          <w:p>
            <w:pPr>
              <w:adjustRightInd w:val="0"/>
              <w:spacing w:line="380" w:lineRule="exact"/>
              <w:ind w:left="-105" w:leftChars="-50" w:right="-105" w:rightChars="-50"/>
              <w:jc w:val="center"/>
              <w:textAlignment w:val="baseline"/>
              <w:rPr>
                <w:rFonts w:hint="eastAsia" w:ascii="Calibri" w:hAnsi="Calibri" w:eastAsia="宋体" w:cs="Times New Roman"/>
                <w:bCs/>
                <w:szCs w:val="24"/>
                <w:highlight w:val="none"/>
              </w:rPr>
            </w:pPr>
            <w:r>
              <w:rPr>
                <w:rFonts w:hint="eastAsia" w:ascii="Calibri" w:hAnsi="Calibri" w:eastAsia="宋体" w:cs="Times New Roman"/>
                <w:bCs/>
                <w:szCs w:val="24"/>
                <w:highlight w:val="none"/>
              </w:rPr>
              <w:t>售后服务</w:t>
            </w:r>
          </w:p>
          <w:p>
            <w:pPr>
              <w:adjustRightInd w:val="0"/>
              <w:spacing w:line="380" w:lineRule="exact"/>
              <w:ind w:left="-105" w:leftChars="-50" w:right="-105" w:rightChars="-50"/>
              <w:jc w:val="both"/>
              <w:textAlignment w:val="baseline"/>
              <w:rPr>
                <w:rFonts w:hint="eastAsia" w:ascii="Calibri" w:hAnsi="Calibri" w:eastAsia="宋体" w:cs="Times New Roman"/>
                <w:bCs/>
                <w:szCs w:val="24"/>
                <w:highlight w:val="none"/>
                <w:lang w:eastAsia="zh-CN"/>
              </w:rPr>
            </w:pPr>
          </w:p>
        </w:tc>
        <w:tc>
          <w:tcPr>
            <w:tcW w:w="6628" w:type="dxa"/>
            <w:vAlign w:val="center"/>
          </w:tcPr>
          <w:p>
            <w:pPr>
              <w:pStyle w:val="26"/>
              <w:spacing w:line="360" w:lineRule="auto"/>
              <w:ind w:firstLine="361" w:firstLineChars="172"/>
              <w:rPr>
                <w:rFonts w:hint="eastAsia" w:hAnsi="宋体" w:cs="Times New Roman"/>
                <w:sz w:val="21"/>
              </w:rPr>
            </w:pPr>
            <w:r>
              <w:rPr>
                <w:rFonts w:hint="eastAsia" w:hAnsi="宋体" w:cs="Times New Roman"/>
                <w:sz w:val="21"/>
              </w:rPr>
              <w:t>一档（10分）能根据项目实际，投标人提供的配套（售后）服务承诺书内容完整，到达故障现场时间、故障出现解决方案、定期维护（注明时间）承诺、技术培训方案及内容，质保期外续保方案、其他优惠措施等方面优于招标文件要求并对采购人有实质性的帮助，整体内容完整、详细，服务体系完整。</w:t>
            </w:r>
          </w:p>
          <w:p>
            <w:pPr>
              <w:pStyle w:val="26"/>
              <w:spacing w:line="360" w:lineRule="auto"/>
              <w:ind w:firstLine="361" w:firstLineChars="172"/>
              <w:rPr>
                <w:rFonts w:hint="eastAsia" w:hAnsi="宋体" w:cs="Times New Roman"/>
                <w:sz w:val="21"/>
              </w:rPr>
            </w:pPr>
            <w:r>
              <w:rPr>
                <w:rFonts w:hint="eastAsia" w:hAnsi="宋体" w:cs="Times New Roman"/>
                <w:sz w:val="21"/>
              </w:rPr>
              <w:t>二档（7分）：投标人提供的售后服务承诺书内容完整，有具体的到达故障现场时间、故障出现解决方案、定期维护（注明时间）承诺、技术培训方案、质保期外续保方案。</w:t>
            </w:r>
          </w:p>
          <w:p>
            <w:pPr>
              <w:pStyle w:val="26"/>
              <w:spacing w:line="360" w:lineRule="auto"/>
              <w:ind w:firstLine="361" w:firstLineChars="172"/>
              <w:rPr>
                <w:rFonts w:hint="eastAsia" w:hAnsi="宋体" w:cs="Times New Roman"/>
                <w:sz w:val="21"/>
              </w:rPr>
            </w:pPr>
            <w:r>
              <w:rPr>
                <w:rFonts w:hint="eastAsia" w:hAnsi="宋体" w:cs="Times New Roman"/>
                <w:sz w:val="21"/>
              </w:rPr>
              <w:t>三档（4分）：投标人提供的售后服务承诺书内容满足招标文件要求，提供的解决方案（是否提供替代品或配件、是否有应急方案等）质保维修方案等可行。</w:t>
            </w:r>
          </w:p>
          <w:p>
            <w:pPr>
              <w:pStyle w:val="26"/>
              <w:spacing w:line="360" w:lineRule="auto"/>
              <w:ind w:firstLine="361" w:firstLineChars="172"/>
              <w:rPr>
                <w:rFonts w:ascii="宋体" w:hAnsi="宋体" w:eastAsia="宋体" w:cs="仿宋"/>
                <w:szCs w:val="21"/>
                <w:highlight w:val="none"/>
              </w:rPr>
            </w:pPr>
            <w:r>
              <w:rPr>
                <w:rFonts w:hint="eastAsia" w:hAnsi="宋体" w:cs="Times New Roman"/>
                <w:sz w:val="21"/>
              </w:rPr>
              <w:t>四档（1分）：投标人提供的售后服务承诺内容简单，无具体故障出现解决方案（是否提供替代品或配件、是否有应急方案等）或无质保期外维修方案。</w:t>
            </w:r>
          </w:p>
        </w:tc>
        <w:tc>
          <w:tcPr>
            <w:tcW w:w="1032" w:type="dxa"/>
            <w:vAlign w:val="center"/>
          </w:tcPr>
          <w:p>
            <w:pPr>
              <w:spacing w:line="400" w:lineRule="exact"/>
              <w:jc w:val="center"/>
              <w:rPr>
                <w:rFonts w:ascii="宋体" w:hAnsi="宋体" w:eastAsia="宋体" w:cs="Tahoma"/>
                <w:color w:val="000000"/>
                <w:kern w:val="0"/>
                <w:szCs w:val="21"/>
              </w:rPr>
            </w:pPr>
            <w:r>
              <w:rPr>
                <w:rFonts w:hint="eastAsia" w:ascii="宋体" w:hAnsi="宋体" w:cs="Tahoma"/>
                <w:color w:val="000000"/>
                <w:kern w:val="0"/>
                <w:szCs w:val="21"/>
                <w:lang w:val="en-US" w:eastAsia="zh-CN"/>
              </w:rPr>
              <w:t>10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589" w:type="dxa"/>
            <w:shd w:val="clear" w:color="auto" w:fill="D7D7D7" w:themeFill="background1" w:themeFillShade="D8"/>
            <w:vAlign w:val="center"/>
          </w:tcPr>
          <w:p>
            <w:pPr>
              <w:widowControl/>
              <w:spacing w:line="400" w:lineRule="exact"/>
              <w:jc w:val="center"/>
              <w:rPr>
                <w:rFonts w:ascii="宋体" w:hAnsi="宋体" w:eastAsia="宋体" w:cs="Tahoma"/>
                <w:b/>
                <w:bCs/>
                <w:color w:val="000000"/>
                <w:kern w:val="0"/>
                <w:szCs w:val="21"/>
                <w:highlight w:val="none"/>
              </w:rPr>
            </w:pPr>
            <w:r>
              <w:rPr>
                <w:rFonts w:hint="eastAsia" w:ascii="宋体" w:hAnsi="宋体" w:eastAsia="宋体" w:cs="Tahoma"/>
                <w:b/>
                <w:bCs/>
                <w:color w:val="000000"/>
                <w:kern w:val="0"/>
                <w:szCs w:val="21"/>
                <w:highlight w:val="none"/>
              </w:rPr>
              <w:t>3</w:t>
            </w:r>
          </w:p>
        </w:tc>
        <w:tc>
          <w:tcPr>
            <w:tcW w:w="1105" w:type="dxa"/>
            <w:shd w:val="clear" w:color="auto" w:fill="D7D7D7" w:themeFill="background1" w:themeFillShade="D8"/>
            <w:vAlign w:val="center"/>
          </w:tcPr>
          <w:p>
            <w:pPr>
              <w:widowControl/>
              <w:spacing w:line="400" w:lineRule="exact"/>
              <w:jc w:val="center"/>
              <w:rPr>
                <w:rFonts w:hint="eastAsia" w:ascii="宋体" w:hAnsi="宋体" w:eastAsia="宋体" w:cs="Courier New"/>
                <w:b/>
                <w:bCs/>
                <w:color w:val="000000"/>
                <w:szCs w:val="21"/>
                <w:highlight w:val="none"/>
                <w:lang w:eastAsia="zh-CN"/>
              </w:rPr>
            </w:pPr>
            <w:r>
              <w:rPr>
                <w:rFonts w:hint="eastAsia" w:ascii="宋体" w:hAnsi="宋体" w:eastAsia="宋体" w:cs="Courier New"/>
                <w:b/>
                <w:bCs/>
                <w:color w:val="000000"/>
                <w:szCs w:val="21"/>
                <w:highlight w:val="none"/>
              </w:rPr>
              <w:t>商务分</w:t>
            </w:r>
          </w:p>
        </w:tc>
        <w:tc>
          <w:tcPr>
            <w:tcW w:w="6628" w:type="dxa"/>
            <w:shd w:val="clear" w:color="auto" w:fill="D7D7D7" w:themeFill="background1" w:themeFillShade="D8"/>
            <w:vAlign w:val="center"/>
          </w:tcPr>
          <w:p>
            <w:pPr>
              <w:widowControl/>
              <w:spacing w:line="400" w:lineRule="exact"/>
              <w:jc w:val="center"/>
              <w:rPr>
                <w:rFonts w:ascii="宋体" w:hAnsi="宋体" w:eastAsia="宋体" w:cs="Tahoma"/>
                <w:b/>
                <w:bCs/>
                <w:color w:val="000000"/>
                <w:kern w:val="0"/>
                <w:szCs w:val="21"/>
                <w:highlight w:val="none"/>
              </w:rPr>
            </w:pPr>
            <w:r>
              <w:rPr>
                <w:rFonts w:hint="eastAsia" w:ascii="宋体" w:hAnsi="宋体" w:eastAsia="宋体" w:cs="Tahoma"/>
                <w:b/>
                <w:bCs/>
                <w:color w:val="000000"/>
                <w:kern w:val="0"/>
                <w:szCs w:val="21"/>
                <w:highlight w:val="none"/>
              </w:rPr>
              <w:t>评审因素</w:t>
            </w:r>
          </w:p>
        </w:tc>
        <w:tc>
          <w:tcPr>
            <w:tcW w:w="1032" w:type="dxa"/>
            <w:shd w:val="clear" w:color="auto" w:fill="D7D7D7" w:themeFill="background1" w:themeFillShade="D8"/>
            <w:vAlign w:val="center"/>
          </w:tcPr>
          <w:p>
            <w:pPr>
              <w:widowControl/>
              <w:spacing w:line="400" w:lineRule="exact"/>
              <w:jc w:val="center"/>
              <w:rPr>
                <w:rFonts w:hint="default" w:ascii="宋体" w:hAnsi="宋体" w:eastAsia="宋体" w:cs="Tahoma"/>
                <w:b/>
                <w:bCs/>
                <w:color w:val="000000"/>
                <w:kern w:val="0"/>
                <w:szCs w:val="21"/>
                <w:highlight w:val="none"/>
                <w:lang w:val="en-US" w:eastAsia="zh-CN"/>
              </w:rPr>
            </w:pPr>
            <w:r>
              <w:rPr>
                <w:rFonts w:hint="eastAsia" w:ascii="宋体" w:hAnsi="宋体" w:cs="Tahoma"/>
                <w:b/>
                <w:bCs/>
                <w:color w:val="000000"/>
                <w:kern w:val="0"/>
                <w:szCs w:val="21"/>
                <w:highlight w:val="none"/>
                <w:lang w:val="en-US" w:eastAsia="zh-CN"/>
              </w:rPr>
              <w:t>14分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4" w:hRule="atLeast"/>
          <w:jc w:val="center"/>
        </w:trPr>
        <w:tc>
          <w:tcPr>
            <w:tcW w:w="589" w:type="dxa"/>
            <w:vAlign w:val="center"/>
          </w:tcPr>
          <w:p>
            <w:pPr>
              <w:widowControl/>
              <w:spacing w:line="400" w:lineRule="exact"/>
              <w:jc w:val="center"/>
              <w:rPr>
                <w:rFonts w:ascii="宋体" w:hAnsi="宋体" w:eastAsia="宋体" w:cs="Tahoma"/>
                <w:color w:val="000000"/>
                <w:kern w:val="0"/>
                <w:szCs w:val="21"/>
                <w:highlight w:val="none"/>
              </w:rPr>
            </w:pPr>
            <w:r>
              <w:rPr>
                <w:rFonts w:ascii="宋体" w:hAnsi="宋体" w:eastAsia="宋体" w:cs="Tahoma"/>
                <w:color w:val="000000"/>
                <w:kern w:val="0"/>
                <w:szCs w:val="21"/>
                <w:highlight w:val="none"/>
              </w:rPr>
              <w:t>3</w:t>
            </w:r>
            <w:r>
              <w:rPr>
                <w:rFonts w:hint="eastAsia" w:ascii="宋体" w:hAnsi="宋体" w:eastAsia="宋体" w:cs="Tahoma"/>
                <w:color w:val="000000"/>
                <w:kern w:val="0"/>
                <w:szCs w:val="21"/>
                <w:highlight w:val="none"/>
                <w:lang w:val="en-US" w:eastAsia="zh-CN"/>
              </w:rPr>
              <w:t>.</w:t>
            </w:r>
            <w:r>
              <w:rPr>
                <w:rFonts w:ascii="宋体" w:hAnsi="宋体" w:eastAsia="宋体" w:cs="Tahoma"/>
                <w:color w:val="000000"/>
                <w:kern w:val="0"/>
                <w:szCs w:val="21"/>
                <w:highlight w:val="none"/>
              </w:rPr>
              <w:t>1</w:t>
            </w:r>
          </w:p>
        </w:tc>
        <w:tc>
          <w:tcPr>
            <w:tcW w:w="1105" w:type="dxa"/>
            <w:vAlign w:val="center"/>
          </w:tcPr>
          <w:p>
            <w:pPr>
              <w:widowControl/>
              <w:spacing w:line="400" w:lineRule="exact"/>
              <w:jc w:val="center"/>
              <w:rPr>
                <w:rFonts w:hint="eastAsia" w:ascii="宋体" w:hAnsi="宋体" w:eastAsia="宋体" w:cs="Tahoma"/>
                <w:color w:val="000000"/>
                <w:kern w:val="0"/>
                <w:szCs w:val="21"/>
                <w:highlight w:val="none"/>
                <w:lang w:eastAsia="zh-CN"/>
              </w:rPr>
            </w:pPr>
            <w:r>
              <w:rPr>
                <w:rFonts w:ascii="宋体" w:hAnsi="宋体" w:eastAsia="宋体" w:cs="Arial"/>
                <w:szCs w:val="21"/>
                <w:highlight w:val="none"/>
              </w:rPr>
              <w:t>业绩</w:t>
            </w:r>
            <w:r>
              <w:rPr>
                <w:rFonts w:hint="eastAsia" w:ascii="宋体" w:hAnsi="宋体" w:eastAsia="宋体" w:cs="Arial"/>
                <w:szCs w:val="21"/>
                <w:highlight w:val="none"/>
              </w:rPr>
              <w:t>分</w:t>
            </w:r>
          </w:p>
        </w:tc>
        <w:tc>
          <w:tcPr>
            <w:tcW w:w="6628" w:type="dxa"/>
            <w:vAlign w:val="center"/>
          </w:tcPr>
          <w:p>
            <w:pPr>
              <w:spacing w:line="360" w:lineRule="auto"/>
              <w:rPr>
                <w:rFonts w:ascii="宋体" w:hAnsi="宋体" w:eastAsia="宋体" w:cs="Arial"/>
                <w:szCs w:val="21"/>
                <w:highlight w:val="none"/>
              </w:rPr>
            </w:pPr>
            <w:r>
              <w:rPr>
                <w:rFonts w:hint="eastAsia" w:ascii="宋体" w:hAnsi="宋体" w:eastAsia="宋体" w:cs="Arial"/>
                <w:szCs w:val="21"/>
                <w:highlight w:val="none"/>
              </w:rPr>
              <w:t>供应商20</w:t>
            </w:r>
            <w:r>
              <w:rPr>
                <w:rFonts w:hint="eastAsia" w:ascii="宋体" w:hAnsi="宋体" w:eastAsia="宋体" w:cs="Arial"/>
                <w:szCs w:val="21"/>
                <w:highlight w:val="none"/>
                <w:lang w:val="en-US" w:eastAsia="zh-CN"/>
              </w:rPr>
              <w:t>22</w:t>
            </w:r>
            <w:r>
              <w:rPr>
                <w:rFonts w:hint="eastAsia" w:ascii="宋体" w:hAnsi="宋体" w:eastAsia="宋体" w:cs="Arial"/>
                <w:szCs w:val="21"/>
                <w:highlight w:val="none"/>
              </w:rPr>
              <w:t>年1月1日以来具有同类服务项目的销售业绩的，每项得</w:t>
            </w:r>
            <w:r>
              <w:rPr>
                <w:rFonts w:hint="eastAsia" w:ascii="宋体" w:hAnsi="宋体" w:cs="Arial"/>
                <w:szCs w:val="21"/>
                <w:highlight w:val="none"/>
                <w:lang w:val="en-US" w:eastAsia="zh-CN"/>
              </w:rPr>
              <w:t>2</w:t>
            </w:r>
            <w:r>
              <w:rPr>
                <w:rFonts w:hint="eastAsia" w:ascii="宋体" w:hAnsi="宋体" w:eastAsia="宋体" w:cs="Arial"/>
                <w:szCs w:val="21"/>
                <w:highlight w:val="none"/>
              </w:rPr>
              <w:t>分。（以响应文件中提供</w:t>
            </w:r>
            <w:r>
              <w:rPr>
                <w:rFonts w:ascii="宋体" w:hAnsi="宋体" w:eastAsia="宋体" w:cs="Arial"/>
                <w:szCs w:val="21"/>
                <w:highlight w:val="none"/>
              </w:rPr>
              <w:t>提供合同复印件</w:t>
            </w:r>
            <w:r>
              <w:rPr>
                <w:rFonts w:hint="eastAsia" w:ascii="宋体" w:hAnsi="宋体" w:eastAsia="宋体" w:cs="Arial"/>
                <w:szCs w:val="21"/>
                <w:highlight w:val="none"/>
              </w:rPr>
              <w:t>及验收报告复印件</w:t>
            </w:r>
            <w:r>
              <w:rPr>
                <w:rFonts w:ascii="宋体" w:hAnsi="宋体" w:eastAsia="宋体" w:cs="Arial"/>
                <w:szCs w:val="21"/>
                <w:highlight w:val="none"/>
              </w:rPr>
              <w:t>作为证明材料，不提供不得分</w:t>
            </w:r>
            <w:r>
              <w:rPr>
                <w:rFonts w:hint="eastAsia" w:ascii="宋体" w:hAnsi="宋体" w:eastAsia="宋体" w:cs="Arial"/>
                <w:szCs w:val="21"/>
                <w:highlight w:val="none"/>
              </w:rPr>
              <w:t>）</w:t>
            </w:r>
          </w:p>
        </w:tc>
        <w:tc>
          <w:tcPr>
            <w:tcW w:w="103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 xml:space="preserve"> </w:t>
            </w:r>
            <w:r>
              <w:rPr>
                <w:rFonts w:hint="eastAsia" w:ascii="宋体" w:hAnsi="宋体" w:cs="Tahoma"/>
                <w:color w:val="000000"/>
                <w:kern w:val="0"/>
                <w:szCs w:val="21"/>
                <w:lang w:val="en-US" w:eastAsia="zh-CN"/>
              </w:rPr>
              <w:t>6</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3" w:hRule="atLeast"/>
          <w:jc w:val="center"/>
        </w:trPr>
        <w:tc>
          <w:tcPr>
            <w:tcW w:w="589" w:type="dxa"/>
            <w:vAlign w:val="center"/>
          </w:tcPr>
          <w:p>
            <w:pPr>
              <w:spacing w:line="400" w:lineRule="exact"/>
              <w:jc w:val="center"/>
              <w:rPr>
                <w:rFonts w:ascii="宋体" w:hAnsi="宋体" w:eastAsia="宋体" w:cs="Tahoma"/>
                <w:color w:val="000000"/>
                <w:kern w:val="0"/>
                <w:szCs w:val="21"/>
                <w:highlight w:val="none"/>
              </w:rPr>
            </w:pPr>
            <w:r>
              <w:rPr>
                <w:rFonts w:ascii="宋体" w:hAnsi="宋体" w:eastAsia="宋体" w:cs="Tahoma"/>
                <w:color w:val="000000"/>
                <w:kern w:val="0"/>
                <w:szCs w:val="21"/>
                <w:highlight w:val="none"/>
              </w:rPr>
              <w:t>3.2</w:t>
            </w:r>
          </w:p>
        </w:tc>
        <w:tc>
          <w:tcPr>
            <w:tcW w:w="1105" w:type="dxa"/>
            <w:vAlign w:val="center"/>
          </w:tcPr>
          <w:p>
            <w:pPr>
              <w:widowControl/>
              <w:spacing w:line="400" w:lineRule="exact"/>
              <w:jc w:val="center"/>
              <w:rPr>
                <w:rFonts w:hint="eastAsia" w:ascii="宋体" w:hAnsi="宋体" w:eastAsia="宋体" w:cs="Tahoma"/>
                <w:color w:val="000000"/>
                <w:kern w:val="0"/>
                <w:szCs w:val="21"/>
                <w:highlight w:val="none"/>
                <w:lang w:eastAsia="zh-CN"/>
              </w:rPr>
            </w:pPr>
            <w:r>
              <w:rPr>
                <w:rFonts w:ascii="宋体" w:hAnsi="宋体" w:eastAsia="宋体" w:cs="Arial"/>
                <w:szCs w:val="21"/>
                <w:highlight w:val="none"/>
              </w:rPr>
              <w:t>实力信誉</w:t>
            </w:r>
            <w:r>
              <w:rPr>
                <w:rFonts w:hint="eastAsia" w:ascii="宋体" w:hAnsi="宋体" w:eastAsia="宋体" w:cs="Arial"/>
                <w:szCs w:val="21"/>
                <w:highlight w:val="none"/>
              </w:rPr>
              <w:t>分</w:t>
            </w:r>
          </w:p>
        </w:tc>
        <w:tc>
          <w:tcPr>
            <w:tcW w:w="6628" w:type="dxa"/>
            <w:vAlign w:val="center"/>
          </w:tcPr>
          <w:p>
            <w:pPr>
              <w:spacing w:line="360" w:lineRule="auto"/>
              <w:rPr>
                <w:rFonts w:hint="eastAsia" w:ascii="宋体" w:hAnsi="宋体" w:eastAsia="宋体" w:cs="Arial"/>
                <w:sz w:val="21"/>
                <w:szCs w:val="21"/>
                <w:highlight w:val="none"/>
              </w:rPr>
            </w:pPr>
            <w:r>
              <w:rPr>
                <w:rFonts w:hint="eastAsia" w:ascii="宋体" w:hAnsi="宋体" w:eastAsia="宋体" w:cs="Arial"/>
                <w:sz w:val="21"/>
                <w:szCs w:val="21"/>
                <w:highlight w:val="none"/>
              </w:rPr>
              <w:t>（1）具有系统实施、系统维护、服务支持的服务人员队伍，服务团队不低于3人</w:t>
            </w:r>
            <w:r>
              <w:rPr>
                <w:rFonts w:hint="eastAsia" w:ascii="宋体" w:hAnsi="宋体" w:eastAsia="宋体" w:cs="Arial"/>
                <w:sz w:val="21"/>
                <w:szCs w:val="21"/>
                <w:highlight w:val="none"/>
                <w:lang w:eastAsia="zh-CN"/>
              </w:rPr>
              <w:t>，</w:t>
            </w:r>
            <w:r>
              <w:rPr>
                <w:rFonts w:hint="eastAsia" w:ascii="宋体" w:hAnsi="宋体" w:cs="Arial"/>
                <w:sz w:val="21"/>
                <w:szCs w:val="21"/>
                <w:highlight w:val="none"/>
                <w:lang w:val="en-US" w:eastAsia="zh-CN"/>
              </w:rPr>
              <w:t>得1分（</w:t>
            </w:r>
            <w:r>
              <w:rPr>
                <w:rFonts w:hint="eastAsia" w:ascii="宋体" w:hAnsi="宋体" w:eastAsia="宋体" w:cs="Arial"/>
                <w:sz w:val="21"/>
                <w:szCs w:val="21"/>
                <w:highlight w:val="none"/>
              </w:rPr>
              <w:t>以202</w:t>
            </w:r>
            <w:r>
              <w:rPr>
                <w:rFonts w:hint="eastAsia" w:ascii="宋体" w:hAnsi="宋体" w:cs="Arial"/>
                <w:sz w:val="21"/>
                <w:szCs w:val="21"/>
                <w:highlight w:val="none"/>
                <w:lang w:val="en-US" w:eastAsia="zh-CN"/>
              </w:rPr>
              <w:t>2</w:t>
            </w:r>
            <w:r>
              <w:rPr>
                <w:rFonts w:hint="eastAsia" w:ascii="宋体" w:hAnsi="宋体" w:eastAsia="宋体" w:cs="Arial"/>
                <w:sz w:val="21"/>
                <w:szCs w:val="21"/>
                <w:highlight w:val="none"/>
              </w:rPr>
              <w:t>年</w:t>
            </w:r>
            <w:r>
              <w:rPr>
                <w:rFonts w:ascii="宋体" w:hAnsi="宋体" w:eastAsia="宋体" w:cs="Arial"/>
                <w:sz w:val="21"/>
                <w:szCs w:val="21"/>
                <w:highlight w:val="none"/>
              </w:rPr>
              <w:t>6</w:t>
            </w:r>
            <w:r>
              <w:rPr>
                <w:rFonts w:hint="eastAsia" w:ascii="宋体" w:hAnsi="宋体" w:eastAsia="宋体" w:cs="Arial"/>
                <w:sz w:val="21"/>
                <w:szCs w:val="21"/>
                <w:highlight w:val="none"/>
              </w:rPr>
              <w:t>月至今任意三个月供应商为技术人员缴纳社保的证明材料复印件并加盖供应商公章为准</w:t>
            </w:r>
            <w:r>
              <w:rPr>
                <w:rFonts w:hint="eastAsia" w:ascii="宋体" w:hAnsi="宋体" w:cs="Arial"/>
                <w:sz w:val="21"/>
                <w:szCs w:val="21"/>
                <w:highlight w:val="none"/>
                <w:lang w:val="en-US" w:eastAsia="zh-CN"/>
              </w:rPr>
              <w:t>）</w:t>
            </w:r>
            <w:r>
              <w:rPr>
                <w:rFonts w:hint="eastAsia" w:ascii="宋体" w:hAnsi="宋体" w:eastAsia="宋体" w:cs="Arial"/>
                <w:sz w:val="21"/>
                <w:szCs w:val="21"/>
                <w:highlight w:val="none"/>
              </w:rPr>
              <w:t>，无社保证明不得分；满足条件的服务人数每增加1人得1分，满分</w:t>
            </w:r>
            <w:r>
              <w:rPr>
                <w:rFonts w:ascii="宋体" w:hAnsi="宋体" w:eastAsia="宋体" w:cs="Arial"/>
                <w:sz w:val="21"/>
                <w:szCs w:val="21"/>
                <w:highlight w:val="none"/>
              </w:rPr>
              <w:t>2</w:t>
            </w:r>
            <w:r>
              <w:rPr>
                <w:rFonts w:hint="eastAsia" w:ascii="宋体" w:hAnsi="宋体" w:eastAsia="宋体" w:cs="Arial"/>
                <w:sz w:val="21"/>
                <w:szCs w:val="21"/>
                <w:highlight w:val="none"/>
              </w:rPr>
              <w:t>分；</w:t>
            </w:r>
          </w:p>
          <w:p>
            <w:pPr>
              <w:pStyle w:val="2"/>
              <w:spacing w:line="360" w:lineRule="auto"/>
            </w:pPr>
          </w:p>
          <w:p>
            <w:pPr>
              <w:spacing w:line="360" w:lineRule="auto"/>
              <w:rPr>
                <w:rFonts w:ascii="宋体" w:hAnsi="宋体" w:eastAsia="宋体" w:cs="Arial"/>
                <w:szCs w:val="21"/>
                <w:highlight w:val="none"/>
              </w:rPr>
            </w:pPr>
            <w:r>
              <w:rPr>
                <w:rFonts w:hint="eastAsia" w:ascii="宋体" w:hAnsi="宋体" w:eastAsia="宋体" w:cs="Arial"/>
                <w:sz w:val="21"/>
                <w:szCs w:val="21"/>
                <w:highlight w:val="none"/>
              </w:rPr>
              <w:t>（2）</w:t>
            </w:r>
            <w:r>
              <w:rPr>
                <w:rFonts w:ascii="宋体" w:hAnsi="宋体" w:eastAsia="宋体" w:cs="宋体"/>
                <w:sz w:val="21"/>
                <w:szCs w:val="21"/>
              </w:rPr>
              <w:t>竞标人或竞标人上级机构具有ISO9001 质量管理体系认证</w:t>
            </w:r>
            <w:r>
              <w:rPr>
                <w:rFonts w:hint="eastAsia" w:ascii="宋体" w:hAnsi="宋体" w:eastAsia="宋体" w:cs="宋体"/>
                <w:sz w:val="21"/>
                <w:szCs w:val="21"/>
                <w:lang w:eastAsia="zh-CN"/>
              </w:rPr>
              <w:t>、</w:t>
            </w:r>
            <w:r>
              <w:rPr>
                <w:rFonts w:ascii="宋体" w:hAnsi="宋体" w:eastAsia="宋体" w:cs="宋体"/>
                <w:sz w:val="21"/>
                <w:szCs w:val="21"/>
              </w:rPr>
              <w:t>ISO/IEC 27001 信息安全管理体系认证</w:t>
            </w:r>
            <w:r>
              <w:rPr>
                <w:rFonts w:hint="eastAsia" w:ascii="宋体" w:hAnsi="宋体" w:eastAsia="宋体" w:cs="宋体"/>
                <w:sz w:val="21"/>
                <w:szCs w:val="21"/>
                <w:lang w:eastAsia="zh-CN"/>
              </w:rPr>
              <w:t>、</w:t>
            </w:r>
            <w:r>
              <w:rPr>
                <w:rFonts w:ascii="宋体" w:hAnsi="宋体" w:eastAsia="宋体" w:cs="宋体"/>
                <w:sz w:val="21"/>
                <w:szCs w:val="21"/>
              </w:rPr>
              <w:t>ISO/IEC 20000 信息技术服务管理体系认证；每提供一项得2 分，本项最高得</w:t>
            </w:r>
            <w:r>
              <w:rPr>
                <w:rFonts w:hint="eastAsia" w:ascii="宋体" w:hAnsi="宋体" w:cs="宋体"/>
                <w:sz w:val="21"/>
                <w:szCs w:val="21"/>
                <w:lang w:val="en-US" w:eastAsia="zh-CN"/>
              </w:rPr>
              <w:t>6</w:t>
            </w:r>
            <w:r>
              <w:rPr>
                <w:rFonts w:ascii="宋体" w:hAnsi="宋体" w:eastAsia="宋体" w:cs="宋体"/>
                <w:sz w:val="21"/>
                <w:szCs w:val="21"/>
              </w:rPr>
              <w:t>分</w:t>
            </w:r>
            <w:r>
              <w:rPr>
                <w:rFonts w:hint="eastAsia" w:ascii="宋体" w:hAnsi="宋体" w:eastAsia="宋体" w:cs="Arial"/>
                <w:sz w:val="21"/>
                <w:szCs w:val="21"/>
                <w:highlight w:val="none"/>
              </w:rPr>
              <w:t>；</w:t>
            </w:r>
          </w:p>
        </w:tc>
        <w:tc>
          <w:tcPr>
            <w:tcW w:w="103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cs="Tahoma"/>
                <w:color w:val="000000"/>
                <w:kern w:val="0"/>
                <w:szCs w:val="21"/>
                <w:lang w:val="en-US" w:eastAsia="zh-CN"/>
              </w:rPr>
              <w:t>8</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322" w:type="dxa"/>
            <w:gridSpan w:val="3"/>
          </w:tcPr>
          <w:p>
            <w:pPr>
              <w:spacing w:line="400" w:lineRule="exact"/>
              <w:ind w:firstLine="420" w:firstLineChars="200"/>
              <w:rPr>
                <w:rFonts w:ascii="宋体" w:hAnsi="宋体" w:eastAsia="宋体" w:cs="Courier New"/>
                <w:bCs/>
                <w:color w:val="000000"/>
                <w:szCs w:val="21"/>
              </w:rPr>
            </w:pPr>
            <w:r>
              <w:rPr>
                <w:rFonts w:hint="eastAsia" w:ascii="宋体" w:hAnsi="宋体" w:eastAsia="宋体" w:cs="Courier New"/>
                <w:bCs/>
                <w:color w:val="000000"/>
                <w:szCs w:val="21"/>
              </w:rPr>
              <w:t>总得分＝1＋2＋3</w:t>
            </w:r>
          </w:p>
        </w:tc>
        <w:tc>
          <w:tcPr>
            <w:tcW w:w="103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100分</w:t>
            </w:r>
          </w:p>
        </w:tc>
      </w:tr>
    </w:tbl>
    <w:p>
      <w:pPr>
        <w:ind w:firstLine="420" w:firstLineChars="200"/>
        <w:jc w:val="left"/>
        <w:rPr>
          <w:rFonts w:ascii="宋体" w:hAnsi="宋体" w:eastAsia="宋体"/>
          <w:szCs w:val="21"/>
        </w:rPr>
      </w:pPr>
    </w:p>
    <w:p>
      <w:pPr>
        <w:spacing w:line="400" w:lineRule="exact"/>
        <w:ind w:firstLine="422" w:firstLineChars="200"/>
        <w:jc w:val="left"/>
        <w:rPr>
          <w:rFonts w:ascii="宋体" w:hAnsi="宋体" w:eastAsia="宋体"/>
          <w:b/>
          <w:bCs/>
          <w:szCs w:val="21"/>
        </w:rPr>
      </w:pPr>
      <w:r>
        <w:rPr>
          <w:rFonts w:hint="eastAsia" w:ascii="宋体" w:hAnsi="宋体" w:eastAsia="宋体"/>
          <w:b/>
          <w:bCs/>
          <w:szCs w:val="21"/>
        </w:rPr>
        <w:t>三、成交候选人推荐原则</w:t>
      </w:r>
    </w:p>
    <w:p>
      <w:pPr>
        <w:spacing w:line="400" w:lineRule="exact"/>
        <w:ind w:firstLine="420" w:firstLineChars="200"/>
        <w:jc w:val="left"/>
        <w:rPr>
          <w:rFonts w:ascii="宋体" w:hAnsi="宋体" w:eastAsia="宋体"/>
          <w:szCs w:val="21"/>
        </w:rPr>
      </w:pPr>
      <w:r>
        <w:rPr>
          <w:rFonts w:ascii="宋体" w:hAnsi="宋体" w:eastAsia="宋体"/>
          <w:szCs w:val="21"/>
        </w:rPr>
        <w:t>由磋商小组根据综合评分情况，按照评审得分由高到低顺序推荐3名以上成交候选供应商，并编写评审报告。评审得分相同的，按照最后报价（不计算价格折扣）由低到高的顺序推荐。评审得分且最后报价（不计算价格折扣）相同的，按照技术指标优劣顺序推荐（按技术得分由高到低排序，技术得分相同的按照技术需求偏离分由高到低排序）。评审得分、最后报价（不计算价格折扣）、技术得分、技术需求偏离分均相同的，由磋商小组随机抽取推荐。</w:t>
      </w:r>
    </w:p>
    <w:p>
      <w:pPr>
        <w:keepNext w:val="0"/>
        <w:keepLines w:val="0"/>
        <w:pageBreakBefore w:val="0"/>
        <w:kinsoku/>
        <w:overflowPunct/>
        <w:topLinePunct w:val="0"/>
        <w:bidi w:val="0"/>
        <w:spacing w:line="360" w:lineRule="auto"/>
        <w:jc w:val="center"/>
        <w:textAlignment w:val="auto"/>
        <w:outlineLvl w:val="0"/>
        <w:rPr>
          <w:rFonts w:hint="eastAsia" w:ascii="宋体" w:hAnsi="宋体"/>
          <w:b/>
          <w:color w:val="auto"/>
          <w:sz w:val="32"/>
          <w:szCs w:val="32"/>
          <w:highlight w:val="none"/>
        </w:rPr>
      </w:pPr>
    </w:p>
    <w:p>
      <w:pPr>
        <w:rPr>
          <w:rFonts w:hint="eastAsia" w:ascii="宋体" w:hAnsi="宋体"/>
          <w:b/>
          <w:color w:val="auto"/>
          <w:sz w:val="32"/>
          <w:szCs w:val="32"/>
          <w:highlight w:val="none"/>
        </w:rPr>
      </w:pPr>
      <w:r>
        <w:rPr>
          <w:rFonts w:hint="eastAsia" w:ascii="宋体" w:hAnsi="宋体"/>
          <w:b/>
          <w:color w:val="auto"/>
          <w:sz w:val="32"/>
          <w:szCs w:val="32"/>
          <w:highlight w:val="none"/>
        </w:rPr>
        <w:br w:type="page"/>
      </w:r>
    </w:p>
    <w:p>
      <w:pPr>
        <w:pStyle w:val="3"/>
        <w:spacing w:line="240" w:lineRule="auto"/>
        <w:jc w:val="center"/>
        <w:rPr>
          <w:rFonts w:hint="eastAsia" w:ascii="黑体" w:hAnsi="黑体" w:eastAsia="黑体" w:cs="黑体"/>
          <w:b/>
          <w:bCs/>
          <w:sz w:val="32"/>
          <w:szCs w:val="32"/>
        </w:rPr>
      </w:pPr>
      <w:bookmarkStart w:id="21" w:name="_Toc157176843"/>
      <w:r>
        <w:rPr>
          <w:rFonts w:hint="eastAsia" w:ascii="黑体" w:hAnsi="黑体" w:eastAsia="黑体" w:cs="黑体"/>
          <w:sz w:val="32"/>
          <w:szCs w:val="32"/>
        </w:rPr>
        <w:t>第五章  拟签订的合同文本</w:t>
      </w:r>
      <w:bookmarkEnd w:id="21"/>
    </w:p>
    <w:p>
      <w:pPr>
        <w:spacing w:line="360" w:lineRule="auto"/>
        <w:jc w:val="left"/>
        <w:rPr>
          <w:rFonts w:hint="eastAsia" w:ascii="宋体" w:hAnsi="宋体"/>
          <w:color w:val="000000"/>
          <w:szCs w:val="21"/>
        </w:rPr>
      </w:pPr>
      <w:r>
        <w:rPr>
          <w:rFonts w:hint="eastAsia" w:ascii="宋体" w:hAnsi="宋体"/>
          <w:color w:val="000000"/>
          <w:szCs w:val="21"/>
          <w:lang w:val="en-GB"/>
        </w:rPr>
        <w:t>合同编号：</w:t>
      </w:r>
    </w:p>
    <w:p>
      <w:pPr>
        <w:pStyle w:val="19"/>
        <w:ind w:right="840"/>
        <w:rPr>
          <w:rFonts w:hint="eastAsia" w:ascii="宋体" w:hAnsi="宋体" w:eastAsia="宋体"/>
          <w:b/>
          <w:color w:val="000000"/>
          <w:szCs w:val="21"/>
        </w:rPr>
      </w:pPr>
    </w:p>
    <w:p>
      <w:pPr>
        <w:pStyle w:val="19"/>
        <w:ind w:right="840"/>
        <w:rPr>
          <w:rFonts w:ascii="宋体" w:hAnsi="宋体" w:eastAsia="宋体"/>
          <w:color w:val="000000"/>
          <w:sz w:val="24"/>
          <w:szCs w:val="24"/>
        </w:rPr>
      </w:pPr>
      <w:r>
        <w:rPr>
          <w:rFonts w:hint="eastAsia" w:ascii="宋体" w:hAnsi="宋体" w:eastAsia="宋体"/>
          <w:b/>
          <w:color w:val="000000"/>
          <w:sz w:val="24"/>
          <w:szCs w:val="24"/>
        </w:rPr>
        <w:t>甲方：广西骨伤医院</w:t>
      </w:r>
    </w:p>
    <w:p>
      <w:pPr>
        <w:spacing w:line="360" w:lineRule="auto"/>
        <w:jc w:val="left"/>
        <w:rPr>
          <w:rFonts w:ascii="宋体" w:hAnsi="宋体"/>
          <w:color w:val="000000"/>
          <w:szCs w:val="21"/>
        </w:rPr>
      </w:pPr>
      <w:r>
        <w:rPr>
          <w:rFonts w:hint="eastAsia" w:ascii="宋体" w:hAnsi="宋体"/>
          <w:color w:val="000000"/>
          <w:szCs w:val="21"/>
        </w:rPr>
        <w:t>地址：广西南宁市青秀区新民路3</w:t>
      </w:r>
      <w:r>
        <w:rPr>
          <w:rFonts w:ascii="宋体" w:hAnsi="宋体"/>
          <w:color w:val="000000"/>
          <w:szCs w:val="21"/>
        </w:rPr>
        <w:t>2</w:t>
      </w:r>
      <w:r>
        <w:rPr>
          <w:rFonts w:hint="eastAsia" w:ascii="宋体" w:hAnsi="宋体"/>
          <w:color w:val="000000"/>
          <w:szCs w:val="21"/>
        </w:rPr>
        <w:t>号</w:t>
      </w:r>
    </w:p>
    <w:p>
      <w:pPr>
        <w:spacing w:line="360" w:lineRule="auto"/>
        <w:jc w:val="left"/>
        <w:rPr>
          <w:rFonts w:ascii="宋体" w:hAnsi="宋体"/>
          <w:color w:val="000000"/>
          <w:szCs w:val="21"/>
        </w:rPr>
      </w:pPr>
      <w:r>
        <w:rPr>
          <w:rFonts w:hint="eastAsia" w:ascii="宋体" w:hAnsi="宋体"/>
          <w:color w:val="000000"/>
          <w:szCs w:val="21"/>
        </w:rPr>
        <w:t>电话：</w:t>
      </w:r>
      <w:r>
        <w:rPr>
          <w:rFonts w:ascii="宋体" w:hAnsi="宋体"/>
          <w:color w:val="000000"/>
          <w:szCs w:val="21"/>
        </w:rPr>
        <w:t xml:space="preserve"> 07712809369</w:t>
      </w:r>
    </w:p>
    <w:p>
      <w:pPr>
        <w:spacing w:line="360" w:lineRule="auto"/>
        <w:jc w:val="left"/>
        <w:rPr>
          <w:rFonts w:ascii="宋体" w:hAnsi="宋体"/>
          <w:color w:val="000000"/>
          <w:szCs w:val="21"/>
        </w:rPr>
      </w:pPr>
      <w:r>
        <w:rPr>
          <w:rFonts w:hint="eastAsia" w:ascii="宋体" w:hAnsi="宋体"/>
          <w:color w:val="000000"/>
          <w:szCs w:val="21"/>
        </w:rPr>
        <w:t>邮政编码：</w:t>
      </w:r>
      <w:r>
        <w:rPr>
          <w:rFonts w:ascii="宋体" w:hAnsi="宋体"/>
          <w:color w:val="000000"/>
          <w:szCs w:val="21"/>
        </w:rPr>
        <w:t>530012</w:t>
      </w:r>
    </w:p>
    <w:p>
      <w:pPr>
        <w:spacing w:line="360" w:lineRule="auto"/>
        <w:jc w:val="left"/>
        <w:rPr>
          <w:rFonts w:ascii="宋体" w:hAnsi="宋体"/>
          <w:color w:val="000000"/>
          <w:szCs w:val="21"/>
        </w:rPr>
      </w:pPr>
    </w:p>
    <w:p>
      <w:pPr>
        <w:spacing w:line="360" w:lineRule="auto"/>
        <w:jc w:val="left"/>
        <w:rPr>
          <w:rFonts w:ascii="宋体" w:hAnsi="宋体"/>
          <w:b/>
          <w:snapToGrid w:val="0"/>
          <w:color w:val="000000"/>
          <w:kern w:val="0"/>
          <w:szCs w:val="21"/>
        </w:rPr>
      </w:pPr>
      <w:r>
        <w:rPr>
          <w:rFonts w:hint="eastAsia" w:ascii="宋体" w:hAnsi="宋体"/>
          <w:b/>
          <w:snapToGrid w:val="0"/>
          <w:color w:val="000000"/>
          <w:kern w:val="0"/>
          <w:szCs w:val="21"/>
        </w:rPr>
        <w:t>乙方：</w:t>
      </w:r>
    </w:p>
    <w:p>
      <w:pPr>
        <w:spacing w:line="360" w:lineRule="auto"/>
        <w:jc w:val="left"/>
        <w:rPr>
          <w:rFonts w:ascii="宋体" w:hAnsi="宋体"/>
          <w:color w:val="000000"/>
          <w:szCs w:val="21"/>
        </w:rPr>
      </w:pPr>
      <w:r>
        <w:rPr>
          <w:rFonts w:hint="eastAsia" w:ascii="宋体" w:hAnsi="宋体"/>
          <w:color w:val="000000"/>
          <w:szCs w:val="21"/>
        </w:rPr>
        <w:t>地址：</w:t>
      </w:r>
    </w:p>
    <w:p>
      <w:pPr>
        <w:spacing w:line="360" w:lineRule="auto"/>
        <w:jc w:val="left"/>
        <w:rPr>
          <w:rFonts w:ascii="宋体" w:hAnsi="宋体"/>
          <w:b/>
          <w:snapToGrid w:val="0"/>
          <w:color w:val="000000"/>
          <w:kern w:val="0"/>
          <w:szCs w:val="21"/>
        </w:rPr>
      </w:pPr>
      <w:r>
        <w:rPr>
          <w:rFonts w:hint="eastAsia" w:ascii="宋体" w:hAnsi="宋体"/>
          <w:color w:val="000000"/>
          <w:szCs w:val="21"/>
        </w:rPr>
        <w:t xml:space="preserve">联系人： </w:t>
      </w:r>
    </w:p>
    <w:p>
      <w:pPr>
        <w:spacing w:line="360" w:lineRule="auto"/>
        <w:jc w:val="left"/>
        <w:rPr>
          <w:rFonts w:ascii="宋体" w:hAnsi="宋体"/>
          <w:color w:val="000000"/>
          <w:szCs w:val="21"/>
        </w:rPr>
      </w:pPr>
      <w:r>
        <w:rPr>
          <w:rFonts w:hint="eastAsia" w:ascii="宋体" w:hAnsi="宋体"/>
          <w:color w:val="000000"/>
          <w:szCs w:val="21"/>
        </w:rPr>
        <w:t xml:space="preserve">电话： </w:t>
      </w:r>
    </w:p>
    <w:p>
      <w:pPr>
        <w:spacing w:line="360" w:lineRule="auto"/>
        <w:jc w:val="left"/>
        <w:rPr>
          <w:rFonts w:ascii="宋体" w:hAnsi="宋体"/>
          <w:color w:val="000000"/>
          <w:szCs w:val="21"/>
        </w:rPr>
      </w:pPr>
      <w:r>
        <w:rPr>
          <w:rFonts w:hint="eastAsia" w:ascii="宋体" w:hAnsi="宋体"/>
          <w:color w:val="000000"/>
          <w:szCs w:val="21"/>
        </w:rPr>
        <w:t>开 户 名：</w:t>
      </w:r>
    </w:p>
    <w:p>
      <w:pPr>
        <w:spacing w:line="360" w:lineRule="auto"/>
        <w:jc w:val="left"/>
        <w:rPr>
          <w:rFonts w:ascii="宋体" w:hAnsi="宋体"/>
          <w:color w:val="000000"/>
          <w:szCs w:val="21"/>
        </w:rPr>
      </w:pPr>
      <w:r>
        <w:rPr>
          <w:rFonts w:hint="eastAsia" w:ascii="宋体" w:hAnsi="宋体"/>
          <w:color w:val="000000"/>
          <w:szCs w:val="21"/>
        </w:rPr>
        <w:t>开户银行：</w:t>
      </w:r>
    </w:p>
    <w:p>
      <w:pPr>
        <w:spacing w:line="360" w:lineRule="auto"/>
        <w:jc w:val="left"/>
        <w:rPr>
          <w:rFonts w:ascii="宋体" w:hAnsi="宋体"/>
          <w:color w:val="000000"/>
          <w:szCs w:val="21"/>
        </w:rPr>
      </w:pPr>
      <w:r>
        <w:rPr>
          <w:rFonts w:hint="eastAsia" w:ascii="宋体" w:hAnsi="宋体"/>
          <w:color w:val="000000"/>
          <w:szCs w:val="21"/>
        </w:rPr>
        <w:t>开户账号：</w:t>
      </w:r>
    </w:p>
    <w:p>
      <w:pPr>
        <w:spacing w:line="360" w:lineRule="auto"/>
        <w:jc w:val="left"/>
        <w:rPr>
          <w:rFonts w:ascii="宋体" w:hAnsi="宋体"/>
          <w:color w:val="000000"/>
          <w:szCs w:val="21"/>
        </w:rPr>
      </w:pPr>
      <w:r>
        <w:rPr>
          <w:rFonts w:hint="eastAsia" w:ascii="宋体" w:hAnsi="宋体"/>
          <w:color w:val="000000"/>
          <w:szCs w:val="21"/>
        </w:rPr>
        <w:t>纳税人识别号：</w:t>
      </w:r>
    </w:p>
    <w:p>
      <w:pPr>
        <w:jc w:val="left"/>
        <w:rPr>
          <w:color w:val="000000"/>
        </w:rPr>
      </w:pPr>
    </w:p>
    <w:p>
      <w:pPr>
        <w:spacing w:line="360" w:lineRule="auto"/>
        <w:ind w:firstLine="420" w:firstLineChars="200"/>
        <w:jc w:val="left"/>
        <w:rPr>
          <w:rFonts w:ascii="宋体" w:hAnsi="宋体"/>
          <w:color w:val="000000"/>
          <w:szCs w:val="21"/>
        </w:rPr>
      </w:pPr>
      <w:r>
        <w:rPr>
          <w:rFonts w:hint="eastAsia" w:ascii="宋体" w:hAnsi="宋体"/>
          <w:color w:val="000000"/>
          <w:szCs w:val="21"/>
        </w:rPr>
        <w:t>根据《中华人民共和国民法典》</w:t>
      </w:r>
      <w:r>
        <w:rPr>
          <w:rFonts w:hint="eastAsia" w:ascii="宋体" w:hAnsi="宋体"/>
          <w:color w:val="000000"/>
          <w:szCs w:val="21"/>
          <w:lang w:eastAsia="zh-CN"/>
        </w:rPr>
        <w:t>，</w:t>
      </w:r>
      <w:r>
        <w:rPr>
          <w:rFonts w:hint="eastAsia" w:ascii="宋体" w:hAnsi="宋体"/>
          <w:color w:val="000000"/>
          <w:szCs w:val="21"/>
        </w:rPr>
        <w:t>甲乙双方本着真诚合作、共同发展的原则，就乙方授予甲方</w:t>
      </w:r>
      <w:r>
        <w:rPr>
          <w:rFonts w:hint="eastAsia" w:ascii="宋体" w:hAnsi="宋体"/>
          <w:color w:val="000000"/>
          <w:szCs w:val="21"/>
          <w:u w:val="single"/>
          <w:lang w:val="en-US" w:eastAsia="zh-CN"/>
        </w:rPr>
        <w:t xml:space="preserve">                        </w:t>
      </w:r>
      <w:r>
        <w:rPr>
          <w:rFonts w:hint="eastAsia" w:ascii="宋体" w:hAnsi="宋体"/>
          <w:color w:val="000000"/>
          <w:szCs w:val="21"/>
        </w:rPr>
        <w:t>的使用权等相关事宜,充分协商并达成一致，特订立本合同，以便共同遵守。</w:t>
      </w:r>
    </w:p>
    <w:p>
      <w:pPr>
        <w:pStyle w:val="269"/>
      </w:pPr>
    </w:p>
    <w:p>
      <w:pPr>
        <w:numPr>
          <w:ilvl w:val="0"/>
          <w:numId w:val="6"/>
        </w:numPr>
        <w:spacing w:line="360" w:lineRule="auto"/>
        <w:outlineLvl w:val="0"/>
        <w:rPr>
          <w:rFonts w:ascii="宋体" w:hAnsi="宋体"/>
          <w:b/>
          <w:color w:val="000000"/>
          <w:szCs w:val="21"/>
        </w:rPr>
      </w:pPr>
      <w:r>
        <w:rPr>
          <w:rFonts w:hint="eastAsia" w:ascii="宋体" w:hAnsi="宋体"/>
          <w:b/>
          <w:color w:val="000000"/>
          <w:szCs w:val="21"/>
        </w:rPr>
        <w:t>软件费用</w:t>
      </w:r>
    </w:p>
    <w:p>
      <w:pPr>
        <w:spacing w:line="360" w:lineRule="auto"/>
        <w:ind w:firstLine="420" w:firstLineChars="200"/>
        <w:rPr>
          <w:rFonts w:ascii="宋体" w:hAnsi="宋体"/>
          <w:color w:val="000000"/>
        </w:rPr>
      </w:pPr>
      <w:r>
        <w:rPr>
          <w:rFonts w:hint="eastAsia" w:ascii="宋体" w:hAnsi="宋体"/>
          <w:color w:val="000000"/>
        </w:rPr>
        <w:t>乙方负责向甲方</w:t>
      </w:r>
      <w:r>
        <w:rPr>
          <w:rFonts w:ascii="宋体" w:hAnsi="宋体" w:cs="Tahoma"/>
          <w:color w:val="000000"/>
          <w:kern w:val="28"/>
          <w:szCs w:val="21"/>
        </w:rPr>
        <w:t>提供</w:t>
      </w:r>
      <w:r>
        <w:rPr>
          <w:rFonts w:hint="eastAsia" w:ascii="宋体" w:hAnsi="宋体"/>
          <w:color w:val="000000"/>
        </w:rPr>
        <w:t>下表中所列</w:t>
      </w:r>
      <w:r>
        <w:rPr>
          <w:rFonts w:hint="eastAsia" w:ascii="宋体" w:hAnsi="宋体" w:cs="Tahoma"/>
          <w:color w:val="000000"/>
          <w:kern w:val="28"/>
          <w:szCs w:val="21"/>
        </w:rPr>
        <w:t>的</w:t>
      </w:r>
      <w:r>
        <w:rPr>
          <w:rFonts w:hint="eastAsia" w:ascii="宋体" w:hAnsi="宋体" w:cs="Tahoma"/>
          <w:color w:val="000000"/>
          <w:szCs w:val="21"/>
        </w:rPr>
        <w:t>软件产品</w:t>
      </w:r>
      <w:r>
        <w:rPr>
          <w:rFonts w:hint="eastAsia" w:ascii="宋体" w:hAnsi="宋体"/>
          <w:color w:val="000000"/>
        </w:rPr>
        <w:t>。</w:t>
      </w:r>
    </w:p>
    <w:tbl>
      <w:tblPr>
        <w:tblStyle w:val="48"/>
        <w:tblW w:w="85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3"/>
        <w:gridCol w:w="709"/>
        <w:gridCol w:w="851"/>
        <w:gridCol w:w="1701"/>
        <w:gridCol w:w="23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trPr>
        <w:tc>
          <w:tcPr>
            <w:tcW w:w="2943" w:type="dxa"/>
            <w:vAlign w:val="center"/>
          </w:tcPr>
          <w:p>
            <w:pPr>
              <w:jc w:val="center"/>
              <w:rPr>
                <w:rFonts w:ascii="宋体" w:hAnsi="宋体"/>
                <w:b/>
                <w:color w:val="000000"/>
                <w:szCs w:val="21"/>
              </w:rPr>
            </w:pPr>
            <w:r>
              <w:rPr>
                <w:rFonts w:hint="eastAsia" w:ascii="宋体" w:hAnsi="宋体"/>
                <w:b/>
                <w:color w:val="000000"/>
                <w:szCs w:val="21"/>
              </w:rPr>
              <w:t>产品软件名称</w:t>
            </w:r>
          </w:p>
        </w:tc>
        <w:tc>
          <w:tcPr>
            <w:tcW w:w="709" w:type="dxa"/>
            <w:vAlign w:val="center"/>
          </w:tcPr>
          <w:p>
            <w:pPr>
              <w:jc w:val="center"/>
              <w:rPr>
                <w:rFonts w:ascii="宋体" w:hAnsi="宋体"/>
                <w:b/>
                <w:color w:val="000000"/>
                <w:szCs w:val="21"/>
              </w:rPr>
            </w:pPr>
            <w:r>
              <w:rPr>
                <w:rFonts w:hint="eastAsia" w:ascii="宋体" w:hAnsi="宋体"/>
                <w:b/>
                <w:color w:val="000000"/>
                <w:szCs w:val="21"/>
              </w:rPr>
              <w:t>单位</w:t>
            </w:r>
          </w:p>
        </w:tc>
        <w:tc>
          <w:tcPr>
            <w:tcW w:w="851" w:type="dxa"/>
            <w:vAlign w:val="center"/>
          </w:tcPr>
          <w:p>
            <w:pPr>
              <w:jc w:val="center"/>
              <w:rPr>
                <w:rFonts w:ascii="宋体" w:hAnsi="宋体"/>
                <w:b/>
                <w:color w:val="000000"/>
                <w:szCs w:val="21"/>
              </w:rPr>
            </w:pPr>
            <w:r>
              <w:rPr>
                <w:rFonts w:hint="eastAsia" w:ascii="宋体" w:hAnsi="宋体"/>
                <w:b/>
                <w:color w:val="000000"/>
                <w:szCs w:val="21"/>
              </w:rPr>
              <w:t>数量</w:t>
            </w:r>
          </w:p>
        </w:tc>
        <w:tc>
          <w:tcPr>
            <w:tcW w:w="1701" w:type="dxa"/>
            <w:vAlign w:val="center"/>
          </w:tcPr>
          <w:p>
            <w:pPr>
              <w:jc w:val="center"/>
              <w:rPr>
                <w:rFonts w:hint="eastAsia" w:ascii="宋体" w:hAnsi="宋体" w:eastAsia="宋体"/>
                <w:b/>
                <w:color w:val="000000"/>
                <w:szCs w:val="21"/>
                <w:lang w:eastAsia="zh-CN"/>
              </w:rPr>
            </w:pPr>
            <w:r>
              <w:rPr>
                <w:rFonts w:hint="eastAsia" w:ascii="宋体" w:hAnsi="宋体"/>
                <w:b/>
                <w:color w:val="000000"/>
                <w:szCs w:val="21"/>
              </w:rPr>
              <w:t>单价</w:t>
            </w:r>
            <w:r>
              <w:rPr>
                <w:rFonts w:hint="eastAsia" w:ascii="宋体" w:hAnsi="宋体"/>
                <w:b/>
                <w:color w:val="000000"/>
                <w:szCs w:val="21"/>
                <w:lang w:eastAsia="zh-CN"/>
              </w:rPr>
              <w:t>（</w:t>
            </w:r>
            <w:r>
              <w:rPr>
                <w:rFonts w:hint="eastAsia" w:ascii="宋体" w:hAnsi="宋体"/>
                <w:b/>
                <w:color w:val="000000"/>
                <w:szCs w:val="21"/>
                <w:lang w:val="en-US" w:eastAsia="zh-CN"/>
              </w:rPr>
              <w:t>元</w:t>
            </w:r>
            <w:r>
              <w:rPr>
                <w:rFonts w:hint="eastAsia" w:ascii="宋体" w:hAnsi="宋体"/>
                <w:b/>
                <w:color w:val="000000"/>
                <w:szCs w:val="21"/>
                <w:lang w:eastAsia="zh-CN"/>
              </w:rPr>
              <w:t>）</w:t>
            </w:r>
          </w:p>
        </w:tc>
        <w:tc>
          <w:tcPr>
            <w:tcW w:w="2341" w:type="dxa"/>
            <w:vAlign w:val="center"/>
          </w:tcPr>
          <w:p>
            <w:pPr>
              <w:jc w:val="center"/>
              <w:rPr>
                <w:rFonts w:hint="eastAsia" w:ascii="宋体" w:hAnsi="宋体" w:eastAsia="宋体"/>
                <w:b/>
                <w:color w:val="000000"/>
                <w:szCs w:val="21"/>
                <w:lang w:eastAsia="zh-CN"/>
              </w:rPr>
            </w:pPr>
            <w:r>
              <w:rPr>
                <w:rFonts w:hint="eastAsia" w:ascii="宋体" w:hAnsi="宋体"/>
                <w:b/>
                <w:color w:val="000000"/>
                <w:szCs w:val="21"/>
              </w:rPr>
              <w:t>总价</w:t>
            </w:r>
            <w:r>
              <w:rPr>
                <w:rFonts w:hint="eastAsia" w:ascii="宋体" w:hAnsi="宋体"/>
                <w:b/>
                <w:color w:val="000000"/>
                <w:szCs w:val="21"/>
                <w:lang w:eastAsia="zh-CN"/>
              </w:rPr>
              <w:t>（</w:t>
            </w:r>
            <w:r>
              <w:rPr>
                <w:rFonts w:hint="eastAsia" w:ascii="宋体" w:hAnsi="宋体"/>
                <w:b/>
                <w:color w:val="000000"/>
                <w:szCs w:val="21"/>
                <w:lang w:val="en-US" w:eastAsia="zh-CN"/>
              </w:rPr>
              <w:t>元</w:t>
            </w:r>
            <w:r>
              <w:rPr>
                <w:rFonts w:hint="eastAsia" w:ascii="宋体" w:hAnsi="宋体"/>
                <w:b/>
                <w:color w:val="000000"/>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trPr>
        <w:tc>
          <w:tcPr>
            <w:tcW w:w="2943" w:type="dxa"/>
            <w:vAlign w:val="center"/>
          </w:tcPr>
          <w:p>
            <w:pPr>
              <w:jc w:val="center"/>
              <w:rPr>
                <w:rFonts w:ascii="宋体" w:hAnsi="宋体"/>
                <w:b/>
                <w:color w:val="000000"/>
                <w:szCs w:val="21"/>
              </w:rPr>
            </w:pPr>
          </w:p>
        </w:tc>
        <w:tc>
          <w:tcPr>
            <w:tcW w:w="709" w:type="dxa"/>
            <w:vAlign w:val="center"/>
          </w:tcPr>
          <w:p>
            <w:pPr>
              <w:jc w:val="center"/>
              <w:rPr>
                <w:rFonts w:ascii="宋体" w:hAnsi="宋体"/>
                <w:color w:val="000000"/>
                <w:szCs w:val="21"/>
              </w:rPr>
            </w:pPr>
            <w:r>
              <w:rPr>
                <w:rFonts w:hint="eastAsia" w:ascii="宋体" w:hAnsi="宋体"/>
                <w:color w:val="000000"/>
                <w:szCs w:val="21"/>
              </w:rPr>
              <w:t>套</w:t>
            </w:r>
          </w:p>
        </w:tc>
        <w:tc>
          <w:tcPr>
            <w:tcW w:w="851" w:type="dxa"/>
            <w:vAlign w:val="center"/>
          </w:tcPr>
          <w:p>
            <w:pPr>
              <w:jc w:val="center"/>
              <w:rPr>
                <w:rFonts w:ascii="宋体" w:hAnsi="宋体"/>
                <w:color w:val="000000"/>
                <w:szCs w:val="21"/>
              </w:rPr>
            </w:pPr>
            <w:r>
              <w:rPr>
                <w:rFonts w:hint="eastAsia" w:ascii="宋体" w:hAnsi="宋体"/>
                <w:color w:val="000000"/>
                <w:szCs w:val="21"/>
              </w:rPr>
              <w:t>1</w:t>
            </w:r>
          </w:p>
        </w:tc>
        <w:tc>
          <w:tcPr>
            <w:tcW w:w="1701" w:type="dxa"/>
            <w:vAlign w:val="center"/>
          </w:tcPr>
          <w:p>
            <w:pPr>
              <w:jc w:val="center"/>
              <w:rPr>
                <w:rFonts w:ascii="宋体" w:hAnsi="宋体"/>
                <w:color w:val="000000"/>
                <w:szCs w:val="21"/>
              </w:rPr>
            </w:pPr>
          </w:p>
        </w:tc>
        <w:tc>
          <w:tcPr>
            <w:tcW w:w="2341" w:type="dxa"/>
            <w:vAlign w:val="center"/>
          </w:tcPr>
          <w:p>
            <w:pPr>
              <w:ind w:firstLine="315" w:firstLineChars="150"/>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2943" w:type="dxa"/>
            <w:vAlign w:val="center"/>
          </w:tcPr>
          <w:p>
            <w:pPr>
              <w:jc w:val="center"/>
              <w:rPr>
                <w:rFonts w:ascii="宋体" w:hAnsi="宋体"/>
                <w:b/>
                <w:color w:val="000000"/>
                <w:szCs w:val="21"/>
              </w:rPr>
            </w:pPr>
            <w:r>
              <w:rPr>
                <w:rFonts w:hint="eastAsia" w:ascii="宋体" w:hAnsi="宋体"/>
                <w:b/>
                <w:color w:val="000000"/>
                <w:szCs w:val="21"/>
              </w:rPr>
              <w:t>合同总金额（人民币）：</w:t>
            </w:r>
          </w:p>
        </w:tc>
        <w:tc>
          <w:tcPr>
            <w:tcW w:w="5602" w:type="dxa"/>
            <w:gridSpan w:val="4"/>
            <w:vAlign w:val="center"/>
          </w:tcPr>
          <w:p>
            <w:pPr>
              <w:jc w:val="center"/>
              <w:rPr>
                <w:rFonts w:ascii="宋体" w:hAnsi="宋体"/>
                <w:color w:val="000000"/>
                <w:szCs w:val="21"/>
              </w:rPr>
            </w:pPr>
            <w:r>
              <w:rPr>
                <w:rFonts w:hint="eastAsia"/>
                <w:color w:val="000000"/>
              </w:rPr>
              <w:t>￥（大写：人民</w:t>
            </w:r>
            <w:r>
              <w:rPr>
                <w:rFonts w:hint="eastAsia" w:ascii="宋体" w:hAnsi="宋体"/>
                <w:color w:val="000000"/>
              </w:rPr>
              <w:t>币</w:t>
            </w:r>
            <w:r>
              <w:rPr>
                <w:rFonts w:hint="eastAsia" w:ascii="宋体" w:hAnsi="宋体"/>
                <w:color w:val="000000"/>
                <w:u w:val="single"/>
              </w:rPr>
              <w:t xml:space="preserve"> </w:t>
            </w:r>
            <w:r>
              <w:rPr>
                <w:rFonts w:hint="eastAsia" w:ascii="宋体" w:hAnsi="宋体"/>
                <w:color w:val="000000"/>
                <w:u w:val="single"/>
                <w:lang w:val="en-US" w:eastAsia="zh-CN"/>
              </w:rPr>
              <w:t xml:space="preserve">       </w:t>
            </w:r>
            <w:r>
              <w:rPr>
                <w:rFonts w:hint="eastAsia" w:ascii="宋体" w:hAnsi="宋体"/>
                <w:color w:val="000000"/>
                <w:u w:val="single"/>
              </w:rPr>
              <w:t xml:space="preserve"> </w:t>
            </w:r>
            <w:r>
              <w:rPr>
                <w:rFonts w:hint="eastAsia" w:ascii="宋体" w:hAnsi="宋体"/>
                <w:color w:val="000000"/>
              </w:rPr>
              <w:t>元整）</w:t>
            </w:r>
          </w:p>
        </w:tc>
      </w:tr>
    </w:tbl>
    <w:p>
      <w:pPr>
        <w:spacing w:line="360" w:lineRule="auto"/>
        <w:outlineLvl w:val="0"/>
        <w:rPr>
          <w:rFonts w:ascii="宋体" w:hAnsi="宋体"/>
          <w:bCs/>
          <w:color w:val="000000"/>
          <w:szCs w:val="21"/>
        </w:rPr>
      </w:pPr>
      <w:r>
        <w:rPr>
          <w:rFonts w:hint="eastAsia" w:ascii="宋体" w:hAnsi="宋体"/>
          <w:b/>
          <w:color w:val="000000"/>
          <w:szCs w:val="21"/>
        </w:rPr>
        <w:t xml:space="preserve"> </w:t>
      </w:r>
      <w:r>
        <w:rPr>
          <w:rFonts w:ascii="宋体" w:hAnsi="宋体"/>
          <w:b/>
          <w:color w:val="000000"/>
          <w:szCs w:val="21"/>
        </w:rPr>
        <w:t xml:space="preserve">  </w:t>
      </w:r>
      <w:r>
        <w:rPr>
          <w:rFonts w:ascii="宋体" w:hAnsi="宋体"/>
          <w:bCs/>
          <w:color w:val="000000"/>
          <w:szCs w:val="21"/>
        </w:rPr>
        <w:t xml:space="preserve"> </w:t>
      </w:r>
      <w:r>
        <w:rPr>
          <w:rFonts w:hint="eastAsia" w:ascii="宋体" w:hAnsi="宋体"/>
          <w:bCs/>
          <w:color w:val="000000"/>
          <w:szCs w:val="21"/>
        </w:rPr>
        <w:t>合同总金额包括本项目所有系统开发、软件购置费、修改、完善、升级等，安装调试、验收、培训、售后服务、伴随的服务及各种税费、对接其他软件系统第三方公司所收取的接口费等全部费用。</w:t>
      </w:r>
    </w:p>
    <w:p>
      <w:pPr>
        <w:spacing w:line="360" w:lineRule="auto"/>
        <w:outlineLvl w:val="0"/>
        <w:rPr>
          <w:rFonts w:ascii="宋体" w:hAnsi="宋体"/>
          <w:b/>
          <w:color w:val="000000"/>
          <w:szCs w:val="21"/>
        </w:rPr>
      </w:pPr>
      <w:r>
        <w:rPr>
          <w:rFonts w:hint="eastAsia" w:ascii="宋体" w:hAnsi="宋体"/>
          <w:b/>
          <w:color w:val="000000"/>
          <w:szCs w:val="21"/>
        </w:rPr>
        <w:t>第二条 授予使用许可权</w:t>
      </w:r>
    </w:p>
    <w:p>
      <w:pPr>
        <w:spacing w:line="360" w:lineRule="auto"/>
        <w:rPr>
          <w:rFonts w:ascii="宋体" w:hAnsi="宋体"/>
          <w:snapToGrid w:val="0"/>
          <w:color w:val="000000"/>
          <w:kern w:val="0"/>
          <w:szCs w:val="21"/>
        </w:rPr>
      </w:pPr>
      <w:r>
        <w:rPr>
          <w:rFonts w:hint="eastAsia" w:ascii="宋体" w:hAnsi="宋体"/>
          <w:color w:val="000000"/>
          <w:szCs w:val="21"/>
        </w:rPr>
        <w:t>2.1</w:t>
      </w:r>
      <w:r>
        <w:rPr>
          <w:rFonts w:hint="eastAsia" w:ascii="宋体"/>
          <w:color w:val="000000"/>
        </w:rPr>
        <w:t>乙方许可甲方客户使用的</w:t>
      </w:r>
      <w:r>
        <w:rPr>
          <w:rFonts w:hint="eastAsia" w:ascii="宋体"/>
          <w:color w:val="000000"/>
          <w:szCs w:val="21"/>
        </w:rPr>
        <w:t>软件产品清单，见</w:t>
      </w:r>
      <w:r>
        <w:rPr>
          <w:rFonts w:hint="eastAsia" w:ascii="宋体"/>
          <w:color w:val="000000"/>
        </w:rPr>
        <w:t>附件一《功能模块清单》。</w:t>
      </w:r>
    </w:p>
    <w:p>
      <w:pPr>
        <w:tabs>
          <w:tab w:val="left" w:pos="1260"/>
        </w:tabs>
        <w:spacing w:line="360" w:lineRule="auto"/>
        <w:rPr>
          <w:rFonts w:ascii="宋体" w:hAnsi="宋体"/>
          <w:snapToGrid w:val="0"/>
          <w:color w:val="000000"/>
          <w:kern w:val="0"/>
          <w:szCs w:val="21"/>
        </w:rPr>
      </w:pPr>
      <w:r>
        <w:rPr>
          <w:rFonts w:hint="eastAsia" w:ascii="宋体" w:hAnsi="宋体"/>
          <w:color w:val="000000"/>
          <w:szCs w:val="21"/>
        </w:rPr>
        <w:t>2.2授权产品</w:t>
      </w:r>
      <w:r>
        <w:rPr>
          <w:rFonts w:hint="eastAsia" w:ascii="宋体" w:hAnsi="宋体"/>
          <w:snapToGrid w:val="0"/>
          <w:color w:val="000000"/>
          <w:kern w:val="0"/>
          <w:szCs w:val="21"/>
        </w:rPr>
        <w:t>交付形式：</w:t>
      </w:r>
      <w:r>
        <w:rPr>
          <w:rFonts w:hint="eastAsia" w:ascii="宋体" w:hAnsi="宋体"/>
          <w:snapToGrid w:val="0"/>
          <w:color w:val="000000"/>
          <w:kern w:val="0"/>
          <w:szCs w:val="21"/>
          <w:u w:val="single"/>
        </w:rPr>
        <w:t>光盘、加密锁、《用户手册》。</w:t>
      </w:r>
    </w:p>
    <w:p>
      <w:pPr>
        <w:spacing w:line="360" w:lineRule="auto"/>
        <w:outlineLvl w:val="0"/>
        <w:rPr>
          <w:rFonts w:ascii="宋体" w:hAnsi="宋体"/>
          <w:b/>
          <w:color w:val="000000"/>
          <w:szCs w:val="21"/>
        </w:rPr>
      </w:pPr>
      <w:r>
        <w:rPr>
          <w:rFonts w:hint="eastAsia" w:ascii="宋体" w:hAnsi="宋体"/>
          <w:b/>
          <w:color w:val="000000"/>
          <w:szCs w:val="21"/>
        </w:rPr>
        <w:t xml:space="preserve">第三条 </w:t>
      </w:r>
      <w:r>
        <w:rPr>
          <w:rFonts w:hint="eastAsia"/>
          <w:b/>
          <w:color w:val="000000"/>
        </w:rPr>
        <w:t>软件版权及使用权</w:t>
      </w:r>
    </w:p>
    <w:p>
      <w:pPr>
        <w:tabs>
          <w:tab w:val="left" w:pos="1260"/>
        </w:tabs>
        <w:spacing w:line="360" w:lineRule="auto"/>
        <w:rPr>
          <w:rFonts w:hint="eastAsia" w:ascii="宋体" w:hAnsi="宋体"/>
          <w:color w:val="000000"/>
          <w:szCs w:val="21"/>
        </w:rPr>
      </w:pPr>
      <w:r>
        <w:rPr>
          <w:rFonts w:hint="eastAsia" w:ascii="宋体" w:hAnsi="宋体"/>
          <w:color w:val="000000"/>
          <w:szCs w:val="21"/>
        </w:rPr>
        <w:t>3.1本合同许可的是软件使用权，许可使用的软件产品版权属乙方所有，并受《中华人民共和国著作权法》和其他有关法律、法规的保护。</w:t>
      </w:r>
    </w:p>
    <w:p>
      <w:pPr>
        <w:tabs>
          <w:tab w:val="left" w:pos="1260"/>
        </w:tabs>
        <w:spacing w:line="360" w:lineRule="auto"/>
        <w:rPr>
          <w:rFonts w:hint="eastAsia" w:ascii="宋体" w:hAnsi="宋体"/>
          <w:color w:val="000000"/>
          <w:szCs w:val="21"/>
        </w:rPr>
      </w:pPr>
      <w:r>
        <w:rPr>
          <w:rFonts w:hint="eastAsia" w:ascii="宋体" w:hAnsi="宋体"/>
          <w:color w:val="000000"/>
          <w:szCs w:val="21"/>
        </w:rPr>
        <w:t>3.2甲方按本合同条款规定支付合同书上所列软件产品的全部费用，乙方授予甲方上述软件产品的合法使用权。</w:t>
      </w:r>
    </w:p>
    <w:p>
      <w:pPr>
        <w:spacing w:line="360" w:lineRule="auto"/>
        <w:jc w:val="left"/>
        <w:outlineLvl w:val="0"/>
        <w:rPr>
          <w:rFonts w:ascii="宋体" w:hAnsi="宋体"/>
          <w:b/>
          <w:color w:val="000000"/>
          <w:szCs w:val="21"/>
        </w:rPr>
      </w:pPr>
      <w:r>
        <w:rPr>
          <w:rFonts w:hint="eastAsia" w:ascii="宋体" w:hAnsi="宋体"/>
          <w:b/>
          <w:color w:val="000000"/>
          <w:szCs w:val="21"/>
        </w:rPr>
        <w:t>第四条 限制规定</w:t>
      </w:r>
    </w:p>
    <w:p>
      <w:pPr>
        <w:widowControl/>
        <w:spacing w:line="360" w:lineRule="auto"/>
        <w:jc w:val="left"/>
        <w:rPr>
          <w:rFonts w:ascii="宋体" w:hAnsi="宋体"/>
          <w:color w:val="000000"/>
          <w:sz w:val="18"/>
          <w:szCs w:val="18"/>
        </w:rPr>
      </w:pPr>
      <w:r>
        <w:rPr>
          <w:rFonts w:hint="eastAsia" w:ascii="宋体" w:hAnsi="宋体"/>
          <w:color w:val="000000"/>
          <w:szCs w:val="21"/>
        </w:rPr>
        <w:t>4.1甲方使用许可软件的范围限于:</w:t>
      </w:r>
      <w:r>
        <w:rPr>
          <w:rFonts w:ascii="宋体" w:hAnsi="宋体"/>
          <w:color w:val="000000"/>
          <w:szCs w:val="21"/>
          <w:u w:val="single"/>
        </w:rPr>
        <w:t xml:space="preserve"> </w:t>
      </w:r>
      <w:r>
        <w:rPr>
          <w:rFonts w:hint="eastAsia" w:ascii="宋体" w:hAnsi="宋体"/>
          <w:color w:val="000000"/>
          <w:szCs w:val="21"/>
          <w:u w:val="single"/>
        </w:rPr>
        <w:t>甲方内部使用 。</w:t>
      </w:r>
      <w:r>
        <w:rPr>
          <w:rFonts w:hint="eastAsia" w:ascii="宋体" w:hAnsi="宋体"/>
          <w:color w:val="000000"/>
          <w:szCs w:val="21"/>
        </w:rPr>
        <w:t>未经乙方书面授权，甲方无权将该许可软件或其中任何一部分向他人出售、出租、转让权利或者以其他形式进行转让或提供利用。</w:t>
      </w:r>
    </w:p>
    <w:p>
      <w:pPr>
        <w:spacing w:line="360" w:lineRule="auto"/>
        <w:jc w:val="left"/>
        <w:rPr>
          <w:rFonts w:ascii="宋体" w:hAnsi="宋体"/>
          <w:color w:val="000000"/>
          <w:szCs w:val="21"/>
        </w:rPr>
      </w:pPr>
      <w:r>
        <w:rPr>
          <w:rFonts w:hint="eastAsia" w:ascii="宋体" w:hAnsi="宋体"/>
          <w:color w:val="000000"/>
          <w:szCs w:val="21"/>
        </w:rPr>
        <w:t>4.2未经乙方书面授权，甲方不得擅自对软件进行解密、破译、修改、复制等。否则乙方有权终止本许可，并追究甲方的法律责任。</w:t>
      </w:r>
    </w:p>
    <w:p>
      <w:pPr>
        <w:spacing w:line="360" w:lineRule="auto"/>
        <w:jc w:val="left"/>
        <w:outlineLvl w:val="0"/>
        <w:rPr>
          <w:rFonts w:ascii="宋体" w:hAnsi="宋体"/>
          <w:b/>
          <w:color w:val="000000"/>
          <w:szCs w:val="21"/>
        </w:rPr>
      </w:pPr>
      <w:r>
        <w:rPr>
          <w:rFonts w:hint="eastAsia" w:ascii="宋体" w:hAnsi="宋体"/>
          <w:b/>
          <w:color w:val="000000"/>
          <w:szCs w:val="21"/>
        </w:rPr>
        <w:t>第五条 双方的权利义务</w:t>
      </w:r>
    </w:p>
    <w:p>
      <w:pPr>
        <w:spacing w:line="480" w:lineRule="auto"/>
        <w:ind w:right="25"/>
        <w:jc w:val="left"/>
        <w:rPr>
          <w:rFonts w:ascii="宋体" w:hAnsi="宋体"/>
          <w:color w:val="000000"/>
          <w:szCs w:val="21"/>
        </w:rPr>
      </w:pPr>
      <w:r>
        <w:rPr>
          <w:rFonts w:hint="eastAsia" w:ascii="宋体" w:hAnsi="宋体"/>
          <w:color w:val="000000"/>
          <w:szCs w:val="21"/>
        </w:rPr>
        <w:t>5.1甲方的权利和义务</w:t>
      </w:r>
    </w:p>
    <w:p>
      <w:pPr>
        <w:spacing w:line="360" w:lineRule="auto"/>
        <w:rPr>
          <w:rFonts w:ascii="宋体" w:hAnsi="宋体"/>
          <w:color w:val="000000"/>
          <w:szCs w:val="21"/>
        </w:rPr>
      </w:pPr>
      <w:r>
        <w:rPr>
          <w:rFonts w:hint="eastAsia" w:ascii="宋体" w:hAnsi="宋体"/>
          <w:color w:val="000000"/>
          <w:szCs w:val="21"/>
        </w:rPr>
        <w:t>5.1.1确保有专人对本软件的使用和管理负责。</w:t>
      </w:r>
    </w:p>
    <w:p>
      <w:pPr>
        <w:spacing w:line="360" w:lineRule="auto"/>
        <w:rPr>
          <w:rFonts w:ascii="宋体" w:hAnsi="宋体"/>
          <w:color w:val="000000"/>
          <w:szCs w:val="21"/>
        </w:rPr>
      </w:pPr>
      <w:r>
        <w:rPr>
          <w:rFonts w:hint="eastAsia" w:ascii="宋体" w:hAnsi="宋体"/>
          <w:color w:val="000000"/>
          <w:szCs w:val="21"/>
        </w:rPr>
        <w:t>5.1.2建立相关制度以确保软件运行环境（包括服务器、计算机、打印机及相关硬件设备的安全），为软件正常运行提供保障。</w:t>
      </w:r>
    </w:p>
    <w:p>
      <w:pPr>
        <w:spacing w:line="360" w:lineRule="auto"/>
        <w:rPr>
          <w:rFonts w:ascii="宋体" w:hAnsi="宋体"/>
          <w:color w:val="000000"/>
          <w:szCs w:val="21"/>
        </w:rPr>
      </w:pPr>
      <w:r>
        <w:rPr>
          <w:rFonts w:hint="eastAsia" w:ascii="宋体" w:hAnsi="宋体"/>
          <w:color w:val="000000"/>
          <w:szCs w:val="21"/>
        </w:rPr>
        <w:t>5.1.3</w:t>
      </w:r>
      <w:r>
        <w:rPr>
          <w:rFonts w:hint="eastAsia" w:ascii="宋体" w:hAnsi="宋体"/>
          <w:snapToGrid w:val="0"/>
          <w:color w:val="000000"/>
          <w:kern w:val="0"/>
          <w:szCs w:val="21"/>
        </w:rPr>
        <w:t>负责向乙方提供客户化需求与必要的资料、数据、表格格式等。</w:t>
      </w:r>
    </w:p>
    <w:p>
      <w:pPr>
        <w:tabs>
          <w:tab w:val="left" w:pos="1200"/>
        </w:tabs>
        <w:adjustRightInd w:val="0"/>
        <w:spacing w:line="360" w:lineRule="auto"/>
        <w:textAlignment w:val="baseline"/>
        <w:rPr>
          <w:rFonts w:ascii="宋体" w:hAnsi="宋体"/>
          <w:snapToGrid w:val="0"/>
          <w:color w:val="000000"/>
          <w:kern w:val="0"/>
          <w:szCs w:val="21"/>
        </w:rPr>
      </w:pPr>
      <w:r>
        <w:rPr>
          <w:rFonts w:hint="eastAsia" w:ascii="宋体" w:hAnsi="宋体"/>
          <w:snapToGrid w:val="0"/>
          <w:color w:val="000000"/>
          <w:kern w:val="0"/>
          <w:szCs w:val="21"/>
        </w:rPr>
        <w:t>5.1.4</w:t>
      </w:r>
      <w:r>
        <w:rPr>
          <w:rFonts w:hint="eastAsia" w:ascii="宋体" w:hAnsi="宋体"/>
          <w:color w:val="000000"/>
          <w:szCs w:val="21"/>
        </w:rPr>
        <w:t>指派专人负责与</w:t>
      </w:r>
      <w:r>
        <w:rPr>
          <w:rFonts w:hint="eastAsia" w:ascii="宋体" w:hAnsi="宋体"/>
          <w:snapToGrid w:val="0"/>
          <w:color w:val="000000"/>
          <w:kern w:val="0"/>
          <w:szCs w:val="21"/>
        </w:rPr>
        <w:t>乙方之间的业务协调工作，配合乙方进行现场安装、调试以及组织培训等工作。</w:t>
      </w:r>
    </w:p>
    <w:p>
      <w:pPr>
        <w:adjustRightInd w:val="0"/>
        <w:spacing w:line="360" w:lineRule="auto"/>
        <w:textAlignment w:val="baseline"/>
        <w:rPr>
          <w:rFonts w:ascii="宋体" w:hAnsi="宋体"/>
          <w:snapToGrid w:val="0"/>
          <w:color w:val="000000"/>
          <w:kern w:val="0"/>
          <w:szCs w:val="21"/>
        </w:rPr>
      </w:pPr>
      <w:r>
        <w:rPr>
          <w:rFonts w:hint="eastAsia" w:ascii="宋体" w:hAnsi="宋体"/>
          <w:snapToGrid w:val="0"/>
          <w:color w:val="000000"/>
          <w:kern w:val="0"/>
          <w:szCs w:val="21"/>
        </w:rPr>
        <w:t>5.1.5</w:t>
      </w:r>
      <w:r>
        <w:rPr>
          <w:rFonts w:hint="eastAsia" w:ascii="宋体" w:hAnsi="宋体"/>
          <w:color w:val="000000"/>
          <w:szCs w:val="21"/>
        </w:rPr>
        <w:t>定期执行软件的数据备份工作，并对备份数据进行妥善保管。</w:t>
      </w:r>
    </w:p>
    <w:p>
      <w:pPr>
        <w:tabs>
          <w:tab w:val="left" w:pos="1200"/>
        </w:tabs>
        <w:adjustRightInd w:val="0"/>
        <w:spacing w:line="360" w:lineRule="auto"/>
        <w:textAlignment w:val="baseline"/>
        <w:rPr>
          <w:rFonts w:ascii="宋体" w:hAnsi="宋体"/>
          <w:snapToGrid w:val="0"/>
          <w:color w:val="000000"/>
          <w:kern w:val="0"/>
          <w:szCs w:val="21"/>
        </w:rPr>
      </w:pPr>
      <w:r>
        <w:rPr>
          <w:rFonts w:hint="eastAsia" w:ascii="宋体" w:hAnsi="宋体"/>
          <w:snapToGrid w:val="0"/>
          <w:color w:val="000000"/>
          <w:kern w:val="0"/>
          <w:szCs w:val="21"/>
        </w:rPr>
        <w:t>5.1.6按照合同相应条款及金额按时付款。</w:t>
      </w:r>
    </w:p>
    <w:p>
      <w:pPr>
        <w:spacing w:line="480" w:lineRule="auto"/>
        <w:rPr>
          <w:rFonts w:ascii="宋体" w:hAnsi="宋体"/>
          <w:snapToGrid w:val="0"/>
          <w:color w:val="000000"/>
          <w:kern w:val="0"/>
          <w:szCs w:val="21"/>
        </w:rPr>
      </w:pPr>
      <w:r>
        <w:rPr>
          <w:rFonts w:hint="eastAsia" w:ascii="宋体" w:hAnsi="宋体"/>
          <w:snapToGrid w:val="0"/>
          <w:color w:val="000000"/>
          <w:kern w:val="0"/>
          <w:szCs w:val="21"/>
        </w:rPr>
        <w:t>5.2乙方权利和义务</w:t>
      </w:r>
    </w:p>
    <w:p>
      <w:pPr>
        <w:spacing w:line="360" w:lineRule="auto"/>
        <w:rPr>
          <w:rFonts w:ascii="宋体" w:hAnsi="宋体"/>
          <w:color w:val="000000"/>
          <w:szCs w:val="21"/>
        </w:rPr>
      </w:pPr>
      <w:r>
        <w:rPr>
          <w:rFonts w:hint="eastAsia" w:ascii="宋体" w:hAnsi="宋体"/>
          <w:snapToGrid w:val="0"/>
          <w:color w:val="000000"/>
          <w:kern w:val="0"/>
          <w:szCs w:val="21"/>
        </w:rPr>
        <w:t>5.2.1</w:t>
      </w:r>
      <w:r>
        <w:rPr>
          <w:rFonts w:hint="eastAsia" w:ascii="宋体" w:hAnsi="宋体"/>
          <w:color w:val="000000"/>
          <w:szCs w:val="21"/>
        </w:rPr>
        <w:t>根据双方确认的时间，提供许可软件的安装、调试、客户化实施等服务，</w:t>
      </w:r>
      <w:r>
        <w:rPr>
          <w:rFonts w:hint="eastAsia" w:ascii="宋体" w:hAnsi="宋体"/>
          <w:snapToGrid w:val="0"/>
          <w:color w:val="000000"/>
          <w:kern w:val="0"/>
          <w:szCs w:val="21"/>
        </w:rPr>
        <w:t>工作方式包括</w:t>
      </w:r>
      <w:r>
        <w:rPr>
          <w:rFonts w:hint="eastAsia" w:ascii="宋体" w:hAnsi="宋体"/>
          <w:color w:val="000000"/>
          <w:szCs w:val="21"/>
        </w:rPr>
        <w:t>现场和非现场。</w:t>
      </w:r>
    </w:p>
    <w:p>
      <w:pPr>
        <w:spacing w:line="360" w:lineRule="auto"/>
        <w:rPr>
          <w:rFonts w:ascii="宋体" w:hAnsi="宋体"/>
          <w:color w:val="000000"/>
          <w:szCs w:val="21"/>
        </w:rPr>
      </w:pPr>
      <w:r>
        <w:rPr>
          <w:rFonts w:hint="eastAsia" w:ascii="宋体" w:hAnsi="宋体"/>
          <w:snapToGrid w:val="0"/>
          <w:color w:val="000000"/>
          <w:kern w:val="0"/>
          <w:szCs w:val="21"/>
        </w:rPr>
        <w:t>5.2.2负责</w:t>
      </w:r>
      <w:r>
        <w:rPr>
          <w:rFonts w:hint="eastAsia" w:ascii="宋体" w:hAnsi="宋体"/>
          <w:color w:val="000000"/>
          <w:szCs w:val="21"/>
        </w:rPr>
        <w:t>为甲方提供免费培训服务，包括业务操作和系统维护。</w:t>
      </w:r>
    </w:p>
    <w:p>
      <w:pPr>
        <w:tabs>
          <w:tab w:val="left" w:pos="1260"/>
        </w:tabs>
        <w:spacing w:before="156" w:beforeLines="50" w:line="380" w:lineRule="exact"/>
        <w:rPr>
          <w:rFonts w:ascii="宋体" w:hAnsi="宋体"/>
          <w:snapToGrid w:val="0"/>
          <w:kern w:val="0"/>
          <w:szCs w:val="21"/>
        </w:rPr>
      </w:pPr>
      <w:r>
        <w:rPr>
          <w:rFonts w:hint="eastAsia" w:ascii="宋体" w:hAnsi="宋体"/>
          <w:snapToGrid w:val="0"/>
          <w:kern w:val="0"/>
          <w:szCs w:val="21"/>
        </w:rPr>
        <w:t>5</w:t>
      </w:r>
      <w:r>
        <w:rPr>
          <w:rFonts w:ascii="宋体" w:hAnsi="宋体"/>
          <w:snapToGrid w:val="0"/>
          <w:kern w:val="0"/>
          <w:szCs w:val="21"/>
        </w:rPr>
        <w:t>.2.3</w:t>
      </w:r>
      <w:r>
        <w:rPr>
          <w:rFonts w:hint="eastAsia" w:ascii="宋体" w:hAnsi="宋体"/>
          <w:snapToGrid w:val="0"/>
          <w:kern w:val="0"/>
          <w:szCs w:val="21"/>
        </w:rPr>
        <w:t>负责进场后的需求调研工作，与甲方共同撰写</w:t>
      </w:r>
      <w:r>
        <w:rPr>
          <w:rFonts w:hint="eastAsia" w:ascii="宋体" w:hAnsi="宋体"/>
          <w:snapToGrid w:val="0"/>
          <w:kern w:val="0"/>
          <w:szCs w:val="21"/>
          <w:u w:val="single"/>
        </w:rPr>
        <w:t>《项目需求分析书》</w:t>
      </w:r>
      <w:r>
        <w:rPr>
          <w:rFonts w:hint="eastAsia" w:ascii="宋体" w:hAnsi="宋体"/>
          <w:snapToGrid w:val="0"/>
          <w:kern w:val="0"/>
          <w:szCs w:val="21"/>
        </w:rPr>
        <w:t>，双方签字确认并作为本合同的附件，具有同等法律效力。</w:t>
      </w:r>
    </w:p>
    <w:p>
      <w:pPr>
        <w:tabs>
          <w:tab w:val="left" w:pos="1260"/>
        </w:tabs>
        <w:spacing w:before="156" w:beforeLines="50" w:line="380" w:lineRule="exact"/>
        <w:rPr>
          <w:rFonts w:ascii="宋体" w:hAnsi="宋体"/>
          <w:snapToGrid w:val="0"/>
          <w:kern w:val="0"/>
          <w:szCs w:val="21"/>
        </w:rPr>
      </w:pPr>
      <w:r>
        <w:rPr>
          <w:rFonts w:ascii="宋体" w:hAnsi="宋体"/>
          <w:snapToGrid w:val="0"/>
          <w:kern w:val="0"/>
          <w:szCs w:val="21"/>
        </w:rPr>
        <w:t>5</w:t>
      </w:r>
      <w:r>
        <w:rPr>
          <w:rFonts w:hint="eastAsia" w:ascii="宋体" w:hAnsi="宋体"/>
          <w:snapToGrid w:val="0"/>
          <w:kern w:val="0"/>
          <w:szCs w:val="21"/>
        </w:rPr>
        <w:t>.2.4负责与甲方共同确定本项目的</w:t>
      </w:r>
      <w:r>
        <w:rPr>
          <w:rFonts w:hint="eastAsia" w:ascii="宋体" w:hAnsi="宋体"/>
          <w:snapToGrid w:val="0"/>
          <w:kern w:val="0"/>
          <w:szCs w:val="21"/>
          <w:u w:val="single"/>
        </w:rPr>
        <w:t>《项目实施方案》《项目里程碑计划》</w:t>
      </w:r>
      <w:r>
        <w:rPr>
          <w:rFonts w:hint="eastAsia" w:ascii="宋体" w:hAnsi="宋体"/>
          <w:snapToGrid w:val="0"/>
          <w:kern w:val="0"/>
          <w:szCs w:val="21"/>
        </w:rPr>
        <w:t>，双方签字确认并作为本合同的附件，具有同等法律效力。</w:t>
      </w:r>
    </w:p>
    <w:p>
      <w:pPr>
        <w:spacing w:before="156" w:beforeLines="50" w:line="380" w:lineRule="exact"/>
        <w:rPr>
          <w:rFonts w:ascii="宋体" w:hAnsi="宋体"/>
          <w:szCs w:val="21"/>
        </w:rPr>
      </w:pPr>
      <w:r>
        <w:rPr>
          <w:rFonts w:ascii="宋体" w:hAnsi="宋体"/>
          <w:snapToGrid w:val="0"/>
          <w:kern w:val="0"/>
          <w:szCs w:val="21"/>
        </w:rPr>
        <w:t>5</w:t>
      </w:r>
      <w:r>
        <w:rPr>
          <w:rFonts w:hint="eastAsia" w:ascii="宋体" w:hAnsi="宋体"/>
          <w:snapToGrid w:val="0"/>
          <w:kern w:val="0"/>
          <w:szCs w:val="21"/>
        </w:rPr>
        <w:t>.2.5</w:t>
      </w:r>
      <w:r>
        <w:rPr>
          <w:rFonts w:hint="eastAsia" w:ascii="宋体" w:hAnsi="宋体"/>
          <w:szCs w:val="21"/>
        </w:rPr>
        <w:t>实施过程中若甲方因业务发展等原因对已经确认并实施完成的既定需求提出大规模修改或调整等要求时，双方协商适当调整计划进度及工作内容，如果产生相关费用，另行协商。</w:t>
      </w:r>
    </w:p>
    <w:p>
      <w:pPr>
        <w:tabs>
          <w:tab w:val="left" w:pos="1260"/>
        </w:tabs>
        <w:spacing w:before="156" w:beforeLines="50" w:line="380" w:lineRule="exact"/>
        <w:rPr>
          <w:rFonts w:ascii="宋体" w:hAnsi="宋体"/>
          <w:szCs w:val="21"/>
        </w:rPr>
      </w:pPr>
      <w:r>
        <w:rPr>
          <w:rFonts w:ascii="宋体" w:hAnsi="宋体"/>
          <w:snapToGrid w:val="0"/>
          <w:kern w:val="0"/>
          <w:szCs w:val="21"/>
        </w:rPr>
        <w:t>5</w:t>
      </w:r>
      <w:r>
        <w:rPr>
          <w:rFonts w:hint="eastAsia" w:ascii="宋体" w:hAnsi="宋体"/>
          <w:snapToGrid w:val="0"/>
          <w:kern w:val="0"/>
          <w:szCs w:val="21"/>
        </w:rPr>
        <w:t>.2.</w:t>
      </w:r>
      <w:r>
        <w:rPr>
          <w:rFonts w:ascii="宋体" w:hAnsi="宋体"/>
          <w:snapToGrid w:val="0"/>
          <w:kern w:val="0"/>
          <w:szCs w:val="21"/>
        </w:rPr>
        <w:t>6</w:t>
      </w:r>
      <w:r>
        <w:rPr>
          <w:rFonts w:hint="eastAsia" w:ascii="宋体" w:hAnsi="宋体"/>
          <w:szCs w:val="21"/>
        </w:rPr>
        <w:t>当甲方对软件功能或性能提出更高要求时，积极配合甲方并提供升级优化和实施方案建议。</w:t>
      </w:r>
    </w:p>
    <w:p>
      <w:pPr>
        <w:tabs>
          <w:tab w:val="left" w:pos="1260"/>
        </w:tabs>
        <w:spacing w:line="360" w:lineRule="auto"/>
        <w:rPr>
          <w:rFonts w:ascii="宋体" w:hAnsi="宋体"/>
          <w:snapToGrid w:val="0"/>
          <w:color w:val="000000"/>
          <w:kern w:val="0"/>
          <w:szCs w:val="21"/>
        </w:rPr>
      </w:pPr>
      <w:r>
        <w:rPr>
          <w:rFonts w:hint="eastAsia" w:ascii="宋体" w:hAnsi="宋体"/>
          <w:snapToGrid w:val="0"/>
          <w:color w:val="000000"/>
          <w:kern w:val="0"/>
          <w:szCs w:val="21"/>
        </w:rPr>
        <w:t>5.2.</w:t>
      </w:r>
      <w:r>
        <w:rPr>
          <w:rFonts w:ascii="宋体" w:hAnsi="宋体"/>
          <w:snapToGrid w:val="0"/>
          <w:color w:val="000000"/>
          <w:kern w:val="0"/>
          <w:szCs w:val="21"/>
        </w:rPr>
        <w:t>7</w:t>
      </w:r>
      <w:r>
        <w:rPr>
          <w:rFonts w:hint="eastAsia" w:ascii="宋体" w:hAnsi="宋体"/>
          <w:snapToGrid w:val="0"/>
          <w:color w:val="000000"/>
          <w:kern w:val="0"/>
          <w:szCs w:val="21"/>
        </w:rPr>
        <w:t>有权要求甲方依照合同约定支付合同款项。</w:t>
      </w:r>
    </w:p>
    <w:p>
      <w:pPr>
        <w:spacing w:line="360" w:lineRule="auto"/>
        <w:rPr>
          <w:rFonts w:ascii="宋体" w:hAnsi="宋体"/>
          <w:color w:val="000000"/>
          <w:szCs w:val="21"/>
        </w:rPr>
      </w:pPr>
      <w:r>
        <w:rPr>
          <w:rFonts w:hint="eastAsia" w:ascii="宋体" w:hAnsi="宋体"/>
          <w:snapToGrid w:val="0"/>
          <w:color w:val="000000"/>
          <w:kern w:val="0"/>
          <w:szCs w:val="21"/>
        </w:rPr>
        <w:t>5.2.</w:t>
      </w:r>
      <w:r>
        <w:rPr>
          <w:rFonts w:ascii="宋体" w:hAnsi="宋体"/>
          <w:snapToGrid w:val="0"/>
          <w:color w:val="000000"/>
          <w:kern w:val="0"/>
          <w:szCs w:val="21"/>
        </w:rPr>
        <w:t>8</w:t>
      </w:r>
      <w:r>
        <w:rPr>
          <w:rFonts w:hint="eastAsia" w:ascii="宋体" w:hAnsi="宋体"/>
          <w:color w:val="000000"/>
          <w:szCs w:val="21"/>
        </w:rPr>
        <w:t>甲方因许可软件遗失、被盗、被误用或被擅自修改、设备故障、操作失误、感染病毒等情况造成的损失，乙方不承担责任。</w:t>
      </w:r>
    </w:p>
    <w:p>
      <w:pPr>
        <w:spacing w:line="360" w:lineRule="auto"/>
        <w:outlineLvl w:val="0"/>
        <w:rPr>
          <w:rFonts w:ascii="宋体" w:hAnsi="宋体"/>
          <w:b/>
          <w:bCs/>
          <w:color w:val="000000"/>
          <w:szCs w:val="21"/>
        </w:rPr>
      </w:pPr>
      <w:r>
        <w:rPr>
          <w:rFonts w:hint="eastAsia" w:ascii="宋体" w:hAnsi="宋体"/>
          <w:b/>
          <w:snapToGrid w:val="0"/>
          <w:color w:val="000000"/>
          <w:kern w:val="0"/>
          <w:szCs w:val="21"/>
        </w:rPr>
        <w:t xml:space="preserve">第六条 </w:t>
      </w:r>
      <w:r>
        <w:rPr>
          <w:rFonts w:hint="eastAsia" w:ascii="宋体" w:hAnsi="宋体"/>
          <w:b/>
          <w:bCs/>
          <w:color w:val="000000"/>
          <w:szCs w:val="21"/>
        </w:rPr>
        <w:t>费用及支付</w:t>
      </w:r>
      <w:r>
        <w:rPr>
          <w:rFonts w:hint="eastAsia"/>
          <w:b/>
          <w:color w:val="000000"/>
          <w:szCs w:val="21"/>
        </w:rPr>
        <w:t>方式</w:t>
      </w:r>
    </w:p>
    <w:p>
      <w:pPr>
        <w:spacing w:line="360" w:lineRule="auto"/>
        <w:rPr>
          <w:rFonts w:ascii="宋体" w:hAnsi="宋体"/>
          <w:color w:val="000000"/>
          <w:szCs w:val="21"/>
        </w:rPr>
      </w:pPr>
      <w:r>
        <w:rPr>
          <w:rFonts w:hint="eastAsia" w:ascii="宋体" w:hAnsi="宋体"/>
          <w:color w:val="000000"/>
          <w:szCs w:val="21"/>
        </w:rPr>
        <w:t>6.1合同总额为人民币</w:t>
      </w:r>
      <w:r>
        <w:rPr>
          <w:rFonts w:hint="eastAsia" w:ascii="宋体" w:hAnsi="宋体"/>
          <w:color w:val="000000"/>
          <w:szCs w:val="21"/>
          <w:lang w:eastAsia="zh-CN"/>
        </w:rPr>
        <w:t>（</w:t>
      </w:r>
      <w:r>
        <w:rPr>
          <w:rFonts w:hint="eastAsia" w:ascii="宋体" w:hAnsi="宋体"/>
          <w:color w:val="000000"/>
          <w:szCs w:val="21"/>
          <w:lang w:val="en-US" w:eastAsia="zh-CN"/>
        </w:rPr>
        <w:t>大写</w:t>
      </w:r>
      <w:r>
        <w:rPr>
          <w:rFonts w:hint="eastAsia" w:ascii="宋体" w:hAnsi="宋体"/>
          <w:color w:val="000000"/>
          <w:szCs w:val="21"/>
          <w:lang w:eastAsia="zh-CN"/>
        </w:rPr>
        <w:t>）</w:t>
      </w:r>
      <w:r>
        <w:rPr>
          <w:rFonts w:hint="eastAsia" w:ascii="宋体" w:hAnsi="宋体"/>
          <w:color w:val="000000"/>
          <w:szCs w:val="21"/>
          <w:u w:val="single"/>
        </w:rPr>
        <w:t xml:space="preserve"> </w:t>
      </w:r>
      <w:r>
        <w:rPr>
          <w:rFonts w:hint="eastAsia" w:ascii="宋体" w:hAnsi="宋体"/>
          <w:color w:val="000000"/>
          <w:szCs w:val="21"/>
          <w:u w:val="single"/>
          <w:lang w:val="en-US" w:eastAsia="zh-CN"/>
        </w:rPr>
        <w:t xml:space="preserve">        </w:t>
      </w:r>
      <w:r>
        <w:rPr>
          <w:rFonts w:hint="eastAsia" w:ascii="宋体" w:hAnsi="宋体"/>
          <w:color w:val="000000"/>
          <w:szCs w:val="21"/>
          <w:u w:val="single"/>
        </w:rPr>
        <w:t xml:space="preserve"> </w:t>
      </w:r>
      <w:r>
        <w:rPr>
          <w:rFonts w:hint="eastAsia" w:ascii="宋体" w:hAnsi="宋体"/>
          <w:color w:val="000000"/>
          <w:szCs w:val="21"/>
        </w:rPr>
        <w:t>元整(</w:t>
      </w:r>
      <w:r>
        <w:rPr>
          <w:rFonts w:hint="eastAsia" w:ascii="宋体" w:hAnsi="宋体"/>
          <w:color w:val="000000"/>
          <w:szCs w:val="21"/>
          <w:u w:val="single"/>
        </w:rPr>
        <w:t>￥</w:t>
      </w:r>
      <w:r>
        <w:rPr>
          <w:rFonts w:hint="eastAsia" w:ascii="宋体" w:hAnsi="宋体"/>
          <w:color w:val="000000"/>
          <w:szCs w:val="21"/>
          <w:u w:val="single"/>
          <w:lang w:val="en-US" w:eastAsia="zh-CN"/>
        </w:rPr>
        <w:t>00</w:t>
      </w:r>
      <w:r>
        <w:rPr>
          <w:rFonts w:hint="eastAsia" w:ascii="宋体" w:hAnsi="宋体"/>
          <w:color w:val="000000"/>
          <w:szCs w:val="21"/>
          <w:u w:val="single"/>
        </w:rPr>
        <w:t>,000.00</w:t>
      </w:r>
      <w:r>
        <w:rPr>
          <w:rFonts w:ascii="宋体" w:hAnsi="宋体"/>
          <w:color w:val="000000"/>
          <w:szCs w:val="21"/>
          <w:u w:val="single"/>
        </w:rPr>
        <w:t xml:space="preserve"> </w:t>
      </w:r>
      <w:r>
        <w:rPr>
          <w:rFonts w:hint="eastAsia" w:ascii="宋体" w:hAnsi="宋体"/>
          <w:color w:val="000000"/>
          <w:szCs w:val="21"/>
          <w:u w:val="single"/>
        </w:rPr>
        <w:t xml:space="preserve"> </w:t>
      </w:r>
      <w:r>
        <w:rPr>
          <w:rFonts w:hint="eastAsia" w:ascii="宋体" w:hAnsi="宋体"/>
          <w:color w:val="000000"/>
          <w:szCs w:val="21"/>
        </w:rPr>
        <w:t>)。支付方式为：</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20" w:firstLineChars="200"/>
        <w:jc w:val="left"/>
        <w:rPr>
          <w:rFonts w:ascii="宋体" w:hAnsi="宋体"/>
          <w:color w:val="000000"/>
          <w:kern w:val="0"/>
          <w:szCs w:val="21"/>
        </w:rPr>
      </w:pPr>
      <w:r>
        <w:rPr>
          <w:rFonts w:hint="eastAsia" w:ascii="宋体" w:hAnsi="宋体"/>
          <w:color w:val="000000"/>
          <w:kern w:val="0"/>
          <w:szCs w:val="21"/>
        </w:rPr>
        <w:t>第一期付款：合同签订生效后，十个工作日内，甲方向乙方预付合同总金额</w:t>
      </w:r>
      <w:r>
        <w:rPr>
          <w:rFonts w:hint="eastAsia" w:ascii="宋体" w:hAnsi="宋体"/>
          <w:color w:val="000000"/>
          <w:kern w:val="0"/>
          <w:szCs w:val="21"/>
          <w:u w:val="single"/>
          <w:lang w:val="en-US" w:eastAsia="zh-CN"/>
        </w:rPr>
        <w:t>5</w:t>
      </w:r>
      <w:r>
        <w:rPr>
          <w:rFonts w:hint="eastAsia" w:ascii="宋体" w:hAnsi="宋体"/>
          <w:color w:val="000000"/>
          <w:kern w:val="0"/>
          <w:szCs w:val="21"/>
          <w:u w:val="single"/>
        </w:rPr>
        <w:t>0</w:t>
      </w:r>
      <w:r>
        <w:rPr>
          <w:rFonts w:ascii="宋体" w:hAnsi="宋体"/>
          <w:color w:val="000000"/>
          <w:kern w:val="0"/>
          <w:szCs w:val="21"/>
          <w:u w:val="single"/>
        </w:rPr>
        <w:t>%</w:t>
      </w:r>
      <w:r>
        <w:rPr>
          <w:rFonts w:hint="eastAsia" w:ascii="宋体" w:hAnsi="宋体"/>
          <w:color w:val="000000"/>
          <w:kern w:val="0"/>
          <w:szCs w:val="21"/>
        </w:rPr>
        <w:t>，即人民币</w:t>
      </w:r>
      <w:r>
        <w:rPr>
          <w:rFonts w:hint="eastAsia" w:ascii="宋体" w:hAnsi="宋体"/>
          <w:color w:val="000000"/>
          <w:kern w:val="0"/>
          <w:szCs w:val="21"/>
          <w:lang w:eastAsia="zh-CN"/>
        </w:rPr>
        <w:t>（</w:t>
      </w:r>
      <w:r>
        <w:rPr>
          <w:rFonts w:hint="eastAsia" w:ascii="宋体" w:hAnsi="宋体"/>
          <w:color w:val="000000"/>
          <w:kern w:val="0"/>
          <w:szCs w:val="21"/>
          <w:lang w:val="en-US" w:eastAsia="zh-CN"/>
        </w:rPr>
        <w:t>大写</w:t>
      </w:r>
      <w:r>
        <w:rPr>
          <w:rFonts w:hint="eastAsia" w:ascii="宋体" w:hAnsi="宋体"/>
          <w:color w:val="000000"/>
          <w:kern w:val="0"/>
          <w:szCs w:val="21"/>
          <w:lang w:eastAsia="zh-CN"/>
        </w:rPr>
        <w:t>）</w:t>
      </w:r>
      <w:r>
        <w:rPr>
          <w:rFonts w:hint="eastAsia" w:ascii="宋体" w:hAnsi="宋体"/>
          <w:color w:val="000000"/>
          <w:kern w:val="0"/>
          <w:szCs w:val="21"/>
          <w:u w:val="single"/>
        </w:rPr>
        <w:t xml:space="preserve"> </w:t>
      </w:r>
      <w:r>
        <w:rPr>
          <w:rFonts w:ascii="宋体" w:hAnsi="宋体"/>
          <w:color w:val="000000"/>
          <w:kern w:val="0"/>
          <w:szCs w:val="21"/>
          <w:u w:val="single"/>
        </w:rPr>
        <w:t xml:space="preserve"> </w:t>
      </w:r>
      <w:r>
        <w:rPr>
          <w:rFonts w:hint="eastAsia" w:ascii="宋体" w:hAnsi="宋体"/>
          <w:color w:val="000000"/>
          <w:kern w:val="0"/>
          <w:szCs w:val="21"/>
          <w:u w:val="single"/>
          <w:lang w:val="en-US" w:eastAsia="zh-CN"/>
        </w:rPr>
        <w:t xml:space="preserve">            </w:t>
      </w:r>
      <w:r>
        <w:rPr>
          <w:rFonts w:hint="eastAsia" w:ascii="宋体" w:hAnsi="宋体"/>
          <w:color w:val="000000"/>
          <w:kern w:val="0"/>
          <w:szCs w:val="21"/>
          <w:u w:val="single"/>
        </w:rPr>
        <w:t xml:space="preserve">  </w:t>
      </w:r>
      <w:r>
        <w:rPr>
          <w:rFonts w:hint="eastAsia" w:ascii="宋体" w:hAnsi="宋体"/>
          <w:color w:val="000000"/>
          <w:kern w:val="0"/>
          <w:szCs w:val="21"/>
        </w:rPr>
        <w:t>元整（￥</w:t>
      </w:r>
      <w:r>
        <w:rPr>
          <w:rFonts w:hint="eastAsia" w:ascii="宋体" w:hAnsi="宋体"/>
          <w:color w:val="000000"/>
          <w:kern w:val="0"/>
          <w:szCs w:val="21"/>
          <w:lang w:val="en-US" w:eastAsia="zh-CN"/>
        </w:rPr>
        <w:t>00</w:t>
      </w:r>
      <w:r>
        <w:rPr>
          <w:rFonts w:hint="eastAsia" w:ascii="宋体" w:hAnsi="宋体"/>
          <w:color w:val="000000"/>
          <w:kern w:val="0"/>
          <w:szCs w:val="21"/>
        </w:rPr>
        <w:t>,000.</w:t>
      </w:r>
      <w:r>
        <w:rPr>
          <w:rFonts w:ascii="宋体" w:hAnsi="宋体"/>
          <w:color w:val="000000"/>
          <w:kern w:val="0"/>
          <w:szCs w:val="21"/>
        </w:rPr>
        <w:t>00</w:t>
      </w:r>
      <w:r>
        <w:rPr>
          <w:rFonts w:hint="eastAsia" w:ascii="宋体" w:hAnsi="宋体"/>
          <w:color w:val="000000"/>
          <w:kern w:val="0"/>
          <w:szCs w:val="21"/>
        </w:rPr>
        <w:t>）；</w:t>
      </w:r>
    </w:p>
    <w:p>
      <w:pPr>
        <w:spacing w:line="360" w:lineRule="auto"/>
        <w:ind w:firstLine="420" w:firstLineChars="200"/>
        <w:rPr>
          <w:rFonts w:ascii="宋体" w:hAnsi="宋体"/>
          <w:color w:val="000000"/>
          <w:kern w:val="0"/>
          <w:szCs w:val="21"/>
        </w:rPr>
      </w:pPr>
      <w:r>
        <w:rPr>
          <w:rFonts w:hint="eastAsia" w:ascii="宋体" w:hAnsi="宋体"/>
          <w:color w:val="000000"/>
          <w:szCs w:val="21"/>
        </w:rPr>
        <w:t>第</w:t>
      </w:r>
      <w:r>
        <w:rPr>
          <w:rFonts w:hint="eastAsia" w:ascii="宋体" w:hAnsi="宋体"/>
          <w:color w:val="000000"/>
          <w:szCs w:val="21"/>
          <w:lang w:val="en-US" w:eastAsia="zh-CN"/>
        </w:rPr>
        <w:t>二</w:t>
      </w:r>
      <w:r>
        <w:rPr>
          <w:rFonts w:hint="eastAsia" w:ascii="宋体" w:hAnsi="宋体"/>
          <w:color w:val="000000"/>
          <w:szCs w:val="21"/>
        </w:rPr>
        <w:t>期付款：验收合格后，</w:t>
      </w:r>
      <w:r>
        <w:rPr>
          <w:rFonts w:hint="eastAsia" w:ascii="宋体" w:hAnsi="宋体"/>
          <w:color w:val="000000"/>
          <w:kern w:val="0"/>
          <w:szCs w:val="21"/>
        </w:rPr>
        <w:t>甲方向乙方支付合同总金额50</w:t>
      </w:r>
      <w:r>
        <w:rPr>
          <w:rFonts w:ascii="宋体" w:hAnsi="宋体"/>
          <w:color w:val="000000"/>
          <w:kern w:val="0"/>
          <w:szCs w:val="21"/>
        </w:rPr>
        <w:t>%</w:t>
      </w:r>
      <w:r>
        <w:rPr>
          <w:rFonts w:hint="eastAsia" w:ascii="宋体" w:hAnsi="宋体"/>
          <w:color w:val="000000"/>
          <w:kern w:val="0"/>
          <w:szCs w:val="21"/>
        </w:rPr>
        <w:t>，即人民币</w:t>
      </w:r>
      <w:r>
        <w:rPr>
          <w:rFonts w:hint="eastAsia" w:ascii="宋体" w:hAnsi="宋体"/>
          <w:color w:val="000000"/>
          <w:kern w:val="0"/>
          <w:szCs w:val="21"/>
          <w:u w:val="single"/>
        </w:rPr>
        <w:t xml:space="preserve"> </w:t>
      </w:r>
      <w:r>
        <w:rPr>
          <w:rFonts w:hint="eastAsia" w:ascii="宋体" w:hAnsi="宋体"/>
          <w:color w:val="000000"/>
          <w:kern w:val="0"/>
          <w:szCs w:val="21"/>
          <w:u w:val="single"/>
          <w:lang w:val="en-US" w:eastAsia="zh-CN"/>
        </w:rPr>
        <w:t xml:space="preserve">       </w:t>
      </w:r>
      <w:r>
        <w:rPr>
          <w:rFonts w:hint="eastAsia" w:ascii="宋体" w:hAnsi="宋体"/>
          <w:color w:val="000000"/>
          <w:kern w:val="0"/>
          <w:szCs w:val="21"/>
          <w:u w:val="single"/>
        </w:rPr>
        <w:t xml:space="preserve"> </w:t>
      </w:r>
      <w:r>
        <w:rPr>
          <w:rFonts w:ascii="宋体" w:hAnsi="宋体"/>
          <w:color w:val="000000"/>
          <w:kern w:val="0"/>
          <w:szCs w:val="21"/>
          <w:u w:val="single"/>
        </w:rPr>
        <w:t xml:space="preserve">  </w:t>
      </w:r>
      <w:r>
        <w:rPr>
          <w:rFonts w:hint="eastAsia" w:ascii="宋体" w:hAnsi="宋体"/>
          <w:color w:val="000000"/>
          <w:kern w:val="0"/>
          <w:szCs w:val="21"/>
        </w:rPr>
        <w:t>元整（￥</w:t>
      </w:r>
      <w:r>
        <w:rPr>
          <w:rFonts w:hint="eastAsia" w:ascii="宋体" w:hAnsi="宋体"/>
          <w:color w:val="000000"/>
          <w:kern w:val="0"/>
          <w:szCs w:val="21"/>
          <w:lang w:val="en-US" w:eastAsia="zh-CN"/>
        </w:rPr>
        <w:t>00</w:t>
      </w:r>
      <w:r>
        <w:rPr>
          <w:rFonts w:hint="eastAsia" w:ascii="宋体" w:hAnsi="宋体"/>
          <w:color w:val="000000"/>
          <w:kern w:val="0"/>
          <w:szCs w:val="21"/>
        </w:rPr>
        <w:t>,000</w:t>
      </w:r>
      <w:r>
        <w:rPr>
          <w:rFonts w:ascii="宋体" w:hAnsi="宋体"/>
          <w:b/>
          <w:bCs/>
          <w:color w:val="000000"/>
          <w:kern w:val="0"/>
          <w:szCs w:val="21"/>
        </w:rPr>
        <w:t>.</w:t>
      </w:r>
      <w:r>
        <w:rPr>
          <w:rFonts w:ascii="宋体" w:hAnsi="宋体"/>
          <w:color w:val="000000"/>
          <w:kern w:val="0"/>
          <w:szCs w:val="21"/>
        </w:rPr>
        <w:t>00</w:t>
      </w:r>
      <w:r>
        <w:rPr>
          <w:rFonts w:hint="eastAsia" w:ascii="宋体" w:hAnsi="宋体"/>
          <w:color w:val="000000"/>
          <w:kern w:val="0"/>
          <w:szCs w:val="21"/>
        </w:rPr>
        <w:t>）；</w:t>
      </w:r>
    </w:p>
    <w:p>
      <w:pPr>
        <w:spacing w:line="360" w:lineRule="auto"/>
        <w:rPr>
          <w:rFonts w:ascii="宋体" w:hAnsi="宋体"/>
          <w:color w:val="000000"/>
          <w:szCs w:val="21"/>
        </w:rPr>
      </w:pPr>
      <w:r>
        <w:rPr>
          <w:rFonts w:hint="eastAsia" w:ascii="宋体" w:hAnsi="宋体"/>
          <w:color w:val="000000"/>
          <w:szCs w:val="21"/>
        </w:rPr>
        <w:t>6.2乙方每次提供合法的发票给甲方后，甲方再付款给乙方。</w:t>
      </w:r>
    </w:p>
    <w:p>
      <w:pPr>
        <w:spacing w:line="360" w:lineRule="auto"/>
        <w:rPr>
          <w:rFonts w:ascii="宋体" w:hAnsi="宋体"/>
          <w:b/>
          <w:color w:val="000000"/>
          <w:szCs w:val="21"/>
        </w:rPr>
      </w:pPr>
      <w:r>
        <w:rPr>
          <w:rFonts w:hint="eastAsia" w:ascii="宋体" w:hAnsi="宋体"/>
          <w:b/>
          <w:color w:val="000000"/>
          <w:szCs w:val="21"/>
        </w:rPr>
        <w:t>第七条 验收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color w:val="000000"/>
          <w:szCs w:val="21"/>
        </w:rPr>
      </w:pPr>
      <w:r>
        <w:rPr>
          <w:rFonts w:hint="eastAsia" w:ascii="宋体" w:hAnsi="宋体"/>
          <w:color w:val="000000"/>
          <w:szCs w:val="21"/>
        </w:rPr>
        <w:t>7.1甲方应在系统实施完毕后</w:t>
      </w:r>
      <w:r>
        <w:rPr>
          <w:rFonts w:ascii="宋体" w:hAnsi="宋体"/>
          <w:color w:val="000000"/>
          <w:szCs w:val="21"/>
        </w:rPr>
        <w:t>15</w:t>
      </w:r>
      <w:r>
        <w:rPr>
          <w:rFonts w:hint="eastAsia" w:ascii="宋体" w:hAnsi="宋体"/>
          <w:color w:val="000000"/>
          <w:szCs w:val="21"/>
        </w:rPr>
        <w:t>日内进行验收。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olor w:val="000000"/>
          <w:szCs w:val="21"/>
        </w:rPr>
      </w:pPr>
      <w:r>
        <w:rPr>
          <w:rFonts w:hint="eastAsia" w:ascii="宋体" w:hAnsi="宋体"/>
          <w:color w:val="000000"/>
          <w:szCs w:val="21"/>
        </w:rPr>
        <w:t>7.2验收标准：验收的内容及功能达到国家标准和《广西骨伤医院人力资源管理系统采购项目需求》为准。</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color w:val="000000"/>
          <w:szCs w:val="21"/>
        </w:rPr>
      </w:pPr>
      <w:r>
        <w:rPr>
          <w:rFonts w:hint="eastAsia" w:ascii="宋体" w:hAnsi="宋体"/>
          <w:color w:val="000000"/>
          <w:szCs w:val="21"/>
        </w:rPr>
        <w:t>7.3乙方在接到甲方书面异议后，应在</w:t>
      </w:r>
      <w:r>
        <w:rPr>
          <w:rFonts w:hint="eastAsia" w:ascii="宋体" w:hAnsi="宋体"/>
          <w:color w:val="000000"/>
          <w:szCs w:val="21"/>
          <w:u w:val="single"/>
        </w:rPr>
        <w:t xml:space="preserve">  </w:t>
      </w:r>
      <w:r>
        <w:rPr>
          <w:rFonts w:hint="eastAsia" w:ascii="宋体" w:hAnsi="宋体"/>
          <w:color w:val="000000"/>
          <w:szCs w:val="21"/>
          <w:u w:val="single"/>
          <w:lang w:val="en-US" w:eastAsia="zh-CN"/>
        </w:rPr>
        <w:t xml:space="preserve">  </w:t>
      </w:r>
      <w:r>
        <w:rPr>
          <w:rFonts w:hint="eastAsia" w:ascii="宋体" w:hAnsi="宋体"/>
          <w:color w:val="000000"/>
          <w:szCs w:val="21"/>
          <w:u w:val="single"/>
        </w:rPr>
        <w:t xml:space="preserve">  </w:t>
      </w:r>
      <w:r>
        <w:rPr>
          <w:rFonts w:hint="eastAsia" w:ascii="宋体" w:hAnsi="宋体"/>
          <w:color w:val="000000"/>
          <w:szCs w:val="21"/>
        </w:rPr>
        <w:t>天内负责处理。逾期未回复亦未处理的，即视为默认甲方提出的异议和处理意见。</w:t>
      </w:r>
    </w:p>
    <w:p>
      <w:pPr>
        <w:spacing w:line="360" w:lineRule="auto"/>
        <w:outlineLvl w:val="0"/>
        <w:rPr>
          <w:rFonts w:ascii="宋体" w:hAnsi="宋体"/>
          <w:b/>
          <w:color w:val="000000"/>
          <w:szCs w:val="21"/>
        </w:rPr>
      </w:pPr>
      <w:r>
        <w:rPr>
          <w:rFonts w:hint="eastAsia" w:ascii="宋体" w:hAnsi="宋体"/>
          <w:b/>
          <w:color w:val="000000"/>
          <w:szCs w:val="21"/>
        </w:rPr>
        <w:t>第八条 产品升级及售后服务</w:t>
      </w:r>
    </w:p>
    <w:p>
      <w:pPr>
        <w:pStyle w:val="17"/>
        <w:keepNext w:val="0"/>
        <w:keepLines w:val="0"/>
        <w:pageBreakBefore w:val="0"/>
        <w:widowControl w:val="0"/>
        <w:kinsoku/>
        <w:wordWrap/>
        <w:overflowPunct/>
        <w:topLinePunct w:val="0"/>
        <w:autoSpaceDE/>
        <w:autoSpaceDN/>
        <w:bidi w:val="0"/>
        <w:snapToGrid/>
        <w:spacing w:line="360" w:lineRule="auto"/>
        <w:ind w:right="25" w:firstLine="420" w:firstLineChars="200"/>
        <w:textAlignment w:val="auto"/>
        <w:rPr>
          <w:rFonts w:ascii="宋体" w:hAnsi="宋体"/>
          <w:color w:val="000000"/>
          <w:szCs w:val="21"/>
        </w:rPr>
      </w:pPr>
      <w:r>
        <w:rPr>
          <w:rFonts w:hint="eastAsia" w:ascii="宋体" w:hAnsi="宋体"/>
          <w:color w:val="000000"/>
          <w:szCs w:val="21"/>
        </w:rPr>
        <w:t>8.1自本项目整体验收通过之日起，乙方为甲方提供</w:t>
      </w:r>
      <w:r>
        <w:rPr>
          <w:rFonts w:hint="eastAsia" w:ascii="宋体" w:hAnsi="宋体"/>
          <w:color w:val="000000"/>
          <w:szCs w:val="21"/>
          <w:u w:val="single"/>
          <w:lang w:val="en-US" w:eastAsia="zh-CN"/>
        </w:rPr>
        <w:t xml:space="preserve">    </w:t>
      </w:r>
      <w:r>
        <w:rPr>
          <w:rFonts w:hint="eastAsia" w:ascii="宋体" w:hAnsi="宋体"/>
          <w:color w:val="000000"/>
          <w:szCs w:val="21"/>
        </w:rPr>
        <w:t>个月的免费服务，补丁及bug修复终生免费，包括上门服务和远程服务如：电话、邮件、网络远程等。期间,因故障严重影响系统运行及故障造成的整个设备和系统瘫痪，乙方应4小时内加派技术人员到达现场，24小时内处理完毕。</w:t>
      </w:r>
    </w:p>
    <w:p>
      <w:pPr>
        <w:pStyle w:val="17"/>
        <w:keepNext w:val="0"/>
        <w:keepLines w:val="0"/>
        <w:pageBreakBefore w:val="0"/>
        <w:widowControl w:val="0"/>
        <w:kinsoku/>
        <w:wordWrap/>
        <w:overflowPunct/>
        <w:topLinePunct w:val="0"/>
        <w:autoSpaceDE/>
        <w:autoSpaceDN/>
        <w:bidi w:val="0"/>
        <w:snapToGrid/>
        <w:spacing w:line="360" w:lineRule="auto"/>
        <w:ind w:right="25" w:firstLine="420" w:firstLineChars="200"/>
        <w:textAlignment w:val="auto"/>
        <w:rPr>
          <w:rFonts w:ascii="宋体" w:hAnsi="宋体"/>
          <w:color w:val="000000"/>
          <w:szCs w:val="21"/>
        </w:rPr>
      </w:pPr>
      <w:r>
        <w:rPr>
          <w:rFonts w:hint="eastAsia" w:ascii="宋体" w:hAnsi="宋体"/>
          <w:color w:val="000000"/>
          <w:szCs w:val="21"/>
        </w:rPr>
        <w:t>8.2当软件功能、性能或运行平台进行了改进优化、发布新版本时，具体参照乙方统一的升级管理办法执行：1.</w:t>
      </w:r>
      <w:r>
        <w:rPr>
          <w:rFonts w:ascii="宋体" w:hAnsi="宋体"/>
          <w:color w:val="000000"/>
          <w:szCs w:val="21"/>
        </w:rPr>
        <w:t>软件进行同版本更新，则免费提供给甲方</w:t>
      </w:r>
      <w:r>
        <w:rPr>
          <w:rFonts w:hint="eastAsia" w:ascii="宋体" w:hAnsi="宋体"/>
          <w:color w:val="000000"/>
          <w:szCs w:val="21"/>
        </w:rPr>
        <w:t>；2.</w:t>
      </w:r>
      <w:r>
        <w:rPr>
          <w:rFonts w:ascii="宋体" w:hAnsi="宋体"/>
          <w:color w:val="000000"/>
          <w:szCs w:val="21"/>
        </w:rPr>
        <w:t>如果是跨版本升级，则是补两版本间的差额</w:t>
      </w:r>
      <w:r>
        <w:rPr>
          <w:rFonts w:hint="eastAsia" w:ascii="宋体" w:hAnsi="宋体"/>
          <w:color w:val="000000"/>
          <w:szCs w:val="21"/>
        </w:rPr>
        <w:t>。</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宋体" w:hAnsi="宋体"/>
          <w:color w:val="000000"/>
          <w:szCs w:val="21"/>
        </w:rPr>
      </w:pPr>
      <w:r>
        <w:rPr>
          <w:rFonts w:hint="eastAsia" w:ascii="宋体" w:hAnsi="宋体"/>
          <w:color w:val="000000"/>
          <w:szCs w:val="21"/>
        </w:rPr>
        <w:t>8.3免费服务期后，乙方还将继续向甲方提供软件的维护服务，但甲乙双方须另外签订维护服务合同，标准年度维护服务费为本合同总金额的5%。</w:t>
      </w:r>
    </w:p>
    <w:p>
      <w:pPr>
        <w:spacing w:line="360" w:lineRule="auto"/>
        <w:outlineLvl w:val="0"/>
        <w:rPr>
          <w:rFonts w:ascii="宋体" w:hAnsi="宋体"/>
          <w:b/>
          <w:color w:val="000000"/>
          <w:szCs w:val="21"/>
        </w:rPr>
      </w:pPr>
      <w:r>
        <w:rPr>
          <w:rFonts w:hint="eastAsia" w:ascii="宋体" w:hAnsi="宋体"/>
          <w:b/>
          <w:color w:val="000000"/>
          <w:szCs w:val="21"/>
        </w:rPr>
        <w:t>第九条 产品保证</w:t>
      </w:r>
    </w:p>
    <w:p>
      <w:pPr>
        <w:spacing w:line="360" w:lineRule="auto"/>
        <w:rPr>
          <w:rFonts w:ascii="宋体" w:hAnsi="宋体"/>
          <w:color w:val="000000"/>
          <w:szCs w:val="21"/>
        </w:rPr>
      </w:pPr>
      <w:r>
        <w:rPr>
          <w:rFonts w:hint="eastAsia" w:ascii="宋体" w:hAnsi="宋体"/>
          <w:snapToGrid w:val="0"/>
          <w:color w:val="000000"/>
          <w:kern w:val="0"/>
          <w:szCs w:val="21"/>
        </w:rPr>
        <w:t>9.1</w:t>
      </w:r>
      <w:r>
        <w:rPr>
          <w:rFonts w:hint="eastAsia" w:ascii="宋体" w:hAnsi="宋体"/>
          <w:color w:val="000000"/>
          <w:szCs w:val="21"/>
        </w:rPr>
        <w:t>乙方保证交付的软件符合说明书所述功能。但本保证不适用于：</w:t>
      </w:r>
    </w:p>
    <w:p>
      <w:pPr>
        <w:pStyle w:val="37"/>
        <w:tabs>
          <w:tab w:val="left" w:pos="2820"/>
          <w:tab w:val="left" w:pos="3780"/>
        </w:tabs>
        <w:spacing w:line="360" w:lineRule="auto"/>
        <w:rPr>
          <w:rFonts w:ascii="宋体" w:hAnsi="宋体"/>
          <w:color w:val="000000"/>
          <w:szCs w:val="21"/>
        </w:rPr>
      </w:pPr>
      <w:r>
        <w:rPr>
          <w:rFonts w:hint="eastAsia" w:ascii="宋体" w:hAnsi="宋体"/>
          <w:color w:val="000000"/>
          <w:szCs w:val="21"/>
        </w:rPr>
        <w:t>(1)乙方之外的任何人对该许可软件作任何方式的修改；</w:t>
      </w:r>
    </w:p>
    <w:p>
      <w:pPr>
        <w:pStyle w:val="37"/>
        <w:tabs>
          <w:tab w:val="left" w:pos="2820"/>
          <w:tab w:val="left" w:pos="3780"/>
        </w:tabs>
        <w:spacing w:line="360" w:lineRule="auto"/>
        <w:rPr>
          <w:rFonts w:ascii="宋体" w:hAnsi="宋体"/>
          <w:color w:val="000000"/>
          <w:szCs w:val="21"/>
        </w:rPr>
      </w:pPr>
      <w:r>
        <w:rPr>
          <w:rFonts w:hint="eastAsia" w:ascii="宋体" w:hAnsi="宋体"/>
          <w:color w:val="000000"/>
          <w:szCs w:val="21"/>
        </w:rPr>
        <w:t>(2)甲方未按许可软件的规定使用软件；</w:t>
      </w:r>
    </w:p>
    <w:p>
      <w:pPr>
        <w:pStyle w:val="37"/>
        <w:tabs>
          <w:tab w:val="left" w:pos="2820"/>
          <w:tab w:val="left" w:pos="3780"/>
        </w:tabs>
        <w:spacing w:line="360" w:lineRule="auto"/>
        <w:rPr>
          <w:rFonts w:ascii="宋体" w:hAnsi="宋体"/>
          <w:color w:val="000000"/>
          <w:szCs w:val="21"/>
        </w:rPr>
      </w:pPr>
      <w:r>
        <w:rPr>
          <w:rFonts w:hint="eastAsia" w:ascii="宋体" w:hAnsi="宋体"/>
          <w:color w:val="000000"/>
          <w:szCs w:val="21"/>
        </w:rPr>
        <w:t>(3)甲方原因或第三方产品的故障、计算机设备故障、网络故障等使软件无法正常运行。</w:t>
      </w:r>
    </w:p>
    <w:p>
      <w:pPr>
        <w:pStyle w:val="37"/>
        <w:tabs>
          <w:tab w:val="left" w:pos="1260"/>
          <w:tab w:val="left" w:pos="2820"/>
        </w:tabs>
        <w:spacing w:line="360" w:lineRule="auto"/>
        <w:ind w:left="0" w:leftChars="0" w:firstLine="0" w:firstLineChars="0"/>
        <w:rPr>
          <w:color w:val="000000"/>
        </w:rPr>
      </w:pPr>
      <w:r>
        <w:rPr>
          <w:rFonts w:hint="eastAsia"/>
          <w:snapToGrid w:val="0"/>
          <w:color w:val="000000"/>
          <w:kern w:val="0"/>
        </w:rPr>
        <w:t>9</w:t>
      </w:r>
      <w:r>
        <w:rPr>
          <w:snapToGrid w:val="0"/>
          <w:color w:val="000000"/>
          <w:kern w:val="0"/>
        </w:rPr>
        <w:t>.2</w:t>
      </w:r>
      <w:r>
        <w:rPr>
          <w:rFonts w:hint="eastAsia"/>
          <w:color w:val="000000"/>
        </w:rPr>
        <w:t>软件许可提供软加密锁。软锁的许可文件与机器硬件信息绑定，包括CPU、物理网卡地址等，硬件服务器更换时可免费重新申请软加密锁。</w:t>
      </w:r>
    </w:p>
    <w:p>
      <w:pPr>
        <w:pStyle w:val="37"/>
        <w:tabs>
          <w:tab w:val="left" w:pos="1260"/>
          <w:tab w:val="left" w:pos="2820"/>
        </w:tabs>
        <w:spacing w:line="360" w:lineRule="auto"/>
        <w:ind w:left="0" w:leftChars="0" w:firstLine="0" w:firstLineChars="0"/>
        <w:rPr>
          <w:color w:val="000000"/>
        </w:rPr>
      </w:pPr>
      <w:r>
        <w:rPr>
          <w:rFonts w:hint="eastAsia" w:ascii="宋体" w:hAnsi="宋体"/>
          <w:snapToGrid w:val="0"/>
          <w:color w:val="000000"/>
          <w:kern w:val="0"/>
          <w:szCs w:val="21"/>
        </w:rPr>
        <w:t>9.3</w:t>
      </w:r>
      <w:r>
        <w:rPr>
          <w:rFonts w:hint="eastAsia"/>
          <w:color w:val="000000"/>
        </w:rPr>
        <w:t>乙方保证合同项下提供的货物不侵犯任何第三方的专利、商标或版权等知识产权。</w:t>
      </w:r>
      <w:r>
        <w:rPr>
          <w:rFonts w:hint="eastAsia" w:ascii="宋体" w:hAnsi="宋体"/>
          <w:snapToGrid w:val="0"/>
          <w:color w:val="000000"/>
          <w:kern w:val="0"/>
          <w:szCs w:val="21"/>
        </w:rPr>
        <w:t>否则，乙方须承担对第三方的专利或版权</w:t>
      </w:r>
      <w:r>
        <w:rPr>
          <w:rFonts w:hint="eastAsia"/>
          <w:color w:val="000000"/>
        </w:rPr>
        <w:t>的侵权责任并承担因此而发生的所有费用。</w:t>
      </w:r>
    </w:p>
    <w:p>
      <w:pPr>
        <w:pStyle w:val="37"/>
        <w:numPr>
          <w:ilvl w:val="0"/>
          <w:numId w:val="0"/>
        </w:numPr>
        <w:tabs>
          <w:tab w:val="left" w:pos="1260"/>
          <w:tab w:val="left" w:pos="2820"/>
        </w:tabs>
        <w:spacing w:line="360" w:lineRule="auto"/>
        <w:rPr>
          <w:b/>
          <w:color w:val="000000" w:themeColor="text1"/>
          <w14:textFill>
            <w14:solidFill>
              <w14:schemeClr w14:val="tx1"/>
            </w14:solidFill>
          </w14:textFill>
        </w:rPr>
      </w:pPr>
      <w:r>
        <w:rPr>
          <w:rFonts w:hint="eastAsia"/>
          <w:b/>
          <w:color w:val="000000" w:themeColor="text1"/>
          <w:lang w:val="en-US" w:eastAsia="zh-CN"/>
          <w14:textFill>
            <w14:solidFill>
              <w14:schemeClr w14:val="tx1"/>
            </w14:solidFill>
          </w14:textFill>
        </w:rPr>
        <w:t xml:space="preserve">第十条  </w:t>
      </w:r>
      <w:r>
        <w:rPr>
          <w:rFonts w:hint="eastAsia"/>
          <w:b/>
          <w:color w:val="000000" w:themeColor="text1"/>
          <w14:textFill>
            <w14:solidFill>
              <w14:schemeClr w14:val="tx1"/>
            </w14:solidFill>
          </w14:textFill>
        </w:rPr>
        <w:t>违约责任</w:t>
      </w:r>
    </w:p>
    <w:p>
      <w:pPr>
        <w:pStyle w:val="37"/>
        <w:tabs>
          <w:tab w:val="left" w:pos="1260"/>
          <w:tab w:val="left" w:pos="2820"/>
        </w:tabs>
        <w:spacing w:line="360" w:lineRule="auto"/>
        <w:ind w:left="0" w:leftChars="0" w:firstLine="0" w:firstLineChars="0"/>
        <w:rPr>
          <w:rFonts w:hint="eastAsia"/>
          <w:color w:val="000000"/>
        </w:rPr>
      </w:pPr>
      <w:r>
        <w:rPr>
          <w:rFonts w:hint="eastAsia"/>
          <w:color w:val="000000"/>
        </w:rPr>
        <w:t>质保期内，若乙方不按本合同约定时间提供服务，每逾期一天向甲方支付合同总价3‰的违约金，累计不超过合同总额的3%。</w:t>
      </w:r>
    </w:p>
    <w:p>
      <w:pPr>
        <w:spacing w:line="360" w:lineRule="auto"/>
        <w:outlineLvl w:val="0"/>
        <w:rPr>
          <w:rFonts w:ascii="宋体" w:hAnsi="宋体"/>
          <w:b/>
          <w:color w:val="000000"/>
          <w:szCs w:val="21"/>
        </w:rPr>
      </w:pPr>
      <w:r>
        <w:rPr>
          <w:rFonts w:hint="eastAsia" w:ascii="宋体" w:hAnsi="宋体"/>
          <w:b/>
          <w:color w:val="000000"/>
          <w:szCs w:val="21"/>
        </w:rPr>
        <w:t>第十一条 争议解决</w:t>
      </w:r>
    </w:p>
    <w:p>
      <w:pPr>
        <w:spacing w:line="360" w:lineRule="auto"/>
        <w:rPr>
          <w:rFonts w:ascii="宋体" w:hAnsi="宋体"/>
          <w:color w:val="000000"/>
          <w:szCs w:val="21"/>
        </w:rPr>
      </w:pPr>
      <w:r>
        <w:rPr>
          <w:rFonts w:hint="eastAsia" w:ascii="宋体" w:hAnsi="宋体"/>
          <w:color w:val="000000"/>
          <w:szCs w:val="21"/>
        </w:rPr>
        <w:t xml:space="preserve">    凡由本合同引起的或与本合同有关的任何争议，双方首先通过友好协商解决。如协商不成，</w:t>
      </w:r>
      <w:r>
        <w:rPr>
          <w:rFonts w:hint="eastAsia" w:ascii="宋体" w:hAnsi="宋体"/>
          <w:snapToGrid w:val="0"/>
          <w:color w:val="000000"/>
          <w:kern w:val="0"/>
          <w:szCs w:val="21"/>
        </w:rPr>
        <w:t>应提交甲方所在地人民法院诉讼解决</w:t>
      </w:r>
      <w:r>
        <w:rPr>
          <w:rFonts w:hint="eastAsia" w:ascii="宋体" w:hAnsi="宋体"/>
          <w:color w:val="000000"/>
          <w:szCs w:val="21"/>
        </w:rPr>
        <w:t>。</w:t>
      </w:r>
    </w:p>
    <w:p>
      <w:pPr>
        <w:spacing w:line="360" w:lineRule="auto"/>
        <w:ind w:left="420" w:hanging="420"/>
        <w:jc w:val="left"/>
        <w:outlineLvl w:val="0"/>
        <w:rPr>
          <w:rFonts w:ascii="宋体" w:hAnsi="宋体"/>
          <w:b/>
          <w:color w:val="000000"/>
          <w:szCs w:val="21"/>
        </w:rPr>
      </w:pPr>
      <w:r>
        <w:rPr>
          <w:rFonts w:hint="eastAsia" w:ascii="宋体" w:hAnsi="宋体"/>
          <w:b/>
          <w:color w:val="000000"/>
          <w:szCs w:val="21"/>
        </w:rPr>
        <w:t>第十二条 不可抗力</w:t>
      </w:r>
    </w:p>
    <w:p>
      <w:pPr>
        <w:spacing w:line="360" w:lineRule="auto"/>
        <w:ind w:left="420" w:hanging="420"/>
        <w:jc w:val="left"/>
        <w:rPr>
          <w:rFonts w:ascii="宋体" w:hAnsi="宋体"/>
          <w:color w:val="000000"/>
          <w:spacing w:val="-2"/>
          <w:szCs w:val="21"/>
        </w:rPr>
      </w:pPr>
      <w:r>
        <w:rPr>
          <w:rFonts w:hint="eastAsia" w:ascii="宋体" w:hAnsi="宋体"/>
          <w:b/>
          <w:color w:val="000000"/>
          <w:szCs w:val="21"/>
        </w:rPr>
        <w:t xml:space="preserve">    </w:t>
      </w:r>
      <w:r>
        <w:rPr>
          <w:rFonts w:hint="eastAsia" w:ascii="宋体" w:hAnsi="宋体"/>
          <w:color w:val="000000"/>
          <w:spacing w:val="-2"/>
          <w:szCs w:val="21"/>
        </w:rPr>
        <w:t>因地震、台风、洪水、海啸、火灾、战争、暴乱、罢工及其他合同双方不能预见、不能</w:t>
      </w:r>
    </w:p>
    <w:p>
      <w:pPr>
        <w:spacing w:line="360" w:lineRule="auto"/>
        <w:ind w:left="420" w:hanging="420"/>
        <w:jc w:val="left"/>
        <w:rPr>
          <w:rFonts w:ascii="宋体" w:hAnsi="宋体"/>
          <w:color w:val="000000"/>
          <w:spacing w:val="-2"/>
          <w:szCs w:val="21"/>
        </w:rPr>
      </w:pPr>
      <w:r>
        <w:rPr>
          <w:rFonts w:hint="eastAsia" w:ascii="宋体" w:hAnsi="宋体"/>
          <w:color w:val="000000"/>
          <w:spacing w:val="-2"/>
          <w:szCs w:val="21"/>
        </w:rPr>
        <w:t>避免并不能克服的客观情况导致本合同不能履行或不能完全履行时，遭遇上述不可抗力的一</w:t>
      </w:r>
    </w:p>
    <w:p>
      <w:pPr>
        <w:spacing w:line="360" w:lineRule="auto"/>
        <w:ind w:left="420" w:hanging="420"/>
        <w:jc w:val="left"/>
        <w:rPr>
          <w:rFonts w:ascii="宋体" w:hAnsi="宋体"/>
          <w:color w:val="000000"/>
          <w:spacing w:val="-2"/>
          <w:szCs w:val="21"/>
        </w:rPr>
      </w:pPr>
      <w:r>
        <w:rPr>
          <w:rFonts w:hint="eastAsia" w:ascii="宋体" w:hAnsi="宋体"/>
          <w:color w:val="000000"/>
          <w:spacing w:val="-2"/>
          <w:szCs w:val="21"/>
        </w:rPr>
        <w:t>方，应立即将相应情况用书面通知对方。根据不可抗力事由对履行本合同影响的程度，由双</w:t>
      </w:r>
    </w:p>
    <w:p>
      <w:pPr>
        <w:spacing w:line="360" w:lineRule="auto"/>
        <w:ind w:left="420" w:hanging="420"/>
        <w:jc w:val="left"/>
        <w:rPr>
          <w:rFonts w:ascii="宋体" w:hAnsi="宋体"/>
          <w:b/>
          <w:color w:val="000000"/>
          <w:szCs w:val="21"/>
        </w:rPr>
      </w:pPr>
      <w:r>
        <w:rPr>
          <w:rFonts w:hint="eastAsia" w:ascii="宋体" w:hAnsi="宋体"/>
          <w:color w:val="000000"/>
          <w:spacing w:val="-2"/>
          <w:szCs w:val="21"/>
        </w:rPr>
        <w:t>方协商解除本合同，或者部分免除本合同的履行义务，或者延期履行本合同。</w:t>
      </w:r>
    </w:p>
    <w:p>
      <w:pPr>
        <w:spacing w:line="360" w:lineRule="auto"/>
        <w:outlineLvl w:val="0"/>
        <w:rPr>
          <w:rFonts w:ascii="宋体" w:hAnsi="宋体"/>
          <w:b/>
          <w:color w:val="000000"/>
          <w:szCs w:val="21"/>
        </w:rPr>
      </w:pPr>
      <w:r>
        <w:rPr>
          <w:rFonts w:hint="eastAsia" w:ascii="宋体" w:hAnsi="宋体"/>
          <w:b/>
          <w:color w:val="000000"/>
          <w:szCs w:val="21"/>
        </w:rPr>
        <w:t>第十三条 税费</w:t>
      </w:r>
    </w:p>
    <w:p>
      <w:pPr>
        <w:spacing w:line="360" w:lineRule="auto"/>
        <w:ind w:firstLine="412" w:firstLineChars="200"/>
        <w:rPr>
          <w:rFonts w:ascii="宋体" w:hAnsi="宋体"/>
          <w:color w:val="000000"/>
          <w:spacing w:val="-2"/>
          <w:szCs w:val="21"/>
        </w:rPr>
      </w:pPr>
      <w:r>
        <w:rPr>
          <w:rFonts w:hint="eastAsia" w:ascii="宋体" w:hAnsi="宋体"/>
          <w:color w:val="000000"/>
          <w:spacing w:val="-2"/>
          <w:szCs w:val="21"/>
        </w:rPr>
        <w:t>在中国境内、外发生的与本合同执行有关的一切税费均由乙方负担。</w:t>
      </w:r>
    </w:p>
    <w:p>
      <w:pPr>
        <w:spacing w:line="360" w:lineRule="auto"/>
        <w:outlineLvl w:val="0"/>
        <w:rPr>
          <w:rFonts w:ascii="宋体" w:hAnsi="宋体"/>
          <w:b/>
          <w:color w:val="000000"/>
          <w:szCs w:val="21"/>
        </w:rPr>
      </w:pPr>
      <w:r>
        <w:rPr>
          <w:rFonts w:hint="eastAsia" w:ascii="宋体" w:hAnsi="宋体"/>
          <w:b/>
          <w:color w:val="000000"/>
          <w:szCs w:val="21"/>
        </w:rPr>
        <w:t>第十四条 合同生效</w:t>
      </w:r>
    </w:p>
    <w:p>
      <w:pPr>
        <w:spacing w:line="440" w:lineRule="exact"/>
        <w:rPr>
          <w:rFonts w:ascii="宋体" w:hAnsi="宋体"/>
          <w:color w:val="000000"/>
          <w:spacing w:val="-2"/>
          <w:szCs w:val="21"/>
        </w:rPr>
      </w:pPr>
      <w:r>
        <w:rPr>
          <w:rFonts w:hint="eastAsia" w:ascii="宋体" w:hAnsi="宋体"/>
          <w:color w:val="000000"/>
          <w:spacing w:val="-2"/>
          <w:szCs w:val="21"/>
        </w:rPr>
        <w:t>1</w:t>
      </w:r>
      <w:r>
        <w:rPr>
          <w:rFonts w:ascii="宋体" w:hAnsi="宋体"/>
          <w:color w:val="000000"/>
          <w:spacing w:val="-2"/>
          <w:szCs w:val="21"/>
        </w:rPr>
        <w:t>4</w:t>
      </w:r>
      <w:r>
        <w:rPr>
          <w:rFonts w:hint="eastAsia" w:ascii="宋体" w:hAnsi="宋体"/>
          <w:color w:val="000000"/>
          <w:spacing w:val="-2"/>
          <w:szCs w:val="21"/>
        </w:rPr>
        <w:t>.1本合同在甲乙双方法人代表或其授权代表签字盖章后生效。</w:t>
      </w:r>
    </w:p>
    <w:p>
      <w:pPr>
        <w:spacing w:line="440" w:lineRule="exact"/>
        <w:rPr>
          <w:rFonts w:ascii="宋体" w:hAnsi="宋体"/>
          <w:color w:val="000000"/>
          <w:spacing w:val="-2"/>
          <w:szCs w:val="21"/>
        </w:rPr>
      </w:pPr>
      <w:r>
        <w:rPr>
          <w:rFonts w:hint="eastAsia" w:ascii="宋体" w:hAnsi="宋体"/>
          <w:color w:val="000000"/>
          <w:spacing w:val="-2"/>
          <w:szCs w:val="21"/>
        </w:rPr>
        <w:t>1</w:t>
      </w:r>
      <w:r>
        <w:rPr>
          <w:rFonts w:ascii="宋体" w:hAnsi="宋体"/>
          <w:color w:val="000000"/>
          <w:spacing w:val="-2"/>
          <w:szCs w:val="21"/>
        </w:rPr>
        <w:t>4</w:t>
      </w:r>
      <w:r>
        <w:rPr>
          <w:rFonts w:hint="eastAsia" w:ascii="宋体" w:hAnsi="宋体"/>
          <w:color w:val="000000"/>
          <w:spacing w:val="-2"/>
          <w:szCs w:val="21"/>
        </w:rPr>
        <w:t>.2本合同正本</w:t>
      </w:r>
      <w:r>
        <w:rPr>
          <w:rFonts w:hint="eastAsia" w:ascii="宋体" w:hAnsi="宋体"/>
          <w:color w:val="000000"/>
          <w:spacing w:val="-2"/>
          <w:szCs w:val="21"/>
          <w:u w:val="single"/>
        </w:rPr>
        <w:t>伍</w:t>
      </w:r>
      <w:r>
        <w:rPr>
          <w:rFonts w:hint="eastAsia" w:ascii="宋体" w:hAnsi="宋体"/>
          <w:color w:val="000000"/>
          <w:spacing w:val="-2"/>
          <w:szCs w:val="21"/>
        </w:rPr>
        <w:t>份，具有同等法律效力，甲方执</w:t>
      </w:r>
      <w:r>
        <w:rPr>
          <w:rFonts w:hint="eastAsia" w:ascii="宋体" w:hAnsi="宋体"/>
          <w:color w:val="000000"/>
          <w:spacing w:val="-2"/>
          <w:szCs w:val="21"/>
          <w:u w:val="single"/>
        </w:rPr>
        <w:t>叁</w:t>
      </w:r>
      <w:r>
        <w:rPr>
          <w:rFonts w:hint="eastAsia" w:ascii="宋体" w:hAnsi="宋体"/>
          <w:color w:val="000000"/>
          <w:spacing w:val="-2"/>
          <w:szCs w:val="21"/>
        </w:rPr>
        <w:t>份，乙方执</w:t>
      </w:r>
      <w:r>
        <w:rPr>
          <w:rFonts w:hint="eastAsia" w:ascii="宋体" w:hAnsi="宋体"/>
          <w:color w:val="000000"/>
          <w:spacing w:val="-2"/>
          <w:szCs w:val="21"/>
          <w:u w:val="single"/>
        </w:rPr>
        <w:t>贰</w:t>
      </w:r>
      <w:r>
        <w:rPr>
          <w:rFonts w:hint="eastAsia" w:ascii="宋体" w:hAnsi="宋体"/>
          <w:color w:val="000000"/>
          <w:spacing w:val="-2"/>
          <w:szCs w:val="21"/>
        </w:rPr>
        <w:t>份。合同自签字之日起即时生效。</w:t>
      </w:r>
    </w:p>
    <w:p>
      <w:pPr>
        <w:tabs>
          <w:tab w:val="left" w:pos="720"/>
        </w:tabs>
        <w:spacing w:line="360" w:lineRule="exact"/>
        <w:ind w:left="420" w:hanging="420" w:hangingChars="200"/>
        <w:contextualSpacing/>
        <w:jc w:val="both"/>
        <w:rPr>
          <w:rFonts w:hint="eastAsia" w:hAnsi="宋体"/>
          <w:szCs w:val="21"/>
        </w:rPr>
      </w:pPr>
    </w:p>
    <w:tbl>
      <w:tblPr>
        <w:tblStyle w:val="4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4"/>
        <w:gridCol w:w="42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jc w:val="center"/>
        </w:trPr>
        <w:tc>
          <w:tcPr>
            <w:tcW w:w="2500" w:type="pct"/>
            <w:tcBorders>
              <w:top w:val="single" w:color="auto" w:sz="4" w:space="0"/>
              <w:left w:val="single" w:color="auto" w:sz="4" w:space="0"/>
              <w:bottom w:val="single" w:color="auto" w:sz="4" w:space="0"/>
              <w:right w:val="single" w:color="auto" w:sz="4" w:space="0"/>
            </w:tcBorders>
            <w:noWrap w:val="0"/>
            <w:vAlign w:val="center"/>
          </w:tcPr>
          <w:p>
            <w:pPr>
              <w:tabs>
                <w:tab w:val="left" w:pos="851"/>
                <w:tab w:val="left" w:pos="993"/>
                <w:tab w:val="left" w:pos="1134"/>
              </w:tabs>
              <w:spacing w:line="240" w:lineRule="auto"/>
              <w:rPr>
                <w:rFonts w:hAnsi="宋体" w:cs="仿宋"/>
                <w:sz w:val="21"/>
                <w:szCs w:val="21"/>
              </w:rPr>
            </w:pPr>
            <w:r>
              <w:rPr>
                <w:rFonts w:hint="eastAsia" w:hAnsi="宋体" w:cs="仿宋"/>
                <w:sz w:val="21"/>
                <w:szCs w:val="21"/>
              </w:rPr>
              <w:t>甲方（</w:t>
            </w:r>
            <w:r>
              <w:rPr>
                <w:rFonts w:hint="eastAsia" w:hAnsi="宋体" w:cs="仿宋"/>
                <w:sz w:val="21"/>
                <w:szCs w:val="21"/>
                <w:lang w:eastAsia="zh-CN"/>
              </w:rPr>
              <w:t>公</w:t>
            </w:r>
            <w:r>
              <w:rPr>
                <w:rFonts w:hint="eastAsia" w:hAnsi="宋体" w:cs="仿宋"/>
                <w:sz w:val="21"/>
                <w:szCs w:val="21"/>
              </w:rPr>
              <w:t xml:space="preserve">章）           </w:t>
            </w:r>
          </w:p>
          <w:p>
            <w:pPr>
              <w:tabs>
                <w:tab w:val="left" w:pos="851"/>
                <w:tab w:val="left" w:pos="993"/>
                <w:tab w:val="left" w:pos="1134"/>
              </w:tabs>
              <w:spacing w:line="240" w:lineRule="auto"/>
              <w:ind w:firstLine="420" w:firstLineChars="200"/>
              <w:rPr>
                <w:rFonts w:hAnsi="宋体" w:cs="仿宋"/>
                <w:sz w:val="21"/>
                <w:szCs w:val="21"/>
              </w:rPr>
            </w:pPr>
          </w:p>
          <w:p>
            <w:pPr>
              <w:tabs>
                <w:tab w:val="left" w:pos="851"/>
                <w:tab w:val="left" w:pos="993"/>
                <w:tab w:val="left" w:pos="1134"/>
              </w:tabs>
              <w:spacing w:line="240" w:lineRule="auto"/>
              <w:rPr>
                <w:rFonts w:hAnsi="宋体" w:cs="仿宋"/>
                <w:sz w:val="21"/>
                <w:szCs w:val="21"/>
              </w:rPr>
            </w:pPr>
            <w:r>
              <w:rPr>
                <w:rFonts w:hint="eastAsia" w:hAnsi="宋体" w:cs="仿宋"/>
                <w:sz w:val="21"/>
                <w:szCs w:val="21"/>
              </w:rPr>
              <w:t>签订日期（必填）：      年   月   日</w:t>
            </w:r>
          </w:p>
        </w:tc>
        <w:tc>
          <w:tcPr>
            <w:tcW w:w="2500" w:type="pct"/>
            <w:tcBorders>
              <w:top w:val="single" w:color="auto" w:sz="4" w:space="0"/>
              <w:left w:val="single" w:color="auto" w:sz="4" w:space="0"/>
              <w:bottom w:val="single" w:color="auto" w:sz="4" w:space="0"/>
              <w:right w:val="single" w:color="auto" w:sz="4" w:space="0"/>
            </w:tcBorders>
            <w:noWrap w:val="0"/>
            <w:vAlign w:val="center"/>
          </w:tcPr>
          <w:p>
            <w:pPr>
              <w:tabs>
                <w:tab w:val="left" w:pos="851"/>
                <w:tab w:val="left" w:pos="993"/>
                <w:tab w:val="left" w:pos="1134"/>
              </w:tabs>
              <w:spacing w:line="240" w:lineRule="auto"/>
              <w:rPr>
                <w:rFonts w:hAnsi="宋体" w:cs="仿宋"/>
                <w:sz w:val="21"/>
                <w:szCs w:val="21"/>
              </w:rPr>
            </w:pPr>
            <w:r>
              <w:rPr>
                <w:rFonts w:hint="eastAsia" w:hAnsi="宋体" w:cs="仿宋"/>
                <w:sz w:val="21"/>
                <w:szCs w:val="21"/>
              </w:rPr>
              <w:t>乙方（</w:t>
            </w:r>
            <w:r>
              <w:rPr>
                <w:rFonts w:hint="eastAsia" w:hAnsi="宋体" w:cs="仿宋"/>
                <w:sz w:val="21"/>
                <w:szCs w:val="21"/>
                <w:lang w:eastAsia="zh-CN"/>
              </w:rPr>
              <w:t>公</w:t>
            </w:r>
            <w:r>
              <w:rPr>
                <w:rFonts w:hint="eastAsia" w:hAnsi="宋体" w:cs="仿宋"/>
                <w:sz w:val="21"/>
                <w:szCs w:val="21"/>
              </w:rPr>
              <w:t xml:space="preserve">章）              </w:t>
            </w:r>
          </w:p>
          <w:p>
            <w:pPr>
              <w:tabs>
                <w:tab w:val="left" w:pos="851"/>
                <w:tab w:val="left" w:pos="993"/>
                <w:tab w:val="left" w:pos="1134"/>
              </w:tabs>
              <w:spacing w:line="240" w:lineRule="auto"/>
              <w:ind w:firstLine="420" w:firstLineChars="200"/>
              <w:rPr>
                <w:rFonts w:hAnsi="宋体" w:cs="仿宋"/>
                <w:sz w:val="21"/>
                <w:szCs w:val="21"/>
              </w:rPr>
            </w:pPr>
          </w:p>
          <w:p>
            <w:pPr>
              <w:tabs>
                <w:tab w:val="left" w:pos="851"/>
                <w:tab w:val="left" w:pos="993"/>
                <w:tab w:val="left" w:pos="1134"/>
              </w:tabs>
              <w:spacing w:line="240" w:lineRule="auto"/>
              <w:rPr>
                <w:rFonts w:hAnsi="宋体" w:cs="仿宋"/>
                <w:sz w:val="21"/>
                <w:szCs w:val="21"/>
              </w:rPr>
            </w:pPr>
            <w:r>
              <w:rPr>
                <w:rFonts w:hint="eastAsia" w:hAnsi="宋体" w:cs="仿宋"/>
                <w:sz w:val="21"/>
                <w:szCs w:val="21"/>
              </w:rPr>
              <w:t>签订日期（必填）：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2500" w:type="pct"/>
            <w:tcBorders>
              <w:top w:val="single" w:color="auto" w:sz="4" w:space="0"/>
              <w:left w:val="single" w:color="auto" w:sz="4" w:space="0"/>
              <w:bottom w:val="single" w:color="auto" w:sz="4" w:space="0"/>
              <w:right w:val="single" w:color="auto" w:sz="4" w:space="0"/>
            </w:tcBorders>
            <w:noWrap w:val="0"/>
            <w:vAlign w:val="center"/>
          </w:tcPr>
          <w:p>
            <w:pPr>
              <w:tabs>
                <w:tab w:val="left" w:pos="851"/>
                <w:tab w:val="left" w:pos="993"/>
                <w:tab w:val="left" w:pos="1134"/>
              </w:tabs>
              <w:spacing w:line="240" w:lineRule="auto"/>
              <w:rPr>
                <w:rFonts w:hAnsi="宋体" w:cs="仿宋"/>
                <w:sz w:val="21"/>
                <w:szCs w:val="21"/>
              </w:rPr>
            </w:pPr>
            <w:r>
              <w:rPr>
                <w:rFonts w:hint="eastAsia" w:hAnsi="宋体" w:cs="仿宋"/>
                <w:sz w:val="21"/>
                <w:szCs w:val="21"/>
              </w:rPr>
              <w:t>单位地址：</w:t>
            </w:r>
          </w:p>
        </w:tc>
        <w:tc>
          <w:tcPr>
            <w:tcW w:w="2500" w:type="pct"/>
            <w:tcBorders>
              <w:top w:val="single" w:color="auto" w:sz="4" w:space="0"/>
              <w:left w:val="single" w:color="auto" w:sz="4" w:space="0"/>
              <w:bottom w:val="single" w:color="auto" w:sz="4" w:space="0"/>
              <w:right w:val="single" w:color="auto" w:sz="4" w:space="0"/>
            </w:tcBorders>
            <w:noWrap w:val="0"/>
            <w:vAlign w:val="center"/>
          </w:tcPr>
          <w:p>
            <w:pPr>
              <w:tabs>
                <w:tab w:val="left" w:pos="851"/>
                <w:tab w:val="left" w:pos="993"/>
                <w:tab w:val="left" w:pos="1134"/>
              </w:tabs>
              <w:spacing w:line="240" w:lineRule="auto"/>
              <w:rPr>
                <w:rFonts w:hAnsi="宋体" w:cs="仿宋"/>
                <w:sz w:val="21"/>
                <w:szCs w:val="21"/>
              </w:rPr>
            </w:pPr>
            <w:r>
              <w:rPr>
                <w:rFonts w:hint="eastAsia" w:hAnsi="宋体" w:cs="仿宋"/>
                <w:sz w:val="21"/>
                <w:szCs w:val="21"/>
              </w:rPr>
              <w:t>单位地址：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8" w:hRule="atLeast"/>
          <w:jc w:val="center"/>
        </w:trPr>
        <w:tc>
          <w:tcPr>
            <w:tcW w:w="2500" w:type="pct"/>
            <w:tcBorders>
              <w:top w:val="single" w:color="auto" w:sz="4" w:space="0"/>
              <w:left w:val="single" w:color="auto" w:sz="4" w:space="0"/>
              <w:bottom w:val="single" w:color="auto" w:sz="4" w:space="0"/>
              <w:right w:val="single" w:color="auto" w:sz="4" w:space="0"/>
            </w:tcBorders>
            <w:noWrap w:val="0"/>
            <w:vAlign w:val="center"/>
          </w:tcPr>
          <w:p>
            <w:pPr>
              <w:tabs>
                <w:tab w:val="left" w:pos="851"/>
                <w:tab w:val="left" w:pos="993"/>
                <w:tab w:val="left" w:pos="1134"/>
              </w:tabs>
              <w:spacing w:line="240" w:lineRule="auto"/>
              <w:rPr>
                <w:rFonts w:hAnsi="宋体" w:cs="仿宋"/>
                <w:sz w:val="21"/>
                <w:szCs w:val="21"/>
              </w:rPr>
            </w:pPr>
            <w:r>
              <w:rPr>
                <w:rFonts w:hint="eastAsia" w:hAnsi="宋体" w:cs="仿宋"/>
                <w:sz w:val="21"/>
                <w:szCs w:val="21"/>
              </w:rPr>
              <w:t>法定代表人（负责人）：</w:t>
            </w:r>
          </w:p>
        </w:tc>
        <w:tc>
          <w:tcPr>
            <w:tcW w:w="2500" w:type="pct"/>
            <w:tcBorders>
              <w:top w:val="single" w:color="auto" w:sz="4" w:space="0"/>
              <w:left w:val="single" w:color="auto" w:sz="4" w:space="0"/>
              <w:bottom w:val="single" w:color="auto" w:sz="4" w:space="0"/>
              <w:right w:val="single" w:color="auto" w:sz="4" w:space="0"/>
            </w:tcBorders>
            <w:noWrap w:val="0"/>
            <w:vAlign w:val="center"/>
          </w:tcPr>
          <w:p>
            <w:pPr>
              <w:tabs>
                <w:tab w:val="left" w:pos="851"/>
                <w:tab w:val="left" w:pos="993"/>
                <w:tab w:val="left" w:pos="1134"/>
              </w:tabs>
              <w:spacing w:line="240" w:lineRule="auto"/>
              <w:rPr>
                <w:rFonts w:hAnsi="宋体" w:cs="仿宋"/>
                <w:sz w:val="21"/>
                <w:szCs w:val="21"/>
              </w:rPr>
            </w:pPr>
            <w:r>
              <w:rPr>
                <w:rFonts w:hint="eastAsia" w:hAnsi="宋体" w:cs="仿宋"/>
                <w:sz w:val="21"/>
                <w:szCs w:val="21"/>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jc w:val="center"/>
        </w:trPr>
        <w:tc>
          <w:tcPr>
            <w:tcW w:w="2500" w:type="pct"/>
            <w:tcBorders>
              <w:top w:val="single" w:color="auto" w:sz="4" w:space="0"/>
              <w:left w:val="single" w:color="auto" w:sz="4" w:space="0"/>
              <w:bottom w:val="single" w:color="auto" w:sz="4" w:space="0"/>
              <w:right w:val="single" w:color="auto" w:sz="4" w:space="0"/>
            </w:tcBorders>
            <w:noWrap w:val="0"/>
            <w:vAlign w:val="center"/>
          </w:tcPr>
          <w:p>
            <w:pPr>
              <w:tabs>
                <w:tab w:val="left" w:pos="851"/>
                <w:tab w:val="left" w:pos="993"/>
                <w:tab w:val="left" w:pos="1134"/>
              </w:tabs>
              <w:spacing w:line="240" w:lineRule="auto"/>
              <w:rPr>
                <w:rFonts w:hAnsi="宋体" w:cs="仿宋"/>
                <w:sz w:val="21"/>
                <w:szCs w:val="21"/>
              </w:rPr>
            </w:pPr>
            <w:r>
              <w:rPr>
                <w:rFonts w:hint="eastAsia" w:hAnsi="宋体" w:cs="仿宋"/>
                <w:sz w:val="21"/>
                <w:szCs w:val="21"/>
              </w:rPr>
              <w:t>或授权代表：</w:t>
            </w:r>
          </w:p>
        </w:tc>
        <w:tc>
          <w:tcPr>
            <w:tcW w:w="2500" w:type="pct"/>
            <w:tcBorders>
              <w:top w:val="single" w:color="auto" w:sz="4" w:space="0"/>
              <w:left w:val="single" w:color="auto" w:sz="4" w:space="0"/>
              <w:bottom w:val="single" w:color="auto" w:sz="4" w:space="0"/>
              <w:right w:val="single" w:color="auto" w:sz="4" w:space="0"/>
            </w:tcBorders>
            <w:noWrap w:val="0"/>
            <w:vAlign w:val="center"/>
          </w:tcPr>
          <w:p>
            <w:pPr>
              <w:tabs>
                <w:tab w:val="left" w:pos="851"/>
                <w:tab w:val="left" w:pos="993"/>
                <w:tab w:val="left" w:pos="1134"/>
              </w:tabs>
              <w:spacing w:line="240" w:lineRule="auto"/>
              <w:rPr>
                <w:rFonts w:hAnsi="宋体" w:cs="仿宋"/>
                <w:sz w:val="21"/>
                <w:szCs w:val="21"/>
              </w:rPr>
            </w:pPr>
            <w:r>
              <w:rPr>
                <w:rFonts w:hint="eastAsia" w:hAnsi="宋体" w:cs="仿宋"/>
                <w:sz w:val="21"/>
                <w:szCs w:val="21"/>
              </w:rPr>
              <w:t>或授权代表：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jc w:val="center"/>
        </w:trPr>
        <w:tc>
          <w:tcPr>
            <w:tcW w:w="2500" w:type="pct"/>
            <w:tcBorders>
              <w:top w:val="single" w:color="auto" w:sz="4" w:space="0"/>
              <w:left w:val="single" w:color="auto" w:sz="4" w:space="0"/>
              <w:bottom w:val="single" w:color="auto" w:sz="4" w:space="0"/>
              <w:right w:val="single" w:color="auto" w:sz="4" w:space="0"/>
            </w:tcBorders>
            <w:noWrap w:val="0"/>
            <w:vAlign w:val="center"/>
          </w:tcPr>
          <w:p>
            <w:pPr>
              <w:tabs>
                <w:tab w:val="left" w:pos="851"/>
                <w:tab w:val="left" w:pos="993"/>
                <w:tab w:val="left" w:pos="1134"/>
              </w:tabs>
              <w:spacing w:line="240" w:lineRule="auto"/>
              <w:rPr>
                <w:rFonts w:hAnsi="宋体" w:cs="仿宋"/>
                <w:sz w:val="21"/>
                <w:szCs w:val="21"/>
              </w:rPr>
            </w:pPr>
            <w:r>
              <w:rPr>
                <w:rFonts w:hint="eastAsia" w:hAnsi="宋体" w:cs="仿宋"/>
                <w:sz w:val="21"/>
                <w:szCs w:val="21"/>
              </w:rPr>
              <w:t>电    话：</w:t>
            </w:r>
          </w:p>
        </w:tc>
        <w:tc>
          <w:tcPr>
            <w:tcW w:w="2500" w:type="pct"/>
            <w:tcBorders>
              <w:top w:val="single" w:color="auto" w:sz="4" w:space="0"/>
              <w:left w:val="single" w:color="auto" w:sz="4" w:space="0"/>
              <w:bottom w:val="single" w:color="auto" w:sz="4" w:space="0"/>
              <w:right w:val="single" w:color="auto" w:sz="4" w:space="0"/>
            </w:tcBorders>
            <w:noWrap w:val="0"/>
            <w:vAlign w:val="center"/>
          </w:tcPr>
          <w:p>
            <w:pPr>
              <w:tabs>
                <w:tab w:val="left" w:pos="851"/>
                <w:tab w:val="left" w:pos="993"/>
                <w:tab w:val="left" w:pos="1134"/>
              </w:tabs>
              <w:spacing w:line="240" w:lineRule="auto"/>
              <w:rPr>
                <w:rFonts w:hAnsi="宋体" w:cs="仿宋"/>
                <w:sz w:val="21"/>
                <w:szCs w:val="21"/>
              </w:rPr>
            </w:pPr>
            <w:r>
              <w:rPr>
                <w:rFonts w:hint="eastAsia" w:hAnsi="宋体" w:cs="仿宋"/>
                <w:sz w:val="21"/>
                <w:szCs w:val="21"/>
              </w:rPr>
              <w:t>电    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jc w:val="center"/>
        </w:trPr>
        <w:tc>
          <w:tcPr>
            <w:tcW w:w="2500" w:type="pct"/>
            <w:tcBorders>
              <w:top w:val="single" w:color="auto" w:sz="4" w:space="0"/>
              <w:left w:val="single" w:color="auto" w:sz="4" w:space="0"/>
              <w:bottom w:val="single" w:color="auto" w:sz="4" w:space="0"/>
              <w:right w:val="single" w:color="auto" w:sz="4" w:space="0"/>
            </w:tcBorders>
            <w:noWrap w:val="0"/>
            <w:vAlign w:val="center"/>
          </w:tcPr>
          <w:p>
            <w:pPr>
              <w:tabs>
                <w:tab w:val="left" w:pos="851"/>
                <w:tab w:val="left" w:pos="993"/>
                <w:tab w:val="left" w:pos="1134"/>
              </w:tabs>
              <w:spacing w:line="240" w:lineRule="auto"/>
              <w:rPr>
                <w:rFonts w:hAnsi="宋体" w:cs="仿宋"/>
                <w:sz w:val="21"/>
                <w:szCs w:val="21"/>
              </w:rPr>
            </w:pPr>
            <w:r>
              <w:rPr>
                <w:rFonts w:hint="eastAsia" w:hAnsi="宋体" w:cs="仿宋"/>
                <w:sz w:val="21"/>
                <w:szCs w:val="21"/>
              </w:rPr>
              <w:t>开 户 名：</w:t>
            </w:r>
          </w:p>
        </w:tc>
        <w:tc>
          <w:tcPr>
            <w:tcW w:w="2500" w:type="pct"/>
            <w:tcBorders>
              <w:top w:val="single" w:color="auto" w:sz="4" w:space="0"/>
              <w:left w:val="single" w:color="auto" w:sz="4" w:space="0"/>
              <w:bottom w:val="single" w:color="auto" w:sz="4" w:space="0"/>
              <w:right w:val="single" w:color="auto" w:sz="4" w:space="0"/>
            </w:tcBorders>
            <w:noWrap w:val="0"/>
            <w:vAlign w:val="center"/>
          </w:tcPr>
          <w:p>
            <w:pPr>
              <w:tabs>
                <w:tab w:val="left" w:pos="851"/>
                <w:tab w:val="left" w:pos="993"/>
                <w:tab w:val="left" w:pos="1134"/>
              </w:tabs>
              <w:spacing w:line="240" w:lineRule="auto"/>
              <w:rPr>
                <w:rFonts w:hAnsi="宋体" w:cs="仿宋"/>
                <w:sz w:val="21"/>
                <w:szCs w:val="21"/>
              </w:rPr>
            </w:pPr>
            <w:r>
              <w:rPr>
                <w:rFonts w:hint="eastAsia" w:hAnsi="宋体" w:cs="仿宋"/>
                <w:sz w:val="21"/>
                <w:szCs w:val="21"/>
              </w:rPr>
              <w:t>开 户 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2500" w:type="pct"/>
            <w:tcBorders>
              <w:top w:val="single" w:color="auto" w:sz="4" w:space="0"/>
              <w:left w:val="single" w:color="auto" w:sz="4" w:space="0"/>
              <w:bottom w:val="single" w:color="auto" w:sz="4" w:space="0"/>
              <w:right w:val="single" w:color="auto" w:sz="4" w:space="0"/>
            </w:tcBorders>
            <w:noWrap w:val="0"/>
            <w:vAlign w:val="center"/>
          </w:tcPr>
          <w:p>
            <w:pPr>
              <w:tabs>
                <w:tab w:val="left" w:pos="851"/>
                <w:tab w:val="left" w:pos="993"/>
                <w:tab w:val="left" w:pos="1134"/>
              </w:tabs>
              <w:spacing w:line="240" w:lineRule="auto"/>
              <w:rPr>
                <w:rFonts w:hAnsi="宋体" w:cs="仿宋"/>
                <w:sz w:val="21"/>
                <w:szCs w:val="21"/>
              </w:rPr>
            </w:pPr>
            <w:r>
              <w:rPr>
                <w:rFonts w:hint="eastAsia" w:hAnsi="宋体" w:cs="仿宋"/>
                <w:sz w:val="21"/>
                <w:szCs w:val="21"/>
              </w:rPr>
              <w:t>开户银行：</w:t>
            </w:r>
          </w:p>
        </w:tc>
        <w:tc>
          <w:tcPr>
            <w:tcW w:w="2500" w:type="pct"/>
            <w:tcBorders>
              <w:top w:val="single" w:color="auto" w:sz="4" w:space="0"/>
              <w:left w:val="single" w:color="auto" w:sz="4" w:space="0"/>
              <w:bottom w:val="single" w:color="auto" w:sz="4" w:space="0"/>
              <w:right w:val="single" w:color="auto" w:sz="4" w:space="0"/>
            </w:tcBorders>
            <w:noWrap w:val="0"/>
            <w:vAlign w:val="center"/>
          </w:tcPr>
          <w:p>
            <w:pPr>
              <w:tabs>
                <w:tab w:val="left" w:pos="851"/>
                <w:tab w:val="left" w:pos="993"/>
                <w:tab w:val="left" w:pos="1134"/>
              </w:tabs>
              <w:spacing w:line="240" w:lineRule="auto"/>
              <w:rPr>
                <w:rFonts w:hAnsi="宋体" w:cs="仿宋"/>
                <w:sz w:val="21"/>
                <w:szCs w:val="21"/>
              </w:rPr>
            </w:pPr>
            <w:r>
              <w:rPr>
                <w:rFonts w:hint="eastAsia" w:hAnsi="宋体" w:cs="仿宋"/>
                <w:sz w:val="21"/>
                <w:szCs w:val="21"/>
              </w:rPr>
              <w:t>开户银行：</w:t>
            </w:r>
          </w:p>
        </w:tc>
      </w:tr>
    </w:tbl>
    <w:p>
      <w:pPr>
        <w:rPr>
          <w:rFonts w:hint="eastAsia" w:ascii="宋体" w:hAnsi="宋体"/>
          <w:b/>
          <w:color w:val="auto"/>
          <w:sz w:val="32"/>
          <w:szCs w:val="32"/>
          <w:highlight w:val="none"/>
        </w:rPr>
      </w:pPr>
      <w:r>
        <w:rPr>
          <w:rFonts w:hint="eastAsia" w:ascii="宋体" w:hAnsi="宋体"/>
          <w:b/>
          <w:color w:val="auto"/>
          <w:sz w:val="32"/>
          <w:szCs w:val="32"/>
          <w:highlight w:val="none"/>
        </w:rPr>
        <w:br w:type="page"/>
      </w:r>
    </w:p>
    <w:p>
      <w:pPr>
        <w:keepNext w:val="0"/>
        <w:keepLines w:val="0"/>
        <w:pageBreakBefore w:val="0"/>
        <w:kinsoku/>
        <w:overflowPunct/>
        <w:topLinePunct w:val="0"/>
        <w:bidi w:val="0"/>
        <w:spacing w:line="360" w:lineRule="auto"/>
        <w:jc w:val="center"/>
        <w:textAlignment w:val="auto"/>
        <w:outlineLvl w:val="0"/>
        <w:rPr>
          <w:rFonts w:ascii="宋体" w:hAnsi="宋体"/>
          <w:b/>
          <w:color w:val="auto"/>
          <w:sz w:val="32"/>
          <w:szCs w:val="32"/>
          <w:highlight w:val="none"/>
        </w:rPr>
      </w:pPr>
      <w:r>
        <w:rPr>
          <w:rFonts w:hint="eastAsia" w:ascii="宋体" w:hAnsi="宋体"/>
          <w:b/>
          <w:color w:val="auto"/>
          <w:sz w:val="32"/>
          <w:szCs w:val="32"/>
          <w:highlight w:val="none"/>
        </w:rPr>
        <w:t>第</w:t>
      </w:r>
      <w:r>
        <w:rPr>
          <w:rFonts w:hint="eastAsia" w:ascii="宋体" w:hAnsi="宋体"/>
          <w:b/>
          <w:color w:val="auto"/>
          <w:sz w:val="32"/>
          <w:szCs w:val="32"/>
          <w:highlight w:val="none"/>
          <w:lang w:val="en-US" w:eastAsia="zh-CN"/>
        </w:rPr>
        <w:t>六</w:t>
      </w:r>
      <w:r>
        <w:rPr>
          <w:rFonts w:hint="eastAsia" w:ascii="宋体" w:hAnsi="宋体"/>
          <w:b/>
          <w:color w:val="auto"/>
          <w:sz w:val="32"/>
          <w:szCs w:val="32"/>
          <w:highlight w:val="none"/>
        </w:rPr>
        <w:t xml:space="preserve">章  </w:t>
      </w:r>
      <w:r>
        <w:rPr>
          <w:rFonts w:hint="eastAsia" w:ascii="宋体" w:hAnsi="宋体"/>
          <w:b/>
          <w:color w:val="auto"/>
          <w:sz w:val="32"/>
          <w:szCs w:val="32"/>
          <w:highlight w:val="none"/>
          <w:lang w:eastAsia="zh-CN"/>
        </w:rPr>
        <w:t>磋商响应文件</w:t>
      </w:r>
      <w:r>
        <w:rPr>
          <w:rFonts w:hint="eastAsia" w:ascii="宋体" w:hAnsi="宋体"/>
          <w:b/>
          <w:color w:val="auto"/>
          <w:sz w:val="32"/>
          <w:szCs w:val="32"/>
          <w:highlight w:val="none"/>
        </w:rPr>
        <w:t>格式</w:t>
      </w:r>
      <w:bookmarkEnd w:id="20"/>
    </w:p>
    <w:p>
      <w:pPr>
        <w:keepNext w:val="0"/>
        <w:keepLines w:val="0"/>
        <w:pageBreakBefore w:val="0"/>
        <w:kinsoku/>
        <w:overflowPunct/>
        <w:topLinePunct w:val="0"/>
        <w:bidi w:val="0"/>
        <w:spacing w:line="360" w:lineRule="auto"/>
        <w:jc w:val="center"/>
        <w:textAlignment w:val="auto"/>
        <w:rPr>
          <w:rFonts w:ascii="宋体" w:hAnsi="宋体"/>
          <w:color w:val="auto"/>
          <w:sz w:val="21"/>
          <w:szCs w:val="21"/>
          <w:highlight w:val="none"/>
        </w:rPr>
      </w:pPr>
    </w:p>
    <w:p>
      <w:pPr>
        <w:pageBreakBefore w:val="0"/>
        <w:kinsoku/>
        <w:topLinePunct w:val="0"/>
        <w:bidi w:val="0"/>
        <w:snapToGrid w:val="0"/>
        <w:spacing w:before="120" w:beforeLines="50" w:after="50" w:line="360" w:lineRule="auto"/>
        <w:rPr>
          <w:rFonts w:hint="eastAsia" w:ascii="宋体" w:hAnsi="宋体" w:cs="宋体"/>
          <w:bCs/>
          <w:color w:val="auto"/>
          <w:sz w:val="28"/>
          <w:szCs w:val="28"/>
          <w:highlight w:val="none"/>
        </w:rPr>
      </w:pPr>
      <w:r>
        <w:rPr>
          <w:rFonts w:hint="eastAsia" w:hAnsi="宋体"/>
          <w:b/>
          <w:color w:val="auto"/>
          <w:sz w:val="28"/>
          <w:szCs w:val="28"/>
          <w:highlight w:val="none"/>
          <w:lang w:val="en-US" w:eastAsia="zh-CN"/>
        </w:rPr>
        <w:t>一、</w:t>
      </w:r>
      <w:r>
        <w:rPr>
          <w:rFonts w:hint="eastAsia" w:hAnsi="宋体"/>
          <w:b/>
          <w:color w:val="auto"/>
          <w:sz w:val="28"/>
          <w:szCs w:val="28"/>
          <w:highlight w:val="none"/>
        </w:rPr>
        <w:t xml:space="preserve"> 外</w:t>
      </w:r>
      <w:r>
        <w:rPr>
          <w:rFonts w:hint="eastAsia" w:hAnsi="宋体"/>
          <w:b/>
          <w:color w:val="auto"/>
          <w:sz w:val="28"/>
          <w:szCs w:val="28"/>
          <w:highlight w:val="none"/>
          <w:lang w:val="en-US" w:eastAsia="zh-CN"/>
        </w:rPr>
        <w:t>层</w:t>
      </w:r>
      <w:r>
        <w:rPr>
          <w:rFonts w:hint="eastAsia" w:hAnsi="宋体"/>
          <w:b/>
          <w:color w:val="auto"/>
          <w:sz w:val="28"/>
          <w:szCs w:val="28"/>
          <w:highlight w:val="none"/>
        </w:rPr>
        <w:t>包装封面格式：</w:t>
      </w:r>
    </w:p>
    <w:p>
      <w:pPr>
        <w:pageBreakBefore w:val="0"/>
        <w:kinsoku/>
        <w:topLinePunct w:val="0"/>
        <w:bidi w:val="0"/>
        <w:snapToGrid w:val="0"/>
        <w:spacing w:before="120" w:beforeLines="50" w:after="50" w:line="360" w:lineRule="auto"/>
        <w:jc w:val="center"/>
        <w:rPr>
          <w:rFonts w:hint="eastAsia" w:hAnsi="宋体"/>
          <w:bCs/>
          <w:color w:val="auto"/>
          <w:sz w:val="28"/>
          <w:szCs w:val="28"/>
          <w:highlight w:val="none"/>
        </w:rPr>
      </w:pPr>
    </w:p>
    <w:p>
      <w:pPr>
        <w:pageBreakBefore w:val="0"/>
        <w:kinsoku/>
        <w:topLinePunct w:val="0"/>
        <w:bidi w:val="0"/>
        <w:snapToGrid w:val="0"/>
        <w:spacing w:before="120" w:beforeLines="50" w:after="50" w:line="360" w:lineRule="auto"/>
        <w:jc w:val="center"/>
        <w:rPr>
          <w:rFonts w:hint="eastAsia" w:hAnsi="宋体"/>
          <w:b/>
          <w:bCs/>
          <w:color w:val="auto"/>
          <w:sz w:val="72"/>
          <w:szCs w:val="72"/>
          <w:highlight w:val="none"/>
          <w:lang w:val="en-US" w:eastAsia="zh-CN"/>
        </w:rPr>
      </w:pPr>
    </w:p>
    <w:p>
      <w:pPr>
        <w:pageBreakBefore w:val="0"/>
        <w:kinsoku/>
        <w:topLinePunct w:val="0"/>
        <w:bidi w:val="0"/>
        <w:snapToGrid w:val="0"/>
        <w:spacing w:before="120" w:beforeLines="50" w:after="50" w:line="360" w:lineRule="auto"/>
        <w:jc w:val="center"/>
        <w:rPr>
          <w:rFonts w:hint="eastAsia" w:hAnsi="宋体"/>
          <w:b/>
          <w:bCs/>
          <w:color w:val="auto"/>
          <w:sz w:val="72"/>
          <w:szCs w:val="72"/>
          <w:highlight w:val="none"/>
        </w:rPr>
      </w:pPr>
      <w:r>
        <w:rPr>
          <w:rFonts w:hint="eastAsia" w:hAnsi="宋体"/>
          <w:b/>
          <w:bCs/>
          <w:color w:val="auto"/>
          <w:sz w:val="72"/>
          <w:szCs w:val="72"/>
          <w:highlight w:val="none"/>
          <w:lang w:val="en-US" w:eastAsia="zh-CN"/>
        </w:rPr>
        <w:t>响 应</w:t>
      </w:r>
      <w:r>
        <w:rPr>
          <w:rFonts w:hint="eastAsia" w:hAnsi="宋体"/>
          <w:b/>
          <w:bCs/>
          <w:color w:val="auto"/>
          <w:sz w:val="72"/>
          <w:szCs w:val="72"/>
          <w:highlight w:val="none"/>
        </w:rPr>
        <w:t xml:space="preserve"> 文 件</w:t>
      </w:r>
    </w:p>
    <w:p>
      <w:pPr>
        <w:pageBreakBefore w:val="0"/>
        <w:kinsoku/>
        <w:topLinePunct w:val="0"/>
        <w:bidi w:val="0"/>
        <w:snapToGrid w:val="0"/>
        <w:spacing w:before="120" w:beforeLines="50" w:after="50" w:line="360" w:lineRule="auto"/>
        <w:rPr>
          <w:rFonts w:hint="eastAsia" w:hAnsi="宋体"/>
          <w:bCs/>
          <w:color w:val="auto"/>
          <w:sz w:val="28"/>
          <w:szCs w:val="28"/>
          <w:highlight w:val="none"/>
        </w:rPr>
      </w:pPr>
    </w:p>
    <w:p>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r>
        <w:rPr>
          <w:rFonts w:hint="eastAsia" w:hAnsi="宋体"/>
          <w:bCs/>
          <w:color w:val="auto"/>
          <w:sz w:val="28"/>
          <w:szCs w:val="28"/>
          <w:highlight w:val="none"/>
        </w:rPr>
        <w:t xml:space="preserve">项目名称： </w:t>
      </w:r>
    </w:p>
    <w:p>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r>
        <w:rPr>
          <w:rFonts w:hint="eastAsia" w:hAnsi="宋体"/>
          <w:bCs/>
          <w:color w:val="auto"/>
          <w:sz w:val="28"/>
          <w:szCs w:val="28"/>
          <w:highlight w:val="none"/>
        </w:rPr>
        <w:t xml:space="preserve">项目编号： </w:t>
      </w:r>
    </w:p>
    <w:p>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r>
        <w:rPr>
          <w:rFonts w:hint="eastAsia" w:hAnsi="宋体"/>
          <w:bCs/>
          <w:color w:val="auto"/>
          <w:sz w:val="28"/>
          <w:szCs w:val="28"/>
          <w:highlight w:val="none"/>
        </w:rPr>
        <w:t>供应商名称（盖章）：</w:t>
      </w:r>
    </w:p>
    <w:p>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r>
        <w:rPr>
          <w:rFonts w:hint="eastAsia" w:hAnsi="宋体"/>
          <w:bCs/>
          <w:color w:val="auto"/>
          <w:sz w:val="28"/>
          <w:szCs w:val="28"/>
          <w:highlight w:val="none"/>
        </w:rPr>
        <w:t>供应商地址：</w:t>
      </w:r>
    </w:p>
    <w:p>
      <w:pPr>
        <w:pageBreakBefore w:val="0"/>
        <w:kinsoku/>
        <w:topLinePunct w:val="0"/>
        <w:bidi w:val="0"/>
        <w:snapToGrid w:val="0"/>
        <w:spacing w:before="120" w:beforeLines="50" w:after="50" w:line="360" w:lineRule="auto"/>
        <w:ind w:firstLine="1100" w:firstLineChars="393"/>
        <w:rPr>
          <w:rFonts w:hint="default" w:hAnsi="宋体"/>
          <w:bCs/>
          <w:color w:val="auto"/>
          <w:sz w:val="28"/>
          <w:szCs w:val="28"/>
          <w:highlight w:val="none"/>
          <w:lang w:val="en-US" w:eastAsia="zh-CN"/>
        </w:rPr>
      </w:pPr>
      <w:r>
        <w:rPr>
          <w:rFonts w:hint="eastAsia" w:hAnsi="宋体"/>
          <w:bCs/>
          <w:color w:val="auto"/>
          <w:sz w:val="28"/>
          <w:szCs w:val="28"/>
          <w:highlight w:val="none"/>
          <w:lang w:val="en-US" w:eastAsia="zh-CN"/>
        </w:rPr>
        <w:t>联系人及电话：</w:t>
      </w:r>
    </w:p>
    <w:p>
      <w:pPr>
        <w:pageBreakBefore w:val="0"/>
        <w:kinsoku/>
        <w:topLinePunct w:val="0"/>
        <w:bidi w:val="0"/>
        <w:snapToGrid w:val="0"/>
        <w:spacing w:before="120" w:beforeLines="50" w:after="50" w:line="360" w:lineRule="auto"/>
        <w:rPr>
          <w:rFonts w:hint="eastAsia" w:hAnsi="宋体"/>
          <w:bCs/>
          <w:color w:val="auto"/>
          <w:sz w:val="28"/>
          <w:szCs w:val="28"/>
          <w:highlight w:val="none"/>
        </w:rPr>
      </w:pPr>
    </w:p>
    <w:p>
      <w:pPr>
        <w:numPr>
          <w:ilvl w:val="0"/>
          <w:numId w:val="0"/>
        </w:numPr>
        <w:jc w:val="center"/>
        <w:rPr>
          <w:rFonts w:hint="eastAsia" w:hAnsi="宋体"/>
          <w:bCs/>
          <w:color w:val="auto"/>
          <w:sz w:val="28"/>
          <w:szCs w:val="28"/>
          <w:highlight w:val="none"/>
        </w:rPr>
      </w:pPr>
      <w:r>
        <w:rPr>
          <w:rFonts w:hint="eastAsia" w:hAnsi="宋体"/>
          <w:bCs/>
          <w:color w:val="auto"/>
          <w:sz w:val="28"/>
          <w:szCs w:val="28"/>
          <w:highlight w:val="none"/>
        </w:rPr>
        <w:t>在×年×月×日×时×分前不得启封（开标时才能启封）</w:t>
      </w:r>
    </w:p>
    <w:p>
      <w:pPr>
        <w:rPr>
          <w:rFonts w:hint="eastAsia" w:hAnsi="宋体"/>
          <w:bCs/>
          <w:color w:val="auto"/>
          <w:sz w:val="28"/>
          <w:szCs w:val="28"/>
          <w:highlight w:val="none"/>
        </w:rPr>
      </w:pPr>
      <w:r>
        <w:rPr>
          <w:rFonts w:hint="eastAsia" w:hAnsi="宋体"/>
          <w:bCs/>
          <w:color w:val="auto"/>
          <w:sz w:val="28"/>
          <w:szCs w:val="28"/>
          <w:highlight w:val="none"/>
        </w:rPr>
        <w:br w:type="page"/>
      </w:r>
    </w:p>
    <w:p>
      <w:pPr>
        <w:pageBreakBefore w:val="0"/>
        <w:kinsoku/>
        <w:topLinePunct w:val="0"/>
        <w:bidi w:val="0"/>
        <w:snapToGrid w:val="0"/>
        <w:spacing w:before="120" w:beforeLines="50" w:after="50" w:line="360" w:lineRule="auto"/>
        <w:jc w:val="left"/>
        <w:rPr>
          <w:rFonts w:hint="eastAsia" w:hAnsi="宋体"/>
          <w:b/>
          <w:color w:val="auto"/>
          <w:sz w:val="28"/>
          <w:szCs w:val="28"/>
          <w:highlight w:val="none"/>
        </w:rPr>
      </w:pPr>
      <w:bookmarkStart w:id="22" w:name="_Toc301424941"/>
      <w:bookmarkStart w:id="23" w:name="_Toc326217567"/>
      <w:r>
        <w:rPr>
          <w:rFonts w:hint="eastAsia" w:hAnsi="宋体"/>
          <w:b/>
          <w:color w:val="auto"/>
          <w:sz w:val="28"/>
          <w:szCs w:val="28"/>
          <w:highlight w:val="none"/>
          <w:lang w:val="en-US" w:eastAsia="zh-CN"/>
        </w:rPr>
        <w:t>二、</w:t>
      </w:r>
      <w:r>
        <w:rPr>
          <w:rFonts w:hint="eastAsia" w:hAnsi="宋体"/>
          <w:b/>
          <w:color w:val="auto"/>
          <w:sz w:val="28"/>
          <w:szCs w:val="28"/>
          <w:highlight w:val="none"/>
        </w:rPr>
        <w:t xml:space="preserve"> </w:t>
      </w:r>
      <w:r>
        <w:rPr>
          <w:rFonts w:hint="eastAsia" w:hAnsi="宋体"/>
          <w:b w:val="0"/>
          <w:bCs/>
          <w:color w:val="auto"/>
          <w:sz w:val="28"/>
          <w:szCs w:val="28"/>
          <w:highlight w:val="none"/>
        </w:rPr>
        <w:t>响应文件</w:t>
      </w:r>
      <w:r>
        <w:rPr>
          <w:rFonts w:hint="eastAsia" w:hAnsi="宋体"/>
          <w:b/>
          <w:color w:val="auto"/>
          <w:sz w:val="28"/>
          <w:szCs w:val="28"/>
          <w:highlight w:val="none"/>
        </w:rPr>
        <w:t>封面格式：</w:t>
      </w:r>
      <w:bookmarkEnd w:id="22"/>
      <w:bookmarkEnd w:id="23"/>
    </w:p>
    <w:p>
      <w:pPr>
        <w:pageBreakBefore w:val="0"/>
        <w:kinsoku/>
        <w:topLinePunct w:val="0"/>
        <w:bidi w:val="0"/>
        <w:snapToGrid w:val="0"/>
        <w:spacing w:before="120" w:beforeLines="50" w:after="50" w:line="360" w:lineRule="auto"/>
        <w:jc w:val="right"/>
        <w:rPr>
          <w:rFonts w:hint="eastAsia" w:hAnsi="宋体"/>
          <w:bCs/>
          <w:color w:val="auto"/>
          <w:sz w:val="28"/>
          <w:szCs w:val="28"/>
          <w:highlight w:val="none"/>
        </w:rPr>
      </w:pPr>
      <w:r>
        <w:rPr>
          <w:rFonts w:hint="eastAsia" w:hAnsi="宋体"/>
          <w:bCs/>
          <w:color w:val="auto"/>
          <w:sz w:val="28"/>
          <w:szCs w:val="28"/>
          <w:highlight w:val="none"/>
        </w:rPr>
        <w:t>正本/副本</w:t>
      </w:r>
    </w:p>
    <w:p>
      <w:pPr>
        <w:pageBreakBefore w:val="0"/>
        <w:kinsoku/>
        <w:topLinePunct w:val="0"/>
        <w:bidi w:val="0"/>
        <w:snapToGrid w:val="0"/>
        <w:spacing w:before="120" w:beforeLines="50" w:after="50" w:line="360" w:lineRule="auto"/>
        <w:rPr>
          <w:rFonts w:hint="eastAsia" w:hAnsi="宋体"/>
          <w:color w:val="auto"/>
          <w:sz w:val="28"/>
          <w:szCs w:val="28"/>
          <w:highlight w:val="none"/>
        </w:rPr>
      </w:pPr>
    </w:p>
    <w:p>
      <w:pPr>
        <w:pageBreakBefore w:val="0"/>
        <w:kinsoku/>
        <w:topLinePunct w:val="0"/>
        <w:bidi w:val="0"/>
        <w:snapToGrid w:val="0"/>
        <w:spacing w:before="120" w:beforeLines="50" w:after="50" w:line="360" w:lineRule="auto"/>
        <w:jc w:val="both"/>
        <w:rPr>
          <w:rFonts w:hint="eastAsia" w:hAnsi="宋体"/>
          <w:bCs/>
          <w:color w:val="auto"/>
          <w:sz w:val="28"/>
          <w:szCs w:val="28"/>
          <w:highlight w:val="none"/>
        </w:rPr>
      </w:pPr>
    </w:p>
    <w:p>
      <w:pPr>
        <w:pageBreakBefore w:val="0"/>
        <w:kinsoku/>
        <w:topLinePunct w:val="0"/>
        <w:bidi w:val="0"/>
        <w:snapToGrid w:val="0"/>
        <w:spacing w:before="120" w:beforeLines="50" w:after="50" w:line="360" w:lineRule="auto"/>
        <w:jc w:val="center"/>
        <w:rPr>
          <w:rFonts w:hint="eastAsia" w:hAnsi="宋体"/>
          <w:bCs/>
          <w:color w:val="auto"/>
          <w:sz w:val="72"/>
          <w:szCs w:val="72"/>
          <w:highlight w:val="none"/>
        </w:rPr>
      </w:pPr>
      <w:r>
        <w:rPr>
          <w:rFonts w:hint="eastAsia" w:hAnsi="宋体"/>
          <w:b/>
          <w:bCs/>
          <w:color w:val="auto"/>
          <w:sz w:val="72"/>
          <w:szCs w:val="72"/>
          <w:highlight w:val="none"/>
          <w:lang w:val="en-US" w:eastAsia="zh-CN"/>
        </w:rPr>
        <w:t>响 应</w:t>
      </w:r>
      <w:r>
        <w:rPr>
          <w:rFonts w:hint="eastAsia" w:hAnsi="宋体"/>
          <w:b/>
          <w:bCs/>
          <w:color w:val="auto"/>
          <w:sz w:val="72"/>
          <w:szCs w:val="72"/>
          <w:highlight w:val="none"/>
        </w:rPr>
        <w:t xml:space="preserve"> 文 件</w:t>
      </w:r>
    </w:p>
    <w:p>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p>
    <w:p>
      <w:pPr>
        <w:pageBreakBefore w:val="0"/>
        <w:kinsoku/>
        <w:topLinePunct w:val="0"/>
        <w:bidi w:val="0"/>
        <w:snapToGrid w:val="0"/>
        <w:spacing w:before="120" w:beforeLines="50" w:after="50" w:line="360" w:lineRule="auto"/>
        <w:rPr>
          <w:rFonts w:hint="eastAsia" w:hAnsi="宋体"/>
          <w:bCs/>
          <w:color w:val="auto"/>
          <w:sz w:val="28"/>
          <w:szCs w:val="28"/>
          <w:highlight w:val="none"/>
        </w:rPr>
      </w:pPr>
    </w:p>
    <w:p>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p>
    <w:p>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rPr>
        <w:t>项目名称：</w:t>
      </w:r>
      <w:r>
        <w:rPr>
          <w:rFonts w:hint="eastAsia" w:hAnsi="宋体"/>
          <w:bCs/>
          <w:color w:val="auto"/>
          <w:sz w:val="28"/>
          <w:szCs w:val="28"/>
          <w:highlight w:val="none"/>
          <w:u w:val="single"/>
        </w:rPr>
        <w:t xml:space="preserve">                                        </w:t>
      </w:r>
      <w:r>
        <w:rPr>
          <w:rFonts w:hint="eastAsia" w:hAnsi="宋体"/>
          <w:bCs/>
          <w:color w:val="auto"/>
          <w:sz w:val="28"/>
          <w:szCs w:val="28"/>
          <w:highlight w:val="none"/>
        </w:rPr>
        <w:t xml:space="preserve"> </w:t>
      </w:r>
    </w:p>
    <w:p>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rPr>
        <w:t>项目编号：</w:t>
      </w:r>
      <w:r>
        <w:rPr>
          <w:rFonts w:hint="eastAsia" w:hAnsi="宋体"/>
          <w:bCs/>
          <w:color w:val="auto"/>
          <w:sz w:val="28"/>
          <w:szCs w:val="28"/>
          <w:highlight w:val="none"/>
          <w:u w:val="single"/>
        </w:rPr>
        <w:t xml:space="preserve">                                        </w:t>
      </w:r>
      <w:r>
        <w:rPr>
          <w:rFonts w:hint="eastAsia" w:hAnsi="宋体"/>
          <w:bCs/>
          <w:color w:val="auto"/>
          <w:sz w:val="28"/>
          <w:szCs w:val="28"/>
          <w:highlight w:val="none"/>
        </w:rPr>
        <w:t xml:space="preserve">      </w:t>
      </w:r>
    </w:p>
    <w:p>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rPr>
        <w:t>供应商名称（盖章）：</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r>
        <w:rPr>
          <w:rFonts w:hint="eastAsia" w:hAnsi="宋体"/>
          <w:bCs/>
          <w:color w:val="auto"/>
          <w:sz w:val="28"/>
          <w:szCs w:val="28"/>
          <w:highlight w:val="none"/>
          <w:u w:val="single"/>
        </w:rPr>
        <w:t xml:space="preserve">                  </w:t>
      </w:r>
    </w:p>
    <w:p>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lang w:val="en-US" w:eastAsia="zh-CN"/>
        </w:rPr>
        <w:t>供应商地址</w:t>
      </w:r>
      <w:r>
        <w:rPr>
          <w:rFonts w:hint="eastAsia" w:hAnsi="宋体"/>
          <w:bCs/>
          <w:color w:val="auto"/>
          <w:sz w:val="28"/>
          <w:szCs w:val="28"/>
          <w:highlight w:val="none"/>
        </w:rPr>
        <w:t>：</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r>
        <w:rPr>
          <w:rFonts w:hint="eastAsia" w:hAnsi="宋体"/>
          <w:bCs/>
          <w:color w:val="auto"/>
          <w:sz w:val="28"/>
          <w:szCs w:val="28"/>
          <w:highlight w:val="none"/>
          <w:u w:val="single"/>
        </w:rPr>
        <w:t xml:space="preserve">         </w:t>
      </w:r>
    </w:p>
    <w:p>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rPr>
        <w:t xml:space="preserve">日期： </w:t>
      </w:r>
      <w:r>
        <w:rPr>
          <w:rFonts w:hint="eastAsia" w:hAnsi="宋体"/>
          <w:bCs/>
          <w:color w:val="auto"/>
          <w:sz w:val="28"/>
          <w:szCs w:val="28"/>
          <w:highlight w:val="none"/>
          <w:u w:val="single"/>
        </w:rPr>
        <w:t xml:space="preserve">       </w:t>
      </w:r>
      <w:r>
        <w:rPr>
          <w:rFonts w:hint="eastAsia" w:hAnsi="宋体"/>
          <w:bCs/>
          <w:color w:val="auto"/>
          <w:sz w:val="28"/>
          <w:szCs w:val="28"/>
          <w:highlight w:val="none"/>
        </w:rPr>
        <w:t>年</w:t>
      </w:r>
      <w:r>
        <w:rPr>
          <w:rFonts w:hint="eastAsia" w:hAnsi="宋体"/>
          <w:bCs/>
          <w:color w:val="auto"/>
          <w:sz w:val="28"/>
          <w:szCs w:val="28"/>
          <w:highlight w:val="none"/>
          <w:u w:val="single"/>
        </w:rPr>
        <w:t xml:space="preserve">       </w:t>
      </w:r>
      <w:r>
        <w:rPr>
          <w:rFonts w:hint="eastAsia" w:hAnsi="宋体"/>
          <w:bCs/>
          <w:color w:val="auto"/>
          <w:sz w:val="28"/>
          <w:szCs w:val="28"/>
          <w:highlight w:val="none"/>
        </w:rPr>
        <w:t>月</w:t>
      </w:r>
      <w:r>
        <w:rPr>
          <w:rFonts w:hint="eastAsia" w:hAnsi="宋体"/>
          <w:bCs/>
          <w:color w:val="auto"/>
          <w:sz w:val="28"/>
          <w:szCs w:val="28"/>
          <w:highlight w:val="none"/>
          <w:u w:val="single"/>
        </w:rPr>
        <w:t xml:space="preserve">       </w:t>
      </w:r>
      <w:r>
        <w:rPr>
          <w:rFonts w:hint="eastAsia" w:hAnsi="宋体"/>
          <w:bCs/>
          <w:color w:val="auto"/>
          <w:sz w:val="28"/>
          <w:szCs w:val="28"/>
          <w:highlight w:val="none"/>
        </w:rPr>
        <w:t>日</w:t>
      </w:r>
    </w:p>
    <w:p>
      <w:pPr>
        <w:pStyle w:val="26"/>
        <w:pageBreakBefore w:val="0"/>
        <w:kinsoku/>
        <w:topLinePunct w:val="0"/>
        <w:bidi w:val="0"/>
        <w:spacing w:line="360" w:lineRule="auto"/>
        <w:jc w:val="center"/>
        <w:rPr>
          <w:rFonts w:hint="eastAsia" w:hAnsi="宋体"/>
          <w:color w:val="auto"/>
          <w:sz w:val="28"/>
          <w:szCs w:val="28"/>
          <w:highlight w:val="none"/>
        </w:rPr>
      </w:pPr>
    </w:p>
    <w:p>
      <w:pPr>
        <w:numPr>
          <w:ilvl w:val="0"/>
          <w:numId w:val="0"/>
        </w:numPr>
        <w:jc w:val="center"/>
        <w:rPr>
          <w:rFonts w:hint="eastAsia" w:ascii="宋体" w:hAnsi="宋体"/>
          <w:color w:val="auto"/>
          <w:sz w:val="21"/>
          <w:szCs w:val="21"/>
          <w:highlight w:val="none"/>
        </w:rPr>
      </w:pPr>
    </w:p>
    <w:p>
      <w:pPr>
        <w:rPr>
          <w:rFonts w:hint="default" w:ascii="Times New Roman" w:hAnsi="宋体" w:eastAsia="宋体" w:cs="Times New Roman"/>
          <w:b/>
          <w:color w:val="auto"/>
          <w:sz w:val="28"/>
          <w:szCs w:val="28"/>
          <w:highlight w:val="none"/>
          <w:lang w:val="en-US" w:eastAsia="zh-CN"/>
        </w:rPr>
      </w:pPr>
      <w:r>
        <w:rPr>
          <w:rFonts w:ascii="宋体" w:hAnsi="宋体"/>
          <w:color w:val="auto"/>
          <w:sz w:val="21"/>
          <w:szCs w:val="21"/>
          <w:highlight w:val="none"/>
        </w:rPr>
        <w:br w:type="page"/>
      </w:r>
    </w:p>
    <w:p>
      <w:pPr>
        <w:keepNext w:val="0"/>
        <w:keepLines w:val="0"/>
        <w:pageBreakBefore w:val="0"/>
        <w:kinsoku/>
        <w:overflowPunct/>
        <w:topLinePunct w:val="0"/>
        <w:bidi w:val="0"/>
        <w:spacing w:line="360" w:lineRule="auto"/>
        <w:ind w:firstLine="562" w:firstLineChars="200"/>
        <w:jc w:val="both"/>
        <w:textAlignment w:val="auto"/>
        <w:rPr>
          <w:rFonts w:ascii="宋体" w:hAnsi="宋体"/>
          <w:b/>
          <w:color w:val="auto"/>
          <w:sz w:val="21"/>
          <w:szCs w:val="21"/>
          <w:highlight w:val="none"/>
        </w:rPr>
      </w:pPr>
      <w:r>
        <w:rPr>
          <w:rFonts w:hint="eastAsia" w:ascii="Times New Roman" w:hAnsi="宋体" w:eastAsia="宋体" w:cs="Times New Roman"/>
          <w:b/>
          <w:color w:val="auto"/>
          <w:sz w:val="28"/>
          <w:szCs w:val="28"/>
          <w:highlight w:val="none"/>
          <w:lang w:val="en-US" w:eastAsia="zh-CN"/>
        </w:rPr>
        <w:t>三、</w:t>
      </w:r>
      <w:r>
        <w:rPr>
          <w:rFonts w:hint="eastAsia" w:ascii="Times New Roman" w:hAnsi="宋体" w:eastAsia="宋体" w:cs="Times New Roman"/>
          <w:b/>
          <w:color w:val="auto"/>
          <w:sz w:val="28"/>
          <w:szCs w:val="28"/>
          <w:highlight w:val="none"/>
        </w:rPr>
        <w:t>目录</w:t>
      </w:r>
    </w:p>
    <w:p>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一</w:t>
      </w:r>
      <w:r>
        <w:rPr>
          <w:rFonts w:hint="eastAsia" w:ascii="宋体" w:hAnsi="宋体"/>
          <w:color w:val="auto"/>
          <w:sz w:val="21"/>
          <w:szCs w:val="21"/>
          <w:highlight w:val="none"/>
          <w:lang w:eastAsia="zh-CN"/>
        </w:rPr>
        <w:t>）</w:t>
      </w:r>
      <w:r>
        <w:rPr>
          <w:rFonts w:hint="eastAsia" w:ascii="宋体" w:hAnsi="宋体"/>
          <w:color w:val="auto"/>
          <w:sz w:val="21"/>
          <w:szCs w:val="21"/>
          <w:highlight w:val="none"/>
        </w:rPr>
        <w:t>价格文件</w:t>
      </w:r>
    </w:p>
    <w:p>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磋商</w:t>
      </w:r>
      <w:r>
        <w:rPr>
          <w:rFonts w:hint="eastAsia" w:ascii="宋体" w:hAnsi="宋体"/>
          <w:color w:val="auto"/>
          <w:sz w:val="21"/>
          <w:szCs w:val="21"/>
          <w:highlight w:val="none"/>
        </w:rPr>
        <w:t>报价表</w:t>
      </w:r>
      <w:r>
        <w:rPr>
          <w:rFonts w:hint="eastAsia" w:ascii="宋体" w:hAnsi="宋体"/>
          <w:b/>
          <w:color w:val="auto"/>
          <w:sz w:val="21"/>
          <w:szCs w:val="21"/>
          <w:highlight w:val="none"/>
        </w:rPr>
        <w:t>（必须提供）</w:t>
      </w:r>
      <w:r>
        <w:rPr>
          <w:rFonts w:hint="eastAsia" w:ascii="宋体" w:hAnsi="宋体"/>
          <w:color w:val="auto"/>
          <w:sz w:val="21"/>
          <w:szCs w:val="21"/>
          <w:highlight w:val="none"/>
        </w:rPr>
        <w:t>…………………………………………………………………</w:t>
      </w:r>
    </w:p>
    <w:p>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二</w:t>
      </w:r>
      <w:r>
        <w:rPr>
          <w:rFonts w:hint="eastAsia" w:ascii="宋体" w:hAnsi="宋体"/>
          <w:color w:val="auto"/>
          <w:sz w:val="21"/>
          <w:szCs w:val="21"/>
          <w:highlight w:val="none"/>
          <w:lang w:eastAsia="zh-CN"/>
        </w:rPr>
        <w:t>）</w:t>
      </w:r>
      <w:r>
        <w:rPr>
          <w:rFonts w:hint="eastAsia" w:ascii="宋体" w:hAnsi="宋体"/>
          <w:color w:val="auto"/>
          <w:sz w:val="21"/>
          <w:szCs w:val="21"/>
          <w:highlight w:val="none"/>
        </w:rPr>
        <w:t xml:space="preserve">商务技术文件 </w:t>
      </w:r>
    </w:p>
    <w:p>
      <w:pPr>
        <w:keepNext w:val="0"/>
        <w:keepLines w:val="0"/>
        <w:pageBreakBefore w:val="0"/>
        <w:kinsoku/>
        <w:overflowPunct/>
        <w:topLinePunct w:val="0"/>
        <w:bidi w:val="0"/>
        <w:spacing w:line="360" w:lineRule="auto"/>
        <w:ind w:firstLine="420" w:firstLineChars="200"/>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投标函</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格式后附</w:t>
      </w:r>
      <w:r>
        <w:rPr>
          <w:rFonts w:hint="eastAsia" w:ascii="宋体" w:hAnsi="宋体"/>
          <w:color w:val="auto"/>
          <w:sz w:val="21"/>
          <w:szCs w:val="21"/>
          <w:highlight w:val="none"/>
          <w:lang w:eastAsia="zh-CN"/>
        </w:rPr>
        <w:t>）</w:t>
      </w:r>
      <w:r>
        <w:rPr>
          <w:rFonts w:hint="eastAsia" w:ascii="宋体" w:hAnsi="宋体"/>
          <w:color w:val="auto"/>
          <w:sz w:val="21"/>
          <w:szCs w:val="21"/>
          <w:highlight w:val="none"/>
        </w:rPr>
        <w:t>；（</w:t>
      </w:r>
      <w:r>
        <w:rPr>
          <w:rFonts w:hint="eastAsia" w:ascii="宋体" w:hAnsi="宋体"/>
          <w:b/>
          <w:color w:val="auto"/>
          <w:sz w:val="21"/>
          <w:szCs w:val="21"/>
          <w:highlight w:val="none"/>
        </w:rPr>
        <w:t>必须提供</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w:t>
      </w:r>
    </w:p>
    <w:p>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b w:val="0"/>
          <w:bCs/>
          <w:color w:val="auto"/>
          <w:kern w:val="2"/>
          <w:sz w:val="21"/>
          <w:szCs w:val="21"/>
          <w:highlight w:val="none"/>
          <w:lang w:val="en-US" w:eastAsia="zh-CN" w:bidi="ar-SA"/>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2</w:t>
      </w:r>
      <w:r>
        <w:rPr>
          <w:rFonts w:hint="eastAsia" w:ascii="宋体" w:hAnsi="宋体"/>
          <w:color w:val="auto"/>
          <w:sz w:val="21"/>
          <w:szCs w:val="21"/>
          <w:highlight w:val="none"/>
          <w:lang w:eastAsia="zh-CN"/>
        </w:rPr>
        <w:t>）</w:t>
      </w:r>
      <w:r>
        <w:rPr>
          <w:rFonts w:hint="eastAsia" w:ascii="宋体" w:hAnsi="宋体" w:eastAsia="宋体" w:cs="Times New Roman"/>
          <w:color w:val="auto"/>
          <w:kern w:val="2"/>
          <w:sz w:val="21"/>
          <w:szCs w:val="21"/>
          <w:highlight w:val="none"/>
          <w:lang w:val="en-US" w:eastAsia="zh-CN" w:bidi="ar-SA"/>
        </w:rPr>
        <w:t>授权委托书及受委托人身份证复印件；</w:t>
      </w:r>
      <w:r>
        <w:rPr>
          <w:rFonts w:hint="eastAsia" w:ascii="宋体" w:hAnsi="宋体" w:eastAsia="宋体" w:cs="Times New Roman"/>
          <w:b/>
          <w:color w:val="auto"/>
          <w:kern w:val="2"/>
          <w:sz w:val="21"/>
          <w:szCs w:val="21"/>
          <w:highlight w:val="none"/>
          <w:lang w:val="en-US" w:eastAsia="zh-CN" w:bidi="ar-SA"/>
        </w:rPr>
        <w:t>（如委托代理投标须提供）</w:t>
      </w:r>
      <w:r>
        <w:rPr>
          <w:rFonts w:hint="eastAsia" w:ascii="宋体" w:hAnsi="宋体" w:eastAsia="宋体" w:cs="Times New Roman"/>
          <w:b w:val="0"/>
          <w:bCs/>
          <w:color w:val="auto"/>
          <w:kern w:val="2"/>
          <w:sz w:val="21"/>
          <w:szCs w:val="21"/>
          <w:highlight w:val="none"/>
          <w:lang w:val="en-US" w:eastAsia="zh-CN" w:bidi="ar-SA"/>
        </w:rPr>
        <w:t>................</w:t>
      </w:r>
    </w:p>
    <w:p>
      <w:pPr>
        <w:keepNext w:val="0"/>
        <w:keepLines w:val="0"/>
        <w:pageBreakBefore w:val="0"/>
        <w:kinsoku/>
        <w:overflowPunct/>
        <w:topLinePunct w:val="0"/>
        <w:bidi w:val="0"/>
        <w:spacing w:line="360" w:lineRule="auto"/>
        <w:ind w:firstLine="420" w:firstLineChars="200"/>
        <w:textAlignment w:val="auto"/>
        <w:rPr>
          <w:rFonts w:hint="default" w:ascii="宋体" w:hAnsi="宋体" w:eastAsia="宋体" w:cs="Times New Roman"/>
          <w:b w:val="0"/>
          <w:bCs/>
          <w:color w:val="auto"/>
          <w:kern w:val="2"/>
          <w:sz w:val="21"/>
          <w:szCs w:val="21"/>
          <w:highlight w:val="none"/>
          <w:lang w:val="en-US" w:eastAsia="zh-CN" w:bidi="ar-SA"/>
        </w:rPr>
      </w:pPr>
      <w:r>
        <w:rPr>
          <w:rFonts w:hint="eastAsia" w:ascii="宋体" w:hAnsi="宋体" w:cs="Times New Roman"/>
          <w:b w:val="0"/>
          <w:bCs/>
          <w:color w:val="auto"/>
          <w:kern w:val="2"/>
          <w:sz w:val="21"/>
          <w:szCs w:val="21"/>
          <w:highlight w:val="none"/>
          <w:lang w:val="en-US" w:eastAsia="zh-CN" w:bidi="ar-SA"/>
        </w:rPr>
        <w:t>（3）投标人基本情况介绍及项目目标的的详细介绍（含硬件、软件）.................</w:t>
      </w:r>
    </w:p>
    <w:p>
      <w:pPr>
        <w:keepNext w:val="0"/>
        <w:keepLines w:val="0"/>
        <w:pageBreakBefore w:val="0"/>
        <w:kinsoku/>
        <w:overflowPunct/>
        <w:topLinePunct w:val="0"/>
        <w:bidi w:val="0"/>
        <w:spacing w:line="360" w:lineRule="auto"/>
        <w:ind w:firstLine="420" w:firstLineChars="200"/>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4</w:t>
      </w:r>
      <w:r>
        <w:rPr>
          <w:rFonts w:hint="eastAsia" w:ascii="宋体" w:hAnsi="宋体"/>
          <w:color w:val="auto"/>
          <w:sz w:val="21"/>
          <w:szCs w:val="21"/>
          <w:highlight w:val="none"/>
          <w:lang w:eastAsia="zh-CN"/>
        </w:rPr>
        <w:t>）</w:t>
      </w:r>
      <w:r>
        <w:rPr>
          <w:rFonts w:hint="eastAsia" w:ascii="宋体" w:hAnsi="宋体"/>
          <w:color w:val="auto"/>
          <w:sz w:val="21"/>
          <w:szCs w:val="21"/>
          <w:highlight w:val="none"/>
        </w:rPr>
        <w:t>技术</w:t>
      </w:r>
      <w:r>
        <w:rPr>
          <w:rFonts w:hint="eastAsia" w:ascii="宋体" w:hAnsi="宋体"/>
          <w:color w:val="auto"/>
          <w:sz w:val="21"/>
          <w:szCs w:val="21"/>
          <w:highlight w:val="none"/>
          <w:lang w:val="en-US" w:eastAsia="zh-CN"/>
        </w:rPr>
        <w:t>参数</w:t>
      </w:r>
      <w:r>
        <w:rPr>
          <w:rFonts w:hint="eastAsia" w:ascii="宋体" w:hAnsi="宋体"/>
          <w:color w:val="auto"/>
          <w:sz w:val="21"/>
          <w:szCs w:val="21"/>
          <w:highlight w:val="none"/>
        </w:rPr>
        <w:t>响应及偏离情况说明表</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格式后附</w:t>
      </w:r>
      <w:r>
        <w:rPr>
          <w:rFonts w:hint="eastAsia" w:ascii="宋体" w:hAnsi="宋体"/>
          <w:color w:val="auto"/>
          <w:sz w:val="21"/>
          <w:szCs w:val="21"/>
          <w:highlight w:val="none"/>
          <w:lang w:eastAsia="zh-CN"/>
        </w:rPr>
        <w:t>）</w:t>
      </w:r>
      <w:r>
        <w:rPr>
          <w:rFonts w:hint="eastAsia" w:ascii="宋体" w:hAnsi="宋体"/>
          <w:color w:val="auto"/>
          <w:sz w:val="21"/>
          <w:szCs w:val="21"/>
          <w:highlight w:val="none"/>
        </w:rPr>
        <w:t>；（</w:t>
      </w:r>
      <w:r>
        <w:rPr>
          <w:rFonts w:hint="eastAsia" w:ascii="宋体" w:hAnsi="宋体"/>
          <w:b/>
          <w:color w:val="auto"/>
          <w:sz w:val="21"/>
          <w:szCs w:val="21"/>
          <w:highlight w:val="none"/>
        </w:rPr>
        <w:t>必须提供</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w:t>
      </w:r>
    </w:p>
    <w:p>
      <w:pPr>
        <w:keepNext w:val="0"/>
        <w:keepLines w:val="0"/>
        <w:pageBreakBefore w:val="0"/>
        <w:kinsoku/>
        <w:overflowPunct/>
        <w:topLinePunct w:val="0"/>
        <w:bidi w:val="0"/>
        <w:spacing w:line="360" w:lineRule="auto"/>
        <w:ind w:firstLine="420" w:firstLineChars="200"/>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lang w:eastAsia="zh-CN"/>
        </w:rPr>
        <w:t>）</w:t>
      </w:r>
      <w:r>
        <w:rPr>
          <w:rFonts w:hint="eastAsia" w:ascii="宋体" w:hAnsi="宋体"/>
          <w:color w:val="auto"/>
          <w:sz w:val="21"/>
          <w:szCs w:val="21"/>
          <w:highlight w:val="none"/>
        </w:rPr>
        <w:t>商务</w:t>
      </w:r>
      <w:r>
        <w:rPr>
          <w:rFonts w:hint="eastAsia" w:ascii="宋体" w:hAnsi="宋体"/>
          <w:color w:val="auto"/>
          <w:sz w:val="21"/>
          <w:szCs w:val="21"/>
          <w:highlight w:val="none"/>
          <w:lang w:val="en-US" w:eastAsia="zh-CN"/>
        </w:rPr>
        <w:t>参数</w:t>
      </w:r>
      <w:r>
        <w:rPr>
          <w:rFonts w:hint="eastAsia" w:ascii="宋体" w:hAnsi="宋体"/>
          <w:color w:val="auto"/>
          <w:sz w:val="21"/>
          <w:szCs w:val="21"/>
          <w:highlight w:val="none"/>
        </w:rPr>
        <w:t>响应及偏离情况说明表</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格式后附</w:t>
      </w:r>
      <w:r>
        <w:rPr>
          <w:rFonts w:hint="eastAsia" w:ascii="宋体" w:hAnsi="宋体"/>
          <w:color w:val="auto"/>
          <w:sz w:val="21"/>
          <w:szCs w:val="21"/>
          <w:highlight w:val="none"/>
          <w:lang w:eastAsia="zh-CN"/>
        </w:rPr>
        <w:t>）</w:t>
      </w:r>
      <w:r>
        <w:rPr>
          <w:rFonts w:hint="eastAsia" w:ascii="宋体" w:hAnsi="宋体"/>
          <w:color w:val="auto"/>
          <w:sz w:val="21"/>
          <w:szCs w:val="21"/>
          <w:highlight w:val="none"/>
        </w:rPr>
        <w:t>；（</w:t>
      </w:r>
      <w:r>
        <w:rPr>
          <w:rFonts w:hint="eastAsia" w:ascii="宋体" w:hAnsi="宋体"/>
          <w:b/>
          <w:color w:val="auto"/>
          <w:sz w:val="21"/>
          <w:szCs w:val="21"/>
          <w:highlight w:val="none"/>
        </w:rPr>
        <w:t>必须提供</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w:t>
      </w:r>
    </w:p>
    <w:p>
      <w:pPr>
        <w:keepNext w:val="0"/>
        <w:keepLines w:val="0"/>
        <w:pageBreakBefore w:val="0"/>
        <w:kinsoku/>
        <w:overflowPunct/>
        <w:topLinePunct w:val="0"/>
        <w:bidi w:val="0"/>
        <w:spacing w:line="360" w:lineRule="auto"/>
        <w:ind w:firstLine="420" w:firstLineChars="200"/>
        <w:textAlignment w:val="auto"/>
        <w:rPr>
          <w:rFonts w:hint="default" w:eastAsia="宋体"/>
          <w:sz w:val="21"/>
          <w:szCs w:val="21"/>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6</w:t>
      </w:r>
      <w:r>
        <w:rPr>
          <w:rFonts w:hint="eastAsia" w:ascii="宋体" w:hAnsi="宋体"/>
          <w:color w:val="auto"/>
          <w:sz w:val="21"/>
          <w:szCs w:val="21"/>
          <w:highlight w:val="none"/>
          <w:lang w:eastAsia="zh-CN"/>
        </w:rPr>
        <w:t>）</w:t>
      </w:r>
      <w:r>
        <w:rPr>
          <w:rFonts w:hint="eastAsia" w:ascii="宋体" w:hAnsi="宋体"/>
          <w:color w:val="auto"/>
          <w:sz w:val="21"/>
          <w:szCs w:val="21"/>
          <w:highlight w:val="none"/>
        </w:rPr>
        <w:t>供应商有效的</w:t>
      </w:r>
      <w:r>
        <w:rPr>
          <w:rFonts w:hint="eastAsia" w:ascii="宋体" w:hAnsi="宋体"/>
          <w:color w:val="auto"/>
          <w:sz w:val="21"/>
          <w:szCs w:val="21"/>
          <w:highlight w:val="none"/>
          <w:lang w:val="en-US" w:eastAsia="zh-CN"/>
        </w:rPr>
        <w:t>资质及证明文件</w:t>
      </w:r>
      <w:r>
        <w:rPr>
          <w:rFonts w:hint="eastAsia" w:ascii="宋体" w:hAnsi="宋体"/>
          <w:b w:val="0"/>
          <w:bCs w:val="0"/>
          <w:color w:val="auto"/>
          <w:sz w:val="21"/>
          <w:szCs w:val="21"/>
          <w:highlight w:val="none"/>
          <w:lang w:val="en-US" w:eastAsia="zh-CN"/>
        </w:rPr>
        <w:t>（按磋商公告中供应商资质要求提交的材料）</w:t>
      </w:r>
      <w:r>
        <w:rPr>
          <w:rFonts w:hint="eastAsia" w:ascii="宋体" w:hAnsi="宋体"/>
          <w:color w:val="auto"/>
          <w:sz w:val="21"/>
          <w:szCs w:val="21"/>
          <w:highlight w:val="none"/>
        </w:rPr>
        <w:t>（</w:t>
      </w:r>
      <w:r>
        <w:rPr>
          <w:rFonts w:hint="eastAsia" w:ascii="宋体" w:hAnsi="宋体"/>
          <w:b/>
          <w:color w:val="auto"/>
          <w:sz w:val="21"/>
          <w:szCs w:val="21"/>
          <w:highlight w:val="none"/>
        </w:rPr>
        <w:t>必须提供</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w:t>
      </w:r>
    </w:p>
    <w:p>
      <w:pPr>
        <w:keepNext w:val="0"/>
        <w:keepLines w:val="0"/>
        <w:pageBreakBefore w:val="0"/>
        <w:kinsoku/>
        <w:overflowPunct/>
        <w:topLinePunct w:val="0"/>
        <w:bidi w:val="0"/>
        <w:spacing w:line="360" w:lineRule="auto"/>
        <w:ind w:firstLine="420" w:firstLineChars="200"/>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（7）项目实施方案（提供详细的实施本项目的投入设备物资、人员、日期规划、培训、应急处置、风险预案等方案）（格式目录自拟，必须提供）................................</w:t>
      </w:r>
    </w:p>
    <w:p>
      <w:pPr>
        <w:keepNext w:val="0"/>
        <w:keepLines w:val="0"/>
        <w:pageBreakBefore w:val="0"/>
        <w:kinsoku/>
        <w:overflowPunct/>
        <w:topLinePunct w:val="0"/>
        <w:bidi w:val="0"/>
        <w:snapToGrid w:val="0"/>
        <w:spacing w:line="360" w:lineRule="auto"/>
        <w:ind w:firstLine="420" w:firstLineChars="200"/>
        <w:textAlignment w:val="auto"/>
        <w:outlineLvl w:val="1"/>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（8）售后服务方案，提供的切实可行的售后服务和优惠承诺（格式目录自拟）（必须提供）........................................................................</w:t>
      </w:r>
    </w:p>
    <w:p>
      <w:pPr>
        <w:keepNext w:val="0"/>
        <w:keepLines w:val="0"/>
        <w:pageBreakBefore w:val="0"/>
        <w:kinsoku/>
        <w:overflowPunct/>
        <w:topLinePunct w:val="0"/>
        <w:bidi w:val="0"/>
        <w:spacing w:line="360" w:lineRule="auto"/>
        <w:ind w:firstLine="420" w:firstLineChars="200"/>
        <w:textAlignment w:val="auto"/>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w:t>
      </w:r>
      <w:r>
        <w:rPr>
          <w:rFonts w:hint="eastAsia" w:ascii="宋体" w:hAnsi="宋体"/>
          <w:color w:val="auto"/>
          <w:sz w:val="21"/>
          <w:szCs w:val="21"/>
          <w:highlight w:val="none"/>
          <w:lang w:val="en-US" w:eastAsia="zh-CN"/>
        </w:rPr>
        <w:t>9</w:t>
      </w:r>
      <w:r>
        <w:rPr>
          <w:rFonts w:hint="eastAsia" w:ascii="宋体" w:hAnsi="宋体"/>
          <w:color w:val="auto"/>
          <w:sz w:val="21"/>
          <w:szCs w:val="21"/>
          <w:highlight w:val="none"/>
        </w:rPr>
        <w:t>）项目实施人员一览表</w:t>
      </w: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lang w:val="en-US" w:eastAsia="zh-CN"/>
        </w:rPr>
        <w:t>格式后附</w:t>
      </w:r>
      <w:r>
        <w:rPr>
          <w:rFonts w:hint="eastAsia" w:ascii="宋体" w:hAnsi="宋体"/>
          <w:b/>
          <w:bCs/>
          <w:color w:val="auto"/>
          <w:sz w:val="21"/>
          <w:szCs w:val="21"/>
          <w:highlight w:val="none"/>
          <w:lang w:eastAsia="zh-CN"/>
        </w:rPr>
        <w:t>）</w:t>
      </w:r>
      <w:r>
        <w:rPr>
          <w:rFonts w:hint="eastAsia" w:ascii="宋体" w:hAnsi="宋体"/>
          <w:color w:val="auto"/>
          <w:sz w:val="21"/>
          <w:szCs w:val="21"/>
          <w:highlight w:val="none"/>
          <w:lang w:eastAsia="zh-CN"/>
        </w:rPr>
        <w:t>（</w:t>
      </w:r>
      <w:r>
        <w:rPr>
          <w:rFonts w:hint="eastAsia" w:ascii="宋体" w:hAnsi="宋体"/>
          <w:b/>
          <w:color w:val="auto"/>
          <w:sz w:val="21"/>
          <w:szCs w:val="21"/>
          <w:highlight w:val="none"/>
        </w:rPr>
        <w:t>必须提供</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w:t>
      </w:r>
    </w:p>
    <w:p>
      <w:pPr>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（10）业绩材料，供应商认为可以证明其能力或业绩的其他材料以及供应商认为需要提供的其他有关资料..............................................................</w:t>
      </w:r>
    </w:p>
    <w:p>
      <w:pPr>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（11）供应商根据“第四章 评审方法”的评分要点提供相应证明材料（格式目录自拟）.......</w:t>
      </w:r>
    </w:p>
    <w:p>
      <w:pPr>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（12）供应商认为其他需要提供的证明其履约能力和满足“采购需求”的相关材料............</w:t>
      </w:r>
    </w:p>
    <w:p>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pPr>
        <w:keepNext w:val="0"/>
        <w:keepLines w:val="0"/>
        <w:pageBreakBefore w:val="0"/>
        <w:kinsoku/>
        <w:overflowPunct/>
        <w:topLinePunct w:val="0"/>
        <w:bidi w:val="0"/>
        <w:spacing w:line="360" w:lineRule="auto"/>
        <w:ind w:firstLine="422" w:firstLineChars="200"/>
        <w:textAlignment w:val="auto"/>
        <w:rPr>
          <w:rFonts w:ascii="宋体" w:hAnsi="宋体"/>
          <w:b/>
          <w:bCs/>
          <w:color w:val="auto"/>
          <w:sz w:val="21"/>
          <w:szCs w:val="21"/>
          <w:highlight w:val="none"/>
        </w:rPr>
      </w:pP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lang w:val="en-US" w:eastAsia="zh-CN"/>
        </w:rPr>
        <w:t>一</w:t>
      </w: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rPr>
        <w:t>价格文件</w:t>
      </w:r>
    </w:p>
    <w:p>
      <w:pPr>
        <w:keepNext w:val="0"/>
        <w:keepLines w:val="0"/>
        <w:pageBreakBefore w:val="0"/>
        <w:kinsoku/>
        <w:overflowPunct/>
        <w:topLinePunct w:val="0"/>
        <w:bidi w:val="0"/>
        <w:spacing w:line="360" w:lineRule="auto"/>
        <w:ind w:firstLine="422" w:firstLineChars="200"/>
        <w:jc w:val="both"/>
        <w:textAlignment w:val="auto"/>
        <w:rPr>
          <w:rFonts w:hint="eastAsia" w:ascii="宋体" w:hAnsi="宋体" w:eastAsia="宋体"/>
          <w:b/>
          <w:color w:val="auto"/>
          <w:sz w:val="21"/>
          <w:szCs w:val="21"/>
          <w:highlight w:val="none"/>
          <w:lang w:val="en-US" w:eastAsia="zh-CN"/>
        </w:rPr>
      </w:pPr>
      <w:r>
        <w:rPr>
          <w:rFonts w:hint="eastAsia" w:ascii="宋体" w:hAnsi="宋体"/>
          <w:b/>
          <w:bCs/>
          <w:color w:val="auto"/>
          <w:sz w:val="21"/>
          <w:szCs w:val="21"/>
          <w:highlight w:val="none"/>
        </w:rPr>
        <w:t>（1）</w:t>
      </w:r>
      <w:r>
        <w:rPr>
          <w:rFonts w:hint="eastAsia" w:ascii="宋体" w:hAnsi="宋体"/>
          <w:b/>
          <w:bCs/>
          <w:color w:val="auto"/>
          <w:sz w:val="21"/>
          <w:szCs w:val="21"/>
          <w:highlight w:val="none"/>
          <w:lang w:eastAsia="zh-CN"/>
        </w:rPr>
        <w:t>磋商</w:t>
      </w:r>
      <w:r>
        <w:rPr>
          <w:rFonts w:hint="eastAsia" w:ascii="宋体" w:hAnsi="宋体"/>
          <w:b/>
          <w:bCs/>
          <w:color w:val="auto"/>
          <w:sz w:val="21"/>
          <w:szCs w:val="21"/>
          <w:highlight w:val="none"/>
        </w:rPr>
        <w:t>报价表</w:t>
      </w:r>
      <w:r>
        <w:rPr>
          <w:rFonts w:hint="eastAsia" w:ascii="宋体" w:hAnsi="宋体"/>
          <w:b/>
          <w:bCs/>
          <w:color w:val="auto"/>
          <w:sz w:val="21"/>
          <w:szCs w:val="21"/>
          <w:highlight w:val="none"/>
          <w:lang w:val="en-US" w:eastAsia="zh-CN"/>
        </w:rPr>
        <w:t>格式：</w:t>
      </w:r>
    </w:p>
    <w:p>
      <w:pPr>
        <w:spacing w:line="520" w:lineRule="exact"/>
        <w:jc w:val="center"/>
        <w:rPr>
          <w:rFonts w:hint="eastAsia" w:ascii="方正小标宋简体" w:hAnsi="方正小标宋简体" w:eastAsia="方正小标宋简体" w:cs="Calibri"/>
          <w:bCs/>
          <w:color w:val="000000"/>
          <w:sz w:val="44"/>
          <w:szCs w:val="44"/>
        </w:rPr>
      </w:pPr>
    </w:p>
    <w:p>
      <w:pPr>
        <w:spacing w:line="52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44"/>
          <w:szCs w:val="44"/>
        </w:rPr>
        <w:t>竞  标  报  价  表</w:t>
      </w:r>
    </w:p>
    <w:p>
      <w:pPr>
        <w:spacing w:line="44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32"/>
          <w:szCs w:val="32"/>
        </w:rPr>
        <w:t xml:space="preserve"> </w:t>
      </w:r>
    </w:p>
    <w:p>
      <w:pPr>
        <w:snapToGrid w:val="0"/>
        <w:spacing w:before="50" w:after="50" w:line="440" w:lineRule="exact"/>
        <w:rPr>
          <w:rFonts w:hint="default" w:ascii="仿宋_GB2312" w:hAnsi="Calibri" w:eastAsia="仿宋_GB2312" w:cs="Calibri"/>
          <w:color w:val="000000"/>
          <w:sz w:val="24"/>
          <w:szCs w:val="24"/>
          <w:u w:val="single"/>
          <w:lang w:val="en-US" w:eastAsia="zh-CN"/>
        </w:rPr>
      </w:pPr>
      <w:r>
        <w:rPr>
          <w:rFonts w:hint="eastAsia" w:ascii="仿宋_GB2312" w:hAnsi="Calibri" w:eastAsia="仿宋_GB2312" w:cs="Calibri"/>
          <w:color w:val="000000"/>
          <w:sz w:val="24"/>
          <w:szCs w:val="24"/>
        </w:rPr>
        <w:t>项目名称：</w:t>
      </w:r>
      <w:r>
        <w:rPr>
          <w:rFonts w:hint="eastAsia" w:ascii="仿宋_GB2312" w:hAnsi="Calibri" w:eastAsia="仿宋_GB2312" w:cs="Calibri"/>
          <w:color w:val="000000"/>
          <w:sz w:val="24"/>
          <w:szCs w:val="24"/>
          <w:u w:val="single"/>
        </w:rPr>
        <w:t xml:space="preserve">                </w:t>
      </w:r>
      <w:r>
        <w:rPr>
          <w:rFonts w:hint="eastAsia" w:ascii="仿宋_GB2312" w:hAnsi="Calibri" w:eastAsia="仿宋_GB2312" w:cs="Calibri"/>
          <w:color w:val="000000"/>
          <w:sz w:val="24"/>
          <w:szCs w:val="24"/>
          <w:u w:val="single"/>
          <w:lang w:val="en-US" w:eastAsia="zh-CN"/>
        </w:rPr>
        <w:t xml:space="preserve">        </w:t>
      </w:r>
    </w:p>
    <w:p>
      <w:pPr>
        <w:snapToGrid w:val="0"/>
        <w:spacing w:before="50" w:after="50" w:line="440" w:lineRule="exact"/>
        <w:rPr>
          <w:rFonts w:ascii="仿宋_GB2312" w:hAnsi="Calibri" w:eastAsia="仿宋_GB2312" w:cs="Calibri"/>
          <w:color w:val="000000"/>
          <w:sz w:val="24"/>
          <w:szCs w:val="24"/>
        </w:rPr>
      </w:pPr>
      <w:r>
        <w:rPr>
          <w:rFonts w:hint="eastAsia" w:ascii="仿宋_GB2312" w:hAnsi="Calibri" w:eastAsia="仿宋_GB2312" w:cs="Calibri"/>
          <w:color w:val="000000"/>
          <w:sz w:val="24"/>
          <w:szCs w:val="24"/>
        </w:rPr>
        <w:t>项目编号：</w:t>
      </w:r>
      <w:r>
        <w:rPr>
          <w:rFonts w:hint="eastAsia" w:ascii="仿宋_GB2312" w:hAnsi="Calibri" w:eastAsia="仿宋_GB2312" w:cs="Calibri"/>
          <w:color w:val="000000"/>
          <w:sz w:val="24"/>
          <w:szCs w:val="24"/>
          <w:u w:val="single"/>
        </w:rPr>
        <w:t xml:space="preserve">                </w:t>
      </w:r>
      <w:r>
        <w:rPr>
          <w:rFonts w:hint="eastAsia" w:ascii="仿宋_GB2312" w:hAnsi="Calibri" w:eastAsia="仿宋_GB2312" w:cs="Calibri"/>
          <w:color w:val="000000"/>
          <w:sz w:val="24"/>
          <w:szCs w:val="24"/>
          <w:u w:val="single"/>
          <w:lang w:val="en-US" w:eastAsia="zh-CN"/>
        </w:rPr>
        <w:t xml:space="preserve">     </w:t>
      </w:r>
      <w:r>
        <w:rPr>
          <w:rFonts w:hint="eastAsia" w:ascii="仿宋_GB2312" w:hAnsi="Calibri" w:eastAsia="仿宋_GB2312" w:cs="Calibri"/>
          <w:color w:val="000000"/>
          <w:sz w:val="24"/>
          <w:szCs w:val="24"/>
          <w:u w:val="single"/>
        </w:rPr>
        <w:t xml:space="preserve">   </w:t>
      </w:r>
      <w:r>
        <w:rPr>
          <w:rFonts w:hint="eastAsia" w:ascii="仿宋_GB2312" w:hAnsi="Calibri" w:eastAsia="仿宋_GB2312" w:cs="Calibri"/>
          <w:color w:val="000000"/>
          <w:sz w:val="24"/>
          <w:szCs w:val="24"/>
        </w:rPr>
        <w:t xml:space="preserve">     </w:t>
      </w:r>
    </w:p>
    <w:p>
      <w:pPr>
        <w:snapToGrid w:val="0"/>
        <w:spacing w:before="50" w:after="50" w:line="440" w:lineRule="exact"/>
        <w:rPr>
          <w:rFonts w:ascii="仿宋_GB2312" w:hAnsi="Calibri" w:eastAsia="仿宋_GB2312" w:cs="Calibri"/>
          <w:color w:val="000000"/>
          <w:sz w:val="24"/>
          <w:szCs w:val="24"/>
        </w:rPr>
      </w:pPr>
      <w:r>
        <w:rPr>
          <w:rFonts w:hint="eastAsia" w:ascii="仿宋_GB2312" w:hAnsi="Calibri" w:eastAsia="仿宋_GB2312" w:cs="Calibri"/>
          <w:color w:val="000000"/>
          <w:sz w:val="24"/>
          <w:szCs w:val="24"/>
        </w:rPr>
        <w:t>供应商名称：</w:t>
      </w:r>
      <w:r>
        <w:rPr>
          <w:rFonts w:hint="eastAsia" w:ascii="仿宋_GB2312" w:hAnsi="Calibri" w:eastAsia="仿宋_GB2312" w:cs="Calibri"/>
          <w:color w:val="000000"/>
          <w:sz w:val="24"/>
          <w:szCs w:val="24"/>
          <w:u w:val="single"/>
        </w:rPr>
        <w:t xml:space="preserve">                      </w:t>
      </w:r>
      <w:r>
        <w:rPr>
          <w:rFonts w:hint="eastAsia" w:ascii="仿宋_GB2312" w:hAnsi="Calibri" w:eastAsia="仿宋_GB2312" w:cs="Calibri"/>
          <w:color w:val="000000"/>
          <w:sz w:val="24"/>
          <w:szCs w:val="24"/>
        </w:rPr>
        <w:t xml:space="preserve">   </w:t>
      </w:r>
    </w:p>
    <w:tbl>
      <w:tblPr>
        <w:tblStyle w:val="48"/>
        <w:tblpPr w:leftFromText="180" w:rightFromText="180" w:vertAnchor="text" w:horzAnchor="page" w:tblpX="975" w:tblpY="398"/>
        <w:tblOverlap w:val="never"/>
        <w:tblW w:w="102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2023"/>
        <w:gridCol w:w="717"/>
        <w:gridCol w:w="905"/>
        <w:gridCol w:w="1585"/>
        <w:gridCol w:w="1635"/>
        <w:gridCol w:w="1335"/>
        <w:gridCol w:w="1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24"/>
                <w:szCs w:val="24"/>
              </w:rPr>
            </w:pPr>
            <w:r>
              <w:rPr>
                <w:rFonts w:hint="eastAsia" w:ascii="仿宋_GB2312" w:hAnsi="Calibri" w:eastAsia="仿宋_GB2312" w:cs="Calibri"/>
                <w:color w:val="000000"/>
                <w:sz w:val="24"/>
                <w:szCs w:val="24"/>
              </w:rPr>
              <w:t>序号</w:t>
            </w:r>
          </w:p>
        </w:tc>
        <w:tc>
          <w:tcPr>
            <w:tcW w:w="2023"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24"/>
                <w:szCs w:val="24"/>
              </w:rPr>
            </w:pPr>
            <w:r>
              <w:rPr>
                <w:rFonts w:hint="eastAsia" w:ascii="仿宋_GB2312" w:hAnsi="Calibri" w:eastAsia="仿宋_GB2312" w:cs="Calibri"/>
                <w:color w:val="000000"/>
                <w:sz w:val="24"/>
                <w:szCs w:val="24"/>
                <w:lang w:val="en-US" w:eastAsia="zh-CN"/>
              </w:rPr>
              <w:t>标的</w:t>
            </w:r>
            <w:r>
              <w:rPr>
                <w:rFonts w:hint="eastAsia" w:ascii="仿宋_GB2312" w:hAnsi="Calibri" w:eastAsia="仿宋_GB2312" w:cs="Calibri"/>
                <w:color w:val="000000"/>
                <w:sz w:val="24"/>
                <w:szCs w:val="24"/>
              </w:rPr>
              <w:t>名称</w:t>
            </w:r>
          </w:p>
        </w:tc>
        <w:tc>
          <w:tcPr>
            <w:tcW w:w="717"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24"/>
                <w:szCs w:val="24"/>
              </w:rPr>
            </w:pPr>
            <w:r>
              <w:rPr>
                <w:rFonts w:hint="eastAsia" w:ascii="仿宋_GB2312" w:hAnsi="Calibri" w:eastAsia="仿宋_GB2312" w:cs="Calibri"/>
                <w:color w:val="000000"/>
                <w:sz w:val="24"/>
                <w:szCs w:val="24"/>
              </w:rPr>
              <w:t>数量</w:t>
            </w:r>
          </w:p>
        </w:tc>
        <w:tc>
          <w:tcPr>
            <w:tcW w:w="905"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24"/>
                <w:szCs w:val="24"/>
              </w:rPr>
            </w:pPr>
            <w:r>
              <w:rPr>
                <w:rFonts w:hint="eastAsia" w:ascii="仿宋_GB2312" w:hAnsi="Calibri" w:eastAsia="仿宋_GB2312" w:cs="Calibri"/>
                <w:color w:val="000000"/>
                <w:sz w:val="24"/>
                <w:szCs w:val="24"/>
              </w:rPr>
              <w:t>单位</w:t>
            </w:r>
          </w:p>
        </w:tc>
        <w:tc>
          <w:tcPr>
            <w:tcW w:w="1585" w:type="dxa"/>
            <w:tcBorders>
              <w:top w:val="single" w:color="auto" w:sz="4" w:space="0"/>
              <w:left w:val="nil"/>
              <w:bottom w:val="single" w:color="auto" w:sz="4" w:space="0"/>
              <w:right w:val="single" w:color="auto" w:sz="4" w:space="0"/>
            </w:tcBorders>
            <w:vAlign w:val="center"/>
          </w:tcPr>
          <w:p>
            <w:pPr>
              <w:spacing w:line="440" w:lineRule="exact"/>
              <w:jc w:val="center"/>
              <w:rPr>
                <w:rFonts w:hint="eastAsia" w:ascii="仿宋_GB2312" w:hAnsi="Calibri" w:eastAsia="仿宋_GB2312" w:cs="Calibri"/>
                <w:color w:val="000000"/>
                <w:sz w:val="24"/>
                <w:szCs w:val="24"/>
                <w:lang w:eastAsia="zh-CN"/>
              </w:rPr>
            </w:pPr>
            <w:r>
              <w:rPr>
                <w:rFonts w:hint="eastAsia" w:ascii="仿宋_GB2312" w:hAnsi="Calibri" w:eastAsia="仿宋_GB2312" w:cs="Calibri"/>
                <w:color w:val="000000"/>
                <w:sz w:val="24"/>
                <w:szCs w:val="24"/>
              </w:rPr>
              <w:t>单价</w:t>
            </w:r>
            <w:r>
              <w:rPr>
                <w:rFonts w:hint="eastAsia" w:ascii="仿宋_GB2312" w:hAnsi="Calibri" w:eastAsia="仿宋_GB2312" w:cs="Calibri"/>
                <w:color w:val="000000"/>
                <w:sz w:val="24"/>
                <w:szCs w:val="24"/>
                <w:lang w:eastAsia="zh-CN"/>
              </w:rPr>
              <w:t>（</w:t>
            </w:r>
            <w:r>
              <w:rPr>
                <w:rFonts w:hint="eastAsia" w:ascii="仿宋_GB2312" w:hAnsi="Calibri" w:eastAsia="仿宋_GB2312" w:cs="Calibri"/>
                <w:color w:val="000000"/>
                <w:sz w:val="24"/>
                <w:szCs w:val="24"/>
                <w:lang w:val="en-US" w:eastAsia="zh-CN"/>
              </w:rPr>
              <w:t>元</w:t>
            </w:r>
            <w:r>
              <w:rPr>
                <w:rFonts w:hint="eastAsia" w:ascii="仿宋_GB2312" w:hAnsi="Calibri" w:eastAsia="仿宋_GB2312" w:cs="Calibri"/>
                <w:color w:val="000000"/>
                <w:sz w:val="24"/>
                <w:szCs w:val="24"/>
                <w:lang w:eastAsia="zh-CN"/>
              </w:rPr>
              <w:t>）</w:t>
            </w:r>
          </w:p>
        </w:tc>
        <w:tc>
          <w:tcPr>
            <w:tcW w:w="1635" w:type="dxa"/>
            <w:tcBorders>
              <w:top w:val="single" w:color="auto" w:sz="4" w:space="0"/>
              <w:left w:val="nil"/>
              <w:bottom w:val="single" w:color="auto" w:sz="4" w:space="0"/>
              <w:right w:val="single" w:color="auto" w:sz="4" w:space="0"/>
            </w:tcBorders>
            <w:vAlign w:val="center"/>
          </w:tcPr>
          <w:p>
            <w:pPr>
              <w:spacing w:line="440" w:lineRule="exact"/>
              <w:jc w:val="center"/>
              <w:rPr>
                <w:rFonts w:hint="eastAsia" w:ascii="仿宋_GB2312" w:hAnsi="Calibri" w:eastAsia="仿宋_GB2312" w:cs="Calibri"/>
                <w:color w:val="000000"/>
                <w:sz w:val="24"/>
                <w:szCs w:val="24"/>
                <w:lang w:eastAsia="zh-CN"/>
              </w:rPr>
            </w:pPr>
            <w:r>
              <w:rPr>
                <w:rFonts w:hint="eastAsia" w:ascii="仿宋_GB2312" w:hAnsi="Calibri" w:eastAsia="仿宋_GB2312" w:cs="Calibri"/>
                <w:color w:val="000000"/>
                <w:sz w:val="24"/>
                <w:szCs w:val="24"/>
              </w:rPr>
              <w:t>总价</w:t>
            </w:r>
            <w:r>
              <w:rPr>
                <w:rFonts w:hint="eastAsia" w:ascii="仿宋_GB2312" w:hAnsi="Calibri" w:eastAsia="仿宋_GB2312" w:cs="Calibri"/>
                <w:color w:val="000000"/>
                <w:sz w:val="24"/>
                <w:szCs w:val="24"/>
                <w:lang w:eastAsia="zh-CN"/>
              </w:rPr>
              <w:t>（</w:t>
            </w:r>
            <w:r>
              <w:rPr>
                <w:rFonts w:hint="eastAsia" w:ascii="仿宋_GB2312" w:hAnsi="Calibri" w:eastAsia="仿宋_GB2312" w:cs="Calibri"/>
                <w:color w:val="000000"/>
                <w:sz w:val="24"/>
                <w:szCs w:val="24"/>
                <w:lang w:val="en-US" w:eastAsia="zh-CN"/>
              </w:rPr>
              <w:t>元</w:t>
            </w:r>
            <w:r>
              <w:rPr>
                <w:rFonts w:hint="eastAsia" w:ascii="仿宋_GB2312" w:hAnsi="Calibri" w:eastAsia="仿宋_GB2312" w:cs="Calibri"/>
                <w:color w:val="000000"/>
                <w:sz w:val="24"/>
                <w:szCs w:val="24"/>
                <w:lang w:eastAsia="zh-CN"/>
              </w:rPr>
              <w:t>）</w:t>
            </w:r>
          </w:p>
        </w:tc>
        <w:tc>
          <w:tcPr>
            <w:tcW w:w="1335" w:type="dxa"/>
            <w:tcBorders>
              <w:top w:val="single" w:color="auto" w:sz="4" w:space="0"/>
              <w:left w:val="nil"/>
              <w:bottom w:val="single" w:color="auto" w:sz="4" w:space="0"/>
              <w:right w:val="single" w:color="auto" w:sz="4" w:space="0"/>
            </w:tcBorders>
            <w:vAlign w:val="center"/>
          </w:tcPr>
          <w:p>
            <w:pPr>
              <w:spacing w:line="440" w:lineRule="exact"/>
              <w:jc w:val="center"/>
              <w:rPr>
                <w:rFonts w:hint="default" w:ascii="仿宋_GB2312" w:hAnsi="Calibri" w:eastAsia="仿宋_GB2312" w:cs="Calibri"/>
                <w:color w:val="000000"/>
                <w:sz w:val="24"/>
                <w:szCs w:val="24"/>
                <w:lang w:val="en-US" w:eastAsia="zh-CN"/>
              </w:rPr>
            </w:pPr>
            <w:r>
              <w:rPr>
                <w:rFonts w:hint="eastAsia" w:ascii="仿宋_GB2312" w:hAnsi="Calibri" w:eastAsia="仿宋_GB2312" w:cs="Calibri"/>
                <w:color w:val="000000"/>
                <w:sz w:val="24"/>
                <w:szCs w:val="24"/>
                <w:lang w:val="en-US" w:eastAsia="zh-CN"/>
              </w:rPr>
              <w:t>质保期（年）</w:t>
            </w:r>
          </w:p>
        </w:tc>
        <w:tc>
          <w:tcPr>
            <w:tcW w:w="1260" w:type="dxa"/>
            <w:tcBorders>
              <w:top w:val="single" w:color="auto" w:sz="4" w:space="0"/>
              <w:left w:val="nil"/>
              <w:bottom w:val="single" w:color="auto" w:sz="4" w:space="0"/>
              <w:right w:val="single" w:color="auto" w:sz="4" w:space="0"/>
            </w:tcBorders>
            <w:vAlign w:val="center"/>
          </w:tcPr>
          <w:p>
            <w:pPr>
              <w:spacing w:line="440" w:lineRule="exact"/>
              <w:ind w:right="-683" w:rightChars="-325"/>
              <w:jc w:val="both"/>
              <w:rPr>
                <w:rFonts w:ascii="仿宋_GB2312" w:hAnsi="Calibri" w:eastAsia="仿宋_GB2312" w:cs="Calibri"/>
                <w:color w:val="000000"/>
                <w:sz w:val="24"/>
                <w:szCs w:val="24"/>
              </w:rPr>
            </w:pPr>
            <w:r>
              <w:rPr>
                <w:rFonts w:hint="eastAsia" w:ascii="仿宋_GB2312" w:hAnsi="Calibri" w:eastAsia="仿宋_GB2312" w:cs="Calibri"/>
                <w:color w:val="00000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24"/>
                <w:szCs w:val="24"/>
              </w:rPr>
            </w:pPr>
            <w:r>
              <w:rPr>
                <w:rFonts w:hint="eastAsia" w:ascii="仿宋_GB2312" w:hAnsi="Calibri" w:eastAsia="仿宋_GB2312" w:cs="Calibri"/>
                <w:color w:val="000000"/>
                <w:sz w:val="24"/>
                <w:szCs w:val="24"/>
              </w:rPr>
              <w:t>1</w:t>
            </w:r>
          </w:p>
        </w:tc>
        <w:tc>
          <w:tcPr>
            <w:tcW w:w="2023"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24"/>
                <w:szCs w:val="24"/>
              </w:rPr>
            </w:pPr>
          </w:p>
        </w:tc>
        <w:tc>
          <w:tcPr>
            <w:tcW w:w="717" w:type="dxa"/>
            <w:tcBorders>
              <w:top w:val="single" w:color="auto" w:sz="4" w:space="0"/>
              <w:left w:val="nil"/>
              <w:bottom w:val="single" w:color="auto" w:sz="4" w:space="0"/>
              <w:right w:val="single" w:color="auto" w:sz="4" w:space="0"/>
            </w:tcBorders>
            <w:vAlign w:val="center"/>
          </w:tcPr>
          <w:p>
            <w:pPr>
              <w:spacing w:line="440" w:lineRule="exact"/>
              <w:jc w:val="center"/>
              <w:rPr>
                <w:rFonts w:hint="eastAsia" w:ascii="仿宋_GB2312" w:hAnsi="Calibri" w:eastAsia="仿宋_GB2312" w:cs="Calibri"/>
                <w:color w:val="000000"/>
                <w:sz w:val="24"/>
                <w:szCs w:val="24"/>
                <w:lang w:val="en-US" w:eastAsia="zh-CN"/>
              </w:rPr>
            </w:pPr>
            <w:r>
              <w:rPr>
                <w:rFonts w:hint="eastAsia" w:ascii="仿宋_GB2312" w:hAnsi="Calibri" w:eastAsia="仿宋_GB2312" w:cs="Calibri"/>
                <w:color w:val="000000"/>
                <w:sz w:val="24"/>
                <w:szCs w:val="24"/>
                <w:lang w:val="en-US" w:eastAsia="zh-CN"/>
              </w:rPr>
              <w:t>1</w:t>
            </w:r>
          </w:p>
        </w:tc>
        <w:tc>
          <w:tcPr>
            <w:tcW w:w="905" w:type="dxa"/>
            <w:tcBorders>
              <w:top w:val="single" w:color="auto" w:sz="4" w:space="0"/>
              <w:left w:val="nil"/>
              <w:bottom w:val="single" w:color="auto" w:sz="4" w:space="0"/>
              <w:right w:val="single" w:color="auto" w:sz="4" w:space="0"/>
            </w:tcBorders>
            <w:vAlign w:val="center"/>
          </w:tcPr>
          <w:p>
            <w:pPr>
              <w:spacing w:line="440" w:lineRule="exact"/>
              <w:jc w:val="center"/>
              <w:rPr>
                <w:rFonts w:hint="eastAsia" w:ascii="仿宋_GB2312" w:hAnsi="Calibri" w:eastAsia="仿宋_GB2312" w:cs="Calibri"/>
                <w:color w:val="000000"/>
                <w:sz w:val="24"/>
                <w:szCs w:val="24"/>
                <w:lang w:val="en-US" w:eastAsia="zh-CN"/>
              </w:rPr>
            </w:pPr>
            <w:r>
              <w:rPr>
                <w:rFonts w:hint="eastAsia" w:ascii="仿宋_GB2312" w:hAnsi="Calibri" w:eastAsia="仿宋_GB2312" w:cs="Calibri"/>
                <w:color w:val="000000"/>
                <w:sz w:val="24"/>
                <w:szCs w:val="24"/>
                <w:lang w:val="en-US" w:eastAsia="zh-CN"/>
              </w:rPr>
              <w:t>套</w:t>
            </w:r>
          </w:p>
        </w:tc>
        <w:tc>
          <w:tcPr>
            <w:tcW w:w="1585"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24"/>
                <w:szCs w:val="24"/>
              </w:rPr>
            </w:pPr>
          </w:p>
        </w:tc>
        <w:tc>
          <w:tcPr>
            <w:tcW w:w="1635"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24"/>
                <w:szCs w:val="24"/>
              </w:rPr>
            </w:pPr>
          </w:p>
        </w:tc>
        <w:tc>
          <w:tcPr>
            <w:tcW w:w="1335" w:type="dxa"/>
            <w:tcBorders>
              <w:top w:val="single" w:color="auto" w:sz="4" w:space="0"/>
              <w:left w:val="nil"/>
              <w:bottom w:val="single" w:color="auto" w:sz="4" w:space="0"/>
              <w:right w:val="single" w:color="auto" w:sz="4" w:space="0"/>
            </w:tcBorders>
            <w:vAlign w:val="center"/>
          </w:tcPr>
          <w:p>
            <w:pPr>
              <w:spacing w:line="440" w:lineRule="exact"/>
              <w:rPr>
                <w:rFonts w:ascii="仿宋_GB2312" w:hAnsi="Calibri" w:eastAsia="仿宋_GB2312" w:cs="Calibri"/>
                <w:color w:val="000000"/>
                <w:sz w:val="24"/>
                <w:szCs w:val="24"/>
              </w:rPr>
            </w:pPr>
          </w:p>
        </w:tc>
        <w:tc>
          <w:tcPr>
            <w:tcW w:w="1260" w:type="dxa"/>
            <w:tcBorders>
              <w:top w:val="single" w:color="auto" w:sz="4" w:space="0"/>
              <w:left w:val="nil"/>
              <w:bottom w:val="single" w:color="auto" w:sz="4" w:space="0"/>
              <w:right w:val="single" w:color="auto" w:sz="4" w:space="0"/>
            </w:tcBorders>
            <w:vAlign w:val="center"/>
          </w:tcPr>
          <w:p>
            <w:pPr>
              <w:spacing w:line="440" w:lineRule="exact"/>
              <w:rPr>
                <w:rFonts w:ascii="仿宋_GB2312" w:hAnsi="Calibri" w:eastAsia="仿宋_GB2312" w:cs="Calibri"/>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hint="eastAsia" w:ascii="仿宋_GB2312" w:hAnsi="Calibri" w:eastAsia="仿宋_GB2312" w:cs="Calibri"/>
                <w:color w:val="000000"/>
                <w:sz w:val="24"/>
                <w:szCs w:val="24"/>
              </w:rPr>
            </w:pPr>
          </w:p>
        </w:tc>
        <w:tc>
          <w:tcPr>
            <w:tcW w:w="9460"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24"/>
                <w:szCs w:val="24"/>
              </w:rPr>
            </w:pPr>
            <w:r>
              <w:rPr>
                <w:rFonts w:hint="eastAsia" w:ascii="仿宋_GB2312" w:hAnsi="Calibri" w:eastAsia="仿宋_GB2312" w:cs="Calibri"/>
                <w:color w:val="000000"/>
                <w:sz w:val="24"/>
                <w:szCs w:val="24"/>
              </w:rPr>
              <w:t>合计金额大写：人民币</w:t>
            </w:r>
            <w:r>
              <w:rPr>
                <w:rFonts w:hint="eastAsia" w:ascii="仿宋_GB2312" w:hAnsi="Calibri" w:eastAsia="仿宋_GB2312" w:cs="Calibri"/>
                <w:color w:val="000000"/>
                <w:sz w:val="24"/>
                <w:szCs w:val="24"/>
                <w:u w:val="single"/>
              </w:rPr>
              <w:t xml:space="preserve">           </w:t>
            </w:r>
            <w:r>
              <w:rPr>
                <w:rFonts w:hint="eastAsia" w:ascii="仿宋_GB2312" w:hAnsi="Calibri" w:eastAsia="仿宋_GB2312" w:cs="Calibri"/>
                <w:color w:val="000000"/>
                <w:sz w:val="24"/>
                <w:szCs w:val="24"/>
              </w:rPr>
              <w:t>（￥</w:t>
            </w:r>
            <w:r>
              <w:rPr>
                <w:rFonts w:hint="eastAsia" w:ascii="仿宋_GB2312" w:hAnsi="Calibri" w:eastAsia="仿宋_GB2312" w:cs="Calibri"/>
                <w:color w:val="000000"/>
                <w:sz w:val="24"/>
                <w:szCs w:val="24"/>
                <w:u w:val="single"/>
              </w:rPr>
              <w:t xml:space="preserve">           </w:t>
            </w:r>
            <w:r>
              <w:rPr>
                <w:rFonts w:hint="eastAsia" w:ascii="仿宋_GB2312" w:hAnsi="Calibri" w:eastAsia="仿宋_GB2312" w:cs="Calibri"/>
                <w:color w:val="000000"/>
                <w:sz w:val="24"/>
                <w:szCs w:val="24"/>
              </w:rPr>
              <w:t>）</w:t>
            </w:r>
          </w:p>
        </w:tc>
      </w:tr>
    </w:tbl>
    <w:p>
      <w:pPr>
        <w:snapToGrid w:val="0"/>
        <w:spacing w:before="50" w:after="50" w:line="440" w:lineRule="exact"/>
        <w:ind w:firstLine="480" w:firstLineChars="200"/>
        <w:jc w:val="left"/>
        <w:rPr>
          <w:rFonts w:ascii="仿宋_GB2312" w:hAnsi="Calibri" w:eastAsia="仿宋_GB2312" w:cs="Calibri"/>
          <w:color w:val="000000"/>
          <w:sz w:val="24"/>
          <w:szCs w:val="24"/>
        </w:rPr>
      </w:pPr>
      <w:r>
        <w:rPr>
          <w:rFonts w:hint="eastAsia" w:ascii="仿宋_GB2312" w:hAnsi="Calibri" w:eastAsia="仿宋_GB2312" w:cs="Calibri"/>
          <w:color w:val="000000"/>
          <w:sz w:val="24"/>
          <w:szCs w:val="24"/>
        </w:rPr>
        <w:t>1.供应商的报价表必须加盖供应商公章并由法定代表人或委托代理人签字，</w:t>
      </w:r>
      <w:r>
        <w:rPr>
          <w:rFonts w:hint="eastAsia" w:ascii="仿宋_GB2312" w:hAnsi="Calibri" w:eastAsia="仿宋_GB2312" w:cs="Calibri"/>
          <w:b/>
          <w:color w:val="000000"/>
          <w:sz w:val="24"/>
          <w:szCs w:val="24"/>
        </w:rPr>
        <w:t>否则其响应文件按无效响应处理</w:t>
      </w:r>
      <w:r>
        <w:rPr>
          <w:rFonts w:hint="eastAsia" w:ascii="仿宋_GB2312" w:hAnsi="Calibri" w:eastAsia="仿宋_GB2312" w:cs="Calibri"/>
          <w:color w:val="000000"/>
          <w:sz w:val="24"/>
          <w:szCs w:val="24"/>
        </w:rPr>
        <w:t>。</w:t>
      </w:r>
    </w:p>
    <w:p>
      <w:pPr>
        <w:snapToGrid w:val="0"/>
        <w:spacing w:before="50" w:after="50" w:line="440" w:lineRule="exact"/>
        <w:ind w:firstLine="480" w:firstLineChars="200"/>
        <w:jc w:val="left"/>
        <w:rPr>
          <w:rFonts w:ascii="仿宋_GB2312" w:hAnsi="Calibri" w:eastAsia="仿宋_GB2312" w:cs="Calibri"/>
          <w:b/>
          <w:color w:val="000000"/>
          <w:sz w:val="24"/>
          <w:szCs w:val="24"/>
        </w:rPr>
      </w:pPr>
      <w:r>
        <w:rPr>
          <w:rFonts w:hint="eastAsia" w:ascii="仿宋_GB2312" w:hAnsi="Calibri" w:eastAsia="仿宋_GB2312" w:cs="Calibri"/>
          <w:bCs/>
          <w:color w:val="000000"/>
          <w:sz w:val="24"/>
          <w:szCs w:val="24"/>
        </w:rPr>
        <w:t>2.</w:t>
      </w:r>
      <w:r>
        <w:rPr>
          <w:rFonts w:hint="eastAsia" w:ascii="仿宋_GB2312" w:hAnsi="Calibri" w:eastAsia="仿宋_GB2312" w:cs="Calibri"/>
          <w:color w:val="000000"/>
          <w:sz w:val="24"/>
          <w:szCs w:val="24"/>
        </w:rPr>
        <w:t>报价一经涂改，应在涂改处加盖供应商公章或由法定代表人或委托代理人签字或盖章</w:t>
      </w:r>
      <w:r>
        <w:rPr>
          <w:rFonts w:hint="eastAsia" w:ascii="仿宋_GB2312" w:hAnsi="Calibri" w:eastAsia="仿宋_GB2312" w:cs="Calibri"/>
          <w:b/>
          <w:color w:val="000000"/>
          <w:sz w:val="24"/>
          <w:szCs w:val="24"/>
        </w:rPr>
        <w:t>，否则其响应文件按无效响应处理。</w:t>
      </w:r>
    </w:p>
    <w:p>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pPr>
        <w:pStyle w:val="26"/>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法定代表人或委托代理人（签字）：</w:t>
      </w:r>
      <w:r>
        <w:rPr>
          <w:rFonts w:hint="eastAsia" w:hAnsi="宋体"/>
          <w:color w:val="auto"/>
          <w:sz w:val="21"/>
          <w:szCs w:val="21"/>
          <w:highlight w:val="none"/>
          <w:u w:val="single"/>
        </w:rPr>
        <w:t xml:space="preserve">                  </w:t>
      </w:r>
    </w:p>
    <w:p>
      <w:pPr>
        <w:pStyle w:val="26"/>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供应商名称（盖章）：</w:t>
      </w:r>
      <w:r>
        <w:rPr>
          <w:rFonts w:hint="eastAsia" w:hAnsi="宋体"/>
          <w:color w:val="auto"/>
          <w:sz w:val="21"/>
          <w:szCs w:val="21"/>
          <w:highlight w:val="none"/>
          <w:u w:val="single"/>
        </w:rPr>
        <w:t xml:space="preserve">                              </w:t>
      </w:r>
    </w:p>
    <w:p>
      <w:pPr>
        <w:pStyle w:val="26"/>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日 </w:t>
      </w:r>
    </w:p>
    <w:p>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pPr>
        <w:keepNext w:val="0"/>
        <w:keepLines w:val="0"/>
        <w:pageBreakBefore w:val="0"/>
        <w:widowControl/>
        <w:kinsoku/>
        <w:overflowPunct/>
        <w:topLinePunct w:val="0"/>
        <w:bidi w:val="0"/>
        <w:spacing w:line="360" w:lineRule="auto"/>
        <w:jc w:val="left"/>
        <w:textAlignment w:val="auto"/>
        <w:rPr>
          <w:rFonts w:ascii="宋体" w:hAnsi="宋体"/>
          <w:b/>
          <w:color w:val="auto"/>
          <w:sz w:val="21"/>
          <w:szCs w:val="21"/>
          <w:highlight w:val="none"/>
        </w:rPr>
      </w:pPr>
      <w:r>
        <w:rPr>
          <w:rFonts w:ascii="宋体" w:hAnsi="宋体"/>
          <w:b/>
          <w:color w:val="auto"/>
          <w:sz w:val="21"/>
          <w:szCs w:val="21"/>
          <w:highlight w:val="none"/>
        </w:rPr>
        <w:br w:type="page"/>
      </w:r>
    </w:p>
    <w:p>
      <w:pPr>
        <w:keepNext w:val="0"/>
        <w:keepLines w:val="0"/>
        <w:pageBreakBefore w:val="0"/>
        <w:kinsoku/>
        <w:overflowPunct/>
        <w:topLinePunct w:val="0"/>
        <w:bidi w:val="0"/>
        <w:spacing w:line="360" w:lineRule="auto"/>
        <w:jc w:val="center"/>
        <w:textAlignment w:val="auto"/>
        <w:rPr>
          <w:rFonts w:hint="eastAsia" w:ascii="宋体" w:hAnsi="宋体" w:cs="Times New Roman"/>
          <w:b/>
          <w:color w:val="auto"/>
          <w:sz w:val="32"/>
          <w:szCs w:val="32"/>
          <w:highlight w:val="none"/>
        </w:rPr>
      </w:pPr>
      <w:r>
        <w:rPr>
          <w:rFonts w:hint="eastAsia" w:ascii="宋体" w:hAnsi="宋体" w:cs="Times New Roman"/>
          <w:b/>
          <w:color w:val="auto"/>
          <w:sz w:val="32"/>
          <w:szCs w:val="32"/>
          <w:highlight w:val="none"/>
        </w:rPr>
        <w:t>维保期后续保报价表</w:t>
      </w:r>
    </w:p>
    <w:p>
      <w:pPr>
        <w:snapToGrid w:val="0"/>
        <w:ind w:firstLine="480" w:firstLineChars="200"/>
        <w:rPr>
          <w:rFonts w:hint="eastAsia" w:hAnsi="宋体"/>
          <w:sz w:val="24"/>
        </w:rPr>
      </w:pPr>
      <w:r>
        <w:rPr>
          <w:rFonts w:hint="eastAsia" w:hAnsi="宋体"/>
          <w:sz w:val="24"/>
        </w:rPr>
        <w:t xml:space="preserve">                  </w:t>
      </w:r>
      <w:r>
        <w:rPr>
          <w:rFonts w:hAnsi="宋体"/>
          <w:sz w:val="24"/>
        </w:rPr>
        <w:t xml:space="preserve">                        </w:t>
      </w:r>
      <w:r>
        <w:rPr>
          <w:rFonts w:hint="eastAsia" w:hAnsi="宋体"/>
          <w:sz w:val="24"/>
        </w:rPr>
        <w:t xml:space="preserve">        单位</w:t>
      </w:r>
      <w:r>
        <w:rPr>
          <w:rFonts w:hAnsi="宋体"/>
          <w:sz w:val="24"/>
        </w:rPr>
        <w:t>：人民币（</w:t>
      </w:r>
      <w:r>
        <w:rPr>
          <w:rFonts w:hint="eastAsia" w:hAnsi="宋体"/>
          <w:sz w:val="24"/>
        </w:rPr>
        <w:t>元</w:t>
      </w:r>
      <w:r>
        <w:rPr>
          <w:rFonts w:hAnsi="宋体"/>
          <w:sz w:val="24"/>
        </w:rPr>
        <w:t>）</w:t>
      </w:r>
    </w:p>
    <w:tbl>
      <w:tblPr>
        <w:tblStyle w:val="48"/>
        <w:tblW w:w="92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2"/>
        <w:gridCol w:w="1823"/>
        <w:gridCol w:w="1720"/>
        <w:gridCol w:w="1519"/>
        <w:gridCol w:w="2099"/>
        <w:gridCol w:w="1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pPr>
              <w:jc w:val="center"/>
              <w:rPr>
                <w:rFonts w:hAnsi="宋体" w:cs="仿宋_GB2312"/>
                <w:b/>
                <w:bCs/>
                <w:sz w:val="21"/>
                <w:szCs w:val="21"/>
              </w:rPr>
            </w:pPr>
            <w:r>
              <w:rPr>
                <w:rFonts w:hAnsi="宋体" w:cs="仿宋_GB2312"/>
                <w:b/>
                <w:bCs/>
                <w:sz w:val="21"/>
                <w:szCs w:val="21"/>
              </w:rPr>
              <w:t>序号</w:t>
            </w:r>
          </w:p>
        </w:tc>
        <w:tc>
          <w:tcPr>
            <w:tcW w:w="1823" w:type="dxa"/>
            <w:tcBorders>
              <w:top w:val="single" w:color="auto" w:sz="4" w:space="0"/>
              <w:left w:val="single" w:color="auto" w:sz="4" w:space="0"/>
              <w:bottom w:val="single" w:color="auto" w:sz="4" w:space="0"/>
              <w:right w:val="single" w:color="auto" w:sz="4" w:space="0"/>
            </w:tcBorders>
            <w:noWrap w:val="0"/>
            <w:vAlign w:val="center"/>
          </w:tcPr>
          <w:p>
            <w:pPr>
              <w:jc w:val="center"/>
              <w:rPr>
                <w:rFonts w:hAnsi="宋体" w:cs="仿宋_GB2312"/>
                <w:b/>
                <w:bCs/>
                <w:sz w:val="21"/>
                <w:szCs w:val="21"/>
              </w:rPr>
            </w:pPr>
            <w:r>
              <w:rPr>
                <w:rFonts w:hint="eastAsia" w:hAnsi="宋体"/>
                <w:b/>
                <w:bCs/>
                <w:sz w:val="21"/>
                <w:szCs w:val="21"/>
              </w:rPr>
              <w:t>名称</w:t>
            </w:r>
          </w:p>
        </w:tc>
        <w:tc>
          <w:tcPr>
            <w:tcW w:w="1720" w:type="dxa"/>
            <w:tcBorders>
              <w:top w:val="single" w:color="auto" w:sz="4" w:space="0"/>
              <w:left w:val="single" w:color="auto" w:sz="4" w:space="0"/>
              <w:bottom w:val="single" w:color="auto" w:sz="4" w:space="0"/>
              <w:right w:val="single" w:color="auto" w:sz="4" w:space="0"/>
            </w:tcBorders>
            <w:noWrap w:val="0"/>
            <w:vAlign w:val="center"/>
          </w:tcPr>
          <w:p>
            <w:pPr>
              <w:jc w:val="center"/>
              <w:rPr>
                <w:rFonts w:hAnsi="宋体" w:cs="仿宋_GB2312"/>
                <w:b/>
                <w:bCs/>
                <w:sz w:val="21"/>
                <w:szCs w:val="21"/>
              </w:rPr>
            </w:pPr>
            <w:r>
              <w:rPr>
                <w:rFonts w:hint="eastAsia" w:hAnsi="宋体" w:cs="仿宋_GB2312"/>
                <w:b/>
                <w:bCs/>
                <w:sz w:val="21"/>
                <w:szCs w:val="21"/>
              </w:rPr>
              <w:t>数量及单位</w:t>
            </w:r>
          </w:p>
          <w:p>
            <w:pPr>
              <w:jc w:val="center"/>
              <w:rPr>
                <w:rFonts w:hint="eastAsia" w:hAnsi="宋体" w:cs="仿宋_GB2312"/>
                <w:b/>
                <w:bCs/>
                <w:sz w:val="21"/>
                <w:szCs w:val="21"/>
              </w:rPr>
            </w:pPr>
            <w:r>
              <w:rPr>
                <w:rFonts w:hint="eastAsia" w:hAnsi="宋体"/>
                <w:b/>
                <w:bCs/>
                <w:sz w:val="21"/>
                <w:szCs w:val="21"/>
              </w:rPr>
              <w:t>①</w:t>
            </w:r>
          </w:p>
        </w:tc>
        <w:tc>
          <w:tcPr>
            <w:tcW w:w="1519" w:type="dxa"/>
            <w:tcBorders>
              <w:top w:val="single" w:color="auto" w:sz="4" w:space="0"/>
              <w:left w:val="single" w:color="auto" w:sz="4" w:space="0"/>
              <w:bottom w:val="single" w:color="auto" w:sz="4" w:space="0"/>
              <w:right w:val="single" w:color="auto" w:sz="4" w:space="0"/>
            </w:tcBorders>
            <w:noWrap w:val="0"/>
            <w:vAlign w:val="center"/>
          </w:tcPr>
          <w:p>
            <w:pPr>
              <w:jc w:val="center"/>
              <w:rPr>
                <w:rFonts w:hAnsi="宋体" w:cs="仿宋_GB2312"/>
                <w:b/>
                <w:bCs/>
                <w:sz w:val="21"/>
                <w:szCs w:val="21"/>
              </w:rPr>
            </w:pPr>
            <w:r>
              <w:rPr>
                <w:rFonts w:hint="eastAsia" w:hAnsi="宋体" w:cs="仿宋_GB2312"/>
                <w:b/>
                <w:bCs/>
                <w:sz w:val="21"/>
                <w:szCs w:val="21"/>
              </w:rPr>
              <w:t>单价</w:t>
            </w:r>
          </w:p>
          <w:p>
            <w:pPr>
              <w:jc w:val="center"/>
              <w:rPr>
                <w:rFonts w:hint="eastAsia" w:hAnsi="宋体" w:cs="仿宋_GB2312"/>
                <w:b/>
                <w:bCs/>
                <w:sz w:val="21"/>
                <w:szCs w:val="21"/>
              </w:rPr>
            </w:pPr>
            <w:r>
              <w:rPr>
                <w:rFonts w:hint="eastAsia" w:hAnsi="宋体" w:cs="仿宋_GB2312"/>
                <w:b/>
                <w:bCs/>
                <w:sz w:val="21"/>
                <w:szCs w:val="21"/>
              </w:rPr>
              <w:t>②</w:t>
            </w:r>
          </w:p>
        </w:tc>
        <w:tc>
          <w:tcPr>
            <w:tcW w:w="2099" w:type="dxa"/>
            <w:tcBorders>
              <w:top w:val="single" w:color="auto" w:sz="4" w:space="0"/>
              <w:left w:val="single" w:color="auto" w:sz="4" w:space="0"/>
              <w:bottom w:val="single" w:color="auto" w:sz="4" w:space="0"/>
              <w:right w:val="single" w:color="auto" w:sz="4" w:space="0"/>
            </w:tcBorders>
            <w:noWrap w:val="0"/>
            <w:vAlign w:val="center"/>
          </w:tcPr>
          <w:p>
            <w:pPr>
              <w:jc w:val="center"/>
              <w:rPr>
                <w:rFonts w:hAnsi="宋体" w:cs="仿宋_GB2312"/>
                <w:b/>
                <w:bCs/>
                <w:sz w:val="21"/>
                <w:szCs w:val="21"/>
              </w:rPr>
            </w:pPr>
            <w:r>
              <w:rPr>
                <w:rFonts w:hint="eastAsia" w:hAnsi="宋体" w:cs="仿宋_GB2312"/>
                <w:b/>
                <w:bCs/>
                <w:sz w:val="21"/>
                <w:szCs w:val="21"/>
              </w:rPr>
              <w:t>总价</w:t>
            </w:r>
          </w:p>
          <w:p>
            <w:pPr>
              <w:jc w:val="center"/>
              <w:rPr>
                <w:rFonts w:hint="eastAsia" w:hAnsi="宋体" w:cs="仿宋_GB2312"/>
                <w:b/>
                <w:bCs/>
                <w:sz w:val="21"/>
                <w:szCs w:val="21"/>
              </w:rPr>
            </w:pPr>
            <w:r>
              <w:rPr>
                <w:rFonts w:hint="eastAsia" w:hAnsi="宋体" w:cs="仿宋_GB2312"/>
                <w:b/>
                <w:bCs/>
                <w:sz w:val="21"/>
                <w:szCs w:val="21"/>
              </w:rPr>
              <w:t>③=①×②</w:t>
            </w:r>
          </w:p>
        </w:tc>
        <w:tc>
          <w:tcPr>
            <w:tcW w:w="1127" w:type="dxa"/>
            <w:tcBorders>
              <w:top w:val="single" w:color="auto" w:sz="4" w:space="0"/>
              <w:left w:val="single" w:color="auto" w:sz="4" w:space="0"/>
              <w:bottom w:val="single" w:color="auto" w:sz="4" w:space="0"/>
              <w:right w:val="single" w:color="auto" w:sz="4" w:space="0"/>
            </w:tcBorders>
            <w:noWrap w:val="0"/>
            <w:vAlign w:val="center"/>
          </w:tcPr>
          <w:p>
            <w:pPr>
              <w:jc w:val="center"/>
              <w:rPr>
                <w:rFonts w:hAnsi="宋体" w:cs="仿宋_GB2312"/>
                <w:b/>
                <w:bCs/>
                <w:sz w:val="21"/>
                <w:szCs w:val="21"/>
              </w:rPr>
            </w:pPr>
            <w:r>
              <w:rPr>
                <w:rFonts w:hAnsi="宋体" w:cs="仿宋_GB2312"/>
                <w:b/>
                <w:bCs/>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4"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60" w:lineRule="exact"/>
              <w:jc w:val="center"/>
              <w:rPr>
                <w:rFonts w:hAnsi="宋体"/>
                <w:sz w:val="21"/>
                <w:szCs w:val="21"/>
              </w:rPr>
            </w:pPr>
            <w:r>
              <w:rPr>
                <w:rFonts w:hint="eastAsia" w:hAnsi="宋体"/>
                <w:sz w:val="21"/>
                <w:szCs w:val="21"/>
              </w:rPr>
              <w:t>1</w:t>
            </w:r>
          </w:p>
        </w:tc>
        <w:tc>
          <w:tcPr>
            <w:tcW w:w="182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60" w:lineRule="exact"/>
              <w:jc w:val="center"/>
              <w:rPr>
                <w:rFonts w:hint="eastAsia" w:hAnsi="宋体"/>
                <w:sz w:val="21"/>
                <w:szCs w:val="21"/>
              </w:rPr>
            </w:pPr>
            <w:r>
              <w:rPr>
                <w:rFonts w:hint="eastAsia" w:hAnsi="宋体"/>
                <w:sz w:val="21"/>
                <w:szCs w:val="21"/>
              </w:rPr>
              <w:t>维护费</w:t>
            </w:r>
          </w:p>
        </w:tc>
        <w:tc>
          <w:tcPr>
            <w:tcW w:w="172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hAnsi="宋体" w:cs="仿宋_GB2312"/>
                <w:sz w:val="21"/>
                <w:szCs w:val="21"/>
              </w:rPr>
            </w:pPr>
            <w:r>
              <w:rPr>
                <w:rFonts w:hint="eastAsia" w:hAnsi="宋体" w:cs="仿宋_GB2312"/>
                <w:sz w:val="21"/>
                <w:szCs w:val="21"/>
              </w:rPr>
              <w:t>1年</w:t>
            </w:r>
          </w:p>
        </w:tc>
        <w:tc>
          <w:tcPr>
            <w:tcW w:w="1519" w:type="dxa"/>
            <w:tcBorders>
              <w:top w:val="single" w:color="auto" w:sz="4" w:space="0"/>
              <w:left w:val="single" w:color="auto" w:sz="4" w:space="0"/>
              <w:bottom w:val="single" w:color="auto" w:sz="4" w:space="0"/>
              <w:right w:val="single" w:color="auto" w:sz="4" w:space="0"/>
            </w:tcBorders>
            <w:noWrap w:val="0"/>
            <w:vAlign w:val="center"/>
          </w:tcPr>
          <w:p>
            <w:pPr>
              <w:jc w:val="center"/>
              <w:rPr>
                <w:rFonts w:hAnsi="宋体" w:cs="仿宋_GB2312"/>
                <w:sz w:val="21"/>
                <w:szCs w:val="21"/>
              </w:rPr>
            </w:pPr>
          </w:p>
        </w:tc>
        <w:tc>
          <w:tcPr>
            <w:tcW w:w="2099" w:type="dxa"/>
            <w:tcBorders>
              <w:top w:val="single" w:color="auto" w:sz="4" w:space="0"/>
              <w:left w:val="single" w:color="auto" w:sz="4" w:space="0"/>
              <w:bottom w:val="single" w:color="auto" w:sz="4" w:space="0"/>
              <w:right w:val="single" w:color="auto" w:sz="4" w:space="0"/>
            </w:tcBorders>
            <w:noWrap w:val="0"/>
            <w:vAlign w:val="center"/>
          </w:tcPr>
          <w:p>
            <w:pPr>
              <w:jc w:val="center"/>
              <w:rPr>
                <w:rFonts w:hAnsi="宋体" w:cs="仿宋_GB2312"/>
                <w:sz w:val="21"/>
                <w:szCs w:val="21"/>
              </w:rPr>
            </w:pPr>
          </w:p>
        </w:tc>
        <w:tc>
          <w:tcPr>
            <w:tcW w:w="1127" w:type="dxa"/>
            <w:tcBorders>
              <w:top w:val="single" w:color="auto" w:sz="4" w:space="0"/>
              <w:left w:val="single" w:color="auto" w:sz="4" w:space="0"/>
              <w:bottom w:val="single" w:color="auto" w:sz="4" w:space="0"/>
              <w:right w:val="single" w:color="auto" w:sz="4" w:space="0"/>
            </w:tcBorders>
            <w:noWrap w:val="0"/>
            <w:vAlign w:val="center"/>
          </w:tcPr>
          <w:p>
            <w:pPr>
              <w:jc w:val="center"/>
              <w:rPr>
                <w:rFonts w:hAnsi="宋体"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4"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60" w:lineRule="exact"/>
              <w:jc w:val="center"/>
              <w:rPr>
                <w:rFonts w:hint="eastAsia" w:hAnsi="宋体"/>
                <w:sz w:val="21"/>
                <w:szCs w:val="21"/>
              </w:rPr>
            </w:pPr>
            <w:r>
              <w:rPr>
                <w:rFonts w:hint="eastAsia" w:hAnsi="宋体"/>
                <w:sz w:val="21"/>
                <w:szCs w:val="21"/>
              </w:rPr>
              <w:t>2</w:t>
            </w:r>
          </w:p>
        </w:tc>
        <w:tc>
          <w:tcPr>
            <w:tcW w:w="182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60" w:lineRule="exact"/>
              <w:jc w:val="center"/>
              <w:rPr>
                <w:rFonts w:hint="eastAsia" w:hAnsi="宋体" w:cs="宋体"/>
                <w:kern w:val="0"/>
                <w:sz w:val="21"/>
                <w:szCs w:val="21"/>
                <w:lang w:bidi="ar"/>
              </w:rPr>
            </w:pPr>
          </w:p>
        </w:tc>
        <w:tc>
          <w:tcPr>
            <w:tcW w:w="172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hAnsi="宋体" w:cs="仿宋_GB2312"/>
                <w:sz w:val="21"/>
                <w:szCs w:val="21"/>
              </w:rPr>
            </w:pPr>
          </w:p>
        </w:tc>
        <w:tc>
          <w:tcPr>
            <w:tcW w:w="1519" w:type="dxa"/>
            <w:tcBorders>
              <w:top w:val="single" w:color="auto" w:sz="4" w:space="0"/>
              <w:left w:val="single" w:color="auto" w:sz="4" w:space="0"/>
              <w:bottom w:val="single" w:color="auto" w:sz="4" w:space="0"/>
              <w:right w:val="single" w:color="auto" w:sz="4" w:space="0"/>
            </w:tcBorders>
            <w:noWrap w:val="0"/>
            <w:vAlign w:val="top"/>
          </w:tcPr>
          <w:p>
            <w:pPr>
              <w:jc w:val="center"/>
              <w:rPr>
                <w:rFonts w:hAnsi="宋体" w:cs="仿宋_GB2312"/>
                <w:sz w:val="21"/>
                <w:szCs w:val="21"/>
              </w:rPr>
            </w:pPr>
          </w:p>
        </w:tc>
        <w:tc>
          <w:tcPr>
            <w:tcW w:w="2099" w:type="dxa"/>
            <w:tcBorders>
              <w:top w:val="single" w:color="auto" w:sz="4" w:space="0"/>
              <w:left w:val="single" w:color="auto" w:sz="4" w:space="0"/>
              <w:bottom w:val="single" w:color="auto" w:sz="4" w:space="0"/>
              <w:right w:val="single" w:color="auto" w:sz="4" w:space="0"/>
            </w:tcBorders>
            <w:noWrap w:val="0"/>
            <w:vAlign w:val="top"/>
          </w:tcPr>
          <w:p>
            <w:pPr>
              <w:jc w:val="center"/>
              <w:rPr>
                <w:rFonts w:hAnsi="宋体" w:cs="仿宋_GB2312"/>
                <w:sz w:val="21"/>
                <w:szCs w:val="21"/>
              </w:rPr>
            </w:pPr>
          </w:p>
        </w:tc>
        <w:tc>
          <w:tcPr>
            <w:tcW w:w="1127" w:type="dxa"/>
            <w:tcBorders>
              <w:top w:val="single" w:color="auto" w:sz="4" w:space="0"/>
              <w:left w:val="single" w:color="auto" w:sz="4" w:space="0"/>
              <w:bottom w:val="single" w:color="auto" w:sz="4" w:space="0"/>
              <w:right w:val="single" w:color="auto" w:sz="4" w:space="0"/>
            </w:tcBorders>
            <w:noWrap w:val="0"/>
            <w:vAlign w:val="center"/>
          </w:tcPr>
          <w:p>
            <w:pPr>
              <w:jc w:val="center"/>
              <w:rPr>
                <w:rFonts w:hAnsi="宋体"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4"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60" w:lineRule="exact"/>
              <w:jc w:val="center"/>
              <w:rPr>
                <w:rFonts w:hint="eastAsia" w:hAnsi="宋体"/>
                <w:sz w:val="21"/>
                <w:szCs w:val="21"/>
              </w:rPr>
            </w:pPr>
            <w:r>
              <w:rPr>
                <w:rFonts w:hint="eastAsia" w:hAnsi="宋体"/>
                <w:sz w:val="21"/>
                <w:szCs w:val="21"/>
              </w:rPr>
              <w:t>3</w:t>
            </w:r>
          </w:p>
        </w:tc>
        <w:tc>
          <w:tcPr>
            <w:tcW w:w="182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60" w:lineRule="exact"/>
              <w:jc w:val="center"/>
              <w:rPr>
                <w:rFonts w:hint="eastAsia" w:hAnsi="宋体"/>
                <w:sz w:val="21"/>
                <w:szCs w:val="21"/>
              </w:rPr>
            </w:pPr>
          </w:p>
        </w:tc>
        <w:tc>
          <w:tcPr>
            <w:tcW w:w="172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hAnsi="宋体" w:cs="仿宋_GB2312"/>
                <w:sz w:val="21"/>
                <w:szCs w:val="21"/>
              </w:rPr>
            </w:pPr>
          </w:p>
        </w:tc>
        <w:tc>
          <w:tcPr>
            <w:tcW w:w="1519" w:type="dxa"/>
            <w:tcBorders>
              <w:top w:val="single" w:color="auto" w:sz="4" w:space="0"/>
              <w:left w:val="single" w:color="auto" w:sz="4" w:space="0"/>
              <w:bottom w:val="single" w:color="auto" w:sz="4" w:space="0"/>
              <w:right w:val="single" w:color="auto" w:sz="4" w:space="0"/>
            </w:tcBorders>
            <w:noWrap w:val="0"/>
            <w:vAlign w:val="top"/>
          </w:tcPr>
          <w:p>
            <w:pPr>
              <w:jc w:val="center"/>
              <w:rPr>
                <w:rFonts w:hAnsi="宋体" w:cs="仿宋_GB2312"/>
                <w:sz w:val="21"/>
                <w:szCs w:val="21"/>
              </w:rPr>
            </w:pPr>
          </w:p>
        </w:tc>
        <w:tc>
          <w:tcPr>
            <w:tcW w:w="2099" w:type="dxa"/>
            <w:tcBorders>
              <w:top w:val="single" w:color="auto" w:sz="4" w:space="0"/>
              <w:left w:val="single" w:color="auto" w:sz="4" w:space="0"/>
              <w:bottom w:val="single" w:color="auto" w:sz="4" w:space="0"/>
              <w:right w:val="single" w:color="auto" w:sz="4" w:space="0"/>
            </w:tcBorders>
            <w:noWrap w:val="0"/>
            <w:vAlign w:val="top"/>
          </w:tcPr>
          <w:p>
            <w:pPr>
              <w:jc w:val="center"/>
              <w:rPr>
                <w:rFonts w:hAnsi="宋体" w:cs="仿宋_GB2312"/>
                <w:sz w:val="21"/>
                <w:szCs w:val="21"/>
              </w:rPr>
            </w:pPr>
          </w:p>
        </w:tc>
        <w:tc>
          <w:tcPr>
            <w:tcW w:w="1127" w:type="dxa"/>
            <w:tcBorders>
              <w:top w:val="single" w:color="auto" w:sz="4" w:space="0"/>
              <w:left w:val="single" w:color="auto" w:sz="4" w:space="0"/>
              <w:bottom w:val="single" w:color="auto" w:sz="4" w:space="0"/>
              <w:right w:val="single" w:color="auto" w:sz="4" w:space="0"/>
            </w:tcBorders>
            <w:noWrap w:val="0"/>
            <w:vAlign w:val="center"/>
          </w:tcPr>
          <w:p>
            <w:pPr>
              <w:jc w:val="center"/>
              <w:rPr>
                <w:rFonts w:hAnsi="宋体"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4"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60" w:lineRule="exact"/>
              <w:jc w:val="center"/>
              <w:rPr>
                <w:rFonts w:hint="eastAsia" w:hAnsi="宋体"/>
                <w:sz w:val="21"/>
                <w:szCs w:val="21"/>
              </w:rPr>
            </w:pPr>
            <w:r>
              <w:rPr>
                <w:rFonts w:hint="eastAsia" w:hAnsi="宋体"/>
                <w:sz w:val="21"/>
                <w:szCs w:val="21"/>
              </w:rPr>
              <w:t>......</w:t>
            </w:r>
          </w:p>
        </w:tc>
        <w:tc>
          <w:tcPr>
            <w:tcW w:w="182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60" w:lineRule="exact"/>
              <w:jc w:val="center"/>
              <w:rPr>
                <w:rFonts w:hint="eastAsia" w:hAnsi="宋体"/>
                <w:sz w:val="21"/>
                <w:szCs w:val="21"/>
              </w:rPr>
            </w:pPr>
          </w:p>
        </w:tc>
        <w:tc>
          <w:tcPr>
            <w:tcW w:w="172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hAnsi="宋体" w:cs="仿宋_GB2312"/>
                <w:sz w:val="21"/>
                <w:szCs w:val="21"/>
              </w:rPr>
            </w:pPr>
          </w:p>
        </w:tc>
        <w:tc>
          <w:tcPr>
            <w:tcW w:w="1519" w:type="dxa"/>
            <w:tcBorders>
              <w:top w:val="single" w:color="auto" w:sz="4" w:space="0"/>
              <w:left w:val="single" w:color="auto" w:sz="4" w:space="0"/>
              <w:bottom w:val="single" w:color="auto" w:sz="4" w:space="0"/>
              <w:right w:val="single" w:color="auto" w:sz="4" w:space="0"/>
            </w:tcBorders>
            <w:noWrap w:val="0"/>
            <w:vAlign w:val="top"/>
          </w:tcPr>
          <w:p>
            <w:pPr>
              <w:jc w:val="center"/>
              <w:rPr>
                <w:rFonts w:hAnsi="宋体" w:cs="仿宋_GB2312"/>
                <w:sz w:val="21"/>
                <w:szCs w:val="21"/>
              </w:rPr>
            </w:pPr>
          </w:p>
        </w:tc>
        <w:tc>
          <w:tcPr>
            <w:tcW w:w="2099" w:type="dxa"/>
            <w:tcBorders>
              <w:top w:val="single" w:color="auto" w:sz="4" w:space="0"/>
              <w:left w:val="single" w:color="auto" w:sz="4" w:space="0"/>
              <w:bottom w:val="single" w:color="auto" w:sz="4" w:space="0"/>
              <w:right w:val="single" w:color="auto" w:sz="4" w:space="0"/>
            </w:tcBorders>
            <w:noWrap w:val="0"/>
            <w:vAlign w:val="top"/>
          </w:tcPr>
          <w:p>
            <w:pPr>
              <w:jc w:val="center"/>
              <w:rPr>
                <w:rFonts w:hAnsi="宋体" w:cs="仿宋_GB2312"/>
                <w:sz w:val="21"/>
                <w:szCs w:val="21"/>
              </w:rPr>
            </w:pPr>
          </w:p>
        </w:tc>
        <w:tc>
          <w:tcPr>
            <w:tcW w:w="1127" w:type="dxa"/>
            <w:tcBorders>
              <w:top w:val="single" w:color="auto" w:sz="4" w:space="0"/>
              <w:left w:val="single" w:color="auto" w:sz="4" w:space="0"/>
              <w:bottom w:val="single" w:color="auto" w:sz="4" w:space="0"/>
              <w:right w:val="single" w:color="auto" w:sz="4" w:space="0"/>
            </w:tcBorders>
            <w:noWrap w:val="0"/>
            <w:vAlign w:val="center"/>
          </w:tcPr>
          <w:p>
            <w:pPr>
              <w:jc w:val="center"/>
              <w:rPr>
                <w:rFonts w:hAnsi="宋体"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0" w:hRule="atLeast"/>
          <w:jc w:val="center"/>
        </w:trPr>
        <w:tc>
          <w:tcPr>
            <w:tcW w:w="9260" w:type="dxa"/>
            <w:gridSpan w:val="6"/>
            <w:tcBorders>
              <w:top w:val="single" w:color="auto" w:sz="4" w:space="0"/>
              <w:left w:val="single" w:color="auto" w:sz="4" w:space="0"/>
              <w:bottom w:val="single" w:color="auto" w:sz="4" w:space="0"/>
              <w:right w:val="single" w:color="auto" w:sz="4" w:space="0"/>
            </w:tcBorders>
            <w:noWrap w:val="0"/>
            <w:vAlign w:val="top"/>
          </w:tcPr>
          <w:p>
            <w:pPr>
              <w:snapToGrid w:val="0"/>
              <w:spacing w:before="50" w:after="50"/>
              <w:rPr>
                <w:rFonts w:hAnsi="宋体" w:cs="仿宋_GB2312"/>
                <w:sz w:val="21"/>
                <w:szCs w:val="21"/>
              </w:rPr>
            </w:pPr>
            <w:r>
              <w:rPr>
                <w:rFonts w:hint="eastAsia" w:hAnsi="宋体" w:cs="仿宋_GB2312"/>
                <w:sz w:val="21"/>
                <w:szCs w:val="21"/>
              </w:rPr>
              <w:t>合计金额大写：人民币</w:t>
            </w:r>
            <w:r>
              <w:rPr>
                <w:rFonts w:hint="eastAsia" w:hAnsi="宋体" w:cs="仿宋_GB2312"/>
                <w:sz w:val="21"/>
                <w:szCs w:val="21"/>
                <w:u w:val="single"/>
              </w:rPr>
              <w:t xml:space="preserve">       </w:t>
            </w:r>
            <w:r>
              <w:rPr>
                <w:rFonts w:hint="eastAsia" w:hAnsi="宋体" w:cs="仿宋_GB2312"/>
                <w:sz w:val="21"/>
                <w:szCs w:val="21"/>
                <w:u w:val="single"/>
                <w:lang w:val="en-US" w:eastAsia="zh-CN"/>
              </w:rPr>
              <w:t xml:space="preserve">                </w:t>
            </w:r>
            <w:r>
              <w:rPr>
                <w:rFonts w:hint="eastAsia" w:hAnsi="宋体" w:cs="仿宋_GB2312"/>
                <w:sz w:val="21"/>
                <w:szCs w:val="21"/>
                <w:u w:val="single"/>
              </w:rPr>
              <w:t xml:space="preserve">    </w:t>
            </w:r>
            <w:r>
              <w:rPr>
                <w:rFonts w:hint="eastAsia" w:hAnsi="宋体" w:cs="仿宋_GB2312"/>
                <w:sz w:val="21"/>
                <w:szCs w:val="21"/>
              </w:rPr>
              <w:t>（¥</w:t>
            </w:r>
            <w:r>
              <w:rPr>
                <w:rFonts w:hint="eastAsia" w:hAnsi="宋体" w:cs="仿宋_GB2312"/>
                <w:sz w:val="21"/>
                <w:szCs w:val="21"/>
                <w:u w:val="single"/>
              </w:rPr>
              <w:t xml:space="preserve">           </w:t>
            </w:r>
            <w:r>
              <w:rPr>
                <w:rFonts w:hint="eastAsia" w:hAnsi="宋体" w:cs="仿宋_GB2312"/>
                <w:sz w:val="21"/>
                <w:szCs w:val="21"/>
              </w:rPr>
              <w:t>）</w:t>
            </w:r>
          </w:p>
        </w:tc>
      </w:tr>
    </w:tbl>
    <w:p>
      <w:pPr>
        <w:snapToGrid w:val="0"/>
        <w:spacing w:before="50" w:after="50" w:line="440" w:lineRule="exact"/>
        <w:jc w:val="left"/>
        <w:rPr>
          <w:rFonts w:ascii="仿宋_GB2312" w:hAnsi="Calibri" w:eastAsia="仿宋_GB2312" w:cs="Calibri"/>
          <w:color w:val="000000"/>
          <w:sz w:val="24"/>
          <w:szCs w:val="24"/>
        </w:rPr>
      </w:pPr>
      <w:r>
        <w:rPr>
          <w:rFonts w:hint="eastAsia" w:ascii="仿宋_GB2312" w:hAnsi="Calibri" w:eastAsia="仿宋_GB2312" w:cs="Calibri"/>
          <w:color w:val="000000"/>
          <w:sz w:val="24"/>
          <w:szCs w:val="24"/>
        </w:rPr>
        <w:t xml:space="preserve">注: </w:t>
      </w:r>
    </w:p>
    <w:p>
      <w:pPr>
        <w:snapToGrid w:val="0"/>
        <w:spacing w:before="50" w:after="50" w:line="440" w:lineRule="exact"/>
        <w:ind w:firstLine="480" w:firstLineChars="200"/>
        <w:jc w:val="left"/>
        <w:rPr>
          <w:rFonts w:ascii="仿宋_GB2312" w:hAnsi="Calibri" w:eastAsia="仿宋_GB2312" w:cs="Calibri"/>
          <w:color w:val="000000"/>
          <w:sz w:val="24"/>
          <w:szCs w:val="24"/>
        </w:rPr>
      </w:pPr>
      <w:r>
        <w:rPr>
          <w:rFonts w:hint="eastAsia" w:ascii="仿宋_GB2312" w:hAnsi="Calibri" w:eastAsia="仿宋_GB2312" w:cs="Calibri"/>
          <w:color w:val="000000"/>
          <w:sz w:val="24"/>
          <w:szCs w:val="24"/>
        </w:rPr>
        <w:t>1.供应商的报价表必须加盖供应商公章并由法定代表人或委托代理人签字，</w:t>
      </w:r>
      <w:r>
        <w:rPr>
          <w:rFonts w:hint="eastAsia" w:ascii="仿宋_GB2312" w:hAnsi="Calibri" w:eastAsia="仿宋_GB2312" w:cs="Calibri"/>
          <w:b/>
          <w:color w:val="000000"/>
          <w:sz w:val="24"/>
          <w:szCs w:val="24"/>
        </w:rPr>
        <w:t>否则其响应文件按无效响应处理</w:t>
      </w:r>
      <w:r>
        <w:rPr>
          <w:rFonts w:hint="eastAsia" w:ascii="仿宋_GB2312" w:hAnsi="Calibri" w:eastAsia="仿宋_GB2312" w:cs="Calibri"/>
          <w:color w:val="000000"/>
          <w:sz w:val="24"/>
          <w:szCs w:val="24"/>
        </w:rPr>
        <w:t>。</w:t>
      </w:r>
    </w:p>
    <w:p>
      <w:pPr>
        <w:snapToGrid w:val="0"/>
        <w:spacing w:before="50" w:after="50" w:line="440" w:lineRule="exact"/>
        <w:ind w:firstLine="480" w:firstLineChars="200"/>
        <w:jc w:val="left"/>
        <w:rPr>
          <w:rFonts w:ascii="仿宋_GB2312" w:hAnsi="Calibri" w:eastAsia="仿宋_GB2312" w:cs="Calibri"/>
          <w:b/>
          <w:color w:val="000000"/>
          <w:sz w:val="24"/>
          <w:szCs w:val="24"/>
        </w:rPr>
      </w:pPr>
      <w:r>
        <w:rPr>
          <w:rFonts w:hint="eastAsia" w:ascii="仿宋_GB2312" w:hAnsi="Calibri" w:eastAsia="仿宋_GB2312" w:cs="Calibri"/>
          <w:bCs/>
          <w:color w:val="000000"/>
          <w:sz w:val="24"/>
          <w:szCs w:val="24"/>
        </w:rPr>
        <w:t>2.</w:t>
      </w:r>
      <w:r>
        <w:rPr>
          <w:rFonts w:hint="eastAsia" w:ascii="仿宋_GB2312" w:hAnsi="Calibri" w:eastAsia="仿宋_GB2312" w:cs="Calibri"/>
          <w:color w:val="000000"/>
          <w:sz w:val="24"/>
          <w:szCs w:val="24"/>
        </w:rPr>
        <w:t>报价一经涂改，应在涂改处加盖供应商公章或由法定代表人或委托代理人签字或盖章</w:t>
      </w:r>
      <w:r>
        <w:rPr>
          <w:rFonts w:hint="eastAsia" w:ascii="仿宋_GB2312" w:hAnsi="Calibri" w:eastAsia="仿宋_GB2312" w:cs="Calibri"/>
          <w:b/>
          <w:color w:val="000000"/>
          <w:sz w:val="24"/>
          <w:szCs w:val="24"/>
        </w:rPr>
        <w:t>，否则其响应文件按无效响应处理。</w:t>
      </w:r>
    </w:p>
    <w:p>
      <w:pPr>
        <w:snapToGrid w:val="0"/>
        <w:spacing w:line="600" w:lineRule="auto"/>
        <w:ind w:firstLine="1200" w:firstLineChars="500"/>
        <w:jc w:val="both"/>
        <w:rPr>
          <w:rFonts w:hint="eastAsia" w:hAnsi="宋体"/>
          <w:sz w:val="24"/>
        </w:rPr>
      </w:pPr>
    </w:p>
    <w:p>
      <w:pPr>
        <w:snapToGrid w:val="0"/>
        <w:spacing w:line="600" w:lineRule="auto"/>
        <w:ind w:firstLine="1200" w:firstLineChars="500"/>
        <w:jc w:val="both"/>
        <w:rPr>
          <w:rFonts w:hint="eastAsia" w:hAnsi="宋体"/>
          <w:sz w:val="24"/>
        </w:rPr>
      </w:pPr>
    </w:p>
    <w:p>
      <w:pPr>
        <w:snapToGrid w:val="0"/>
        <w:spacing w:line="600" w:lineRule="auto"/>
        <w:ind w:firstLine="1200" w:firstLineChars="500"/>
        <w:jc w:val="both"/>
        <w:rPr>
          <w:rFonts w:hint="eastAsia" w:hAnsi="宋体"/>
          <w:sz w:val="24"/>
        </w:rPr>
      </w:pPr>
      <w:r>
        <w:rPr>
          <w:rFonts w:hint="eastAsia" w:hAnsi="宋体"/>
          <w:sz w:val="24"/>
        </w:rPr>
        <w:t>法定代表人或者委托代理人（</w:t>
      </w:r>
      <w:r>
        <w:rPr>
          <w:rFonts w:hint="eastAsia" w:hAnsi="宋体"/>
          <w:b/>
          <w:bCs/>
          <w:sz w:val="24"/>
        </w:rPr>
        <w:t>签字或者签</w:t>
      </w:r>
      <w:r>
        <w:rPr>
          <w:rFonts w:hint="eastAsia" w:hAnsi="宋体"/>
          <w:b/>
          <w:bCs/>
          <w:sz w:val="24"/>
          <w:lang w:val="en-US" w:eastAsia="zh-CN"/>
        </w:rPr>
        <w:t>章</w:t>
      </w:r>
      <w:r>
        <w:rPr>
          <w:rFonts w:hint="eastAsia" w:hAnsi="宋体"/>
          <w:sz w:val="24"/>
        </w:rPr>
        <w:t>）：</w:t>
      </w:r>
      <w:r>
        <w:rPr>
          <w:rFonts w:hAnsi="宋体"/>
          <w:sz w:val="24"/>
          <w:u w:val="single"/>
        </w:rPr>
        <w:t xml:space="preserve"> </w:t>
      </w:r>
      <w:r>
        <w:rPr>
          <w:rFonts w:hint="eastAsia" w:hAnsi="宋体"/>
          <w:sz w:val="24"/>
          <w:u w:val="single"/>
        </w:rPr>
        <w:t xml:space="preserve">         </w:t>
      </w:r>
      <w:r>
        <w:rPr>
          <w:rFonts w:hAnsi="宋体"/>
          <w:sz w:val="24"/>
          <w:u w:val="single"/>
        </w:rPr>
        <w:t xml:space="preserve">   </w:t>
      </w:r>
    </w:p>
    <w:p>
      <w:pPr>
        <w:pStyle w:val="26"/>
        <w:wordWrap/>
        <w:snapToGrid w:val="0"/>
        <w:spacing w:line="600" w:lineRule="auto"/>
        <w:jc w:val="left"/>
        <w:rPr>
          <w:rFonts w:hint="eastAsia" w:hAnsi="宋体"/>
          <w:sz w:val="24"/>
          <w:szCs w:val="24"/>
          <w:u w:val="single"/>
        </w:rPr>
      </w:pPr>
      <w:r>
        <w:rPr>
          <w:rFonts w:hint="eastAsia" w:hAnsi="宋体"/>
          <w:sz w:val="24"/>
        </w:rPr>
        <w:t xml:space="preserve"> </w:t>
      </w:r>
      <w:r>
        <w:rPr>
          <w:rFonts w:hAnsi="宋体"/>
          <w:sz w:val="24"/>
        </w:rPr>
        <w:t xml:space="preserve">                             </w:t>
      </w:r>
      <w:r>
        <w:rPr>
          <w:rFonts w:hint="eastAsia" w:hAnsi="宋体"/>
          <w:sz w:val="24"/>
        </w:rPr>
        <w:t>投标人名称（</w:t>
      </w:r>
      <w:r>
        <w:rPr>
          <w:rFonts w:hint="eastAsia" w:hAnsi="宋体"/>
          <w:b/>
          <w:bCs/>
          <w:sz w:val="24"/>
          <w:lang w:val="en-US" w:eastAsia="zh-CN"/>
        </w:rPr>
        <w:t>公章</w:t>
      </w:r>
      <w:r>
        <w:rPr>
          <w:rFonts w:hint="eastAsia" w:hAnsi="宋体"/>
          <w:sz w:val="24"/>
        </w:rPr>
        <w:t>）：</w:t>
      </w:r>
      <w:r>
        <w:rPr>
          <w:rFonts w:hAnsi="宋体"/>
          <w:sz w:val="24"/>
          <w:u w:val="single"/>
        </w:rPr>
        <w:t xml:space="preserve"> </w:t>
      </w:r>
      <w:r>
        <w:rPr>
          <w:rFonts w:hint="eastAsia" w:hAnsi="宋体"/>
          <w:sz w:val="24"/>
          <w:u w:val="single"/>
        </w:rPr>
        <w:t xml:space="preserve">         </w:t>
      </w:r>
      <w:r>
        <w:rPr>
          <w:rFonts w:hAnsi="宋体"/>
          <w:sz w:val="24"/>
          <w:u w:val="single"/>
        </w:rPr>
        <w:t xml:space="preserve"> </w:t>
      </w:r>
      <w:r>
        <w:rPr>
          <w:rFonts w:hint="eastAsia" w:hAnsi="宋体"/>
          <w:sz w:val="24"/>
          <w:u w:val="single"/>
          <w:lang w:val="en-US" w:eastAsia="zh-CN"/>
        </w:rPr>
        <w:t xml:space="preserve">  </w:t>
      </w:r>
      <w:r>
        <w:rPr>
          <w:rFonts w:hAnsi="宋体"/>
          <w:sz w:val="24"/>
          <w:u w:val="single"/>
        </w:rPr>
        <w:t xml:space="preserve">  </w:t>
      </w:r>
    </w:p>
    <w:p>
      <w:pPr>
        <w:pStyle w:val="26"/>
        <w:snapToGrid w:val="0"/>
        <w:spacing w:line="600" w:lineRule="auto"/>
        <w:jc w:val="left"/>
        <w:rPr>
          <w:rFonts w:hint="eastAsia" w:hAnsi="宋体"/>
          <w:sz w:val="24"/>
          <w:szCs w:val="24"/>
        </w:rPr>
      </w:pPr>
      <w:r>
        <w:rPr>
          <w:rFonts w:hint="eastAsia" w:hAnsi="宋体"/>
          <w:sz w:val="24"/>
          <w:szCs w:val="24"/>
        </w:rPr>
        <w:t xml:space="preserve">                                             </w:t>
      </w:r>
      <w:r>
        <w:rPr>
          <w:rFonts w:hint="eastAsia" w:hAnsi="宋体"/>
          <w:sz w:val="24"/>
          <w:szCs w:val="24"/>
          <w:u w:val="single"/>
        </w:rPr>
        <w:t xml:space="preserve">    </w:t>
      </w:r>
      <w:r>
        <w:rPr>
          <w:rFonts w:hint="eastAsia" w:hAnsi="宋体"/>
          <w:sz w:val="24"/>
          <w:szCs w:val="24"/>
        </w:rPr>
        <w:t>年</w:t>
      </w:r>
      <w:r>
        <w:rPr>
          <w:rFonts w:hint="eastAsia" w:hAnsi="宋体"/>
          <w:sz w:val="24"/>
          <w:szCs w:val="24"/>
          <w:u w:val="single"/>
        </w:rPr>
        <w:t xml:space="preserve">    </w:t>
      </w:r>
      <w:r>
        <w:rPr>
          <w:rFonts w:hint="eastAsia" w:hAnsi="宋体"/>
          <w:sz w:val="24"/>
          <w:szCs w:val="24"/>
        </w:rPr>
        <w:t>月</w:t>
      </w:r>
      <w:r>
        <w:rPr>
          <w:rFonts w:hint="eastAsia" w:hAnsi="宋体"/>
          <w:sz w:val="24"/>
          <w:szCs w:val="24"/>
          <w:u w:val="single"/>
        </w:rPr>
        <w:t xml:space="preserve">    </w:t>
      </w:r>
      <w:r>
        <w:rPr>
          <w:rFonts w:hint="eastAsia" w:hAnsi="宋体"/>
          <w:sz w:val="24"/>
          <w:szCs w:val="24"/>
        </w:rPr>
        <w:t>日</w:t>
      </w:r>
    </w:p>
    <w:p>
      <w:pPr>
        <w:pStyle w:val="26"/>
        <w:snapToGrid w:val="0"/>
        <w:spacing w:line="600" w:lineRule="auto"/>
        <w:jc w:val="left"/>
        <w:rPr>
          <w:rFonts w:hint="eastAsia" w:hAnsi="宋体"/>
          <w:sz w:val="24"/>
          <w:szCs w:val="24"/>
        </w:rPr>
      </w:pPr>
    </w:p>
    <w:p>
      <w:pPr>
        <w:pStyle w:val="26"/>
        <w:snapToGrid w:val="0"/>
        <w:spacing w:line="600" w:lineRule="auto"/>
        <w:jc w:val="left"/>
        <w:rPr>
          <w:rFonts w:hint="eastAsia" w:hAnsi="宋体"/>
          <w:sz w:val="24"/>
          <w:szCs w:val="24"/>
        </w:rPr>
      </w:pPr>
    </w:p>
    <w:p>
      <w:pPr>
        <w:pStyle w:val="26"/>
        <w:snapToGrid w:val="0"/>
        <w:spacing w:line="600" w:lineRule="auto"/>
        <w:jc w:val="left"/>
        <w:rPr>
          <w:rFonts w:hint="eastAsia" w:hAnsi="宋体"/>
          <w:sz w:val="24"/>
          <w:szCs w:val="24"/>
        </w:rPr>
      </w:pPr>
    </w:p>
    <w:p>
      <w:pPr>
        <w:pStyle w:val="26"/>
        <w:snapToGrid w:val="0"/>
        <w:spacing w:line="600" w:lineRule="auto"/>
        <w:jc w:val="left"/>
        <w:rPr>
          <w:rFonts w:hint="eastAsia" w:hAnsi="宋体"/>
          <w:sz w:val="24"/>
          <w:szCs w:val="24"/>
        </w:rPr>
      </w:pPr>
    </w:p>
    <w:p>
      <w:pPr>
        <w:snapToGrid w:val="0"/>
        <w:spacing w:before="120" w:beforeLines="50" w:after="50" w:line="240" w:lineRule="auto"/>
        <w:ind w:left="142"/>
        <w:jc w:val="center"/>
        <w:rPr>
          <w:rFonts w:hint="eastAsia" w:hAnsi="宋体"/>
          <w:b/>
          <w:sz w:val="32"/>
          <w:szCs w:val="32"/>
        </w:rPr>
      </w:pPr>
    </w:p>
    <w:p>
      <w:pPr>
        <w:snapToGrid w:val="0"/>
        <w:spacing w:before="120" w:beforeLines="50" w:after="50" w:line="240" w:lineRule="auto"/>
        <w:ind w:left="142"/>
        <w:jc w:val="center"/>
        <w:rPr>
          <w:rFonts w:hint="eastAsia" w:hAnsi="宋体" w:eastAsia="宋体"/>
          <w:b/>
          <w:sz w:val="32"/>
          <w:szCs w:val="32"/>
          <w:lang w:eastAsia="zh-CN"/>
        </w:rPr>
      </w:pPr>
      <w:r>
        <w:rPr>
          <w:rFonts w:hint="eastAsia" w:hAnsi="宋体"/>
          <w:b/>
          <w:sz w:val="32"/>
          <w:szCs w:val="32"/>
        </w:rPr>
        <w:t>备品备件等</w:t>
      </w:r>
      <w:r>
        <w:rPr>
          <w:rFonts w:hAnsi="宋体"/>
          <w:b/>
          <w:sz w:val="32"/>
          <w:szCs w:val="32"/>
        </w:rPr>
        <w:t>材料</w:t>
      </w:r>
      <w:r>
        <w:rPr>
          <w:rFonts w:hint="eastAsia" w:hAnsi="宋体"/>
          <w:b/>
          <w:sz w:val="32"/>
          <w:szCs w:val="32"/>
        </w:rPr>
        <w:t>清单</w:t>
      </w:r>
      <w:r>
        <w:rPr>
          <w:rFonts w:hint="eastAsia" w:hAnsi="宋体"/>
          <w:b/>
          <w:sz w:val="32"/>
          <w:szCs w:val="32"/>
          <w:lang w:eastAsia="zh-CN"/>
        </w:rPr>
        <w:t>（</w:t>
      </w:r>
      <w:r>
        <w:rPr>
          <w:rFonts w:hint="eastAsia" w:hAnsi="宋体"/>
          <w:b/>
          <w:sz w:val="32"/>
          <w:szCs w:val="32"/>
          <w:lang w:val="en-US" w:eastAsia="zh-CN"/>
        </w:rPr>
        <w:t>如有</w:t>
      </w:r>
      <w:r>
        <w:rPr>
          <w:rFonts w:hint="eastAsia" w:hAnsi="宋体"/>
          <w:b/>
          <w:sz w:val="32"/>
          <w:szCs w:val="32"/>
          <w:lang w:eastAsia="zh-CN"/>
        </w:rPr>
        <w:t>）</w:t>
      </w:r>
    </w:p>
    <w:p>
      <w:pPr>
        <w:spacing w:line="240" w:lineRule="auto"/>
        <w:jc w:val="both"/>
        <w:rPr>
          <w:rFonts w:hint="eastAsia" w:hAnsi="Courier New"/>
          <w:kern w:val="0"/>
          <w:sz w:val="24"/>
        </w:rPr>
      </w:pPr>
    </w:p>
    <w:tbl>
      <w:tblPr>
        <w:tblStyle w:val="4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1"/>
        <w:gridCol w:w="1245"/>
        <w:gridCol w:w="803"/>
        <w:gridCol w:w="894"/>
        <w:gridCol w:w="1528"/>
        <w:gridCol w:w="1134"/>
        <w:gridCol w:w="1105"/>
        <w:gridCol w:w="1491"/>
        <w:gridCol w:w="149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74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240" w:lineRule="auto"/>
              <w:jc w:val="center"/>
              <w:rPr>
                <w:rFonts w:hAnsi="宋体"/>
                <w:sz w:val="24"/>
              </w:rPr>
            </w:pPr>
            <w:r>
              <w:rPr>
                <w:rFonts w:hint="eastAsia" w:hAnsi="宋体"/>
                <w:sz w:val="24"/>
              </w:rPr>
              <w:t>序号</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240" w:lineRule="auto"/>
              <w:jc w:val="center"/>
              <w:rPr>
                <w:rFonts w:hAnsi="宋体"/>
                <w:sz w:val="24"/>
              </w:rPr>
            </w:pPr>
            <w:r>
              <w:rPr>
                <w:rFonts w:hint="eastAsia" w:hAnsi="宋体"/>
                <w:sz w:val="24"/>
              </w:rPr>
              <w:t>货物名称</w:t>
            </w:r>
          </w:p>
        </w:tc>
        <w:tc>
          <w:tcPr>
            <w:tcW w:w="803"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240" w:lineRule="auto"/>
              <w:jc w:val="center"/>
              <w:rPr>
                <w:rFonts w:hAnsi="宋体"/>
                <w:sz w:val="24"/>
              </w:rPr>
            </w:pPr>
            <w:r>
              <w:rPr>
                <w:rFonts w:hint="eastAsia" w:hAnsi="宋体"/>
                <w:sz w:val="24"/>
              </w:rPr>
              <w:t>数量及单位</w:t>
            </w:r>
          </w:p>
        </w:tc>
        <w:tc>
          <w:tcPr>
            <w:tcW w:w="894"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240" w:lineRule="auto"/>
              <w:jc w:val="center"/>
              <w:rPr>
                <w:rFonts w:hAnsi="宋体"/>
                <w:sz w:val="24"/>
              </w:rPr>
            </w:pPr>
            <w:r>
              <w:rPr>
                <w:rFonts w:hint="eastAsia" w:hAnsi="宋体"/>
                <w:sz w:val="24"/>
              </w:rPr>
              <w:t>品牌</w:t>
            </w:r>
          </w:p>
        </w:tc>
        <w:tc>
          <w:tcPr>
            <w:tcW w:w="1528"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50" w:line="240" w:lineRule="auto"/>
              <w:jc w:val="center"/>
              <w:rPr>
                <w:rFonts w:hAnsi="宋体"/>
                <w:sz w:val="24"/>
              </w:rPr>
            </w:pPr>
          </w:p>
          <w:p>
            <w:pPr>
              <w:snapToGrid w:val="0"/>
              <w:spacing w:before="50" w:after="50" w:line="240" w:lineRule="auto"/>
              <w:jc w:val="center"/>
              <w:rPr>
                <w:rFonts w:hAnsi="宋体"/>
                <w:sz w:val="24"/>
              </w:rPr>
            </w:pPr>
            <w:r>
              <w:rPr>
                <w:rFonts w:hint="eastAsia" w:hAnsi="宋体"/>
                <w:sz w:val="24"/>
              </w:rPr>
              <w:t>规格型号</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240" w:lineRule="auto"/>
              <w:jc w:val="center"/>
              <w:rPr>
                <w:rFonts w:hAnsi="宋体"/>
                <w:sz w:val="24"/>
              </w:rPr>
            </w:pPr>
            <w:r>
              <w:rPr>
                <w:rFonts w:hint="eastAsia" w:hAnsi="宋体"/>
                <w:sz w:val="24"/>
              </w:rPr>
              <w:t>制造商</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240" w:lineRule="auto"/>
              <w:jc w:val="center"/>
              <w:rPr>
                <w:rFonts w:hAnsi="宋体"/>
                <w:sz w:val="24"/>
              </w:rPr>
            </w:pPr>
            <w:r>
              <w:rPr>
                <w:rFonts w:hint="eastAsia" w:hAnsi="宋体"/>
                <w:sz w:val="24"/>
              </w:rPr>
              <w:t>原产地</w:t>
            </w:r>
          </w:p>
        </w:tc>
        <w:tc>
          <w:tcPr>
            <w:tcW w:w="149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240" w:lineRule="auto"/>
              <w:jc w:val="center"/>
              <w:rPr>
                <w:rFonts w:hAnsi="宋体"/>
                <w:sz w:val="24"/>
              </w:rPr>
            </w:pPr>
            <w:r>
              <w:rPr>
                <w:rFonts w:hint="eastAsia" w:hAnsi="宋体"/>
                <w:sz w:val="24"/>
              </w:rPr>
              <w:t>参数性能、指标及配置</w:t>
            </w:r>
          </w:p>
        </w:tc>
        <w:tc>
          <w:tcPr>
            <w:tcW w:w="149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240" w:lineRule="auto"/>
              <w:jc w:val="center"/>
              <w:rPr>
                <w:rFonts w:hAnsi="宋体"/>
                <w:sz w:val="24"/>
              </w:rPr>
            </w:pPr>
            <w:r>
              <w:rPr>
                <w:rFonts w:hint="eastAsia" w:hAnsi="宋体"/>
                <w:sz w:val="24"/>
              </w:rPr>
              <w:t>单价</w:t>
            </w:r>
          </w:p>
          <w:p>
            <w:pPr>
              <w:snapToGrid w:val="0"/>
              <w:spacing w:before="50" w:after="50" w:line="240" w:lineRule="auto"/>
              <w:jc w:val="center"/>
              <w:rPr>
                <w:rFonts w:hint="eastAsia" w:hAnsi="宋体"/>
                <w:sz w:val="24"/>
              </w:rPr>
            </w:pPr>
            <w:r>
              <w:rPr>
                <w:rFonts w:hAnsi="宋体"/>
                <w:sz w:val="24"/>
              </w:rPr>
              <w:t>（</w:t>
            </w:r>
            <w:r>
              <w:rPr>
                <w:rFonts w:hint="eastAsia" w:hAnsi="宋体"/>
                <w:sz w:val="24"/>
              </w:rPr>
              <w:t>元</w:t>
            </w:r>
            <w:r>
              <w:rPr>
                <w:rFonts w:hAnsi="宋体"/>
                <w:sz w:val="24"/>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74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240" w:lineRule="auto"/>
              <w:jc w:val="center"/>
              <w:rPr>
                <w:rFonts w:hint="eastAsia" w:hAnsi="宋体" w:eastAsia="宋体"/>
                <w:sz w:val="24"/>
                <w:lang w:val="en-US" w:eastAsia="zh-CN"/>
              </w:rPr>
            </w:pPr>
            <w:r>
              <w:rPr>
                <w:rFonts w:hint="eastAsia" w:hAnsi="宋体"/>
                <w:sz w:val="24"/>
                <w:lang w:val="en-US" w:eastAsia="zh-CN"/>
              </w:rPr>
              <w:t>1</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240" w:lineRule="auto"/>
              <w:jc w:val="center"/>
              <w:rPr>
                <w:rFonts w:hAnsi="宋体"/>
                <w:sz w:val="24"/>
              </w:rPr>
            </w:pPr>
          </w:p>
        </w:tc>
        <w:tc>
          <w:tcPr>
            <w:tcW w:w="803"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240" w:lineRule="auto"/>
              <w:jc w:val="center"/>
              <w:rPr>
                <w:rFonts w:hAnsi="宋体"/>
                <w:sz w:val="24"/>
              </w:rPr>
            </w:pPr>
          </w:p>
        </w:tc>
        <w:tc>
          <w:tcPr>
            <w:tcW w:w="894"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240" w:lineRule="auto"/>
              <w:jc w:val="center"/>
              <w:rPr>
                <w:rFonts w:hAnsi="宋体"/>
                <w:sz w:val="24"/>
              </w:rPr>
            </w:pPr>
          </w:p>
        </w:tc>
        <w:tc>
          <w:tcPr>
            <w:tcW w:w="1528"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50" w:line="240" w:lineRule="auto"/>
              <w:jc w:val="center"/>
              <w:rPr>
                <w:rFonts w:hAnsi="宋体"/>
                <w:sz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240" w:lineRule="auto"/>
              <w:jc w:val="center"/>
              <w:rPr>
                <w:rFonts w:hAnsi="宋体"/>
                <w:sz w:val="24"/>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240" w:lineRule="auto"/>
              <w:jc w:val="center"/>
              <w:rPr>
                <w:rFonts w:hAnsi="宋体"/>
                <w:sz w:val="24"/>
              </w:rPr>
            </w:pPr>
          </w:p>
        </w:tc>
        <w:tc>
          <w:tcPr>
            <w:tcW w:w="149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240" w:lineRule="auto"/>
              <w:jc w:val="center"/>
              <w:rPr>
                <w:rFonts w:hAnsi="宋体"/>
                <w:sz w:val="24"/>
              </w:rPr>
            </w:pPr>
          </w:p>
        </w:tc>
        <w:tc>
          <w:tcPr>
            <w:tcW w:w="1491"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50" w:line="240" w:lineRule="auto"/>
              <w:jc w:val="center"/>
              <w:rPr>
                <w:rFonts w:hAnsi="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74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240" w:lineRule="auto"/>
              <w:jc w:val="center"/>
              <w:rPr>
                <w:rFonts w:hint="eastAsia" w:hAnsi="宋体" w:eastAsia="宋体"/>
                <w:sz w:val="24"/>
                <w:lang w:val="en-US" w:eastAsia="zh-CN"/>
              </w:rPr>
            </w:pPr>
            <w:r>
              <w:rPr>
                <w:rFonts w:hint="eastAsia" w:hAnsi="宋体"/>
                <w:sz w:val="24"/>
                <w:lang w:val="en-US" w:eastAsia="zh-CN"/>
              </w:rPr>
              <w:t>2</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240" w:lineRule="auto"/>
              <w:jc w:val="center"/>
              <w:rPr>
                <w:rFonts w:hAnsi="宋体"/>
                <w:sz w:val="24"/>
              </w:rPr>
            </w:pPr>
          </w:p>
        </w:tc>
        <w:tc>
          <w:tcPr>
            <w:tcW w:w="803"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240" w:lineRule="auto"/>
              <w:jc w:val="center"/>
              <w:rPr>
                <w:rFonts w:hAnsi="宋体"/>
                <w:sz w:val="24"/>
              </w:rPr>
            </w:pPr>
          </w:p>
        </w:tc>
        <w:tc>
          <w:tcPr>
            <w:tcW w:w="894"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240" w:lineRule="auto"/>
              <w:jc w:val="center"/>
              <w:rPr>
                <w:rFonts w:hAnsi="宋体"/>
                <w:sz w:val="24"/>
              </w:rPr>
            </w:pPr>
          </w:p>
        </w:tc>
        <w:tc>
          <w:tcPr>
            <w:tcW w:w="1528"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50" w:line="240" w:lineRule="auto"/>
              <w:jc w:val="center"/>
              <w:rPr>
                <w:rFonts w:hAnsi="宋体"/>
                <w:sz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240" w:lineRule="auto"/>
              <w:jc w:val="center"/>
              <w:rPr>
                <w:rFonts w:hAnsi="宋体"/>
                <w:sz w:val="24"/>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240" w:lineRule="auto"/>
              <w:jc w:val="center"/>
              <w:rPr>
                <w:rFonts w:hAnsi="宋体"/>
                <w:sz w:val="24"/>
              </w:rPr>
            </w:pPr>
          </w:p>
        </w:tc>
        <w:tc>
          <w:tcPr>
            <w:tcW w:w="149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240" w:lineRule="auto"/>
              <w:jc w:val="center"/>
              <w:rPr>
                <w:rFonts w:hAnsi="宋体"/>
                <w:sz w:val="24"/>
              </w:rPr>
            </w:pPr>
          </w:p>
        </w:tc>
        <w:tc>
          <w:tcPr>
            <w:tcW w:w="1491"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50" w:line="240" w:lineRule="auto"/>
              <w:jc w:val="center"/>
              <w:rPr>
                <w:rFonts w:hAnsi="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74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240" w:lineRule="auto"/>
              <w:jc w:val="center"/>
              <w:rPr>
                <w:rFonts w:hint="eastAsia" w:hAnsi="宋体" w:eastAsia="宋体"/>
                <w:sz w:val="24"/>
                <w:lang w:val="en-US" w:eastAsia="zh-CN"/>
              </w:rPr>
            </w:pPr>
            <w:r>
              <w:rPr>
                <w:rFonts w:hint="eastAsia" w:hAnsi="宋体"/>
                <w:sz w:val="24"/>
                <w:lang w:val="en-US" w:eastAsia="zh-CN"/>
              </w:rPr>
              <w:t>3</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240" w:lineRule="auto"/>
              <w:jc w:val="center"/>
              <w:rPr>
                <w:rFonts w:hAnsi="宋体"/>
                <w:sz w:val="24"/>
              </w:rPr>
            </w:pPr>
          </w:p>
        </w:tc>
        <w:tc>
          <w:tcPr>
            <w:tcW w:w="803"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240" w:lineRule="auto"/>
              <w:jc w:val="center"/>
              <w:rPr>
                <w:rFonts w:hAnsi="宋体"/>
                <w:sz w:val="24"/>
              </w:rPr>
            </w:pPr>
          </w:p>
        </w:tc>
        <w:tc>
          <w:tcPr>
            <w:tcW w:w="894"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240" w:lineRule="auto"/>
              <w:jc w:val="center"/>
              <w:rPr>
                <w:rFonts w:hAnsi="宋体"/>
                <w:sz w:val="24"/>
              </w:rPr>
            </w:pPr>
          </w:p>
        </w:tc>
        <w:tc>
          <w:tcPr>
            <w:tcW w:w="1528"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50" w:line="240" w:lineRule="auto"/>
              <w:jc w:val="center"/>
              <w:rPr>
                <w:rFonts w:hAnsi="宋体"/>
                <w:sz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240" w:lineRule="auto"/>
              <w:jc w:val="center"/>
              <w:rPr>
                <w:rFonts w:hAnsi="宋体"/>
                <w:sz w:val="24"/>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240" w:lineRule="auto"/>
              <w:jc w:val="center"/>
              <w:rPr>
                <w:rFonts w:hAnsi="宋体"/>
                <w:sz w:val="24"/>
              </w:rPr>
            </w:pPr>
          </w:p>
        </w:tc>
        <w:tc>
          <w:tcPr>
            <w:tcW w:w="149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240" w:lineRule="auto"/>
              <w:jc w:val="center"/>
              <w:rPr>
                <w:rFonts w:hAnsi="宋体"/>
                <w:sz w:val="24"/>
              </w:rPr>
            </w:pPr>
          </w:p>
        </w:tc>
        <w:tc>
          <w:tcPr>
            <w:tcW w:w="1491"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50" w:line="240" w:lineRule="auto"/>
              <w:jc w:val="center"/>
              <w:rPr>
                <w:rFonts w:hAnsi="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74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240" w:lineRule="auto"/>
              <w:jc w:val="center"/>
              <w:rPr>
                <w:rFonts w:hint="eastAsia" w:hAnsi="宋体" w:eastAsia="宋体"/>
                <w:sz w:val="24"/>
                <w:lang w:val="en-US" w:eastAsia="zh-CN"/>
              </w:rPr>
            </w:pPr>
            <w:r>
              <w:rPr>
                <w:rFonts w:hint="eastAsia" w:hAnsi="宋体"/>
                <w:sz w:val="24"/>
                <w:lang w:val="en-US" w:eastAsia="zh-CN"/>
              </w:rPr>
              <w:t>4</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240" w:lineRule="auto"/>
              <w:jc w:val="center"/>
              <w:rPr>
                <w:rFonts w:hAnsi="宋体"/>
                <w:sz w:val="24"/>
              </w:rPr>
            </w:pPr>
          </w:p>
        </w:tc>
        <w:tc>
          <w:tcPr>
            <w:tcW w:w="803"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240" w:lineRule="auto"/>
              <w:jc w:val="center"/>
              <w:rPr>
                <w:rFonts w:hAnsi="宋体"/>
                <w:sz w:val="24"/>
              </w:rPr>
            </w:pPr>
          </w:p>
        </w:tc>
        <w:tc>
          <w:tcPr>
            <w:tcW w:w="894"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240" w:lineRule="auto"/>
              <w:jc w:val="center"/>
              <w:rPr>
                <w:rFonts w:hAnsi="宋体"/>
                <w:sz w:val="24"/>
              </w:rPr>
            </w:pPr>
          </w:p>
        </w:tc>
        <w:tc>
          <w:tcPr>
            <w:tcW w:w="1528"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50" w:line="240" w:lineRule="auto"/>
              <w:jc w:val="center"/>
              <w:rPr>
                <w:rFonts w:hAnsi="宋体"/>
                <w:sz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240" w:lineRule="auto"/>
              <w:jc w:val="center"/>
              <w:rPr>
                <w:rFonts w:hAnsi="宋体"/>
                <w:sz w:val="24"/>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240" w:lineRule="auto"/>
              <w:jc w:val="center"/>
              <w:rPr>
                <w:rFonts w:hAnsi="宋体"/>
                <w:sz w:val="24"/>
              </w:rPr>
            </w:pPr>
          </w:p>
        </w:tc>
        <w:tc>
          <w:tcPr>
            <w:tcW w:w="149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240" w:lineRule="auto"/>
              <w:jc w:val="center"/>
              <w:rPr>
                <w:rFonts w:hAnsi="宋体"/>
                <w:sz w:val="24"/>
              </w:rPr>
            </w:pPr>
          </w:p>
        </w:tc>
        <w:tc>
          <w:tcPr>
            <w:tcW w:w="1491"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50" w:line="240" w:lineRule="auto"/>
              <w:jc w:val="center"/>
              <w:rPr>
                <w:rFonts w:hAnsi="宋体"/>
                <w:sz w:val="24"/>
              </w:rPr>
            </w:pPr>
          </w:p>
        </w:tc>
      </w:tr>
    </w:tbl>
    <w:p>
      <w:pPr>
        <w:jc w:val="both"/>
        <w:rPr>
          <w:rFonts w:hint="eastAsia" w:hAnsi="宋体"/>
          <w:sz w:val="21"/>
          <w:szCs w:val="21"/>
        </w:rPr>
      </w:pPr>
      <w:r>
        <w:rPr>
          <w:rFonts w:hint="eastAsia" w:hAnsi="宋体"/>
          <w:sz w:val="21"/>
          <w:szCs w:val="21"/>
        </w:rPr>
        <w:t>备注：</w:t>
      </w:r>
    </w:p>
    <w:p>
      <w:pPr>
        <w:pStyle w:val="19"/>
        <w:rPr>
          <w:rFonts w:hAnsi="宋体"/>
          <w:b/>
          <w:kern w:val="2"/>
          <w:sz w:val="21"/>
          <w:szCs w:val="21"/>
        </w:rPr>
      </w:pPr>
      <w:r>
        <w:rPr>
          <w:rFonts w:hint="eastAsia" w:hAnsi="宋体"/>
          <w:kern w:val="2"/>
          <w:sz w:val="21"/>
          <w:szCs w:val="21"/>
        </w:rPr>
        <w:t>以上备品备件等材料清单中“货物名称、数量及单位、品牌、规格型号、制造商、原产地、参数性能、指标及配置”必须如实填写完整，品牌、规格型号没有则填无</w:t>
      </w:r>
      <w:r>
        <w:rPr>
          <w:rFonts w:hint="eastAsia" w:hAnsi="宋体"/>
          <w:b/>
          <w:kern w:val="2"/>
          <w:sz w:val="21"/>
          <w:szCs w:val="21"/>
        </w:rPr>
        <w:t>。</w:t>
      </w:r>
    </w:p>
    <w:p>
      <w:pPr>
        <w:pStyle w:val="26"/>
        <w:snapToGrid w:val="0"/>
        <w:spacing w:line="600" w:lineRule="auto"/>
        <w:jc w:val="left"/>
        <w:rPr>
          <w:rFonts w:hint="eastAsia" w:hAnsi="宋体"/>
          <w:sz w:val="24"/>
          <w:szCs w:val="24"/>
        </w:rPr>
      </w:pPr>
    </w:p>
    <w:p>
      <w:pPr>
        <w:pStyle w:val="26"/>
        <w:snapToGrid w:val="0"/>
        <w:spacing w:line="600" w:lineRule="auto"/>
        <w:jc w:val="left"/>
        <w:rPr>
          <w:rFonts w:hint="eastAsia" w:hAnsi="宋体"/>
          <w:sz w:val="24"/>
          <w:szCs w:val="24"/>
        </w:rPr>
      </w:pPr>
    </w:p>
    <w:p>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pPr>
        <w:keepNext w:val="0"/>
        <w:keepLines w:val="0"/>
        <w:pageBreakBefore w:val="0"/>
        <w:kinsoku/>
        <w:overflowPunct/>
        <w:topLinePunct w:val="0"/>
        <w:bidi w:val="0"/>
        <w:spacing w:line="360" w:lineRule="auto"/>
        <w:ind w:firstLine="422" w:firstLineChars="200"/>
        <w:textAlignment w:val="auto"/>
        <w:rPr>
          <w:rFonts w:ascii="宋体" w:hAnsi="宋体"/>
          <w:b/>
          <w:bCs/>
          <w:color w:val="auto"/>
          <w:sz w:val="21"/>
          <w:szCs w:val="21"/>
          <w:highlight w:val="none"/>
        </w:rPr>
      </w:pP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lang w:val="en-US" w:eastAsia="zh-CN"/>
        </w:rPr>
        <w:t>二</w:t>
      </w: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rPr>
        <w:t xml:space="preserve">商务技术文件 </w:t>
      </w:r>
    </w:p>
    <w:p>
      <w:pPr>
        <w:keepNext w:val="0"/>
        <w:keepLines w:val="0"/>
        <w:pageBreakBefore w:val="0"/>
        <w:kinsoku/>
        <w:overflowPunct/>
        <w:topLinePunct w:val="0"/>
        <w:bidi w:val="0"/>
        <w:spacing w:line="360" w:lineRule="auto"/>
        <w:ind w:firstLine="422" w:firstLineChars="200"/>
        <w:textAlignment w:val="auto"/>
        <w:rPr>
          <w:rFonts w:hint="eastAsia" w:ascii="宋体" w:hAnsi="宋体" w:eastAsia="宋体"/>
          <w:color w:val="auto"/>
          <w:sz w:val="21"/>
          <w:szCs w:val="21"/>
          <w:highlight w:val="none"/>
          <w:lang w:val="en-US" w:eastAsia="zh-CN"/>
        </w:rPr>
      </w:pPr>
      <w:r>
        <w:rPr>
          <w:rFonts w:hint="eastAsia" w:ascii="宋体" w:hAnsi="宋体"/>
          <w:b/>
          <w:bCs/>
          <w:color w:val="auto"/>
          <w:sz w:val="21"/>
          <w:szCs w:val="21"/>
          <w:highlight w:val="none"/>
        </w:rPr>
        <w:t>（1）</w:t>
      </w:r>
      <w:r>
        <w:rPr>
          <w:rFonts w:hint="eastAsia" w:ascii="宋体" w:hAnsi="宋体"/>
          <w:b/>
          <w:bCs/>
          <w:color w:val="auto"/>
          <w:sz w:val="21"/>
          <w:szCs w:val="21"/>
          <w:highlight w:val="none"/>
          <w:lang w:val="en-US" w:eastAsia="zh-CN"/>
        </w:rPr>
        <w:t>投标函格式：</w:t>
      </w:r>
    </w:p>
    <w:p>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pPr>
        <w:keepNext w:val="0"/>
        <w:keepLines w:val="0"/>
        <w:pageBreakBefore w:val="0"/>
        <w:kinsoku/>
        <w:overflowPunct/>
        <w:topLinePunct w:val="0"/>
        <w:bidi w:val="0"/>
        <w:spacing w:line="360" w:lineRule="auto"/>
        <w:jc w:val="center"/>
        <w:textAlignment w:val="auto"/>
        <w:rPr>
          <w:rFonts w:hint="default" w:ascii="宋体" w:hAnsi="宋体"/>
          <w:b/>
          <w:color w:val="auto"/>
          <w:sz w:val="36"/>
          <w:szCs w:val="36"/>
          <w:highlight w:val="none"/>
          <w:lang w:val="en-US"/>
        </w:rPr>
      </w:pPr>
      <w:r>
        <w:rPr>
          <w:rFonts w:hint="eastAsia" w:ascii="宋体" w:hAnsi="宋体"/>
          <w:b/>
          <w:color w:val="auto"/>
          <w:sz w:val="36"/>
          <w:szCs w:val="36"/>
          <w:highlight w:val="none"/>
          <w:lang w:val="en-US" w:eastAsia="zh-CN"/>
        </w:rPr>
        <w:t>投标函</w:t>
      </w:r>
    </w:p>
    <w:p>
      <w:pPr>
        <w:keepNext w:val="0"/>
        <w:keepLines w:val="0"/>
        <w:pageBreakBefore w:val="0"/>
        <w:kinsoku/>
        <w:overflowPunct/>
        <w:topLinePunct w:val="0"/>
        <w:bidi w:val="0"/>
        <w:spacing w:line="360" w:lineRule="auto"/>
        <w:jc w:val="center"/>
        <w:textAlignment w:val="auto"/>
        <w:rPr>
          <w:rFonts w:ascii="宋体" w:hAnsi="宋体"/>
          <w:b/>
          <w:color w:val="auto"/>
          <w:sz w:val="21"/>
          <w:szCs w:val="21"/>
          <w:highlight w:val="none"/>
        </w:rPr>
      </w:pPr>
    </w:p>
    <w:p>
      <w:pPr>
        <w:pStyle w:val="26"/>
        <w:keepNext w:val="0"/>
        <w:keepLines w:val="0"/>
        <w:pageBreakBefore w:val="0"/>
        <w:kinsoku/>
        <w:overflowPunct/>
        <w:topLinePunct w:val="0"/>
        <w:bidi w:val="0"/>
        <w:spacing w:line="360" w:lineRule="auto"/>
        <w:textAlignment w:val="auto"/>
        <w:rPr>
          <w:rFonts w:hAnsi="宋体"/>
          <w:color w:val="auto"/>
          <w:sz w:val="21"/>
          <w:szCs w:val="21"/>
          <w:highlight w:val="none"/>
        </w:rPr>
      </w:pPr>
      <w:r>
        <w:rPr>
          <w:rFonts w:hint="eastAsia" w:hAnsi="宋体" w:cs="Arial"/>
          <w:color w:val="auto"/>
          <w:sz w:val="21"/>
          <w:szCs w:val="21"/>
          <w:highlight w:val="none"/>
          <w:lang w:eastAsia="zh-CN"/>
        </w:rPr>
        <w:t>广西骨伤医院</w:t>
      </w:r>
      <w:r>
        <w:rPr>
          <w:rFonts w:hint="eastAsia" w:hAnsi="宋体"/>
          <w:color w:val="auto"/>
          <w:sz w:val="21"/>
          <w:szCs w:val="21"/>
          <w:highlight w:val="none"/>
        </w:rPr>
        <w:t>：</w:t>
      </w:r>
    </w:p>
    <w:p>
      <w:pPr>
        <w:pStyle w:val="26"/>
        <w:keepNext w:val="0"/>
        <w:keepLines w:val="0"/>
        <w:pageBreakBefore w:val="0"/>
        <w:kinsoku/>
        <w:overflowPunct/>
        <w:topLinePunct w:val="0"/>
        <w:bidi w:val="0"/>
        <w:spacing w:line="360" w:lineRule="auto"/>
        <w:ind w:firstLine="480"/>
        <w:textAlignment w:val="auto"/>
        <w:rPr>
          <w:rFonts w:hAnsi="宋体"/>
          <w:color w:val="auto"/>
          <w:sz w:val="21"/>
          <w:szCs w:val="21"/>
          <w:highlight w:val="none"/>
        </w:rPr>
      </w:pPr>
      <w:r>
        <w:rPr>
          <w:rFonts w:hint="eastAsia" w:hAnsi="宋体"/>
          <w:color w:val="auto"/>
          <w:sz w:val="21"/>
          <w:szCs w:val="21"/>
          <w:highlight w:val="none"/>
        </w:rPr>
        <w:t>依据贵方</w:t>
      </w:r>
      <w:r>
        <w:rPr>
          <w:rFonts w:hint="eastAsia" w:hAnsi="宋体"/>
          <w:color w:val="auto"/>
          <w:sz w:val="21"/>
          <w:szCs w:val="21"/>
          <w:highlight w:val="none"/>
          <w:u w:val="single"/>
          <w:lang w:val="en-US" w:eastAsia="zh-CN"/>
        </w:rPr>
        <w:t xml:space="preserve">     </w:t>
      </w:r>
      <w:r>
        <w:rPr>
          <w:rFonts w:hint="eastAsia" w:hAnsi="宋体"/>
          <w:color w:val="auto"/>
          <w:sz w:val="21"/>
          <w:szCs w:val="21"/>
          <w:highlight w:val="none"/>
          <w:u w:val="single"/>
          <w:lang w:eastAsia="zh-CN"/>
        </w:rPr>
        <w:t>******</w:t>
      </w:r>
      <w:r>
        <w:rPr>
          <w:rFonts w:hint="eastAsia" w:hAnsi="宋体"/>
          <w:color w:val="auto"/>
          <w:sz w:val="21"/>
          <w:szCs w:val="21"/>
          <w:highlight w:val="none"/>
          <w:u w:val="single"/>
          <w:lang w:val="en-US" w:eastAsia="zh-CN"/>
        </w:rPr>
        <w:t xml:space="preserve">   项目</w:t>
      </w:r>
      <w:r>
        <w:rPr>
          <w:rFonts w:hint="eastAsia" w:hAnsi="宋体"/>
          <w:color w:val="auto"/>
          <w:sz w:val="21"/>
          <w:szCs w:val="21"/>
          <w:highlight w:val="none"/>
          <w:u w:val="single"/>
        </w:rPr>
        <w:t>（</w:t>
      </w:r>
      <w:r>
        <w:rPr>
          <w:rFonts w:hint="eastAsia" w:hAnsi="宋体"/>
          <w:color w:val="auto"/>
          <w:sz w:val="21"/>
          <w:szCs w:val="21"/>
          <w:highlight w:val="none"/>
          <w:u w:val="single"/>
          <w:lang w:val="en-US" w:eastAsia="zh-CN"/>
        </w:rPr>
        <w:t xml:space="preserve">项目编号：        </w:t>
      </w:r>
      <w:r>
        <w:rPr>
          <w:rFonts w:hint="eastAsia" w:hAnsi="宋体"/>
          <w:color w:val="auto"/>
          <w:sz w:val="21"/>
          <w:szCs w:val="21"/>
          <w:highlight w:val="none"/>
          <w:u w:val="none"/>
        </w:rPr>
        <w:t>）</w:t>
      </w:r>
      <w:r>
        <w:rPr>
          <w:rFonts w:hint="eastAsia" w:hAnsi="宋体"/>
          <w:color w:val="auto"/>
          <w:sz w:val="21"/>
          <w:szCs w:val="21"/>
          <w:highlight w:val="none"/>
        </w:rPr>
        <w:t>项目的</w:t>
      </w:r>
      <w:r>
        <w:rPr>
          <w:rFonts w:hint="eastAsia" w:hAnsi="宋体"/>
          <w:color w:val="auto"/>
          <w:sz w:val="21"/>
          <w:szCs w:val="21"/>
          <w:highlight w:val="none"/>
          <w:lang w:eastAsia="zh-CN"/>
        </w:rPr>
        <w:t>磋商</w:t>
      </w:r>
      <w:r>
        <w:rPr>
          <w:rFonts w:hint="eastAsia" w:hAnsi="宋体"/>
          <w:color w:val="auto"/>
          <w:sz w:val="21"/>
          <w:szCs w:val="21"/>
          <w:highlight w:val="none"/>
        </w:rPr>
        <w:t>邀请，我方</w:t>
      </w:r>
      <w:r>
        <w:rPr>
          <w:rFonts w:hint="eastAsia" w:hAnsi="宋体"/>
          <w:color w:val="auto"/>
          <w:sz w:val="21"/>
          <w:szCs w:val="21"/>
          <w:highlight w:val="none"/>
          <w:u w:val="single"/>
        </w:rPr>
        <w:t>（姓名和职务）</w:t>
      </w:r>
      <w:r>
        <w:rPr>
          <w:rFonts w:hint="eastAsia" w:hAnsi="宋体"/>
          <w:color w:val="auto"/>
          <w:sz w:val="21"/>
          <w:szCs w:val="21"/>
          <w:highlight w:val="none"/>
        </w:rPr>
        <w:t>经正式授权并代表</w:t>
      </w:r>
      <w:r>
        <w:rPr>
          <w:rFonts w:hint="eastAsia" w:hAnsi="宋体"/>
          <w:color w:val="auto"/>
          <w:sz w:val="21"/>
          <w:szCs w:val="21"/>
          <w:highlight w:val="none"/>
          <w:u w:val="single"/>
        </w:rPr>
        <w:t xml:space="preserve">       （供应商名称、地址）         </w:t>
      </w:r>
      <w:r>
        <w:rPr>
          <w:rFonts w:hint="eastAsia" w:hAnsi="宋体"/>
          <w:color w:val="auto"/>
          <w:sz w:val="21"/>
          <w:szCs w:val="21"/>
          <w:highlight w:val="none"/>
        </w:rPr>
        <w:t>提交下述</w:t>
      </w:r>
      <w:r>
        <w:rPr>
          <w:rFonts w:hint="eastAsia" w:hAnsi="宋体"/>
          <w:color w:val="auto"/>
          <w:sz w:val="21"/>
          <w:szCs w:val="21"/>
          <w:highlight w:val="none"/>
          <w:lang w:eastAsia="zh-CN"/>
        </w:rPr>
        <w:t>磋商响应文件</w:t>
      </w:r>
      <w:r>
        <w:rPr>
          <w:rFonts w:hint="eastAsia" w:hAnsi="宋体"/>
          <w:color w:val="auto"/>
          <w:sz w:val="21"/>
          <w:szCs w:val="21"/>
          <w:highlight w:val="none"/>
        </w:rPr>
        <w:t>（价格文件、商务技术文件）正本一份和副本</w:t>
      </w:r>
      <w:r>
        <w:rPr>
          <w:rFonts w:hint="eastAsia" w:hAnsi="宋体"/>
          <w:color w:val="auto"/>
          <w:sz w:val="21"/>
          <w:szCs w:val="21"/>
          <w:highlight w:val="none"/>
          <w:u w:val="single"/>
        </w:rPr>
        <w:t xml:space="preserve">   </w:t>
      </w:r>
      <w:r>
        <w:rPr>
          <w:rFonts w:hint="eastAsia" w:hAnsi="宋体"/>
          <w:color w:val="auto"/>
          <w:sz w:val="21"/>
          <w:szCs w:val="21"/>
          <w:highlight w:val="none"/>
        </w:rPr>
        <w:t>份：</w:t>
      </w:r>
    </w:p>
    <w:p>
      <w:pPr>
        <w:pStyle w:val="26"/>
        <w:keepNext w:val="0"/>
        <w:keepLines w:val="0"/>
        <w:pageBreakBefore w:val="0"/>
        <w:kinsoku/>
        <w:overflowPunct/>
        <w:topLinePunct w:val="0"/>
        <w:bidi w:val="0"/>
        <w:spacing w:line="360" w:lineRule="auto"/>
        <w:ind w:firstLine="480"/>
        <w:textAlignment w:val="auto"/>
        <w:rPr>
          <w:rFonts w:hAnsi="宋体"/>
          <w:color w:val="auto"/>
          <w:sz w:val="21"/>
          <w:szCs w:val="21"/>
          <w:highlight w:val="none"/>
        </w:rPr>
      </w:pPr>
      <w:r>
        <w:rPr>
          <w:rFonts w:hint="eastAsia" w:hAnsi="宋体"/>
          <w:color w:val="auto"/>
          <w:sz w:val="21"/>
          <w:szCs w:val="21"/>
          <w:highlight w:val="none"/>
        </w:rPr>
        <w:t xml:space="preserve">1. </w:t>
      </w:r>
      <w:r>
        <w:rPr>
          <w:rFonts w:hint="eastAsia" w:hAnsi="宋体"/>
          <w:color w:val="auto"/>
          <w:sz w:val="21"/>
          <w:szCs w:val="21"/>
          <w:highlight w:val="none"/>
          <w:lang w:val="en-US" w:eastAsia="zh-CN"/>
        </w:rPr>
        <w:t>磋商</w:t>
      </w:r>
      <w:r>
        <w:rPr>
          <w:rFonts w:hint="eastAsia" w:hAnsi="宋体"/>
          <w:color w:val="auto"/>
          <w:sz w:val="21"/>
          <w:szCs w:val="21"/>
          <w:highlight w:val="none"/>
        </w:rPr>
        <w:t>报价表；</w:t>
      </w:r>
    </w:p>
    <w:p>
      <w:pPr>
        <w:pStyle w:val="26"/>
        <w:keepNext w:val="0"/>
        <w:keepLines w:val="0"/>
        <w:pageBreakBefore w:val="0"/>
        <w:kinsoku/>
        <w:overflowPunct/>
        <w:topLinePunct w:val="0"/>
        <w:bidi w:val="0"/>
        <w:spacing w:line="360" w:lineRule="auto"/>
        <w:ind w:firstLine="480"/>
        <w:textAlignment w:val="auto"/>
        <w:rPr>
          <w:rFonts w:hAnsi="宋体"/>
          <w:color w:val="auto"/>
          <w:sz w:val="21"/>
          <w:szCs w:val="21"/>
          <w:highlight w:val="none"/>
        </w:rPr>
      </w:pPr>
      <w:r>
        <w:rPr>
          <w:rFonts w:hint="eastAsia" w:hAnsi="宋体"/>
          <w:color w:val="auto"/>
          <w:sz w:val="21"/>
          <w:szCs w:val="21"/>
          <w:highlight w:val="none"/>
        </w:rPr>
        <w:t>2. 技术规格响应、偏离情况说明表；</w:t>
      </w:r>
    </w:p>
    <w:p>
      <w:pPr>
        <w:pStyle w:val="26"/>
        <w:keepNext w:val="0"/>
        <w:keepLines w:val="0"/>
        <w:pageBreakBefore w:val="0"/>
        <w:kinsoku/>
        <w:overflowPunct/>
        <w:topLinePunct w:val="0"/>
        <w:bidi w:val="0"/>
        <w:spacing w:line="360" w:lineRule="auto"/>
        <w:ind w:firstLine="480"/>
        <w:textAlignment w:val="auto"/>
        <w:rPr>
          <w:rFonts w:hAnsi="宋体"/>
          <w:color w:val="auto"/>
          <w:sz w:val="21"/>
          <w:szCs w:val="21"/>
          <w:highlight w:val="none"/>
        </w:rPr>
      </w:pPr>
      <w:r>
        <w:rPr>
          <w:rFonts w:hint="eastAsia" w:hAnsi="宋体"/>
          <w:color w:val="auto"/>
          <w:sz w:val="21"/>
          <w:szCs w:val="21"/>
          <w:highlight w:val="none"/>
        </w:rPr>
        <w:t>3. 按</w:t>
      </w:r>
      <w:r>
        <w:rPr>
          <w:rFonts w:hint="eastAsia" w:hAnsi="宋体"/>
          <w:color w:val="auto"/>
          <w:sz w:val="21"/>
          <w:szCs w:val="21"/>
          <w:highlight w:val="none"/>
          <w:lang w:eastAsia="zh-CN"/>
        </w:rPr>
        <w:t>磋商</w:t>
      </w:r>
      <w:r>
        <w:rPr>
          <w:rFonts w:hint="eastAsia" w:hAnsi="宋体"/>
          <w:color w:val="auto"/>
          <w:sz w:val="21"/>
          <w:szCs w:val="21"/>
          <w:highlight w:val="none"/>
        </w:rPr>
        <w:t>文件</w:t>
      </w:r>
      <w:r>
        <w:rPr>
          <w:rFonts w:hint="eastAsia" w:hAnsi="宋体"/>
          <w:color w:val="auto"/>
          <w:sz w:val="21"/>
          <w:szCs w:val="21"/>
          <w:highlight w:val="none"/>
          <w:lang w:eastAsia="zh-CN"/>
        </w:rPr>
        <w:t>磋商</w:t>
      </w:r>
      <w:r>
        <w:rPr>
          <w:rFonts w:hint="eastAsia" w:hAnsi="宋体"/>
          <w:color w:val="auto"/>
          <w:sz w:val="21"/>
          <w:szCs w:val="21"/>
          <w:highlight w:val="none"/>
        </w:rPr>
        <w:t>须知和技术规格要求提供的有关文件；</w:t>
      </w:r>
    </w:p>
    <w:p>
      <w:pPr>
        <w:pStyle w:val="26"/>
        <w:keepNext w:val="0"/>
        <w:keepLines w:val="0"/>
        <w:pageBreakBefore w:val="0"/>
        <w:kinsoku/>
        <w:overflowPunct/>
        <w:topLinePunct w:val="0"/>
        <w:bidi w:val="0"/>
        <w:spacing w:line="360" w:lineRule="auto"/>
        <w:ind w:firstLine="480"/>
        <w:textAlignment w:val="auto"/>
        <w:rPr>
          <w:rFonts w:hAnsi="宋体"/>
          <w:color w:val="auto"/>
          <w:sz w:val="21"/>
          <w:szCs w:val="21"/>
          <w:highlight w:val="none"/>
        </w:rPr>
      </w:pPr>
      <w:r>
        <w:rPr>
          <w:rFonts w:hint="eastAsia" w:hAnsi="宋体"/>
          <w:color w:val="auto"/>
          <w:sz w:val="21"/>
          <w:szCs w:val="21"/>
          <w:highlight w:val="none"/>
        </w:rPr>
        <w:t>4. 资格证明文件；</w:t>
      </w:r>
    </w:p>
    <w:p>
      <w:pPr>
        <w:pStyle w:val="26"/>
        <w:keepNext w:val="0"/>
        <w:keepLines w:val="0"/>
        <w:pageBreakBefore w:val="0"/>
        <w:kinsoku/>
        <w:overflowPunct/>
        <w:topLinePunct w:val="0"/>
        <w:bidi w:val="0"/>
        <w:spacing w:line="360" w:lineRule="auto"/>
        <w:textAlignment w:val="auto"/>
        <w:rPr>
          <w:rFonts w:hAnsi="宋体"/>
          <w:color w:val="auto"/>
          <w:sz w:val="21"/>
          <w:szCs w:val="21"/>
          <w:highlight w:val="none"/>
        </w:rPr>
      </w:pPr>
      <w:r>
        <w:rPr>
          <w:rFonts w:hint="eastAsia" w:hAnsi="宋体"/>
          <w:color w:val="auto"/>
          <w:sz w:val="21"/>
          <w:szCs w:val="21"/>
          <w:highlight w:val="none"/>
        </w:rPr>
        <w:t>在此，委托代理人宣布同意如下：</w:t>
      </w:r>
    </w:p>
    <w:p>
      <w:pPr>
        <w:pStyle w:val="26"/>
        <w:keepNext w:val="0"/>
        <w:keepLines w:val="0"/>
        <w:pageBreakBefore w:val="0"/>
        <w:kinsoku/>
        <w:overflowPunct/>
        <w:topLinePunct w:val="0"/>
        <w:bidi w:val="0"/>
        <w:spacing w:line="360" w:lineRule="auto"/>
        <w:ind w:firstLine="480"/>
        <w:textAlignment w:val="auto"/>
        <w:rPr>
          <w:rFonts w:hAnsi="宋体"/>
          <w:color w:val="auto"/>
          <w:sz w:val="21"/>
          <w:szCs w:val="21"/>
          <w:highlight w:val="none"/>
        </w:rPr>
      </w:pPr>
      <w:r>
        <w:rPr>
          <w:rFonts w:hint="eastAsia" w:hAnsi="宋体"/>
          <w:color w:val="auto"/>
          <w:sz w:val="21"/>
          <w:szCs w:val="21"/>
          <w:highlight w:val="none"/>
        </w:rPr>
        <w:t>1. 将按</w:t>
      </w:r>
      <w:r>
        <w:rPr>
          <w:rFonts w:hint="eastAsia" w:hAnsi="宋体"/>
          <w:color w:val="auto"/>
          <w:sz w:val="21"/>
          <w:szCs w:val="21"/>
          <w:highlight w:val="none"/>
          <w:lang w:eastAsia="zh-CN"/>
        </w:rPr>
        <w:t>磋商</w:t>
      </w:r>
      <w:r>
        <w:rPr>
          <w:rFonts w:hint="eastAsia" w:hAnsi="宋体"/>
          <w:color w:val="auto"/>
          <w:sz w:val="21"/>
          <w:szCs w:val="21"/>
          <w:highlight w:val="none"/>
        </w:rPr>
        <w:t>文件的约定履行合同责任和义务；</w:t>
      </w:r>
    </w:p>
    <w:p>
      <w:pPr>
        <w:pStyle w:val="26"/>
        <w:keepNext w:val="0"/>
        <w:keepLines w:val="0"/>
        <w:pageBreakBefore w:val="0"/>
        <w:kinsoku/>
        <w:overflowPunct/>
        <w:topLinePunct w:val="0"/>
        <w:bidi w:val="0"/>
        <w:spacing w:line="360" w:lineRule="auto"/>
        <w:ind w:left="794" w:leftChars="228" w:hanging="315" w:hangingChars="150"/>
        <w:textAlignment w:val="auto"/>
        <w:rPr>
          <w:rFonts w:hAnsi="宋体"/>
          <w:color w:val="auto"/>
          <w:sz w:val="21"/>
          <w:szCs w:val="21"/>
          <w:highlight w:val="none"/>
        </w:rPr>
      </w:pPr>
      <w:r>
        <w:rPr>
          <w:rFonts w:hint="eastAsia" w:hAnsi="宋体"/>
          <w:color w:val="auto"/>
          <w:sz w:val="21"/>
          <w:szCs w:val="21"/>
          <w:highlight w:val="none"/>
        </w:rPr>
        <w:t>2. 已详细审查全部</w:t>
      </w:r>
      <w:r>
        <w:rPr>
          <w:rFonts w:hint="eastAsia" w:hAnsi="宋体"/>
          <w:color w:val="auto"/>
          <w:sz w:val="21"/>
          <w:szCs w:val="21"/>
          <w:highlight w:val="none"/>
          <w:lang w:eastAsia="zh-CN"/>
        </w:rPr>
        <w:t>磋商</w:t>
      </w:r>
      <w:r>
        <w:rPr>
          <w:rFonts w:hint="eastAsia" w:hAnsi="宋体"/>
          <w:color w:val="auto"/>
          <w:sz w:val="21"/>
          <w:szCs w:val="21"/>
          <w:highlight w:val="none"/>
        </w:rPr>
        <w:t>文件，包括</w:t>
      </w:r>
      <w:r>
        <w:rPr>
          <w:rFonts w:hint="eastAsia" w:hAnsi="宋体"/>
          <w:color w:val="auto"/>
          <w:sz w:val="21"/>
          <w:szCs w:val="21"/>
          <w:highlight w:val="none"/>
          <w:u w:val="single"/>
        </w:rPr>
        <w:t>（补遗书）（如有）</w:t>
      </w:r>
      <w:r>
        <w:rPr>
          <w:rFonts w:hint="eastAsia" w:hAnsi="宋体"/>
          <w:color w:val="auto"/>
          <w:sz w:val="21"/>
          <w:szCs w:val="21"/>
          <w:highlight w:val="none"/>
        </w:rPr>
        <w:t>；我们完全理解并同意放弃对这方面有不明及误解的权力；</w:t>
      </w:r>
    </w:p>
    <w:p>
      <w:pPr>
        <w:pStyle w:val="26"/>
        <w:keepNext w:val="0"/>
        <w:keepLines w:val="0"/>
        <w:pageBreakBefore w:val="0"/>
        <w:kinsoku/>
        <w:overflowPunct/>
        <w:topLinePunct w:val="0"/>
        <w:bidi w:val="0"/>
        <w:spacing w:line="360" w:lineRule="auto"/>
        <w:ind w:left="840" w:hanging="360"/>
        <w:textAlignment w:val="auto"/>
        <w:rPr>
          <w:rFonts w:hAnsi="宋体"/>
          <w:color w:val="auto"/>
          <w:sz w:val="21"/>
          <w:szCs w:val="21"/>
          <w:highlight w:val="none"/>
        </w:rPr>
      </w:pPr>
      <w:r>
        <w:rPr>
          <w:rFonts w:hint="eastAsia" w:hAnsi="宋体"/>
          <w:color w:val="auto"/>
          <w:sz w:val="21"/>
          <w:szCs w:val="21"/>
          <w:highlight w:val="none"/>
        </w:rPr>
        <w:t>3. 同意提供按照贵方可能要求的与其</w:t>
      </w:r>
      <w:r>
        <w:rPr>
          <w:rFonts w:hint="eastAsia" w:hAnsi="宋体"/>
          <w:color w:val="auto"/>
          <w:sz w:val="21"/>
          <w:szCs w:val="21"/>
          <w:highlight w:val="none"/>
          <w:lang w:eastAsia="zh-CN"/>
        </w:rPr>
        <w:t>磋商</w:t>
      </w:r>
      <w:r>
        <w:rPr>
          <w:rFonts w:hint="eastAsia" w:hAnsi="宋体"/>
          <w:color w:val="auto"/>
          <w:sz w:val="21"/>
          <w:szCs w:val="21"/>
          <w:highlight w:val="none"/>
        </w:rPr>
        <w:t>有关的一切数据或资料；</w:t>
      </w:r>
    </w:p>
    <w:p>
      <w:pPr>
        <w:pStyle w:val="26"/>
        <w:keepNext w:val="0"/>
        <w:keepLines w:val="0"/>
        <w:pageBreakBefore w:val="0"/>
        <w:kinsoku/>
        <w:overflowPunct/>
        <w:topLinePunct w:val="0"/>
        <w:bidi w:val="0"/>
        <w:spacing w:line="360" w:lineRule="auto"/>
        <w:ind w:firstLine="480"/>
        <w:textAlignment w:val="auto"/>
        <w:rPr>
          <w:rFonts w:hAnsi="宋体"/>
          <w:color w:val="auto"/>
          <w:sz w:val="21"/>
          <w:szCs w:val="21"/>
          <w:highlight w:val="none"/>
          <w:u w:val="single"/>
        </w:rPr>
      </w:pPr>
      <w:r>
        <w:rPr>
          <w:rFonts w:hint="eastAsia" w:hAnsi="宋体"/>
          <w:color w:val="auto"/>
          <w:sz w:val="21"/>
          <w:szCs w:val="21"/>
          <w:highlight w:val="none"/>
        </w:rPr>
        <w:t>4. 与本</w:t>
      </w:r>
      <w:r>
        <w:rPr>
          <w:rFonts w:hint="eastAsia" w:hAnsi="宋体"/>
          <w:color w:val="auto"/>
          <w:sz w:val="21"/>
          <w:szCs w:val="21"/>
          <w:highlight w:val="none"/>
          <w:lang w:eastAsia="zh-CN"/>
        </w:rPr>
        <w:t>磋商</w:t>
      </w:r>
      <w:r>
        <w:rPr>
          <w:rFonts w:hint="eastAsia" w:hAnsi="宋体"/>
          <w:color w:val="auto"/>
          <w:sz w:val="21"/>
          <w:szCs w:val="21"/>
          <w:highlight w:val="none"/>
        </w:rPr>
        <w:t>有关的一切正式往来信函请寄：</w:t>
      </w:r>
      <w:r>
        <w:rPr>
          <w:rFonts w:hint="eastAsia" w:hAnsi="宋体"/>
          <w:color w:val="auto"/>
          <w:sz w:val="21"/>
          <w:szCs w:val="21"/>
          <w:highlight w:val="none"/>
          <w:u w:val="single"/>
        </w:rPr>
        <w:t xml:space="preserve">                       </w:t>
      </w:r>
    </w:p>
    <w:p>
      <w:pPr>
        <w:pStyle w:val="26"/>
        <w:keepNext w:val="0"/>
        <w:keepLines w:val="0"/>
        <w:pageBreakBefore w:val="0"/>
        <w:kinsoku/>
        <w:overflowPunct/>
        <w:topLinePunct w:val="0"/>
        <w:bidi w:val="0"/>
        <w:spacing w:line="360" w:lineRule="auto"/>
        <w:ind w:firstLine="840"/>
        <w:textAlignment w:val="auto"/>
        <w:rPr>
          <w:rFonts w:hAnsi="宋体"/>
          <w:color w:val="auto"/>
          <w:sz w:val="21"/>
          <w:szCs w:val="21"/>
          <w:highlight w:val="none"/>
        </w:rPr>
      </w:pPr>
      <w:r>
        <w:rPr>
          <w:rFonts w:hint="eastAsia" w:hAnsi="宋体"/>
          <w:color w:val="auto"/>
          <w:sz w:val="21"/>
          <w:szCs w:val="21"/>
          <w:highlight w:val="none"/>
        </w:rPr>
        <w:t>电话/传真：</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 电子函件：</w:t>
      </w:r>
      <w:r>
        <w:rPr>
          <w:rFonts w:hint="eastAsia" w:hAnsi="宋体"/>
          <w:color w:val="auto"/>
          <w:sz w:val="21"/>
          <w:szCs w:val="21"/>
          <w:highlight w:val="none"/>
          <w:u w:val="single"/>
        </w:rPr>
        <w:t xml:space="preserve">             </w:t>
      </w:r>
    </w:p>
    <w:p>
      <w:pPr>
        <w:pStyle w:val="26"/>
        <w:keepNext w:val="0"/>
        <w:keepLines w:val="0"/>
        <w:pageBreakBefore w:val="0"/>
        <w:kinsoku/>
        <w:overflowPunct/>
        <w:topLinePunct w:val="0"/>
        <w:bidi w:val="0"/>
        <w:spacing w:line="360" w:lineRule="auto"/>
        <w:ind w:firstLine="840"/>
        <w:textAlignment w:val="auto"/>
        <w:rPr>
          <w:rFonts w:hAnsi="宋体"/>
          <w:color w:val="auto"/>
          <w:sz w:val="21"/>
          <w:szCs w:val="21"/>
          <w:highlight w:val="none"/>
          <w:u w:val="singl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日</w:t>
      </w:r>
    </w:p>
    <w:p>
      <w:pPr>
        <w:pStyle w:val="26"/>
        <w:keepNext w:val="0"/>
        <w:keepLines w:val="0"/>
        <w:pageBreakBefore w:val="0"/>
        <w:kinsoku/>
        <w:overflowPunct/>
        <w:topLinePunct w:val="0"/>
        <w:bidi w:val="0"/>
        <w:spacing w:line="360" w:lineRule="auto"/>
        <w:ind w:firstLine="840"/>
        <w:textAlignment w:val="auto"/>
        <w:rPr>
          <w:rFonts w:hAnsi="宋体"/>
          <w:color w:val="auto"/>
          <w:sz w:val="21"/>
          <w:szCs w:val="21"/>
          <w:highlight w:val="none"/>
          <w:u w:val="single"/>
        </w:rPr>
      </w:pPr>
      <w:r>
        <w:rPr>
          <w:rFonts w:hint="eastAsia" w:hAnsi="宋体"/>
          <w:color w:val="auto"/>
          <w:sz w:val="21"/>
          <w:szCs w:val="21"/>
          <w:highlight w:val="none"/>
        </w:rPr>
        <w:t>法定代表人</w:t>
      </w:r>
      <w:r>
        <w:rPr>
          <w:rFonts w:hint="eastAsia" w:hAnsi="宋体"/>
          <w:color w:val="auto"/>
          <w:sz w:val="21"/>
          <w:szCs w:val="21"/>
          <w:highlight w:val="none"/>
          <w:lang w:val="en-US" w:eastAsia="zh-CN"/>
        </w:rPr>
        <w:t>或</w:t>
      </w:r>
      <w:r>
        <w:rPr>
          <w:rFonts w:hint="eastAsia" w:hAnsi="宋体"/>
          <w:color w:val="auto"/>
          <w:sz w:val="21"/>
          <w:szCs w:val="21"/>
          <w:highlight w:val="none"/>
        </w:rPr>
        <w:t>委托代理人签字：</w:t>
      </w:r>
      <w:r>
        <w:rPr>
          <w:rFonts w:hint="eastAsia" w:hAnsi="宋体"/>
          <w:color w:val="auto"/>
          <w:sz w:val="21"/>
          <w:szCs w:val="21"/>
          <w:highlight w:val="none"/>
          <w:u w:val="single"/>
        </w:rPr>
        <w:t xml:space="preserve">                               </w:t>
      </w:r>
    </w:p>
    <w:p>
      <w:pPr>
        <w:pStyle w:val="26"/>
        <w:keepNext w:val="0"/>
        <w:keepLines w:val="0"/>
        <w:pageBreakBefore w:val="0"/>
        <w:kinsoku/>
        <w:overflowPunct/>
        <w:topLinePunct w:val="0"/>
        <w:bidi w:val="0"/>
        <w:spacing w:line="360" w:lineRule="auto"/>
        <w:ind w:firstLine="840"/>
        <w:textAlignment w:val="auto"/>
        <w:rPr>
          <w:rFonts w:hAnsi="宋体"/>
          <w:color w:val="auto"/>
          <w:sz w:val="21"/>
          <w:szCs w:val="21"/>
          <w:highlight w:val="none"/>
        </w:rPr>
      </w:pPr>
      <w:r>
        <w:rPr>
          <w:rFonts w:hint="eastAsia" w:hAnsi="宋体"/>
          <w:color w:val="auto"/>
          <w:sz w:val="21"/>
          <w:szCs w:val="21"/>
          <w:highlight w:val="none"/>
        </w:rPr>
        <w:t>供应商名称（盖章）：</w:t>
      </w:r>
      <w:r>
        <w:rPr>
          <w:rFonts w:hint="eastAsia" w:hAnsi="宋体"/>
          <w:color w:val="auto"/>
          <w:sz w:val="21"/>
          <w:szCs w:val="21"/>
          <w:highlight w:val="none"/>
          <w:u w:val="single"/>
        </w:rPr>
        <w:t xml:space="preserve">                                        </w:t>
      </w:r>
    </w:p>
    <w:p>
      <w:pPr>
        <w:pStyle w:val="26"/>
        <w:keepNext w:val="0"/>
        <w:keepLines w:val="0"/>
        <w:pageBreakBefore w:val="0"/>
        <w:kinsoku/>
        <w:overflowPunct/>
        <w:topLinePunct w:val="0"/>
        <w:bidi w:val="0"/>
        <w:spacing w:line="360" w:lineRule="auto"/>
        <w:ind w:firstLine="840"/>
        <w:textAlignment w:val="auto"/>
        <w:rPr>
          <w:rFonts w:hAnsi="宋体"/>
          <w:color w:val="auto"/>
          <w:sz w:val="21"/>
          <w:szCs w:val="21"/>
          <w:highlight w:val="none"/>
        </w:rPr>
      </w:pPr>
      <w:r>
        <w:rPr>
          <w:rFonts w:hint="eastAsia" w:hAnsi="宋体"/>
          <w:color w:val="auto"/>
          <w:sz w:val="21"/>
          <w:szCs w:val="21"/>
          <w:highlight w:val="none"/>
        </w:rPr>
        <w:t>开户银行：</w:t>
      </w:r>
      <w:r>
        <w:rPr>
          <w:rFonts w:hint="eastAsia" w:hAnsi="宋体"/>
          <w:color w:val="auto"/>
          <w:sz w:val="21"/>
          <w:szCs w:val="21"/>
          <w:highlight w:val="none"/>
          <w:u w:val="single"/>
        </w:rPr>
        <w:t xml:space="preserve">                         </w:t>
      </w:r>
    </w:p>
    <w:p>
      <w:pPr>
        <w:pStyle w:val="26"/>
        <w:keepNext w:val="0"/>
        <w:keepLines w:val="0"/>
        <w:pageBreakBefore w:val="0"/>
        <w:kinsoku/>
        <w:overflowPunct/>
        <w:topLinePunct w:val="0"/>
        <w:bidi w:val="0"/>
        <w:spacing w:line="360" w:lineRule="auto"/>
        <w:ind w:firstLine="840"/>
        <w:textAlignment w:val="auto"/>
        <w:rPr>
          <w:rFonts w:hAnsi="宋体"/>
          <w:color w:val="auto"/>
          <w:sz w:val="21"/>
          <w:szCs w:val="21"/>
          <w:highlight w:val="none"/>
        </w:rPr>
      </w:pPr>
      <w:r>
        <w:rPr>
          <w:rFonts w:hint="eastAsia" w:hAnsi="宋体"/>
          <w:color w:val="auto"/>
          <w:sz w:val="21"/>
          <w:szCs w:val="21"/>
          <w:highlight w:val="none"/>
        </w:rPr>
        <w:t>帐号/行号：</w:t>
      </w:r>
      <w:r>
        <w:rPr>
          <w:rFonts w:hint="eastAsia" w:hAnsi="宋体"/>
          <w:color w:val="auto"/>
          <w:sz w:val="21"/>
          <w:szCs w:val="21"/>
          <w:highlight w:val="none"/>
          <w:u w:val="single"/>
        </w:rPr>
        <w:t xml:space="preserve">                        </w:t>
      </w:r>
    </w:p>
    <w:p>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b/>
          <w:color w:val="auto"/>
          <w:sz w:val="32"/>
          <w:szCs w:val="32"/>
          <w:highlight w:val="none"/>
          <w:lang w:val="en-US" w:eastAsia="zh-CN"/>
        </w:rPr>
      </w:pPr>
      <w:r>
        <w:rPr>
          <w:rFonts w:ascii="宋体" w:hAnsi="宋体"/>
          <w:color w:val="auto"/>
          <w:sz w:val="21"/>
          <w:szCs w:val="21"/>
          <w:highlight w:val="none"/>
        </w:rPr>
        <w:br w:type="page"/>
      </w:r>
      <w:r>
        <w:rPr>
          <w:rFonts w:hint="eastAsia" w:ascii="宋体" w:hAnsi="宋体"/>
          <w:b/>
          <w:bCs/>
          <w:color w:val="auto"/>
          <w:sz w:val="21"/>
          <w:szCs w:val="21"/>
          <w:highlight w:val="none"/>
        </w:rPr>
        <w:t>（2）</w:t>
      </w:r>
      <w:r>
        <w:rPr>
          <w:rFonts w:hint="eastAsia" w:ascii="宋体" w:hAnsi="宋体" w:eastAsia="宋体" w:cs="Times New Roman"/>
          <w:b/>
          <w:bCs/>
          <w:color w:val="auto"/>
          <w:kern w:val="2"/>
          <w:sz w:val="21"/>
          <w:szCs w:val="21"/>
          <w:highlight w:val="none"/>
          <w:lang w:val="en-US" w:eastAsia="zh-CN" w:bidi="ar-SA"/>
        </w:rPr>
        <w:t>授权委托书及受委托人身份证复印件；</w:t>
      </w:r>
      <w:r>
        <w:rPr>
          <w:rFonts w:hint="eastAsia" w:ascii="宋体" w:hAnsi="宋体" w:eastAsia="宋体" w:cs="Times New Roman"/>
          <w:b/>
          <w:color w:val="auto"/>
          <w:kern w:val="2"/>
          <w:sz w:val="21"/>
          <w:szCs w:val="21"/>
          <w:highlight w:val="none"/>
          <w:lang w:val="en-US" w:eastAsia="zh-CN" w:bidi="ar-SA"/>
        </w:rPr>
        <w:t>（如委托代理投标须提供）</w:t>
      </w:r>
      <w:r>
        <w:rPr>
          <w:rFonts w:hint="eastAsia" w:ascii="宋体" w:hAnsi="宋体" w:eastAsia="宋体" w:cs="Times New Roman"/>
          <w:b/>
          <w:bCs/>
          <w:color w:val="auto"/>
          <w:sz w:val="21"/>
          <w:szCs w:val="21"/>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b/>
          <w:color w:val="auto"/>
          <w:sz w:val="32"/>
          <w:szCs w:val="32"/>
          <w:highlight w:val="none"/>
        </w:rPr>
      </w:pPr>
    </w:p>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1"/>
          <w:szCs w:val="21"/>
          <w:highlight w:val="none"/>
        </w:rPr>
      </w:pPr>
      <w:r>
        <w:rPr>
          <w:rFonts w:hint="eastAsia" w:ascii="宋体" w:hAnsi="宋体"/>
          <w:b/>
          <w:color w:val="auto"/>
          <w:sz w:val="32"/>
          <w:szCs w:val="32"/>
          <w:highlight w:val="none"/>
        </w:rPr>
        <w:t>法定代表人授权书</w:t>
      </w:r>
    </w:p>
    <w:p>
      <w:pPr>
        <w:keepNext w:val="0"/>
        <w:keepLines w:val="0"/>
        <w:pageBreakBefore w:val="0"/>
        <w:kinsoku/>
        <w:overflowPunct/>
        <w:topLinePunct w:val="0"/>
        <w:bidi w:val="0"/>
        <w:adjustRightInd w:val="0"/>
        <w:snapToGrid w:val="0"/>
        <w:spacing w:line="360" w:lineRule="auto"/>
        <w:textAlignment w:val="auto"/>
        <w:rPr>
          <w:rFonts w:ascii="宋体" w:hAnsi="宋体"/>
          <w:color w:val="auto"/>
          <w:sz w:val="21"/>
          <w:szCs w:val="21"/>
          <w:highlight w:val="none"/>
        </w:rPr>
      </w:pPr>
    </w:p>
    <w:p>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r>
        <w:rPr>
          <w:rFonts w:hint="eastAsia" w:ascii="宋体" w:hAnsi="宋体"/>
          <w:color w:val="auto"/>
          <w:sz w:val="21"/>
          <w:szCs w:val="21"/>
          <w:highlight w:val="none"/>
          <w:u w:val="single"/>
          <w:lang w:eastAsia="zh-CN"/>
        </w:rPr>
        <w:t>广西骨伤医院</w:t>
      </w:r>
      <w:r>
        <w:rPr>
          <w:rFonts w:hint="eastAsia" w:ascii="宋体" w:hAnsi="宋体"/>
          <w:color w:val="auto"/>
          <w:sz w:val="21"/>
          <w:szCs w:val="21"/>
          <w:highlight w:val="none"/>
        </w:rPr>
        <w:t>：</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兹授权</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同志为我公司参加贵单位组织的</w:t>
      </w:r>
      <w:r>
        <w:rPr>
          <w:rFonts w:hint="eastAsia" w:ascii="宋体" w:hAnsi="宋体"/>
          <w:color w:val="auto"/>
          <w:sz w:val="21"/>
          <w:szCs w:val="21"/>
          <w:highlight w:val="none"/>
          <w:u w:val="single"/>
          <w:lang w:eastAsia="zh-CN"/>
        </w:rPr>
        <w:t>（</w:t>
      </w:r>
      <w:r>
        <w:rPr>
          <w:rFonts w:hint="eastAsia" w:ascii="宋体" w:hAnsi="宋体"/>
          <w:color w:val="auto"/>
          <w:sz w:val="21"/>
          <w:szCs w:val="21"/>
          <w:highlight w:val="none"/>
          <w:u w:val="single"/>
          <w:lang w:val="en-US" w:eastAsia="zh-CN"/>
        </w:rPr>
        <w:t>项目名称</w:t>
      </w:r>
      <w:r>
        <w:rPr>
          <w:rFonts w:hint="eastAsia" w:ascii="宋体" w:hAnsi="宋体"/>
          <w:color w:val="auto"/>
          <w:sz w:val="21"/>
          <w:szCs w:val="21"/>
          <w:highlight w:val="none"/>
          <w:u w:val="single"/>
          <w:lang w:eastAsia="zh-CN"/>
        </w:rPr>
        <w:t>）采购</w:t>
      </w:r>
      <w:r>
        <w:rPr>
          <w:rFonts w:hint="eastAsia" w:ascii="宋体" w:hAnsi="宋体"/>
          <w:color w:val="auto"/>
          <w:sz w:val="21"/>
          <w:szCs w:val="21"/>
          <w:highlight w:val="none"/>
          <w:u w:val="single"/>
        </w:rPr>
        <w:t>(</w:t>
      </w:r>
      <w:r>
        <w:rPr>
          <w:rFonts w:hint="eastAsia" w:ascii="宋体" w:hAnsi="宋体"/>
          <w:color w:val="auto"/>
          <w:sz w:val="21"/>
          <w:szCs w:val="21"/>
          <w:highlight w:val="none"/>
          <w:u w:val="single"/>
          <w:lang w:val="en-US" w:eastAsia="zh-CN"/>
        </w:rPr>
        <w:t xml:space="preserve">项目编号：      </w:t>
      </w:r>
      <w:r>
        <w:rPr>
          <w:rFonts w:hint="eastAsia" w:ascii="宋体" w:hAnsi="宋体"/>
          <w:color w:val="auto"/>
          <w:sz w:val="21"/>
          <w:szCs w:val="21"/>
          <w:highlight w:val="none"/>
          <w:u w:val="single"/>
        </w:rPr>
        <w:t>)</w:t>
      </w:r>
      <w:r>
        <w:rPr>
          <w:rFonts w:hint="eastAsia" w:ascii="宋体" w:hAnsi="宋体"/>
          <w:color w:val="auto"/>
          <w:sz w:val="21"/>
          <w:szCs w:val="21"/>
          <w:highlight w:val="none"/>
          <w:lang w:val="en-US" w:eastAsia="zh-CN"/>
        </w:rPr>
        <w:t>磋商</w:t>
      </w:r>
      <w:r>
        <w:rPr>
          <w:rFonts w:hint="eastAsia" w:ascii="宋体" w:hAnsi="宋体"/>
          <w:color w:val="auto"/>
          <w:sz w:val="21"/>
          <w:szCs w:val="21"/>
          <w:highlight w:val="none"/>
        </w:rPr>
        <w:t>活动的代理人，全权代表我公司处理在该项目</w:t>
      </w:r>
      <w:r>
        <w:rPr>
          <w:rFonts w:hint="eastAsia" w:ascii="宋体" w:hAnsi="宋体"/>
          <w:color w:val="auto"/>
          <w:sz w:val="21"/>
          <w:szCs w:val="21"/>
          <w:highlight w:val="none"/>
          <w:lang w:val="en-US" w:eastAsia="zh-CN"/>
        </w:rPr>
        <w:t>采购</w:t>
      </w:r>
      <w:r>
        <w:rPr>
          <w:rFonts w:hint="eastAsia" w:ascii="宋体" w:hAnsi="宋体"/>
          <w:color w:val="auto"/>
          <w:sz w:val="21"/>
          <w:szCs w:val="21"/>
          <w:highlight w:val="none"/>
        </w:rPr>
        <w:t>活动中的一切事宜。代理期限从</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日起至</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 xml:space="preserve">日止。 </w:t>
      </w:r>
    </w:p>
    <w:p>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授权单位（盖章）：</w:t>
      </w:r>
      <w:r>
        <w:rPr>
          <w:rFonts w:hint="eastAsia" w:ascii="宋体" w:hAnsi="宋体"/>
          <w:color w:val="auto"/>
          <w:sz w:val="21"/>
          <w:szCs w:val="21"/>
          <w:highlight w:val="none"/>
          <w:u w:val="single"/>
        </w:rPr>
        <w:t xml:space="preserve">                       </w:t>
      </w:r>
    </w:p>
    <w:p>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法定代表人（签字）：</w:t>
      </w:r>
      <w:r>
        <w:rPr>
          <w:rFonts w:hint="eastAsia" w:ascii="宋体" w:hAnsi="宋体"/>
          <w:color w:val="auto"/>
          <w:sz w:val="21"/>
          <w:szCs w:val="21"/>
          <w:highlight w:val="none"/>
          <w:u w:val="single"/>
        </w:rPr>
        <w:t xml:space="preserve">                     </w:t>
      </w:r>
    </w:p>
    <w:p>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签发日期：</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w:t>
      </w:r>
    </w:p>
    <w:p>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r>
        <w:rPr>
          <w:rFonts w:hint="eastAsia" w:ascii="宋体" w:hAnsi="宋体"/>
          <w:color w:val="auto"/>
          <w:sz w:val="21"/>
          <w:szCs w:val="21"/>
          <w:highlight w:val="none"/>
        </w:rPr>
        <w:t>附：代理人工作单位：</w:t>
      </w:r>
      <w:r>
        <w:rPr>
          <w:rFonts w:hint="eastAsia" w:ascii="宋体" w:hAnsi="宋体"/>
          <w:color w:val="auto"/>
          <w:sz w:val="21"/>
          <w:szCs w:val="21"/>
          <w:highlight w:val="none"/>
          <w:u w:val="single"/>
        </w:rPr>
        <w:t xml:space="preserve">                           </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职务：</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 xml:space="preserve"> 性别：</w:t>
      </w:r>
      <w:r>
        <w:rPr>
          <w:rFonts w:hint="eastAsia" w:ascii="宋体" w:hAnsi="宋体"/>
          <w:color w:val="auto"/>
          <w:sz w:val="21"/>
          <w:szCs w:val="21"/>
          <w:highlight w:val="none"/>
          <w:u w:val="single"/>
        </w:rPr>
        <w:t xml:space="preserve">          </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color w:val="auto"/>
          <w:sz w:val="21"/>
          <w:szCs w:val="21"/>
          <w:highlight w:val="none"/>
          <w:u w:val="single"/>
        </w:rPr>
      </w:pPr>
      <w:r>
        <w:rPr>
          <w:rFonts w:hint="eastAsia" w:ascii="宋体" w:hAnsi="宋体"/>
          <w:color w:val="auto"/>
          <w:sz w:val="21"/>
          <w:szCs w:val="21"/>
          <w:highlight w:val="none"/>
        </w:rPr>
        <w:t>身份证号码：</w:t>
      </w:r>
      <w:r>
        <w:rPr>
          <w:rFonts w:hint="eastAsia" w:ascii="宋体" w:hAnsi="宋体"/>
          <w:color w:val="auto"/>
          <w:sz w:val="21"/>
          <w:szCs w:val="21"/>
          <w:highlight w:val="none"/>
          <w:u w:val="single"/>
        </w:rPr>
        <w:t xml:space="preserve">                               </w:t>
      </w:r>
    </w:p>
    <w:p>
      <w:pPr>
        <w:pageBreakBefore w:val="0"/>
        <w:kinsoku/>
        <w:wordWrap/>
        <w:topLinePunct w:val="0"/>
        <w:bidi w:val="0"/>
        <w:spacing w:line="360" w:lineRule="auto"/>
        <w:jc w:val="left"/>
        <w:rPr>
          <w:rFonts w:hAnsi="宋体"/>
          <w:color w:val="auto"/>
          <w:highlight w:val="none"/>
        </w:rPr>
      </w:pPr>
      <w:r>
        <w:rPr>
          <w:rFonts w:hint="eastAsia" w:ascii="宋体" w:hAnsi="宋体"/>
          <w:b/>
          <w:bCs/>
          <w:color w:val="auto"/>
          <w:sz w:val="21"/>
          <w:szCs w:val="21"/>
          <w:highlight w:val="none"/>
        </w:rPr>
        <w:br w:type="page"/>
      </w:r>
    </w:p>
    <w:p>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pPr>
        <w:keepNext w:val="0"/>
        <w:keepLines w:val="0"/>
        <w:pageBreakBefore w:val="0"/>
        <w:kinsoku/>
        <w:overflowPunct/>
        <w:topLinePunct w:val="0"/>
        <w:bidi w:val="0"/>
        <w:spacing w:line="360" w:lineRule="auto"/>
        <w:ind w:firstLine="422" w:firstLineChars="200"/>
        <w:textAlignment w:val="auto"/>
        <w:rPr>
          <w:rFonts w:hint="eastAsia" w:ascii="宋体" w:hAnsi="宋体" w:cs="Times New Roman"/>
          <w:b/>
          <w:bCs/>
          <w:color w:val="auto"/>
          <w:kern w:val="2"/>
          <w:sz w:val="21"/>
          <w:szCs w:val="21"/>
          <w:highlight w:val="none"/>
          <w:lang w:val="en-US" w:eastAsia="zh-CN" w:bidi="ar-SA"/>
        </w:rPr>
      </w:pP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lang w:val="en-US" w:eastAsia="zh-CN"/>
        </w:rPr>
        <w:t>3</w:t>
      </w: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lang w:val="en-US" w:eastAsia="zh-CN"/>
        </w:rPr>
        <w:t>投标人基本情况介绍及项目标的的详细介绍（含硬件、软件）</w:t>
      </w:r>
      <w:r>
        <w:rPr>
          <w:rFonts w:hint="eastAsia" w:ascii="宋体" w:hAnsi="宋体" w:cs="Times New Roman"/>
          <w:b/>
          <w:bCs/>
          <w:color w:val="auto"/>
          <w:kern w:val="2"/>
          <w:sz w:val="21"/>
          <w:szCs w:val="21"/>
          <w:highlight w:val="none"/>
          <w:lang w:val="en-US" w:eastAsia="zh-CN" w:bidi="ar-SA"/>
        </w:rPr>
        <w:t>（格式自拟）</w:t>
      </w:r>
    </w:p>
    <w:p>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pPr>
        <w:keepNext w:val="0"/>
        <w:keepLines w:val="0"/>
        <w:pageBreakBefore w:val="0"/>
        <w:kinsoku/>
        <w:overflowPunct/>
        <w:topLinePunct w:val="0"/>
        <w:bidi w:val="0"/>
        <w:spacing w:line="360" w:lineRule="auto"/>
        <w:ind w:firstLine="422" w:firstLineChars="200"/>
        <w:textAlignment w:val="auto"/>
        <w:rPr>
          <w:rFonts w:ascii="宋体" w:hAnsi="宋体"/>
          <w:color w:val="auto"/>
          <w:sz w:val="21"/>
          <w:szCs w:val="21"/>
          <w:highlight w:val="none"/>
        </w:rPr>
      </w:pP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lang w:val="en-US" w:eastAsia="zh-CN"/>
        </w:rPr>
        <w:t>4</w:t>
      </w: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rPr>
        <w:t>技术</w:t>
      </w:r>
      <w:r>
        <w:rPr>
          <w:rFonts w:hint="eastAsia" w:ascii="宋体" w:hAnsi="宋体"/>
          <w:b/>
          <w:bCs/>
          <w:color w:val="auto"/>
          <w:sz w:val="21"/>
          <w:szCs w:val="21"/>
          <w:highlight w:val="none"/>
          <w:lang w:val="en-US" w:eastAsia="zh-CN"/>
        </w:rPr>
        <w:t>参数</w:t>
      </w:r>
      <w:r>
        <w:rPr>
          <w:rFonts w:hint="eastAsia" w:ascii="宋体" w:hAnsi="宋体"/>
          <w:b/>
          <w:bCs/>
          <w:color w:val="auto"/>
          <w:sz w:val="21"/>
          <w:szCs w:val="21"/>
          <w:highlight w:val="none"/>
        </w:rPr>
        <w:t>及偏离情况说明表</w:t>
      </w:r>
      <w:r>
        <w:rPr>
          <w:rFonts w:hint="eastAsia" w:ascii="宋体" w:hAnsi="宋体"/>
          <w:b/>
          <w:bCs/>
          <w:color w:val="auto"/>
          <w:sz w:val="21"/>
          <w:szCs w:val="21"/>
          <w:highlight w:val="none"/>
          <w:lang w:val="en-US" w:eastAsia="zh-CN"/>
        </w:rPr>
        <w:t>格式：</w:t>
      </w:r>
    </w:p>
    <w:p>
      <w:pPr>
        <w:keepNext w:val="0"/>
        <w:keepLines w:val="0"/>
        <w:pageBreakBefore w:val="0"/>
        <w:kinsoku/>
        <w:overflowPunct/>
        <w:topLinePunct w:val="0"/>
        <w:bidi w:val="0"/>
        <w:spacing w:line="360" w:lineRule="auto"/>
        <w:textAlignment w:val="auto"/>
        <w:rPr>
          <w:rFonts w:ascii="宋体" w:hAnsi="宋体"/>
          <w:b/>
          <w:color w:val="auto"/>
          <w:sz w:val="21"/>
          <w:szCs w:val="21"/>
          <w:highlight w:val="none"/>
        </w:rPr>
      </w:pPr>
    </w:p>
    <w:p>
      <w:pPr>
        <w:keepNext w:val="0"/>
        <w:keepLines w:val="0"/>
        <w:pageBreakBefore w:val="0"/>
        <w:kinsoku/>
        <w:overflowPunct/>
        <w:topLinePunct w:val="0"/>
        <w:bidi w:val="0"/>
        <w:spacing w:line="360" w:lineRule="auto"/>
        <w:jc w:val="center"/>
        <w:textAlignment w:val="auto"/>
        <w:rPr>
          <w:rFonts w:hint="eastAsia" w:ascii="宋体" w:hAnsi="宋体"/>
          <w:b/>
          <w:color w:val="auto"/>
          <w:sz w:val="28"/>
          <w:szCs w:val="28"/>
          <w:highlight w:val="none"/>
        </w:rPr>
      </w:pPr>
      <w:r>
        <w:rPr>
          <w:rFonts w:hint="eastAsia" w:ascii="宋体" w:hAnsi="宋体"/>
          <w:b/>
          <w:color w:val="auto"/>
          <w:sz w:val="28"/>
          <w:szCs w:val="28"/>
          <w:highlight w:val="none"/>
        </w:rPr>
        <w:t>技术</w:t>
      </w:r>
      <w:r>
        <w:rPr>
          <w:rFonts w:hint="eastAsia" w:ascii="宋体" w:hAnsi="宋体"/>
          <w:b/>
          <w:color w:val="auto"/>
          <w:sz w:val="28"/>
          <w:szCs w:val="28"/>
          <w:highlight w:val="none"/>
          <w:lang w:val="en-US" w:eastAsia="zh-CN"/>
        </w:rPr>
        <w:t>参数</w:t>
      </w:r>
      <w:r>
        <w:rPr>
          <w:rFonts w:hint="eastAsia" w:ascii="宋体" w:hAnsi="宋体"/>
          <w:b/>
          <w:color w:val="auto"/>
          <w:sz w:val="28"/>
          <w:szCs w:val="28"/>
          <w:highlight w:val="none"/>
        </w:rPr>
        <w:t>响应及偏离情况说明表</w:t>
      </w:r>
    </w:p>
    <w:p>
      <w:pPr>
        <w:pStyle w:val="58"/>
      </w:pPr>
    </w:p>
    <w:tbl>
      <w:tblPr>
        <w:tblStyle w:val="48"/>
        <w:tblW w:w="9604"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40"/>
        <w:gridCol w:w="3483"/>
        <w:gridCol w:w="2514"/>
        <w:gridCol w:w="1571"/>
        <w:gridCol w:w="1396"/>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815" w:hRule="atLeast"/>
          <w:jc w:val="center"/>
        </w:trPr>
        <w:tc>
          <w:tcPr>
            <w:tcW w:w="640"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24" w:name="_Toc173066401"/>
            <w:bookmarkStart w:id="25" w:name="_Toc8470"/>
            <w:bookmarkStart w:id="26" w:name="_Toc254970729"/>
            <w:bookmarkStart w:id="27" w:name="_Toc28243"/>
            <w:bookmarkStart w:id="28" w:name="_Toc173211900"/>
            <w:bookmarkStart w:id="29" w:name="_Toc254970588"/>
            <w:r>
              <w:rPr>
                <w:rFonts w:hint="eastAsia" w:ascii="宋体" w:hAnsi="宋体"/>
                <w:color w:val="auto"/>
                <w:sz w:val="21"/>
                <w:szCs w:val="21"/>
                <w:highlight w:val="none"/>
              </w:rPr>
              <w:t>序号</w:t>
            </w:r>
            <w:bookmarkEnd w:id="24"/>
            <w:bookmarkEnd w:id="25"/>
            <w:bookmarkEnd w:id="26"/>
            <w:bookmarkEnd w:id="27"/>
            <w:bookmarkEnd w:id="28"/>
            <w:bookmarkEnd w:id="29"/>
          </w:p>
        </w:tc>
        <w:tc>
          <w:tcPr>
            <w:tcW w:w="3483"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30" w:name="_Toc254970589"/>
            <w:bookmarkStart w:id="31" w:name="_Toc23681"/>
            <w:bookmarkStart w:id="32" w:name="_Toc254970730"/>
            <w:bookmarkStart w:id="33" w:name="_Toc5682"/>
            <w:bookmarkStart w:id="34" w:name="_Toc173211901"/>
            <w:bookmarkStart w:id="35" w:name="_Toc173066402"/>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文件中的技术需求</w:t>
            </w:r>
            <w:bookmarkEnd w:id="30"/>
            <w:bookmarkEnd w:id="31"/>
            <w:bookmarkEnd w:id="32"/>
            <w:bookmarkEnd w:id="33"/>
            <w:bookmarkEnd w:id="34"/>
            <w:bookmarkEnd w:id="35"/>
          </w:p>
        </w:tc>
        <w:tc>
          <w:tcPr>
            <w:tcW w:w="2514"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36" w:name="_Toc32072"/>
            <w:bookmarkStart w:id="37" w:name="_Toc4276"/>
            <w:bookmarkStart w:id="38" w:name="_Toc254970731"/>
            <w:bookmarkStart w:id="39" w:name="_Toc173211902"/>
            <w:bookmarkStart w:id="40" w:name="_Toc173066403"/>
            <w:bookmarkStart w:id="41" w:name="_Toc254970590"/>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响应文件具体响应</w:t>
            </w:r>
            <w:bookmarkEnd w:id="36"/>
            <w:bookmarkEnd w:id="37"/>
            <w:bookmarkEnd w:id="38"/>
            <w:bookmarkEnd w:id="39"/>
            <w:bookmarkEnd w:id="40"/>
            <w:bookmarkEnd w:id="41"/>
          </w:p>
        </w:tc>
        <w:tc>
          <w:tcPr>
            <w:tcW w:w="1571"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42" w:name="_Toc173066404"/>
            <w:bookmarkStart w:id="43" w:name="_Toc173211903"/>
            <w:bookmarkStart w:id="44" w:name="_Toc23149"/>
            <w:bookmarkStart w:id="45" w:name="_Toc254970591"/>
            <w:bookmarkStart w:id="46" w:name="_Toc31581"/>
            <w:bookmarkStart w:id="47" w:name="_Toc254970732"/>
            <w:r>
              <w:rPr>
                <w:rFonts w:hint="eastAsia" w:ascii="宋体" w:hAnsi="宋体"/>
                <w:color w:val="auto"/>
                <w:sz w:val="21"/>
                <w:szCs w:val="21"/>
                <w:highlight w:val="none"/>
              </w:rPr>
              <w:t>响应/偏离</w:t>
            </w:r>
            <w:bookmarkEnd w:id="42"/>
            <w:bookmarkEnd w:id="43"/>
            <w:bookmarkEnd w:id="44"/>
            <w:bookmarkEnd w:id="45"/>
            <w:bookmarkEnd w:id="46"/>
            <w:bookmarkEnd w:id="47"/>
          </w:p>
        </w:tc>
        <w:tc>
          <w:tcPr>
            <w:tcW w:w="1396"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0"/>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佐证材料及页码</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00" w:hRule="atLeast"/>
          <w:jc w:val="center"/>
        </w:trPr>
        <w:tc>
          <w:tcPr>
            <w:tcW w:w="640"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48" w:name="_Toc173211905"/>
            <w:bookmarkStart w:id="49" w:name="_Toc254970734"/>
            <w:bookmarkStart w:id="50" w:name="_Toc15488"/>
            <w:bookmarkStart w:id="51" w:name="_Toc254970593"/>
            <w:bookmarkStart w:id="52" w:name="_Toc173066406"/>
            <w:bookmarkStart w:id="53" w:name="_Toc9218"/>
            <w:r>
              <w:rPr>
                <w:rFonts w:hint="eastAsia" w:ascii="宋体" w:hAnsi="宋体"/>
                <w:color w:val="auto"/>
                <w:sz w:val="21"/>
                <w:szCs w:val="21"/>
                <w:highlight w:val="none"/>
              </w:rPr>
              <w:t>1</w:t>
            </w:r>
            <w:bookmarkEnd w:id="48"/>
            <w:bookmarkEnd w:id="49"/>
            <w:bookmarkEnd w:id="50"/>
            <w:bookmarkEnd w:id="51"/>
            <w:bookmarkEnd w:id="52"/>
            <w:bookmarkEnd w:id="53"/>
          </w:p>
        </w:tc>
        <w:tc>
          <w:tcPr>
            <w:tcW w:w="3483"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2514"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54" w:name="_Toc254970594"/>
            <w:bookmarkStart w:id="55" w:name="_Toc254970735"/>
            <w:bookmarkStart w:id="56" w:name="_Toc173066407"/>
            <w:bookmarkStart w:id="57" w:name="_Toc173211906"/>
            <w:bookmarkStart w:id="58" w:name="_Toc21061"/>
            <w:bookmarkStart w:id="59" w:name="_Toc22236"/>
            <w:r>
              <w:rPr>
                <w:rFonts w:hint="eastAsia" w:ascii="宋体" w:hAnsi="宋体"/>
                <w:color w:val="auto"/>
                <w:sz w:val="21"/>
                <w:szCs w:val="21"/>
                <w:highlight w:val="none"/>
              </w:rPr>
              <w:t>2</w:t>
            </w:r>
            <w:bookmarkEnd w:id="54"/>
            <w:bookmarkEnd w:id="55"/>
            <w:bookmarkEnd w:id="56"/>
            <w:bookmarkEnd w:id="57"/>
            <w:bookmarkEnd w:id="58"/>
            <w:bookmarkEnd w:id="59"/>
          </w:p>
        </w:tc>
        <w:tc>
          <w:tcPr>
            <w:tcW w:w="3483"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2514"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60" w:name="_Toc173066408"/>
            <w:bookmarkStart w:id="61" w:name="_Toc254970736"/>
            <w:bookmarkStart w:id="62" w:name="_Toc12085"/>
            <w:bookmarkStart w:id="63" w:name="_Toc19181"/>
            <w:bookmarkStart w:id="64" w:name="_Toc173211907"/>
            <w:bookmarkStart w:id="65" w:name="_Toc254970595"/>
            <w:r>
              <w:rPr>
                <w:rFonts w:hint="eastAsia" w:ascii="宋体" w:hAnsi="宋体"/>
                <w:color w:val="auto"/>
                <w:sz w:val="21"/>
                <w:szCs w:val="21"/>
                <w:highlight w:val="none"/>
              </w:rPr>
              <w:t>3</w:t>
            </w:r>
            <w:bookmarkEnd w:id="60"/>
            <w:bookmarkEnd w:id="61"/>
            <w:bookmarkEnd w:id="62"/>
            <w:bookmarkEnd w:id="63"/>
            <w:bookmarkEnd w:id="64"/>
            <w:bookmarkEnd w:id="65"/>
          </w:p>
        </w:tc>
        <w:tc>
          <w:tcPr>
            <w:tcW w:w="3483"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2514"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66" w:name="_Toc17386"/>
            <w:bookmarkStart w:id="67" w:name="_Toc31037"/>
            <w:r>
              <w:rPr>
                <w:rFonts w:hint="eastAsia" w:ascii="宋体" w:hAnsi="宋体"/>
                <w:color w:val="auto"/>
                <w:sz w:val="21"/>
                <w:szCs w:val="21"/>
                <w:highlight w:val="none"/>
              </w:rPr>
              <w:t>4</w:t>
            </w:r>
            <w:bookmarkEnd w:id="66"/>
            <w:bookmarkEnd w:id="67"/>
          </w:p>
        </w:tc>
        <w:tc>
          <w:tcPr>
            <w:tcW w:w="3483"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2514"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68" w:name="_Toc4853"/>
            <w:bookmarkStart w:id="69" w:name="_Toc6957"/>
            <w:r>
              <w:rPr>
                <w:rFonts w:hint="eastAsia" w:ascii="宋体" w:hAnsi="宋体"/>
                <w:color w:val="auto"/>
                <w:sz w:val="21"/>
                <w:szCs w:val="21"/>
                <w:highlight w:val="none"/>
              </w:rPr>
              <w:t>5</w:t>
            </w:r>
            <w:bookmarkEnd w:id="68"/>
            <w:bookmarkEnd w:id="69"/>
          </w:p>
        </w:tc>
        <w:tc>
          <w:tcPr>
            <w:tcW w:w="3483"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2514"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jc w:val="center"/>
        </w:trPr>
        <w:tc>
          <w:tcPr>
            <w:tcW w:w="640"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70" w:name="_Toc254970743"/>
            <w:bookmarkStart w:id="71" w:name="_Toc19827"/>
            <w:bookmarkStart w:id="72" w:name="_Toc173066415"/>
            <w:bookmarkStart w:id="73" w:name="_Toc173211914"/>
            <w:bookmarkStart w:id="74" w:name="_Toc19274"/>
            <w:bookmarkStart w:id="75" w:name="_Toc254970602"/>
            <w:r>
              <w:rPr>
                <w:rFonts w:hint="eastAsia" w:ascii="宋体" w:hAnsi="宋体"/>
                <w:color w:val="auto"/>
                <w:sz w:val="21"/>
                <w:szCs w:val="21"/>
                <w:highlight w:val="none"/>
              </w:rPr>
              <w:t>…</w:t>
            </w:r>
            <w:bookmarkEnd w:id="70"/>
            <w:bookmarkEnd w:id="71"/>
            <w:bookmarkEnd w:id="72"/>
            <w:bookmarkEnd w:id="73"/>
            <w:bookmarkEnd w:id="74"/>
            <w:bookmarkEnd w:id="75"/>
          </w:p>
        </w:tc>
        <w:tc>
          <w:tcPr>
            <w:tcW w:w="3483"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2514"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tcBorders>
              <w:right w:val="single" w:color="auto" w:sz="4" w:space="0"/>
            </w:tcBorders>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tcBorders>
              <w:left w:val="single" w:color="auto" w:sz="4" w:space="0"/>
            </w:tcBorders>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bl>
    <w:p>
      <w:pPr>
        <w:keepNext w:val="0"/>
        <w:keepLines w:val="0"/>
        <w:pageBreakBefore w:val="0"/>
        <w:kinsoku/>
        <w:overflowPunct/>
        <w:topLinePunct w:val="0"/>
        <w:bidi w:val="0"/>
        <w:adjustRightInd w:val="0"/>
        <w:snapToGrid w:val="0"/>
        <w:spacing w:line="360" w:lineRule="auto"/>
        <w:textAlignment w:val="auto"/>
        <w:rPr>
          <w:rFonts w:ascii="宋体" w:hAnsi="宋体"/>
          <w:color w:val="auto"/>
          <w:sz w:val="21"/>
          <w:szCs w:val="21"/>
          <w:highlight w:val="none"/>
        </w:rPr>
      </w:pPr>
    </w:p>
    <w:p>
      <w:pPr>
        <w:pStyle w:val="20"/>
        <w:keepNext w:val="0"/>
        <w:keepLines w:val="0"/>
        <w:pageBreakBefore w:val="0"/>
        <w:kinsoku/>
        <w:overflowPunct/>
        <w:topLinePunct w:val="0"/>
        <w:bidi w:val="0"/>
        <w:spacing w:line="360" w:lineRule="auto"/>
        <w:ind w:firstLine="0"/>
        <w:textAlignment w:val="auto"/>
        <w:rPr>
          <w:rFonts w:hint="default" w:hAnsi="宋体" w:eastAsia="宋体"/>
          <w:b/>
          <w:bCs/>
          <w:color w:val="auto"/>
          <w:sz w:val="21"/>
          <w:szCs w:val="21"/>
          <w:highlight w:val="none"/>
          <w:lang w:val="en-US" w:eastAsia="zh-CN"/>
        </w:rPr>
      </w:pPr>
      <w:r>
        <w:rPr>
          <w:rFonts w:hint="eastAsia" w:hAnsi="宋体"/>
          <w:color w:val="auto"/>
          <w:sz w:val="21"/>
          <w:szCs w:val="21"/>
          <w:highlight w:val="none"/>
        </w:rPr>
        <w:t>说明：</w:t>
      </w:r>
      <w:r>
        <w:rPr>
          <w:rFonts w:hint="eastAsia" w:hAnsi="宋体"/>
          <w:color w:val="auto"/>
          <w:sz w:val="21"/>
          <w:szCs w:val="21"/>
          <w:highlight w:val="none"/>
          <w:lang w:val="en-US" w:eastAsia="zh-CN"/>
        </w:rPr>
        <w:t>1.</w:t>
      </w:r>
      <w:r>
        <w:rPr>
          <w:rFonts w:hint="eastAsia" w:hAnsi="宋体"/>
          <w:color w:val="auto"/>
          <w:sz w:val="21"/>
          <w:szCs w:val="21"/>
          <w:highlight w:val="none"/>
        </w:rPr>
        <w:t>应对照</w:t>
      </w:r>
      <w:r>
        <w:rPr>
          <w:rFonts w:hint="eastAsia" w:hAnsi="宋体"/>
          <w:color w:val="auto"/>
          <w:sz w:val="21"/>
          <w:szCs w:val="21"/>
          <w:highlight w:val="none"/>
          <w:lang w:eastAsia="zh-CN"/>
        </w:rPr>
        <w:t>磋商</w:t>
      </w:r>
      <w:r>
        <w:rPr>
          <w:rFonts w:hint="eastAsia" w:hAnsi="宋体"/>
          <w:color w:val="auto"/>
          <w:sz w:val="21"/>
          <w:szCs w:val="21"/>
          <w:highlight w:val="none"/>
        </w:rPr>
        <w:t>文件第三章《</w:t>
      </w:r>
      <w:r>
        <w:rPr>
          <w:rFonts w:hint="eastAsia" w:hAnsi="宋体"/>
          <w:color w:val="auto"/>
          <w:sz w:val="21"/>
          <w:szCs w:val="21"/>
          <w:highlight w:val="none"/>
          <w:lang w:eastAsia="zh-CN"/>
        </w:rPr>
        <w:t>项目需求一览表</w:t>
      </w:r>
      <w:r>
        <w:rPr>
          <w:rFonts w:hint="eastAsia" w:hAnsi="宋体"/>
          <w:color w:val="auto"/>
          <w:sz w:val="21"/>
          <w:szCs w:val="21"/>
          <w:highlight w:val="none"/>
        </w:rPr>
        <w:t>》中的“</w:t>
      </w:r>
      <w:r>
        <w:rPr>
          <w:rFonts w:hAnsi="宋体"/>
          <w:color w:val="auto"/>
          <w:sz w:val="21"/>
          <w:szCs w:val="21"/>
          <w:highlight w:val="none"/>
        </w:rPr>
        <w:t>服务内容及技术需求</w:t>
      </w:r>
      <w:r>
        <w:rPr>
          <w:rFonts w:hint="eastAsia" w:hAnsi="宋体"/>
          <w:color w:val="auto"/>
          <w:sz w:val="21"/>
          <w:szCs w:val="21"/>
          <w:highlight w:val="none"/>
        </w:rPr>
        <w:t>”，逐条说明所提供货物和服务已对</w:t>
      </w:r>
      <w:r>
        <w:rPr>
          <w:rFonts w:hint="eastAsia" w:hAnsi="宋体"/>
          <w:color w:val="auto"/>
          <w:sz w:val="21"/>
          <w:szCs w:val="21"/>
          <w:highlight w:val="none"/>
          <w:lang w:eastAsia="zh-CN"/>
        </w:rPr>
        <w:t>磋商</w:t>
      </w:r>
      <w:r>
        <w:rPr>
          <w:rFonts w:hint="eastAsia" w:hAnsi="宋体"/>
          <w:color w:val="auto"/>
          <w:sz w:val="21"/>
          <w:szCs w:val="21"/>
          <w:highlight w:val="none"/>
        </w:rPr>
        <w:t>文件的技术规格做出了实质性的响应，并申明与技术规格条文的响应和偏离。特别对有具体参数要求的指标，供应商必须提供所供设备的具体参数值。如果仅注明“符合”、“满足”或简单复制</w:t>
      </w:r>
      <w:r>
        <w:rPr>
          <w:rFonts w:hint="eastAsia" w:hAnsi="宋体"/>
          <w:color w:val="auto"/>
          <w:sz w:val="21"/>
          <w:szCs w:val="21"/>
          <w:highlight w:val="none"/>
          <w:lang w:eastAsia="zh-CN"/>
        </w:rPr>
        <w:t>磋商</w:t>
      </w:r>
      <w:r>
        <w:rPr>
          <w:rFonts w:hint="eastAsia" w:hAnsi="宋体"/>
          <w:color w:val="auto"/>
          <w:sz w:val="21"/>
          <w:szCs w:val="21"/>
          <w:highlight w:val="none"/>
        </w:rPr>
        <w:t>文件要求，将导致</w:t>
      </w:r>
      <w:r>
        <w:rPr>
          <w:rFonts w:hint="eastAsia" w:hAnsi="宋体"/>
          <w:color w:val="auto"/>
          <w:sz w:val="21"/>
          <w:szCs w:val="21"/>
          <w:highlight w:val="none"/>
          <w:lang w:eastAsia="zh-CN"/>
        </w:rPr>
        <w:t>磋商</w:t>
      </w:r>
      <w:r>
        <w:rPr>
          <w:rFonts w:hint="eastAsia" w:hAnsi="宋体"/>
          <w:color w:val="auto"/>
          <w:sz w:val="21"/>
          <w:szCs w:val="21"/>
          <w:highlight w:val="none"/>
        </w:rPr>
        <w:t>被拒绝。</w:t>
      </w:r>
      <w:r>
        <w:rPr>
          <w:rFonts w:hint="eastAsia" w:hAnsi="宋体"/>
          <w:b/>
          <w:bCs/>
          <w:color w:val="auto"/>
          <w:sz w:val="21"/>
          <w:szCs w:val="21"/>
          <w:highlight w:val="none"/>
          <w:lang w:val="en-US" w:eastAsia="zh-CN"/>
        </w:rPr>
        <w:t>2.严禁直接照抄磋商文件中的需求内容作为响应描述，否则响应无效。</w:t>
      </w:r>
    </w:p>
    <w:p>
      <w:pPr>
        <w:pStyle w:val="26"/>
        <w:keepNext w:val="0"/>
        <w:keepLines w:val="0"/>
        <w:pageBreakBefore w:val="0"/>
        <w:kinsoku/>
        <w:overflowPunct/>
        <w:topLinePunct w:val="0"/>
        <w:bidi w:val="0"/>
        <w:spacing w:line="360" w:lineRule="auto"/>
        <w:textAlignment w:val="auto"/>
        <w:rPr>
          <w:rFonts w:hAnsi="宋体"/>
          <w:color w:val="auto"/>
          <w:sz w:val="21"/>
          <w:szCs w:val="21"/>
          <w:highlight w:val="none"/>
        </w:rPr>
      </w:pPr>
    </w:p>
    <w:p>
      <w:pPr>
        <w:pStyle w:val="26"/>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法定代表人或委托代理人（签字）：</w:t>
      </w:r>
      <w:r>
        <w:rPr>
          <w:rFonts w:hint="eastAsia" w:hAnsi="宋体"/>
          <w:color w:val="auto"/>
          <w:sz w:val="21"/>
          <w:szCs w:val="21"/>
          <w:highlight w:val="none"/>
          <w:u w:val="single"/>
        </w:rPr>
        <w:t xml:space="preserve">                  </w:t>
      </w:r>
    </w:p>
    <w:p>
      <w:pPr>
        <w:pStyle w:val="26"/>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供应商名称（盖章）：</w:t>
      </w:r>
      <w:r>
        <w:rPr>
          <w:rFonts w:hint="eastAsia" w:hAnsi="宋体"/>
          <w:color w:val="auto"/>
          <w:sz w:val="21"/>
          <w:szCs w:val="21"/>
          <w:highlight w:val="none"/>
          <w:u w:val="single"/>
        </w:rPr>
        <w:t xml:space="preserve">                              </w:t>
      </w:r>
    </w:p>
    <w:p>
      <w:pPr>
        <w:pStyle w:val="26"/>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日 </w:t>
      </w:r>
    </w:p>
    <w:p>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r>
        <w:rPr>
          <w:rFonts w:ascii="宋体" w:hAnsi="宋体"/>
          <w:color w:val="auto"/>
          <w:sz w:val="21"/>
          <w:szCs w:val="21"/>
          <w:highlight w:val="none"/>
        </w:rPr>
        <w:br w:type="page"/>
      </w:r>
      <w:r>
        <w:rPr>
          <w:rFonts w:hint="eastAsia" w:ascii="宋体" w:hAnsi="宋体"/>
          <w:b/>
          <w:bCs/>
          <w:color w:val="auto"/>
          <w:sz w:val="21"/>
          <w:szCs w:val="21"/>
          <w:highlight w:val="none"/>
        </w:rPr>
        <w:t>（</w:t>
      </w:r>
      <w:r>
        <w:rPr>
          <w:rFonts w:hint="eastAsia" w:ascii="宋体" w:hAnsi="宋体"/>
          <w:b/>
          <w:bCs/>
          <w:color w:val="auto"/>
          <w:sz w:val="21"/>
          <w:szCs w:val="21"/>
          <w:highlight w:val="none"/>
          <w:lang w:val="en-US" w:eastAsia="zh-CN"/>
        </w:rPr>
        <w:t>5</w:t>
      </w:r>
      <w:r>
        <w:rPr>
          <w:rFonts w:hint="eastAsia" w:ascii="宋体" w:hAnsi="宋体"/>
          <w:b/>
          <w:bCs/>
          <w:color w:val="auto"/>
          <w:sz w:val="21"/>
          <w:szCs w:val="21"/>
          <w:highlight w:val="none"/>
        </w:rPr>
        <w:t>）商务响应及偏离情况说明表</w:t>
      </w:r>
      <w:r>
        <w:rPr>
          <w:rFonts w:hint="eastAsia" w:ascii="宋体" w:hAnsi="宋体"/>
          <w:b/>
          <w:bCs/>
          <w:color w:val="auto"/>
          <w:sz w:val="21"/>
          <w:szCs w:val="21"/>
          <w:highlight w:val="none"/>
          <w:lang w:val="en-US" w:eastAsia="zh-CN"/>
        </w:rPr>
        <w:t>格式：</w:t>
      </w:r>
    </w:p>
    <w:p>
      <w:pPr>
        <w:keepNext w:val="0"/>
        <w:keepLines w:val="0"/>
        <w:pageBreakBefore w:val="0"/>
        <w:kinsoku/>
        <w:overflowPunct/>
        <w:topLinePunct w:val="0"/>
        <w:bidi w:val="0"/>
        <w:spacing w:line="360" w:lineRule="auto"/>
        <w:textAlignment w:val="auto"/>
        <w:rPr>
          <w:rFonts w:ascii="宋体" w:hAnsi="宋体"/>
          <w:b/>
          <w:color w:val="auto"/>
          <w:sz w:val="21"/>
          <w:szCs w:val="21"/>
          <w:highlight w:val="none"/>
        </w:rPr>
      </w:pPr>
    </w:p>
    <w:p>
      <w:pPr>
        <w:keepNext w:val="0"/>
        <w:keepLines w:val="0"/>
        <w:pageBreakBefore w:val="0"/>
        <w:kinsoku/>
        <w:overflowPunct/>
        <w:topLinePunct w:val="0"/>
        <w:bidi w:val="0"/>
        <w:spacing w:line="360" w:lineRule="auto"/>
        <w:jc w:val="center"/>
        <w:textAlignment w:val="auto"/>
        <w:outlineLvl w:val="0"/>
        <w:rPr>
          <w:rFonts w:ascii="宋体" w:hAnsi="宋体"/>
          <w:b/>
          <w:color w:val="auto"/>
          <w:sz w:val="28"/>
          <w:szCs w:val="28"/>
          <w:highlight w:val="none"/>
        </w:rPr>
      </w:pPr>
      <w:bookmarkStart w:id="76" w:name="_Toc26084"/>
      <w:bookmarkStart w:id="77" w:name="_Toc30593"/>
      <w:r>
        <w:rPr>
          <w:rFonts w:hint="eastAsia" w:ascii="宋体" w:hAnsi="宋体"/>
          <w:b/>
          <w:color w:val="auto"/>
          <w:sz w:val="28"/>
          <w:szCs w:val="28"/>
          <w:highlight w:val="none"/>
        </w:rPr>
        <w:t>商务</w:t>
      </w:r>
      <w:r>
        <w:rPr>
          <w:rFonts w:hint="eastAsia" w:ascii="宋体" w:hAnsi="宋体"/>
          <w:b/>
          <w:color w:val="auto"/>
          <w:sz w:val="28"/>
          <w:szCs w:val="28"/>
          <w:highlight w:val="none"/>
          <w:lang w:val="en-US" w:eastAsia="zh-CN"/>
        </w:rPr>
        <w:t>参数</w:t>
      </w:r>
      <w:r>
        <w:rPr>
          <w:rFonts w:hint="eastAsia" w:ascii="宋体" w:hAnsi="宋体"/>
          <w:b/>
          <w:color w:val="auto"/>
          <w:sz w:val="28"/>
          <w:szCs w:val="28"/>
          <w:highlight w:val="none"/>
        </w:rPr>
        <w:t>响应及偏离情况说明表</w:t>
      </w:r>
      <w:bookmarkEnd w:id="76"/>
      <w:bookmarkEnd w:id="77"/>
    </w:p>
    <w:p>
      <w:pPr>
        <w:keepNext w:val="0"/>
        <w:keepLines w:val="0"/>
        <w:pageBreakBefore w:val="0"/>
        <w:kinsoku/>
        <w:overflowPunct/>
        <w:topLinePunct w:val="0"/>
        <w:bidi w:val="0"/>
        <w:spacing w:line="360" w:lineRule="auto"/>
        <w:textAlignment w:val="auto"/>
        <w:rPr>
          <w:rFonts w:ascii="宋体" w:hAnsi="宋体"/>
          <w:color w:val="auto"/>
          <w:sz w:val="21"/>
          <w:szCs w:val="21"/>
          <w:highlight w:val="none"/>
          <w:u w:val="single"/>
        </w:rPr>
      </w:pPr>
    </w:p>
    <w:tbl>
      <w:tblPr>
        <w:tblStyle w:val="48"/>
        <w:tblW w:w="9604"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40"/>
        <w:gridCol w:w="3483"/>
        <w:gridCol w:w="2514"/>
        <w:gridCol w:w="1571"/>
        <w:gridCol w:w="1396"/>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815" w:hRule="atLeast"/>
          <w:jc w:val="center"/>
        </w:trPr>
        <w:tc>
          <w:tcPr>
            <w:tcW w:w="640"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78" w:name="_Toc18552"/>
            <w:bookmarkStart w:id="79" w:name="_Toc552"/>
            <w:r>
              <w:rPr>
                <w:rFonts w:hint="eastAsia" w:ascii="宋体" w:hAnsi="宋体"/>
                <w:color w:val="auto"/>
                <w:sz w:val="21"/>
                <w:szCs w:val="21"/>
                <w:highlight w:val="none"/>
              </w:rPr>
              <w:t>序号</w:t>
            </w:r>
            <w:bookmarkEnd w:id="78"/>
            <w:bookmarkEnd w:id="79"/>
          </w:p>
        </w:tc>
        <w:tc>
          <w:tcPr>
            <w:tcW w:w="3483"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80" w:name="_Toc18304"/>
            <w:bookmarkStart w:id="81" w:name="_Toc12277"/>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文件中的商务要求</w:t>
            </w:r>
            <w:bookmarkEnd w:id="80"/>
            <w:bookmarkEnd w:id="81"/>
          </w:p>
        </w:tc>
        <w:tc>
          <w:tcPr>
            <w:tcW w:w="2514"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82" w:name="_Toc21252"/>
            <w:bookmarkStart w:id="83" w:name="_Toc19966"/>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响应文件具体响应</w:t>
            </w:r>
            <w:bookmarkEnd w:id="82"/>
            <w:bookmarkEnd w:id="83"/>
          </w:p>
        </w:tc>
        <w:tc>
          <w:tcPr>
            <w:tcW w:w="1571"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84" w:name="_Toc25513"/>
            <w:bookmarkStart w:id="85" w:name="_Toc1968"/>
            <w:r>
              <w:rPr>
                <w:rFonts w:hint="eastAsia" w:ascii="宋体" w:hAnsi="宋体"/>
                <w:color w:val="auto"/>
                <w:sz w:val="21"/>
                <w:szCs w:val="21"/>
                <w:highlight w:val="none"/>
              </w:rPr>
              <w:t>响应/偏离</w:t>
            </w:r>
            <w:bookmarkEnd w:id="84"/>
            <w:bookmarkEnd w:id="85"/>
          </w:p>
        </w:tc>
        <w:tc>
          <w:tcPr>
            <w:tcW w:w="1396"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0"/>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佐证材料及页码</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00" w:hRule="atLeast"/>
          <w:jc w:val="center"/>
        </w:trPr>
        <w:tc>
          <w:tcPr>
            <w:tcW w:w="640"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bookmarkStart w:id="86" w:name="_Toc15845"/>
            <w:bookmarkStart w:id="87" w:name="_Toc16225"/>
            <w:r>
              <w:rPr>
                <w:rFonts w:hint="eastAsia" w:ascii="宋体" w:hAnsi="宋体" w:cs="Times New Roman"/>
                <w:color w:val="auto"/>
                <w:sz w:val="21"/>
                <w:szCs w:val="21"/>
                <w:highlight w:val="none"/>
              </w:rPr>
              <w:t>1</w:t>
            </w:r>
            <w:bookmarkEnd w:id="86"/>
            <w:bookmarkEnd w:id="87"/>
          </w:p>
        </w:tc>
        <w:tc>
          <w:tcPr>
            <w:tcW w:w="3483"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p>
        </w:tc>
        <w:tc>
          <w:tcPr>
            <w:tcW w:w="2514"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bookmarkStart w:id="88" w:name="_Toc25453"/>
            <w:bookmarkStart w:id="89" w:name="_Toc10757"/>
            <w:r>
              <w:rPr>
                <w:rFonts w:hint="eastAsia" w:ascii="宋体" w:hAnsi="宋体" w:cs="Times New Roman"/>
                <w:color w:val="auto"/>
                <w:sz w:val="21"/>
                <w:szCs w:val="21"/>
                <w:highlight w:val="none"/>
              </w:rPr>
              <w:t>2</w:t>
            </w:r>
            <w:bookmarkEnd w:id="88"/>
            <w:bookmarkEnd w:id="89"/>
          </w:p>
        </w:tc>
        <w:tc>
          <w:tcPr>
            <w:tcW w:w="3483"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p>
        </w:tc>
        <w:tc>
          <w:tcPr>
            <w:tcW w:w="2514"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bookmarkStart w:id="90" w:name="_Toc6670"/>
            <w:bookmarkStart w:id="91" w:name="_Toc32202"/>
            <w:r>
              <w:rPr>
                <w:rFonts w:hint="eastAsia" w:ascii="宋体" w:hAnsi="宋体" w:cs="Times New Roman"/>
                <w:color w:val="auto"/>
                <w:sz w:val="21"/>
                <w:szCs w:val="21"/>
                <w:highlight w:val="none"/>
              </w:rPr>
              <w:t>3</w:t>
            </w:r>
            <w:bookmarkEnd w:id="90"/>
            <w:bookmarkEnd w:id="91"/>
          </w:p>
        </w:tc>
        <w:tc>
          <w:tcPr>
            <w:tcW w:w="3483"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p>
        </w:tc>
        <w:tc>
          <w:tcPr>
            <w:tcW w:w="2514"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bookmarkStart w:id="92" w:name="_Toc30764"/>
            <w:bookmarkStart w:id="93" w:name="_Toc7258"/>
            <w:r>
              <w:rPr>
                <w:rFonts w:hint="eastAsia" w:ascii="宋体" w:hAnsi="宋体" w:cs="Times New Roman"/>
                <w:color w:val="auto"/>
                <w:sz w:val="21"/>
                <w:szCs w:val="21"/>
                <w:highlight w:val="none"/>
              </w:rPr>
              <w:t>4</w:t>
            </w:r>
            <w:bookmarkEnd w:id="92"/>
            <w:bookmarkEnd w:id="93"/>
          </w:p>
        </w:tc>
        <w:tc>
          <w:tcPr>
            <w:tcW w:w="3483"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p>
        </w:tc>
        <w:tc>
          <w:tcPr>
            <w:tcW w:w="2514"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bookmarkStart w:id="94" w:name="_Toc13375"/>
            <w:bookmarkStart w:id="95" w:name="_Toc12478"/>
            <w:r>
              <w:rPr>
                <w:rFonts w:hint="eastAsia" w:ascii="宋体" w:hAnsi="宋体" w:cs="Times New Roman"/>
                <w:color w:val="auto"/>
                <w:sz w:val="21"/>
                <w:szCs w:val="21"/>
                <w:highlight w:val="none"/>
              </w:rPr>
              <w:t>5</w:t>
            </w:r>
            <w:bookmarkEnd w:id="94"/>
            <w:bookmarkEnd w:id="95"/>
          </w:p>
        </w:tc>
        <w:tc>
          <w:tcPr>
            <w:tcW w:w="3483"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p>
        </w:tc>
        <w:tc>
          <w:tcPr>
            <w:tcW w:w="2514"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jc w:val="center"/>
        </w:trPr>
        <w:tc>
          <w:tcPr>
            <w:tcW w:w="640"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bookmarkStart w:id="96" w:name="_Toc17269"/>
            <w:bookmarkStart w:id="97" w:name="_Toc3651"/>
            <w:r>
              <w:rPr>
                <w:rFonts w:hint="eastAsia" w:ascii="宋体" w:hAnsi="宋体" w:cs="Times New Roman"/>
                <w:color w:val="auto"/>
                <w:sz w:val="21"/>
                <w:szCs w:val="21"/>
                <w:highlight w:val="none"/>
              </w:rPr>
              <w:t>…</w:t>
            </w:r>
            <w:bookmarkEnd w:id="96"/>
            <w:bookmarkEnd w:id="97"/>
          </w:p>
        </w:tc>
        <w:tc>
          <w:tcPr>
            <w:tcW w:w="3483"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p>
        </w:tc>
        <w:tc>
          <w:tcPr>
            <w:tcW w:w="2514" w:type="dxa"/>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tcBorders>
              <w:right w:val="single" w:color="auto" w:sz="4" w:space="0"/>
            </w:tcBorders>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tcBorders>
              <w:left w:val="single" w:color="auto" w:sz="4" w:space="0"/>
            </w:tcBorders>
            <w:vAlign w:val="center"/>
          </w:tcPr>
          <w:p>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bl>
    <w:p>
      <w:pPr>
        <w:keepNext w:val="0"/>
        <w:keepLines w:val="0"/>
        <w:pageBreakBefore w:val="0"/>
        <w:kinsoku/>
        <w:overflowPunct/>
        <w:topLinePunct w:val="0"/>
        <w:bidi w:val="0"/>
        <w:adjustRightInd w:val="0"/>
        <w:snapToGrid w:val="0"/>
        <w:spacing w:line="360" w:lineRule="auto"/>
        <w:textAlignment w:val="auto"/>
        <w:rPr>
          <w:rFonts w:ascii="宋体" w:hAnsi="宋体"/>
          <w:color w:val="auto"/>
          <w:sz w:val="21"/>
          <w:szCs w:val="21"/>
          <w:highlight w:val="none"/>
        </w:rPr>
      </w:pPr>
    </w:p>
    <w:p>
      <w:pPr>
        <w:pStyle w:val="20"/>
        <w:keepNext w:val="0"/>
        <w:keepLines w:val="0"/>
        <w:pageBreakBefore w:val="0"/>
        <w:kinsoku/>
        <w:overflowPunct/>
        <w:topLinePunct w:val="0"/>
        <w:bidi w:val="0"/>
        <w:spacing w:line="360" w:lineRule="auto"/>
        <w:ind w:firstLine="0"/>
        <w:textAlignment w:val="auto"/>
        <w:rPr>
          <w:rFonts w:hint="default" w:hAnsi="宋体" w:eastAsia="宋体"/>
          <w:b/>
          <w:bCs/>
          <w:color w:val="auto"/>
          <w:sz w:val="21"/>
          <w:szCs w:val="21"/>
          <w:highlight w:val="none"/>
          <w:lang w:val="en-US" w:eastAsia="zh-CN"/>
        </w:rPr>
      </w:pPr>
      <w:r>
        <w:rPr>
          <w:rFonts w:hint="eastAsia" w:hAnsi="宋体"/>
          <w:color w:val="auto"/>
          <w:sz w:val="21"/>
          <w:szCs w:val="21"/>
          <w:highlight w:val="none"/>
        </w:rPr>
        <w:t>说明：</w:t>
      </w:r>
      <w:r>
        <w:rPr>
          <w:rFonts w:hint="eastAsia" w:hAnsi="宋体"/>
          <w:color w:val="auto"/>
          <w:sz w:val="21"/>
          <w:szCs w:val="21"/>
          <w:highlight w:val="none"/>
          <w:lang w:val="en-US" w:eastAsia="zh-CN"/>
        </w:rPr>
        <w:t>1.</w:t>
      </w:r>
      <w:r>
        <w:rPr>
          <w:rFonts w:hint="eastAsia" w:hAnsi="宋体"/>
          <w:color w:val="auto"/>
          <w:sz w:val="21"/>
          <w:szCs w:val="21"/>
          <w:highlight w:val="none"/>
        </w:rPr>
        <w:t>应对照</w:t>
      </w:r>
      <w:r>
        <w:rPr>
          <w:rFonts w:hint="eastAsia" w:hAnsi="宋体"/>
          <w:color w:val="auto"/>
          <w:sz w:val="21"/>
          <w:szCs w:val="21"/>
          <w:highlight w:val="none"/>
          <w:lang w:eastAsia="zh-CN"/>
        </w:rPr>
        <w:t>磋商</w:t>
      </w:r>
      <w:r>
        <w:rPr>
          <w:rFonts w:hint="eastAsia" w:hAnsi="宋体"/>
          <w:color w:val="auto"/>
          <w:sz w:val="21"/>
          <w:szCs w:val="21"/>
          <w:highlight w:val="none"/>
        </w:rPr>
        <w:t>文件第三章《</w:t>
      </w:r>
      <w:r>
        <w:rPr>
          <w:rFonts w:hint="eastAsia" w:hAnsi="宋体"/>
          <w:color w:val="auto"/>
          <w:sz w:val="21"/>
          <w:szCs w:val="21"/>
          <w:highlight w:val="none"/>
          <w:lang w:eastAsia="zh-CN"/>
        </w:rPr>
        <w:t>项目需求一览表</w:t>
      </w:r>
      <w:r>
        <w:rPr>
          <w:rFonts w:hint="eastAsia" w:hAnsi="宋体"/>
          <w:color w:val="auto"/>
          <w:sz w:val="21"/>
          <w:szCs w:val="21"/>
          <w:highlight w:val="none"/>
        </w:rPr>
        <w:t>》中的“商务要求</w:t>
      </w:r>
      <w:r>
        <w:rPr>
          <w:rFonts w:hint="eastAsia" w:hAnsi="宋体"/>
          <w:color w:val="auto"/>
          <w:sz w:val="21"/>
          <w:szCs w:val="21"/>
          <w:highlight w:val="none"/>
          <w:lang w:val="en-US" w:eastAsia="zh-CN"/>
        </w:rPr>
        <w:t>表</w:t>
      </w:r>
      <w:r>
        <w:rPr>
          <w:rFonts w:hint="eastAsia" w:hAnsi="宋体"/>
          <w:color w:val="auto"/>
          <w:sz w:val="21"/>
          <w:szCs w:val="21"/>
          <w:highlight w:val="none"/>
        </w:rPr>
        <w:t>”，逐条说明供应商的承诺的商务条件对应做出了实质性的响应，并申明与技术规格条文的响应和偏离。如果仅注明“符合”、“满足”或简单复制</w:t>
      </w:r>
      <w:r>
        <w:rPr>
          <w:rFonts w:hint="eastAsia" w:hAnsi="宋体"/>
          <w:color w:val="auto"/>
          <w:sz w:val="21"/>
          <w:szCs w:val="21"/>
          <w:highlight w:val="none"/>
          <w:lang w:eastAsia="zh-CN"/>
        </w:rPr>
        <w:t>磋商</w:t>
      </w:r>
      <w:r>
        <w:rPr>
          <w:rFonts w:hint="eastAsia" w:hAnsi="宋体"/>
          <w:color w:val="auto"/>
          <w:sz w:val="21"/>
          <w:szCs w:val="21"/>
          <w:highlight w:val="none"/>
        </w:rPr>
        <w:t>文件要求，将导致</w:t>
      </w:r>
      <w:r>
        <w:rPr>
          <w:rFonts w:hint="eastAsia" w:hAnsi="宋体"/>
          <w:color w:val="auto"/>
          <w:sz w:val="21"/>
          <w:szCs w:val="21"/>
          <w:highlight w:val="none"/>
          <w:lang w:eastAsia="zh-CN"/>
        </w:rPr>
        <w:t>磋商</w:t>
      </w:r>
      <w:r>
        <w:rPr>
          <w:rFonts w:hint="eastAsia" w:hAnsi="宋体"/>
          <w:color w:val="auto"/>
          <w:sz w:val="21"/>
          <w:szCs w:val="21"/>
          <w:highlight w:val="none"/>
        </w:rPr>
        <w:t>被拒绝。</w:t>
      </w:r>
      <w:r>
        <w:rPr>
          <w:rFonts w:hint="eastAsia" w:hAnsi="宋体"/>
          <w:b/>
          <w:bCs/>
          <w:color w:val="auto"/>
          <w:sz w:val="21"/>
          <w:szCs w:val="21"/>
          <w:highlight w:val="none"/>
          <w:lang w:val="en-US" w:eastAsia="zh-CN"/>
        </w:rPr>
        <w:t>2.严禁直接照抄磋商文件中的需求内容作为响应描述，否则响应无效。</w:t>
      </w:r>
    </w:p>
    <w:p>
      <w:pPr>
        <w:pStyle w:val="20"/>
        <w:keepNext w:val="0"/>
        <w:keepLines w:val="0"/>
        <w:pageBreakBefore w:val="0"/>
        <w:kinsoku/>
        <w:overflowPunct/>
        <w:topLinePunct w:val="0"/>
        <w:bidi w:val="0"/>
        <w:spacing w:line="360" w:lineRule="auto"/>
        <w:ind w:firstLine="0"/>
        <w:textAlignment w:val="auto"/>
        <w:rPr>
          <w:rFonts w:hAnsi="宋体"/>
          <w:color w:val="auto"/>
          <w:sz w:val="21"/>
          <w:szCs w:val="21"/>
          <w:highlight w:val="none"/>
        </w:rPr>
      </w:pPr>
    </w:p>
    <w:p>
      <w:pPr>
        <w:pStyle w:val="26"/>
        <w:keepNext w:val="0"/>
        <w:keepLines w:val="0"/>
        <w:pageBreakBefore w:val="0"/>
        <w:kinsoku/>
        <w:overflowPunct/>
        <w:topLinePunct w:val="0"/>
        <w:bidi w:val="0"/>
        <w:spacing w:line="360" w:lineRule="auto"/>
        <w:textAlignment w:val="auto"/>
        <w:rPr>
          <w:rFonts w:hAnsi="宋体"/>
          <w:color w:val="auto"/>
          <w:sz w:val="21"/>
          <w:szCs w:val="21"/>
          <w:highlight w:val="none"/>
        </w:rPr>
      </w:pPr>
    </w:p>
    <w:p>
      <w:pPr>
        <w:pStyle w:val="26"/>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法定代表人或委托代理人（签字）：</w:t>
      </w:r>
      <w:r>
        <w:rPr>
          <w:rFonts w:hint="eastAsia" w:hAnsi="宋体"/>
          <w:color w:val="auto"/>
          <w:sz w:val="21"/>
          <w:szCs w:val="21"/>
          <w:highlight w:val="none"/>
          <w:u w:val="single"/>
        </w:rPr>
        <w:t xml:space="preserve">                  </w:t>
      </w:r>
    </w:p>
    <w:p>
      <w:pPr>
        <w:pStyle w:val="26"/>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供应商名称（盖章）：</w:t>
      </w:r>
      <w:r>
        <w:rPr>
          <w:rFonts w:hint="eastAsia" w:hAnsi="宋体"/>
          <w:color w:val="auto"/>
          <w:sz w:val="21"/>
          <w:szCs w:val="21"/>
          <w:highlight w:val="none"/>
          <w:u w:val="single"/>
        </w:rPr>
        <w:t xml:space="preserve">                              </w:t>
      </w:r>
    </w:p>
    <w:p>
      <w:pPr>
        <w:pStyle w:val="26"/>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日 </w:t>
      </w:r>
    </w:p>
    <w:p>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pPr>
        <w:keepNext w:val="0"/>
        <w:keepLines w:val="0"/>
        <w:pageBreakBefore w:val="0"/>
        <w:widowControl/>
        <w:kinsoku/>
        <w:overflowPunct/>
        <w:topLinePunct w:val="0"/>
        <w:bidi w:val="0"/>
        <w:spacing w:line="360" w:lineRule="auto"/>
        <w:jc w:val="left"/>
        <w:textAlignment w:val="auto"/>
        <w:rPr>
          <w:rFonts w:hint="eastAsia" w:ascii="宋体" w:hAnsi="宋体"/>
          <w:color w:val="auto"/>
          <w:sz w:val="21"/>
          <w:szCs w:val="21"/>
          <w:highlight w:val="none"/>
        </w:rPr>
      </w:pPr>
      <w:r>
        <w:rPr>
          <w:rFonts w:ascii="宋体" w:hAnsi="宋体"/>
          <w:color w:val="auto"/>
          <w:sz w:val="21"/>
          <w:szCs w:val="21"/>
          <w:highlight w:val="none"/>
        </w:rPr>
        <w:br w:type="page"/>
      </w:r>
    </w:p>
    <w:p>
      <w:pPr>
        <w:keepNext w:val="0"/>
        <w:keepLines w:val="0"/>
        <w:pageBreakBefore w:val="0"/>
        <w:widowControl w:val="0"/>
        <w:kinsoku/>
        <w:wordWrap/>
        <w:overflowPunct/>
        <w:topLinePunct w:val="0"/>
        <w:autoSpaceDE/>
        <w:autoSpaceDN/>
        <w:bidi w:val="0"/>
        <w:spacing w:line="360" w:lineRule="auto"/>
        <w:ind w:firstLine="422" w:firstLineChars="200"/>
        <w:textAlignment w:val="auto"/>
        <w:rPr>
          <w:rFonts w:hint="eastAsia" w:ascii="宋体" w:hAnsi="宋体"/>
          <w:b/>
          <w:bCs/>
          <w:color w:val="auto"/>
          <w:sz w:val="21"/>
          <w:szCs w:val="21"/>
          <w:highlight w:val="none"/>
        </w:rPr>
      </w:pPr>
      <w:r>
        <w:rPr>
          <w:rFonts w:hint="eastAsia" w:ascii="宋体" w:hAnsi="宋体"/>
          <w:b/>
          <w:bCs/>
          <w:color w:val="auto"/>
          <w:sz w:val="21"/>
          <w:szCs w:val="21"/>
          <w:highlight w:val="none"/>
          <w:lang w:val="en-US" w:eastAsia="zh-CN"/>
        </w:rPr>
        <w:t>（6</w:t>
      </w:r>
      <w:r>
        <w:rPr>
          <w:rFonts w:hint="eastAsia" w:ascii="宋体" w:hAnsi="宋体"/>
          <w:b/>
          <w:bCs/>
          <w:color w:val="auto"/>
          <w:sz w:val="21"/>
          <w:szCs w:val="21"/>
          <w:highlight w:val="none"/>
        </w:rPr>
        <w:t>）供应商有效的</w:t>
      </w:r>
      <w:r>
        <w:rPr>
          <w:rFonts w:hint="eastAsia" w:ascii="宋体" w:hAnsi="宋体"/>
          <w:b/>
          <w:bCs/>
          <w:color w:val="auto"/>
          <w:sz w:val="21"/>
          <w:szCs w:val="21"/>
          <w:highlight w:val="none"/>
          <w:lang w:val="en-US" w:eastAsia="zh-CN"/>
        </w:rPr>
        <w:t>资质及证明文件（按磋商公告中供应商资质要求提交的材料）</w:t>
      </w:r>
      <w:r>
        <w:rPr>
          <w:rFonts w:hint="eastAsia" w:ascii="宋体" w:hAnsi="宋体"/>
          <w:b/>
          <w:bCs/>
          <w:color w:val="auto"/>
          <w:sz w:val="21"/>
          <w:szCs w:val="21"/>
          <w:highlight w:val="none"/>
        </w:rPr>
        <w:t>（必</w:t>
      </w:r>
    </w:p>
    <w:p>
      <w:pPr>
        <w:keepNext w:val="0"/>
        <w:keepLines w:val="0"/>
        <w:pageBreakBefore w:val="0"/>
        <w:widowControl w:val="0"/>
        <w:kinsoku/>
        <w:wordWrap/>
        <w:overflowPunct/>
        <w:topLinePunct w:val="0"/>
        <w:autoSpaceDE/>
        <w:autoSpaceDN/>
        <w:bidi w:val="0"/>
        <w:spacing w:line="360" w:lineRule="auto"/>
        <w:ind w:firstLine="422" w:firstLineChars="200"/>
        <w:textAlignment w:val="auto"/>
        <w:rPr>
          <w:rFonts w:hint="default" w:eastAsia="宋体"/>
          <w:b/>
          <w:bCs/>
          <w:sz w:val="21"/>
          <w:szCs w:val="21"/>
          <w:lang w:val="en-US" w:eastAsia="zh-CN"/>
        </w:rPr>
      </w:pPr>
      <w:r>
        <w:rPr>
          <w:rFonts w:hint="eastAsia" w:ascii="宋体" w:hAnsi="宋体"/>
          <w:b/>
          <w:bCs/>
          <w:color w:val="auto"/>
          <w:sz w:val="21"/>
          <w:szCs w:val="21"/>
          <w:highlight w:val="none"/>
        </w:rPr>
        <w:t>须提供）</w:t>
      </w:r>
    </w:p>
    <w:p>
      <w:pPr>
        <w:keepNext w:val="0"/>
        <w:keepLines w:val="0"/>
        <w:pageBreakBefore w:val="0"/>
        <w:widowControl w:val="0"/>
        <w:kinsoku/>
        <w:wordWrap/>
        <w:overflowPunct/>
        <w:topLinePunct w:val="0"/>
        <w:autoSpaceDE/>
        <w:autoSpaceDN/>
        <w:bidi w:val="0"/>
        <w:spacing w:line="360" w:lineRule="auto"/>
        <w:ind w:firstLine="422" w:firstLineChars="200"/>
        <w:textAlignment w:val="auto"/>
        <w:rPr>
          <w:rFonts w:hint="eastAsia" w:ascii="宋体" w:hAnsi="宋体"/>
          <w:b/>
          <w:bCs/>
          <w:color w:val="auto"/>
          <w:sz w:val="21"/>
          <w:szCs w:val="21"/>
          <w:highlight w:val="none"/>
        </w:rPr>
      </w:pPr>
    </w:p>
    <w:p>
      <w:pPr>
        <w:keepNext w:val="0"/>
        <w:keepLines w:val="0"/>
        <w:pageBreakBefore w:val="0"/>
        <w:widowControl w:val="0"/>
        <w:kinsoku/>
        <w:wordWrap/>
        <w:overflowPunct/>
        <w:topLinePunct w:val="0"/>
        <w:autoSpaceDE/>
        <w:autoSpaceDN/>
        <w:bidi w:val="0"/>
        <w:spacing w:line="360" w:lineRule="auto"/>
        <w:ind w:firstLine="422" w:firstLineChars="200"/>
        <w:textAlignment w:val="auto"/>
        <w:rPr>
          <w:rFonts w:hint="eastAsia" w:ascii="宋体" w:hAnsi="宋体"/>
          <w:b/>
          <w:bCs/>
          <w:color w:val="auto"/>
          <w:sz w:val="21"/>
          <w:szCs w:val="21"/>
          <w:highlight w:val="none"/>
          <w:lang w:eastAsia="zh-CN"/>
        </w:rPr>
      </w:pPr>
      <w:r>
        <w:rPr>
          <w:rFonts w:hint="eastAsia" w:ascii="宋体" w:hAnsi="宋体"/>
          <w:b/>
          <w:bCs/>
          <w:color w:val="auto"/>
          <w:sz w:val="21"/>
          <w:szCs w:val="21"/>
          <w:highlight w:val="none"/>
        </w:rPr>
        <w:t>（</w:t>
      </w:r>
      <w:r>
        <w:rPr>
          <w:rFonts w:hint="eastAsia" w:ascii="宋体" w:hAnsi="宋体"/>
          <w:b/>
          <w:bCs/>
          <w:color w:val="auto"/>
          <w:sz w:val="21"/>
          <w:szCs w:val="21"/>
          <w:highlight w:val="none"/>
          <w:lang w:val="en-US" w:eastAsia="zh-CN"/>
        </w:rPr>
        <w:t>7</w:t>
      </w:r>
      <w:r>
        <w:rPr>
          <w:rFonts w:hint="eastAsia" w:ascii="宋体" w:hAnsi="宋体"/>
          <w:b/>
          <w:bCs/>
          <w:color w:val="auto"/>
          <w:sz w:val="21"/>
          <w:szCs w:val="21"/>
          <w:highlight w:val="none"/>
        </w:rPr>
        <w:t>）</w:t>
      </w:r>
      <w:r>
        <w:rPr>
          <w:rFonts w:hint="eastAsia" w:ascii="宋体" w:hAnsi="宋体"/>
          <w:b/>
          <w:bCs/>
          <w:color w:val="auto"/>
          <w:sz w:val="21"/>
          <w:szCs w:val="21"/>
          <w:highlight w:val="none"/>
          <w:lang w:val="en-US" w:eastAsia="zh-CN"/>
        </w:rPr>
        <w:t>项目实施方案（提供详细的实施本项目的实施方案，如日期规划、培训、应急处置、风险预案等方案）（格式目录自拟，必须提供）</w:t>
      </w:r>
      <w:r>
        <w:rPr>
          <w:rFonts w:hint="eastAsia" w:ascii="宋体" w:hAnsi="宋体"/>
          <w:b/>
          <w:bCs/>
          <w:color w:val="auto"/>
          <w:sz w:val="21"/>
          <w:szCs w:val="21"/>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cs="Times New Roman"/>
          <w:b/>
          <w:bCs/>
          <w:color w:val="auto"/>
          <w:sz w:val="21"/>
          <w:szCs w:val="21"/>
          <w:highlight w:val="none"/>
          <w:lang w:val="en-US" w:eastAsia="zh-CN"/>
        </w:rPr>
      </w:pPr>
      <w:r>
        <w:rPr>
          <w:rFonts w:hint="eastAsia" w:ascii="宋体" w:hAnsi="宋体"/>
          <w:b/>
          <w:color w:val="auto"/>
          <w:sz w:val="32"/>
          <w:szCs w:val="32"/>
          <w:highlight w:val="none"/>
          <w:lang w:val="en-US" w:eastAsia="zh-CN"/>
        </w:rPr>
        <w:t xml:space="preserve"> </w:t>
      </w:r>
      <w:r>
        <w:rPr>
          <w:rFonts w:hint="eastAsia" w:ascii="宋体" w:hAnsi="宋体" w:eastAsia="宋体" w:cs="Times New Roman"/>
          <w:b/>
          <w:bCs/>
          <w:color w:val="auto"/>
          <w:sz w:val="21"/>
          <w:szCs w:val="21"/>
          <w:highlight w:val="none"/>
          <w:lang w:val="en-US" w:eastAsia="zh-CN"/>
        </w:rPr>
        <w:t xml:space="preserve"> </w:t>
      </w:r>
      <w:r>
        <w:rPr>
          <w:rFonts w:hint="eastAsia" w:ascii="宋体" w:hAnsi="宋体" w:cs="Times New Roman"/>
          <w:b/>
          <w:bCs/>
          <w:color w:val="auto"/>
          <w:sz w:val="21"/>
          <w:szCs w:val="21"/>
          <w:highlight w:val="non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jc w:val="left"/>
        <w:textAlignment w:val="auto"/>
        <w:rPr>
          <w:rFonts w:hint="eastAsia" w:ascii="宋体" w:hAnsi="宋体" w:eastAsia="宋体"/>
          <w:b/>
          <w:bCs/>
          <w:color w:val="auto"/>
          <w:sz w:val="21"/>
          <w:szCs w:val="21"/>
          <w:highlight w:val="none"/>
          <w:lang w:eastAsia="zh-CN"/>
        </w:rPr>
      </w:pPr>
      <w:r>
        <w:rPr>
          <w:rFonts w:hint="eastAsia" w:ascii="宋体" w:hAnsi="宋体"/>
          <w:b/>
          <w:bCs/>
          <w:color w:val="auto"/>
          <w:sz w:val="21"/>
          <w:szCs w:val="21"/>
          <w:highlight w:val="none"/>
        </w:rPr>
        <w:t>（</w:t>
      </w:r>
      <w:r>
        <w:rPr>
          <w:rFonts w:hint="eastAsia" w:ascii="宋体" w:hAnsi="宋体"/>
          <w:b/>
          <w:bCs/>
          <w:color w:val="auto"/>
          <w:sz w:val="21"/>
          <w:szCs w:val="21"/>
          <w:highlight w:val="none"/>
          <w:lang w:val="en-US" w:eastAsia="zh-CN"/>
        </w:rPr>
        <w:t>8）售后服务方案，提供的切实可行的售后服务和优惠承诺（格式目录自拟）（必须提供）</w:t>
      </w:r>
      <w:r>
        <w:rPr>
          <w:rFonts w:hint="eastAsia" w:ascii="宋体" w:hAnsi="宋体"/>
          <w:b/>
          <w:bCs/>
          <w:color w:val="auto"/>
          <w:sz w:val="21"/>
          <w:szCs w:val="21"/>
          <w:highlight w:val="none"/>
          <w:lang w:eastAsia="zh-CN"/>
        </w:rPr>
        <w:t>；</w:t>
      </w:r>
    </w:p>
    <w:p>
      <w:pPr>
        <w:keepNext w:val="0"/>
        <w:keepLines w:val="0"/>
        <w:pageBreakBefore w:val="0"/>
        <w:kinsoku/>
        <w:overflowPunct/>
        <w:topLinePunct w:val="0"/>
        <w:bidi w:val="0"/>
        <w:adjustRightInd w:val="0"/>
        <w:snapToGrid w:val="0"/>
        <w:spacing w:line="360" w:lineRule="auto"/>
        <w:ind w:firstLine="422" w:firstLineChars="200"/>
        <w:jc w:val="left"/>
        <w:textAlignment w:val="auto"/>
        <w:rPr>
          <w:rFonts w:hint="eastAsia" w:ascii="宋体" w:hAnsi="宋体"/>
          <w:b/>
          <w:bCs/>
          <w:color w:val="auto"/>
          <w:sz w:val="21"/>
          <w:szCs w:val="21"/>
          <w:highlight w:val="none"/>
          <w:lang w:eastAsia="zh-CN"/>
        </w:rPr>
      </w:pPr>
    </w:p>
    <w:p>
      <w:pPr>
        <w:keepNext w:val="0"/>
        <w:keepLines w:val="0"/>
        <w:pageBreakBefore w:val="0"/>
        <w:kinsoku/>
        <w:overflowPunct/>
        <w:topLinePunct w:val="0"/>
        <w:bidi w:val="0"/>
        <w:adjustRightInd w:val="0"/>
        <w:snapToGrid w:val="0"/>
        <w:spacing w:line="360" w:lineRule="auto"/>
        <w:ind w:firstLine="422" w:firstLineChars="200"/>
        <w:jc w:val="left"/>
        <w:textAlignment w:val="auto"/>
        <w:rPr>
          <w:rFonts w:hint="eastAsia" w:ascii="宋体" w:hAnsi="宋体" w:eastAsia="宋体"/>
          <w:b/>
          <w:color w:val="auto"/>
          <w:sz w:val="32"/>
          <w:szCs w:val="32"/>
          <w:highlight w:val="none"/>
          <w:lang w:val="en-US" w:eastAsia="zh-CN"/>
        </w:rPr>
      </w:pP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lang w:val="en-US" w:eastAsia="zh-CN"/>
        </w:rPr>
        <w:t>9</w:t>
      </w: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rPr>
        <w:t>项目实施人员一览表</w:t>
      </w:r>
      <w:r>
        <w:rPr>
          <w:rFonts w:hint="eastAsia" w:ascii="宋体" w:hAnsi="宋体"/>
          <w:b/>
          <w:bCs/>
          <w:color w:val="auto"/>
          <w:sz w:val="21"/>
          <w:szCs w:val="21"/>
          <w:highlight w:val="none"/>
          <w:lang w:val="en-US" w:eastAsia="zh-CN"/>
        </w:rPr>
        <w:t>格式：</w:t>
      </w:r>
    </w:p>
    <w:p>
      <w:pPr>
        <w:keepNext w:val="0"/>
        <w:keepLines w:val="0"/>
        <w:pageBreakBefore w:val="0"/>
        <w:kinsoku/>
        <w:overflowPunct/>
        <w:topLinePunct w:val="0"/>
        <w:bidi w:val="0"/>
        <w:adjustRightInd w:val="0"/>
        <w:snapToGrid w:val="0"/>
        <w:spacing w:line="360" w:lineRule="auto"/>
        <w:jc w:val="center"/>
        <w:textAlignment w:val="auto"/>
        <w:rPr>
          <w:rFonts w:hint="eastAsia" w:ascii="宋体" w:hAnsi="宋体"/>
          <w:b/>
          <w:color w:val="auto"/>
          <w:sz w:val="32"/>
          <w:szCs w:val="32"/>
          <w:highlight w:val="none"/>
        </w:rPr>
      </w:pPr>
    </w:p>
    <w:p>
      <w:pPr>
        <w:keepNext w:val="0"/>
        <w:keepLines w:val="0"/>
        <w:pageBreakBefore w:val="0"/>
        <w:kinsoku/>
        <w:overflowPunct/>
        <w:topLinePunct w:val="0"/>
        <w:bidi w:val="0"/>
        <w:adjustRightInd w:val="0"/>
        <w:snapToGrid w:val="0"/>
        <w:spacing w:line="240" w:lineRule="auto"/>
        <w:jc w:val="center"/>
        <w:textAlignment w:val="auto"/>
        <w:rPr>
          <w:rFonts w:ascii="宋体" w:hAnsi="宋体"/>
          <w:b/>
          <w:color w:val="auto"/>
          <w:sz w:val="32"/>
          <w:szCs w:val="32"/>
          <w:highlight w:val="none"/>
        </w:rPr>
      </w:pPr>
      <w:r>
        <w:rPr>
          <w:rFonts w:hint="eastAsia" w:ascii="宋体" w:hAnsi="宋体"/>
          <w:b/>
          <w:color w:val="auto"/>
          <w:sz w:val="32"/>
          <w:szCs w:val="32"/>
          <w:highlight w:val="none"/>
        </w:rPr>
        <w:t>项目实施人员一览表</w:t>
      </w:r>
    </w:p>
    <w:p>
      <w:pPr>
        <w:keepNext w:val="0"/>
        <w:keepLines w:val="0"/>
        <w:pageBreakBefore w:val="0"/>
        <w:kinsoku/>
        <w:overflowPunct/>
        <w:topLinePunct w:val="0"/>
        <w:bidi w:val="0"/>
        <w:snapToGrid w:val="0"/>
        <w:spacing w:beforeLines="50" w:after="50" w:line="240" w:lineRule="auto"/>
        <w:jc w:val="center"/>
        <w:textAlignment w:val="auto"/>
        <w:rPr>
          <w:rFonts w:ascii="宋体" w:hAnsi="宋体"/>
          <w:b/>
          <w:color w:val="auto"/>
          <w:sz w:val="21"/>
          <w:szCs w:val="21"/>
          <w:highlight w:val="none"/>
        </w:rPr>
      </w:pPr>
      <w:r>
        <w:rPr>
          <w:rFonts w:hint="eastAsia" w:ascii="宋体" w:hAnsi="宋体"/>
          <w:b/>
          <w:color w:val="auto"/>
          <w:sz w:val="32"/>
          <w:szCs w:val="32"/>
          <w:highlight w:val="none"/>
        </w:rPr>
        <w:t>（拟投入人员及其技术资格一览表）</w:t>
      </w: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3"/>
        <w:gridCol w:w="774"/>
        <w:gridCol w:w="1857"/>
        <w:gridCol w:w="1551"/>
        <w:gridCol w:w="1854"/>
        <w:gridCol w:w="20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3" w:type="dxa"/>
            <w:noWrap w:val="0"/>
            <w:vAlign w:val="center"/>
          </w:tcPr>
          <w:p>
            <w:pPr>
              <w:snapToGrid w:val="0"/>
              <w:spacing w:before="50" w:after="120" w:afterLines="50"/>
              <w:jc w:val="center"/>
              <w:rPr>
                <w:rFonts w:hint="eastAsia" w:hAnsi="宋体"/>
                <w:sz w:val="21"/>
                <w:szCs w:val="21"/>
              </w:rPr>
            </w:pPr>
            <w:r>
              <w:rPr>
                <w:rFonts w:hint="eastAsia" w:hAnsi="宋体"/>
                <w:sz w:val="21"/>
                <w:szCs w:val="21"/>
              </w:rPr>
              <w:t>姓名</w:t>
            </w:r>
          </w:p>
        </w:tc>
        <w:tc>
          <w:tcPr>
            <w:tcW w:w="774" w:type="dxa"/>
            <w:noWrap w:val="0"/>
            <w:vAlign w:val="center"/>
          </w:tcPr>
          <w:p>
            <w:pPr>
              <w:snapToGrid w:val="0"/>
              <w:spacing w:before="50" w:after="120" w:afterLines="50"/>
              <w:jc w:val="center"/>
              <w:rPr>
                <w:rFonts w:hint="eastAsia" w:hAnsi="宋体"/>
                <w:sz w:val="21"/>
                <w:szCs w:val="21"/>
              </w:rPr>
            </w:pPr>
            <w:r>
              <w:rPr>
                <w:rFonts w:hint="eastAsia" w:hAnsi="宋体"/>
                <w:sz w:val="21"/>
                <w:szCs w:val="21"/>
              </w:rPr>
              <w:t>职务</w:t>
            </w:r>
          </w:p>
        </w:tc>
        <w:tc>
          <w:tcPr>
            <w:tcW w:w="1857" w:type="dxa"/>
            <w:noWrap w:val="0"/>
            <w:vAlign w:val="center"/>
          </w:tcPr>
          <w:p>
            <w:pPr>
              <w:snapToGrid w:val="0"/>
              <w:spacing w:before="50" w:after="120" w:afterLines="50"/>
              <w:jc w:val="center"/>
              <w:rPr>
                <w:rFonts w:hint="eastAsia" w:hAnsi="宋体"/>
                <w:sz w:val="21"/>
                <w:szCs w:val="21"/>
              </w:rPr>
            </w:pPr>
            <w:r>
              <w:rPr>
                <w:rFonts w:hint="eastAsia" w:hAnsi="宋体"/>
                <w:sz w:val="21"/>
                <w:szCs w:val="21"/>
              </w:rPr>
              <w:t>专业技术资格（职称）或者职业资格或者执业资格证或者其他证书</w:t>
            </w:r>
          </w:p>
        </w:tc>
        <w:tc>
          <w:tcPr>
            <w:tcW w:w="1551" w:type="dxa"/>
            <w:noWrap w:val="0"/>
            <w:vAlign w:val="center"/>
          </w:tcPr>
          <w:p>
            <w:pPr>
              <w:snapToGrid w:val="0"/>
              <w:spacing w:before="50" w:after="120" w:afterLines="50"/>
              <w:jc w:val="center"/>
              <w:rPr>
                <w:rFonts w:hint="eastAsia" w:hAnsi="宋体"/>
                <w:sz w:val="21"/>
                <w:szCs w:val="21"/>
              </w:rPr>
            </w:pPr>
            <w:r>
              <w:rPr>
                <w:rFonts w:hint="eastAsia" w:hAnsi="宋体"/>
                <w:sz w:val="21"/>
                <w:szCs w:val="21"/>
              </w:rPr>
              <w:t>证书编号</w:t>
            </w:r>
          </w:p>
        </w:tc>
        <w:tc>
          <w:tcPr>
            <w:tcW w:w="1854" w:type="dxa"/>
            <w:noWrap w:val="0"/>
            <w:vAlign w:val="center"/>
          </w:tcPr>
          <w:p>
            <w:pPr>
              <w:snapToGrid w:val="0"/>
              <w:spacing w:before="50" w:after="120" w:afterLines="50"/>
              <w:jc w:val="center"/>
              <w:rPr>
                <w:rFonts w:hint="eastAsia" w:hAnsi="宋体"/>
                <w:sz w:val="21"/>
                <w:szCs w:val="21"/>
              </w:rPr>
            </w:pPr>
            <w:r>
              <w:rPr>
                <w:rFonts w:hint="eastAsia" w:hAnsi="宋体"/>
                <w:sz w:val="21"/>
                <w:szCs w:val="21"/>
              </w:rPr>
              <w:t>参加本单位</w:t>
            </w:r>
          </w:p>
          <w:p>
            <w:pPr>
              <w:snapToGrid w:val="0"/>
              <w:spacing w:before="50" w:after="120" w:afterLines="50"/>
              <w:jc w:val="center"/>
              <w:rPr>
                <w:rFonts w:hint="eastAsia" w:hAnsi="宋体"/>
                <w:sz w:val="21"/>
                <w:szCs w:val="21"/>
              </w:rPr>
            </w:pPr>
            <w:r>
              <w:rPr>
                <w:rFonts w:hint="eastAsia" w:hAnsi="宋体"/>
                <w:sz w:val="21"/>
                <w:szCs w:val="21"/>
              </w:rPr>
              <w:t>工作时间</w:t>
            </w:r>
          </w:p>
        </w:tc>
        <w:tc>
          <w:tcPr>
            <w:tcW w:w="2012" w:type="dxa"/>
            <w:noWrap w:val="0"/>
            <w:vAlign w:val="center"/>
          </w:tcPr>
          <w:p>
            <w:pPr>
              <w:snapToGrid w:val="0"/>
              <w:spacing w:before="50" w:after="120" w:afterLines="50"/>
              <w:jc w:val="center"/>
              <w:rPr>
                <w:rFonts w:hint="default" w:hAnsi="宋体" w:eastAsia="宋体"/>
                <w:sz w:val="21"/>
                <w:szCs w:val="21"/>
                <w:lang w:val="en-US" w:eastAsia="zh-CN"/>
              </w:rPr>
            </w:pPr>
            <w:r>
              <w:rPr>
                <w:rFonts w:hint="eastAsia" w:hAnsi="宋体"/>
                <w:sz w:val="21"/>
                <w:szCs w:val="21"/>
                <w:lang w:val="en-US" w:eastAsia="zh-CN"/>
              </w:rPr>
              <w:t>社保编号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3" w:type="dxa"/>
            <w:noWrap w:val="0"/>
            <w:vAlign w:val="center"/>
          </w:tcPr>
          <w:p>
            <w:pPr>
              <w:snapToGrid w:val="0"/>
              <w:spacing w:before="50" w:after="120" w:afterLines="50"/>
              <w:jc w:val="center"/>
              <w:rPr>
                <w:rFonts w:hint="eastAsia" w:hAnsi="宋体"/>
                <w:sz w:val="24"/>
                <w:szCs w:val="20"/>
              </w:rPr>
            </w:pPr>
          </w:p>
        </w:tc>
        <w:tc>
          <w:tcPr>
            <w:tcW w:w="774" w:type="dxa"/>
            <w:noWrap w:val="0"/>
            <w:vAlign w:val="center"/>
          </w:tcPr>
          <w:p>
            <w:pPr>
              <w:snapToGrid w:val="0"/>
              <w:spacing w:before="50" w:after="120" w:afterLines="50"/>
              <w:jc w:val="center"/>
              <w:rPr>
                <w:rFonts w:hint="eastAsia" w:hAnsi="宋体"/>
                <w:sz w:val="24"/>
                <w:szCs w:val="20"/>
              </w:rPr>
            </w:pPr>
          </w:p>
        </w:tc>
        <w:tc>
          <w:tcPr>
            <w:tcW w:w="1857" w:type="dxa"/>
            <w:noWrap w:val="0"/>
            <w:vAlign w:val="center"/>
          </w:tcPr>
          <w:p>
            <w:pPr>
              <w:snapToGrid w:val="0"/>
              <w:spacing w:before="50" w:after="120" w:afterLines="50"/>
              <w:jc w:val="center"/>
              <w:rPr>
                <w:rFonts w:hint="eastAsia" w:hAnsi="宋体"/>
                <w:sz w:val="24"/>
                <w:szCs w:val="20"/>
              </w:rPr>
            </w:pPr>
          </w:p>
        </w:tc>
        <w:tc>
          <w:tcPr>
            <w:tcW w:w="1551" w:type="dxa"/>
            <w:noWrap w:val="0"/>
            <w:vAlign w:val="center"/>
          </w:tcPr>
          <w:p>
            <w:pPr>
              <w:snapToGrid w:val="0"/>
              <w:spacing w:before="50" w:after="120" w:afterLines="50"/>
              <w:jc w:val="center"/>
              <w:rPr>
                <w:rFonts w:hint="eastAsia" w:hAnsi="宋体"/>
                <w:sz w:val="24"/>
                <w:szCs w:val="20"/>
              </w:rPr>
            </w:pPr>
          </w:p>
        </w:tc>
        <w:tc>
          <w:tcPr>
            <w:tcW w:w="1854" w:type="dxa"/>
            <w:noWrap w:val="0"/>
            <w:vAlign w:val="center"/>
          </w:tcPr>
          <w:p>
            <w:pPr>
              <w:snapToGrid w:val="0"/>
              <w:spacing w:before="50" w:after="120" w:afterLines="50"/>
              <w:jc w:val="center"/>
              <w:rPr>
                <w:rFonts w:hint="eastAsia" w:hAnsi="宋体"/>
                <w:sz w:val="24"/>
                <w:szCs w:val="20"/>
              </w:rPr>
            </w:pPr>
          </w:p>
        </w:tc>
        <w:tc>
          <w:tcPr>
            <w:tcW w:w="2012" w:type="dxa"/>
            <w:noWrap w:val="0"/>
            <w:vAlign w:val="center"/>
          </w:tcPr>
          <w:p>
            <w:pPr>
              <w:snapToGrid w:val="0"/>
              <w:spacing w:before="50" w:after="120" w:afterLines="50"/>
              <w:jc w:val="center"/>
              <w:rPr>
                <w:rFonts w:hint="eastAsia" w:hAnsi="宋体"/>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3" w:type="dxa"/>
            <w:noWrap w:val="0"/>
            <w:vAlign w:val="center"/>
          </w:tcPr>
          <w:p>
            <w:pPr>
              <w:snapToGrid w:val="0"/>
              <w:spacing w:before="50" w:after="120" w:afterLines="50"/>
              <w:jc w:val="center"/>
              <w:rPr>
                <w:rFonts w:hint="eastAsia" w:hAnsi="宋体"/>
                <w:sz w:val="24"/>
                <w:szCs w:val="20"/>
              </w:rPr>
            </w:pPr>
          </w:p>
        </w:tc>
        <w:tc>
          <w:tcPr>
            <w:tcW w:w="774" w:type="dxa"/>
            <w:noWrap w:val="0"/>
            <w:vAlign w:val="center"/>
          </w:tcPr>
          <w:p>
            <w:pPr>
              <w:snapToGrid w:val="0"/>
              <w:spacing w:before="50" w:after="120" w:afterLines="50"/>
              <w:jc w:val="center"/>
              <w:rPr>
                <w:rFonts w:hint="eastAsia" w:hAnsi="宋体"/>
                <w:sz w:val="24"/>
                <w:szCs w:val="20"/>
              </w:rPr>
            </w:pPr>
          </w:p>
        </w:tc>
        <w:tc>
          <w:tcPr>
            <w:tcW w:w="1857" w:type="dxa"/>
            <w:noWrap w:val="0"/>
            <w:vAlign w:val="center"/>
          </w:tcPr>
          <w:p>
            <w:pPr>
              <w:snapToGrid w:val="0"/>
              <w:spacing w:before="50" w:after="120" w:afterLines="50"/>
              <w:jc w:val="center"/>
              <w:rPr>
                <w:rFonts w:hint="eastAsia" w:hAnsi="宋体"/>
                <w:sz w:val="24"/>
                <w:szCs w:val="20"/>
              </w:rPr>
            </w:pPr>
          </w:p>
        </w:tc>
        <w:tc>
          <w:tcPr>
            <w:tcW w:w="1551" w:type="dxa"/>
            <w:noWrap w:val="0"/>
            <w:vAlign w:val="center"/>
          </w:tcPr>
          <w:p>
            <w:pPr>
              <w:snapToGrid w:val="0"/>
              <w:spacing w:before="50" w:after="120" w:afterLines="50"/>
              <w:jc w:val="center"/>
              <w:rPr>
                <w:rFonts w:hint="eastAsia" w:hAnsi="宋体"/>
                <w:sz w:val="24"/>
                <w:szCs w:val="20"/>
              </w:rPr>
            </w:pPr>
          </w:p>
        </w:tc>
        <w:tc>
          <w:tcPr>
            <w:tcW w:w="1854" w:type="dxa"/>
            <w:noWrap w:val="0"/>
            <w:vAlign w:val="center"/>
          </w:tcPr>
          <w:p>
            <w:pPr>
              <w:snapToGrid w:val="0"/>
              <w:spacing w:before="50" w:after="120" w:afterLines="50"/>
              <w:jc w:val="center"/>
              <w:rPr>
                <w:rFonts w:hint="eastAsia" w:hAnsi="宋体"/>
                <w:sz w:val="24"/>
                <w:szCs w:val="20"/>
              </w:rPr>
            </w:pPr>
          </w:p>
        </w:tc>
        <w:tc>
          <w:tcPr>
            <w:tcW w:w="2012" w:type="dxa"/>
            <w:noWrap w:val="0"/>
            <w:vAlign w:val="center"/>
          </w:tcPr>
          <w:p>
            <w:pPr>
              <w:snapToGrid w:val="0"/>
              <w:spacing w:before="50" w:after="120" w:afterLines="50"/>
              <w:jc w:val="center"/>
              <w:rPr>
                <w:rFonts w:hint="eastAsia" w:hAnsi="宋体"/>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3" w:type="dxa"/>
            <w:noWrap w:val="0"/>
            <w:vAlign w:val="center"/>
          </w:tcPr>
          <w:p>
            <w:pPr>
              <w:snapToGrid w:val="0"/>
              <w:spacing w:before="50" w:after="120" w:afterLines="50"/>
              <w:jc w:val="center"/>
              <w:rPr>
                <w:rFonts w:hint="eastAsia" w:hAnsi="宋体"/>
                <w:sz w:val="24"/>
                <w:szCs w:val="20"/>
              </w:rPr>
            </w:pPr>
          </w:p>
        </w:tc>
        <w:tc>
          <w:tcPr>
            <w:tcW w:w="774" w:type="dxa"/>
            <w:noWrap w:val="0"/>
            <w:vAlign w:val="center"/>
          </w:tcPr>
          <w:p>
            <w:pPr>
              <w:snapToGrid w:val="0"/>
              <w:spacing w:before="50" w:after="120" w:afterLines="50"/>
              <w:jc w:val="center"/>
              <w:rPr>
                <w:rFonts w:hint="eastAsia" w:hAnsi="宋体"/>
                <w:sz w:val="24"/>
                <w:szCs w:val="20"/>
              </w:rPr>
            </w:pPr>
          </w:p>
        </w:tc>
        <w:tc>
          <w:tcPr>
            <w:tcW w:w="1857" w:type="dxa"/>
            <w:noWrap w:val="0"/>
            <w:vAlign w:val="center"/>
          </w:tcPr>
          <w:p>
            <w:pPr>
              <w:snapToGrid w:val="0"/>
              <w:spacing w:before="50" w:after="120" w:afterLines="50"/>
              <w:jc w:val="center"/>
              <w:rPr>
                <w:rFonts w:hint="eastAsia" w:hAnsi="宋体"/>
                <w:sz w:val="24"/>
                <w:szCs w:val="20"/>
              </w:rPr>
            </w:pPr>
          </w:p>
        </w:tc>
        <w:tc>
          <w:tcPr>
            <w:tcW w:w="1551" w:type="dxa"/>
            <w:noWrap w:val="0"/>
            <w:vAlign w:val="center"/>
          </w:tcPr>
          <w:p>
            <w:pPr>
              <w:snapToGrid w:val="0"/>
              <w:spacing w:before="50" w:after="120" w:afterLines="50"/>
              <w:jc w:val="center"/>
              <w:rPr>
                <w:rFonts w:hint="eastAsia" w:hAnsi="宋体"/>
                <w:sz w:val="24"/>
                <w:szCs w:val="20"/>
              </w:rPr>
            </w:pPr>
          </w:p>
        </w:tc>
        <w:tc>
          <w:tcPr>
            <w:tcW w:w="1854" w:type="dxa"/>
            <w:noWrap w:val="0"/>
            <w:vAlign w:val="center"/>
          </w:tcPr>
          <w:p>
            <w:pPr>
              <w:snapToGrid w:val="0"/>
              <w:spacing w:before="50" w:after="120" w:afterLines="50"/>
              <w:jc w:val="center"/>
              <w:rPr>
                <w:rFonts w:hint="eastAsia" w:hAnsi="宋体"/>
                <w:sz w:val="24"/>
                <w:szCs w:val="20"/>
              </w:rPr>
            </w:pPr>
          </w:p>
        </w:tc>
        <w:tc>
          <w:tcPr>
            <w:tcW w:w="2012" w:type="dxa"/>
            <w:noWrap w:val="0"/>
            <w:vAlign w:val="center"/>
          </w:tcPr>
          <w:p>
            <w:pPr>
              <w:snapToGrid w:val="0"/>
              <w:spacing w:before="50" w:after="120" w:afterLines="50"/>
              <w:jc w:val="center"/>
              <w:rPr>
                <w:rFonts w:hint="eastAsia" w:hAnsi="宋体"/>
                <w:sz w:val="24"/>
                <w:szCs w:val="20"/>
              </w:rPr>
            </w:pPr>
          </w:p>
        </w:tc>
      </w:tr>
    </w:tbl>
    <w:p>
      <w:pPr>
        <w:keepNext w:val="0"/>
        <w:keepLines w:val="0"/>
        <w:pageBreakBefore w:val="0"/>
        <w:kinsoku/>
        <w:overflowPunct/>
        <w:topLinePunct w:val="0"/>
        <w:bidi w:val="0"/>
        <w:snapToGrid w:val="0"/>
        <w:spacing w:before="50" w:afterLines="50" w:line="360" w:lineRule="auto"/>
        <w:ind w:firstLine="420" w:firstLineChars="200"/>
        <w:jc w:val="left"/>
        <w:textAlignment w:val="auto"/>
        <w:rPr>
          <w:rFonts w:hint="eastAsia" w:ascii="宋体" w:hAnsi="宋体"/>
          <w:color w:val="auto"/>
          <w:sz w:val="21"/>
          <w:szCs w:val="21"/>
          <w:highlight w:val="none"/>
        </w:rPr>
      </w:pPr>
    </w:p>
    <w:p>
      <w:pPr>
        <w:keepNext w:val="0"/>
        <w:keepLines w:val="0"/>
        <w:pageBreakBefore w:val="0"/>
        <w:kinsoku/>
        <w:overflowPunct/>
        <w:topLinePunct w:val="0"/>
        <w:bidi w:val="0"/>
        <w:snapToGrid w:val="0"/>
        <w:spacing w:before="50" w:afterLines="50" w:line="36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注：在填写时，如本表格不适合供应商的实际情况，可根据本表格式自行划表填写。</w:t>
      </w:r>
    </w:p>
    <w:p>
      <w:pPr>
        <w:pStyle w:val="26"/>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法定代表人或委托代理人（签字）:</w:t>
      </w:r>
      <w:r>
        <w:rPr>
          <w:rFonts w:hint="eastAsia" w:hAnsi="宋体"/>
          <w:color w:val="auto"/>
          <w:sz w:val="21"/>
          <w:szCs w:val="21"/>
          <w:highlight w:val="none"/>
          <w:u w:val="single"/>
        </w:rPr>
        <w:t xml:space="preserve">                      </w:t>
      </w:r>
    </w:p>
    <w:p>
      <w:pPr>
        <w:pStyle w:val="26"/>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供应商名称（盖章）：</w:t>
      </w:r>
      <w:r>
        <w:rPr>
          <w:rFonts w:hint="eastAsia" w:hAnsi="宋体"/>
          <w:color w:val="auto"/>
          <w:sz w:val="21"/>
          <w:szCs w:val="21"/>
          <w:highlight w:val="none"/>
          <w:u w:val="single"/>
        </w:rPr>
        <w:t xml:space="preserve">                              </w:t>
      </w:r>
    </w:p>
    <w:p>
      <w:pPr>
        <w:pStyle w:val="26"/>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日</w:t>
      </w:r>
    </w:p>
    <w:p>
      <w:pPr>
        <w:keepNext w:val="0"/>
        <w:keepLines w:val="0"/>
        <w:pageBreakBefore w:val="0"/>
        <w:kinsoku/>
        <w:overflowPunct/>
        <w:topLinePunct w:val="0"/>
        <w:bidi w:val="0"/>
        <w:spacing w:line="360" w:lineRule="auto"/>
        <w:textAlignment w:val="auto"/>
        <w:rPr>
          <w:rFonts w:hint="eastAsia" w:ascii="宋体" w:hAnsi="宋体"/>
          <w:b/>
          <w:bCs/>
          <w:color w:val="auto"/>
          <w:sz w:val="21"/>
          <w:szCs w:val="21"/>
          <w:highlight w:val="none"/>
          <w:lang w:eastAsia="zh-CN"/>
        </w:rPr>
      </w:pPr>
    </w:p>
    <w:p>
      <w:pPr>
        <w:keepNext w:val="0"/>
        <w:keepLines w:val="0"/>
        <w:pageBreakBefore w:val="0"/>
        <w:kinsoku/>
        <w:overflowPunct/>
        <w:topLinePunct w:val="0"/>
        <w:bidi w:val="0"/>
        <w:spacing w:line="360" w:lineRule="auto"/>
        <w:textAlignment w:val="auto"/>
        <w:rPr>
          <w:rFonts w:hint="eastAsia" w:ascii="宋体" w:hAnsi="宋体"/>
          <w:b/>
          <w:bCs/>
          <w:color w:val="auto"/>
          <w:sz w:val="21"/>
          <w:szCs w:val="21"/>
          <w:highlight w:val="none"/>
          <w:lang w:eastAsia="zh-CN"/>
        </w:rPr>
      </w:pPr>
    </w:p>
    <w:p>
      <w:pPr>
        <w:keepNext w:val="0"/>
        <w:keepLines w:val="0"/>
        <w:pageBreakBefore w:val="0"/>
        <w:kinsoku/>
        <w:overflowPunct/>
        <w:topLinePunct w:val="0"/>
        <w:bidi w:val="0"/>
        <w:spacing w:line="360" w:lineRule="auto"/>
        <w:textAlignment w:val="auto"/>
        <w:rPr>
          <w:rFonts w:hint="eastAsia" w:ascii="宋体" w:hAnsi="宋体"/>
          <w:b/>
          <w:bCs/>
          <w:color w:val="auto"/>
          <w:sz w:val="21"/>
          <w:szCs w:val="21"/>
          <w:highlight w:val="none"/>
          <w:lang w:eastAsia="zh-CN"/>
        </w:rPr>
      </w:pPr>
    </w:p>
    <w:p>
      <w:pPr>
        <w:keepNext w:val="0"/>
        <w:keepLines w:val="0"/>
        <w:pageBreakBefore w:val="0"/>
        <w:kinsoku/>
        <w:overflowPunct/>
        <w:topLinePunct w:val="0"/>
        <w:bidi w:val="0"/>
        <w:spacing w:line="360" w:lineRule="auto"/>
        <w:textAlignment w:val="auto"/>
        <w:rPr>
          <w:rFonts w:hint="eastAsia" w:ascii="宋体" w:hAnsi="宋体"/>
          <w:b/>
          <w:bCs/>
          <w:color w:val="auto"/>
          <w:sz w:val="21"/>
          <w:szCs w:val="21"/>
          <w:highlight w:val="none"/>
          <w:lang w:eastAsia="zh-CN"/>
        </w:rPr>
      </w:pPr>
    </w:p>
    <w:p>
      <w:pPr>
        <w:keepNext w:val="0"/>
        <w:keepLines w:val="0"/>
        <w:pageBreakBefore w:val="0"/>
        <w:kinsoku/>
        <w:overflowPunct/>
        <w:topLinePunct w:val="0"/>
        <w:bidi w:val="0"/>
        <w:spacing w:line="360" w:lineRule="auto"/>
        <w:textAlignment w:val="auto"/>
        <w:rPr>
          <w:rFonts w:hint="eastAsia" w:ascii="宋体" w:hAnsi="宋体"/>
          <w:b/>
          <w:bCs/>
          <w:color w:val="auto"/>
          <w:sz w:val="21"/>
          <w:szCs w:val="21"/>
          <w:highlight w:val="none"/>
          <w:lang w:eastAsia="zh-CN"/>
        </w:rPr>
      </w:pPr>
    </w:p>
    <w:p>
      <w:pPr>
        <w:pStyle w:val="57"/>
        <w:rPr>
          <w:rFonts w:hint="eastAsia"/>
          <w:lang w:eastAsia="zh-CN"/>
        </w:rPr>
      </w:pPr>
    </w:p>
    <w:p>
      <w:pPr>
        <w:rPr>
          <w:rFonts w:hint="eastAsia"/>
          <w:lang w:eastAsia="zh-CN"/>
        </w:rPr>
      </w:pPr>
    </w:p>
    <w:p>
      <w:pPr>
        <w:pStyle w:val="57"/>
        <w:rPr>
          <w:rFonts w:hint="eastAsia"/>
          <w:lang w:eastAsia="zh-CN"/>
        </w:rPr>
      </w:pPr>
    </w:p>
    <w:p>
      <w:pPr>
        <w:rPr>
          <w:rFonts w:hint="eastAsia"/>
          <w:lang w:eastAsia="zh-CN"/>
        </w:rPr>
      </w:pPr>
    </w:p>
    <w:p>
      <w:pPr>
        <w:pStyle w:val="57"/>
        <w:rPr>
          <w:rFonts w:hint="eastAsia"/>
          <w:lang w:eastAsia="zh-CN"/>
        </w:rPr>
      </w:pPr>
    </w:p>
    <w:p>
      <w:pPr>
        <w:keepNext w:val="0"/>
        <w:keepLines w:val="0"/>
        <w:pageBreakBefore w:val="0"/>
        <w:numPr>
          <w:ilvl w:val="0"/>
          <w:numId w:val="0"/>
        </w:numPr>
        <w:kinsoku/>
        <w:overflowPunct/>
        <w:topLinePunct w:val="0"/>
        <w:bidi w:val="0"/>
        <w:spacing w:line="360" w:lineRule="auto"/>
        <w:textAlignment w:val="auto"/>
        <w:rPr>
          <w:rFonts w:hint="eastAsia" w:ascii="宋体" w:hAnsi="宋体"/>
          <w:b/>
          <w:bCs/>
          <w:color w:val="auto"/>
          <w:sz w:val="21"/>
          <w:szCs w:val="21"/>
          <w:highlight w:val="none"/>
          <w:lang w:eastAsia="zh-CN"/>
        </w:rPr>
      </w:pPr>
      <w:r>
        <w:rPr>
          <w:rFonts w:hint="eastAsia" w:ascii="宋体" w:hAnsi="宋体"/>
          <w:b/>
          <w:bCs/>
          <w:color w:val="auto"/>
          <w:sz w:val="21"/>
          <w:szCs w:val="21"/>
          <w:highlight w:val="none"/>
          <w:lang w:val="en-US" w:eastAsia="zh-CN"/>
        </w:rPr>
        <w:t>（10）业绩材料，</w:t>
      </w:r>
      <w:r>
        <w:rPr>
          <w:rFonts w:hint="eastAsia" w:ascii="宋体" w:hAnsi="宋体"/>
          <w:b/>
          <w:bCs/>
          <w:color w:val="auto"/>
          <w:sz w:val="21"/>
          <w:szCs w:val="21"/>
          <w:highlight w:val="none"/>
          <w:lang w:eastAsia="zh-CN"/>
        </w:rPr>
        <w:t>供应商认为可以证明其能力或业绩的其他材料以及供应商认为需要提供的其他有关资料。</w:t>
      </w:r>
    </w:p>
    <w:p>
      <w:pPr>
        <w:widowControl/>
        <w:snapToGrid w:val="0"/>
        <w:spacing w:before="50" w:after="50"/>
        <w:jc w:val="center"/>
        <w:rPr>
          <w:rFonts w:hAnsi="宋体" w:cs="方正小标宋简体"/>
          <w:b/>
          <w:sz w:val="32"/>
          <w:szCs w:val="32"/>
        </w:rPr>
      </w:pPr>
      <w:r>
        <w:rPr>
          <w:rFonts w:hint="eastAsia" w:hAnsi="宋体" w:cs="方正小标宋简体"/>
          <w:b/>
          <w:sz w:val="32"/>
          <w:szCs w:val="32"/>
        </w:rPr>
        <w:t>业绩情况一览表</w:t>
      </w:r>
    </w:p>
    <w:p>
      <w:pPr>
        <w:rPr>
          <w:rFonts w:hint="eastAsia"/>
        </w:rPr>
      </w:pPr>
    </w:p>
    <w:tbl>
      <w:tblPr>
        <w:tblStyle w:val="48"/>
        <w:tblW w:w="871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25"/>
        <w:gridCol w:w="2219"/>
        <w:gridCol w:w="2677"/>
        <w:gridCol w:w="1622"/>
        <w:gridCol w:w="147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2" w:hRule="atLeast"/>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黑体" w:hAnsi="黑体" w:eastAsia="黑体" w:cs="黑体"/>
                <w:b/>
                <w:bCs/>
                <w:sz w:val="21"/>
                <w:szCs w:val="21"/>
                <w:lang w:eastAsia="zh-CN"/>
              </w:rPr>
            </w:pPr>
            <w:r>
              <w:rPr>
                <w:rFonts w:hint="eastAsia" w:ascii="黑体" w:hAnsi="黑体" w:eastAsia="黑体" w:cs="黑体"/>
                <w:b/>
                <w:bCs/>
                <w:sz w:val="21"/>
                <w:szCs w:val="21"/>
                <w:lang w:val="en-US" w:eastAsia="zh-CN"/>
              </w:rPr>
              <w:t>序号</w:t>
            </w:r>
          </w:p>
        </w:tc>
        <w:tc>
          <w:tcPr>
            <w:tcW w:w="2219"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黑体" w:hAnsi="黑体" w:eastAsia="黑体" w:cs="黑体"/>
                <w:b/>
                <w:bCs/>
                <w:sz w:val="21"/>
                <w:szCs w:val="21"/>
              </w:rPr>
            </w:pPr>
            <w:r>
              <w:rPr>
                <w:rFonts w:hint="eastAsia" w:ascii="黑体" w:hAnsi="黑体" w:eastAsia="黑体" w:cs="黑体"/>
                <w:b/>
                <w:bCs/>
                <w:sz w:val="21"/>
                <w:szCs w:val="21"/>
              </w:rPr>
              <w:t>采购人名称</w:t>
            </w:r>
          </w:p>
        </w:tc>
        <w:tc>
          <w:tcPr>
            <w:tcW w:w="2677" w:type="dxa"/>
            <w:tcBorders>
              <w:top w:val="single" w:color="auto" w:sz="4" w:space="0"/>
              <w:left w:val="single" w:color="auto" w:sz="4" w:space="0"/>
              <w:right w:val="single" w:color="auto" w:sz="4" w:space="0"/>
            </w:tcBorders>
            <w:noWrap w:val="0"/>
            <w:vAlign w:val="center"/>
          </w:tcPr>
          <w:p>
            <w:pPr>
              <w:snapToGrid w:val="0"/>
              <w:jc w:val="center"/>
              <w:rPr>
                <w:rFonts w:hint="default" w:ascii="黑体" w:hAnsi="黑体" w:eastAsia="黑体" w:cs="黑体"/>
                <w:b/>
                <w:bCs/>
                <w:sz w:val="21"/>
                <w:szCs w:val="21"/>
                <w:lang w:val="en-US" w:eastAsia="zh-CN"/>
              </w:rPr>
            </w:pPr>
            <w:r>
              <w:rPr>
                <w:rFonts w:hint="eastAsia" w:ascii="黑体" w:hAnsi="黑体" w:eastAsia="黑体" w:cs="黑体"/>
                <w:b/>
                <w:bCs/>
                <w:sz w:val="21"/>
                <w:szCs w:val="21"/>
                <w:lang w:val="en-US" w:eastAsia="zh-CN"/>
              </w:rPr>
              <w:t>成交标的</w:t>
            </w:r>
            <w:r>
              <w:rPr>
                <w:rFonts w:hint="eastAsia" w:ascii="黑体" w:hAnsi="黑体" w:eastAsia="黑体" w:cs="黑体"/>
                <w:b/>
                <w:bCs/>
                <w:sz w:val="21"/>
                <w:szCs w:val="21"/>
              </w:rPr>
              <w:t>名称</w:t>
            </w:r>
            <w:r>
              <w:rPr>
                <w:rFonts w:hint="eastAsia" w:ascii="黑体" w:hAnsi="黑体" w:eastAsia="黑体" w:cs="黑体"/>
                <w:b/>
                <w:bCs/>
                <w:sz w:val="21"/>
                <w:szCs w:val="21"/>
                <w:lang w:eastAsia="zh-CN"/>
              </w:rPr>
              <w:t>、</w:t>
            </w:r>
            <w:r>
              <w:rPr>
                <w:rFonts w:hint="eastAsia" w:ascii="黑体" w:hAnsi="黑体" w:eastAsia="黑体" w:cs="黑体"/>
                <w:b/>
                <w:bCs/>
                <w:sz w:val="21"/>
                <w:szCs w:val="21"/>
                <w:lang w:val="en-US" w:eastAsia="zh-CN"/>
              </w:rPr>
              <w:t>规格、型号、厂家</w:t>
            </w:r>
          </w:p>
        </w:tc>
        <w:tc>
          <w:tcPr>
            <w:tcW w:w="162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黑体" w:hAnsi="黑体" w:eastAsia="黑体" w:cs="黑体"/>
                <w:b/>
                <w:bCs/>
                <w:sz w:val="21"/>
                <w:szCs w:val="21"/>
              </w:rPr>
            </w:pPr>
            <w:r>
              <w:rPr>
                <w:rFonts w:hint="eastAsia" w:ascii="黑体" w:hAnsi="黑体" w:eastAsia="黑体" w:cs="黑体"/>
                <w:b/>
                <w:bCs/>
                <w:sz w:val="21"/>
                <w:szCs w:val="21"/>
                <w:lang w:val="en-US" w:eastAsia="zh-CN"/>
              </w:rPr>
              <w:t>成交日期</w:t>
            </w:r>
          </w:p>
        </w:tc>
        <w:tc>
          <w:tcPr>
            <w:tcW w:w="1473"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黑体" w:hAnsi="黑体" w:eastAsia="黑体" w:cs="黑体"/>
                <w:b/>
                <w:bCs/>
                <w:sz w:val="21"/>
                <w:szCs w:val="21"/>
                <w:lang w:eastAsia="zh-CN"/>
              </w:rPr>
            </w:pPr>
            <w:r>
              <w:rPr>
                <w:rFonts w:hint="eastAsia" w:ascii="黑体" w:hAnsi="黑体" w:eastAsia="黑体" w:cs="黑体"/>
                <w:b/>
                <w:bCs/>
                <w:sz w:val="21"/>
                <w:szCs w:val="21"/>
                <w:lang w:val="en-US" w:eastAsia="zh-CN"/>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hAnsi="宋体" w:eastAsia="宋体"/>
                <w:sz w:val="24"/>
                <w:lang w:val="en-US" w:eastAsia="zh-CN"/>
              </w:rPr>
            </w:pPr>
            <w:r>
              <w:rPr>
                <w:rFonts w:hint="eastAsia" w:hAnsi="宋体"/>
                <w:sz w:val="24"/>
                <w:lang w:val="en-US" w:eastAsia="zh-CN"/>
              </w:rPr>
              <w:t>1</w:t>
            </w:r>
          </w:p>
        </w:tc>
        <w:tc>
          <w:tcPr>
            <w:tcW w:w="2219" w:type="dxa"/>
            <w:tcBorders>
              <w:top w:val="single" w:color="auto" w:sz="4" w:space="0"/>
              <w:left w:val="single" w:color="auto" w:sz="4" w:space="0"/>
              <w:bottom w:val="single" w:color="auto" w:sz="4" w:space="0"/>
              <w:right w:val="single" w:color="auto" w:sz="4" w:space="0"/>
            </w:tcBorders>
            <w:noWrap w:val="0"/>
            <w:vAlign w:val="top"/>
          </w:tcPr>
          <w:p>
            <w:pPr>
              <w:snapToGrid w:val="0"/>
              <w:rPr>
                <w:rFonts w:hint="eastAsia" w:hAnsi="宋体"/>
                <w:sz w:val="24"/>
              </w:rPr>
            </w:pPr>
          </w:p>
        </w:tc>
        <w:tc>
          <w:tcPr>
            <w:tcW w:w="2677" w:type="dxa"/>
            <w:tcBorders>
              <w:top w:val="single" w:color="auto" w:sz="4" w:space="0"/>
              <w:left w:val="single" w:color="auto" w:sz="4" w:space="0"/>
              <w:bottom w:val="single" w:color="auto" w:sz="4" w:space="0"/>
              <w:right w:val="single" w:color="auto" w:sz="4" w:space="0"/>
            </w:tcBorders>
            <w:noWrap w:val="0"/>
            <w:vAlign w:val="top"/>
          </w:tcPr>
          <w:p>
            <w:pPr>
              <w:snapToGrid w:val="0"/>
              <w:rPr>
                <w:rFonts w:hint="eastAsia" w:hAnsi="宋体"/>
                <w:sz w:val="24"/>
              </w:rPr>
            </w:pPr>
          </w:p>
        </w:tc>
        <w:tc>
          <w:tcPr>
            <w:tcW w:w="1622" w:type="dxa"/>
            <w:tcBorders>
              <w:top w:val="single" w:color="auto" w:sz="4" w:space="0"/>
              <w:left w:val="single" w:color="auto" w:sz="4" w:space="0"/>
              <w:bottom w:val="single" w:color="auto" w:sz="4" w:space="0"/>
              <w:right w:val="single" w:color="auto" w:sz="4" w:space="0"/>
            </w:tcBorders>
            <w:noWrap w:val="0"/>
            <w:vAlign w:val="top"/>
          </w:tcPr>
          <w:p>
            <w:pPr>
              <w:snapToGrid w:val="0"/>
              <w:rPr>
                <w:rFonts w:hint="eastAsia" w:hAnsi="宋体"/>
                <w:sz w:val="24"/>
              </w:rPr>
            </w:pPr>
          </w:p>
        </w:tc>
        <w:tc>
          <w:tcPr>
            <w:tcW w:w="1473" w:type="dxa"/>
            <w:tcBorders>
              <w:top w:val="single" w:color="auto" w:sz="4" w:space="0"/>
              <w:left w:val="single" w:color="auto" w:sz="4" w:space="0"/>
              <w:bottom w:val="single" w:color="auto" w:sz="4" w:space="0"/>
              <w:right w:val="single" w:color="auto" w:sz="4" w:space="0"/>
            </w:tcBorders>
            <w:noWrap w:val="0"/>
            <w:vAlign w:val="top"/>
          </w:tcPr>
          <w:p>
            <w:pPr>
              <w:snapToGrid w:val="0"/>
              <w:rPr>
                <w:rFonts w:hint="eastAsia" w:hAnsi="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6" w:hRule="atLeast"/>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120" w:afterLines="50"/>
              <w:jc w:val="center"/>
              <w:rPr>
                <w:rFonts w:hint="eastAsia" w:hAnsi="宋体" w:eastAsia="宋体"/>
                <w:sz w:val="24"/>
                <w:lang w:val="en-US" w:eastAsia="zh-CN"/>
              </w:rPr>
            </w:pPr>
            <w:r>
              <w:rPr>
                <w:rFonts w:hint="eastAsia" w:hAnsi="宋体"/>
                <w:sz w:val="24"/>
                <w:lang w:val="en-US" w:eastAsia="zh-CN"/>
              </w:rPr>
              <w:t>2</w:t>
            </w:r>
          </w:p>
        </w:tc>
        <w:tc>
          <w:tcPr>
            <w:tcW w:w="2219"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20" w:afterLines="50"/>
              <w:rPr>
                <w:rFonts w:hint="eastAsia" w:hAnsi="宋体"/>
                <w:sz w:val="24"/>
              </w:rPr>
            </w:pPr>
          </w:p>
        </w:tc>
        <w:tc>
          <w:tcPr>
            <w:tcW w:w="2677"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20" w:afterLines="50"/>
              <w:rPr>
                <w:rFonts w:hint="eastAsia" w:hAnsi="宋体"/>
                <w:sz w:val="24"/>
              </w:rPr>
            </w:pPr>
          </w:p>
        </w:tc>
        <w:tc>
          <w:tcPr>
            <w:tcW w:w="1622"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20" w:afterLines="50"/>
              <w:rPr>
                <w:rFonts w:hint="eastAsia" w:hAnsi="宋体"/>
                <w:sz w:val="24"/>
              </w:rPr>
            </w:pPr>
          </w:p>
        </w:tc>
        <w:tc>
          <w:tcPr>
            <w:tcW w:w="1473"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20" w:afterLines="50"/>
              <w:rPr>
                <w:rFonts w:hint="eastAsia" w:hAnsi="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120" w:afterLines="50"/>
              <w:jc w:val="center"/>
              <w:rPr>
                <w:rFonts w:hint="eastAsia" w:hAnsi="宋体" w:eastAsia="宋体"/>
                <w:sz w:val="24"/>
                <w:lang w:val="en-US" w:eastAsia="zh-CN"/>
              </w:rPr>
            </w:pPr>
            <w:r>
              <w:rPr>
                <w:rFonts w:hint="eastAsia" w:hAnsi="宋体"/>
                <w:sz w:val="24"/>
                <w:lang w:val="en-US" w:eastAsia="zh-CN"/>
              </w:rPr>
              <w:t>3</w:t>
            </w:r>
          </w:p>
        </w:tc>
        <w:tc>
          <w:tcPr>
            <w:tcW w:w="2219"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20" w:afterLines="50"/>
              <w:rPr>
                <w:rFonts w:hint="eastAsia" w:hAnsi="宋体"/>
                <w:sz w:val="24"/>
              </w:rPr>
            </w:pPr>
          </w:p>
        </w:tc>
        <w:tc>
          <w:tcPr>
            <w:tcW w:w="2677"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20" w:afterLines="50"/>
              <w:rPr>
                <w:rFonts w:hint="eastAsia" w:hAnsi="宋体"/>
                <w:sz w:val="24"/>
              </w:rPr>
            </w:pPr>
          </w:p>
        </w:tc>
        <w:tc>
          <w:tcPr>
            <w:tcW w:w="1622"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20" w:afterLines="50"/>
              <w:rPr>
                <w:rFonts w:hint="eastAsia" w:hAnsi="宋体"/>
                <w:sz w:val="24"/>
              </w:rPr>
            </w:pPr>
          </w:p>
        </w:tc>
        <w:tc>
          <w:tcPr>
            <w:tcW w:w="1473"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20" w:afterLines="50"/>
              <w:rPr>
                <w:rFonts w:hint="eastAsia" w:hAnsi="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120" w:afterLines="50"/>
              <w:jc w:val="center"/>
              <w:rPr>
                <w:rFonts w:hint="eastAsia" w:hAnsi="宋体"/>
                <w:sz w:val="24"/>
              </w:rPr>
            </w:pPr>
          </w:p>
        </w:tc>
        <w:tc>
          <w:tcPr>
            <w:tcW w:w="2219"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20" w:afterLines="50"/>
              <w:rPr>
                <w:rFonts w:hint="eastAsia" w:hAnsi="宋体"/>
                <w:sz w:val="24"/>
              </w:rPr>
            </w:pPr>
          </w:p>
        </w:tc>
        <w:tc>
          <w:tcPr>
            <w:tcW w:w="2677"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20" w:afterLines="50"/>
              <w:rPr>
                <w:rFonts w:hint="eastAsia" w:hAnsi="宋体"/>
                <w:sz w:val="24"/>
              </w:rPr>
            </w:pPr>
          </w:p>
        </w:tc>
        <w:tc>
          <w:tcPr>
            <w:tcW w:w="1622"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20" w:afterLines="50"/>
              <w:rPr>
                <w:rFonts w:hint="eastAsia" w:hAnsi="宋体"/>
                <w:sz w:val="24"/>
              </w:rPr>
            </w:pPr>
          </w:p>
        </w:tc>
        <w:tc>
          <w:tcPr>
            <w:tcW w:w="1473"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20" w:afterLines="50"/>
              <w:rPr>
                <w:rFonts w:hint="eastAsia" w:hAnsi="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120" w:afterLines="50"/>
              <w:jc w:val="center"/>
              <w:rPr>
                <w:rFonts w:hint="eastAsia" w:hAnsi="宋体"/>
                <w:sz w:val="24"/>
              </w:rPr>
            </w:pPr>
          </w:p>
        </w:tc>
        <w:tc>
          <w:tcPr>
            <w:tcW w:w="2219"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20" w:afterLines="50"/>
              <w:rPr>
                <w:rFonts w:hint="eastAsia" w:hAnsi="宋体"/>
                <w:sz w:val="24"/>
              </w:rPr>
            </w:pPr>
          </w:p>
        </w:tc>
        <w:tc>
          <w:tcPr>
            <w:tcW w:w="2677"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20" w:afterLines="50"/>
              <w:rPr>
                <w:rFonts w:hint="eastAsia" w:hAnsi="宋体"/>
                <w:sz w:val="24"/>
              </w:rPr>
            </w:pPr>
          </w:p>
        </w:tc>
        <w:tc>
          <w:tcPr>
            <w:tcW w:w="1622"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20" w:afterLines="50"/>
              <w:rPr>
                <w:rFonts w:hint="eastAsia" w:hAnsi="宋体"/>
                <w:sz w:val="24"/>
              </w:rPr>
            </w:pPr>
          </w:p>
        </w:tc>
        <w:tc>
          <w:tcPr>
            <w:tcW w:w="1473"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20" w:afterLines="50"/>
              <w:rPr>
                <w:rFonts w:hint="eastAsia" w:hAnsi="宋体"/>
                <w:sz w:val="24"/>
              </w:rPr>
            </w:pPr>
          </w:p>
        </w:tc>
      </w:tr>
    </w:tbl>
    <w:p>
      <w:pPr>
        <w:pStyle w:val="15"/>
        <w:spacing w:before="0" w:after="0"/>
        <w:contextualSpacing/>
        <w:rPr>
          <w:rFonts w:hint="eastAsia" w:ascii="宋体" w:hAnsi="宋体" w:eastAsia="宋体"/>
          <w:sz w:val="24"/>
          <w:szCs w:val="24"/>
        </w:rPr>
      </w:pPr>
      <w:r>
        <w:rPr>
          <w:rFonts w:hint="eastAsia" w:ascii="宋体" w:hAnsi="宋体" w:eastAsia="宋体"/>
          <w:sz w:val="24"/>
          <w:szCs w:val="24"/>
        </w:rPr>
        <w:t>注：</w:t>
      </w:r>
      <w:r>
        <w:rPr>
          <w:rFonts w:hint="eastAsia" w:ascii="宋体" w:hAnsi="宋体" w:eastAsia="宋体"/>
          <w:sz w:val="24"/>
        </w:rPr>
        <w:t>投标人根据评标标准具体要求附业绩证明材料。</w:t>
      </w:r>
    </w:p>
    <w:p>
      <w:pPr>
        <w:pStyle w:val="15"/>
        <w:spacing w:before="0" w:after="0"/>
        <w:contextualSpacing/>
        <w:rPr>
          <w:rFonts w:ascii="宋体" w:hAnsi="宋体" w:eastAsia="宋体"/>
          <w:sz w:val="24"/>
          <w:szCs w:val="24"/>
        </w:rPr>
      </w:pPr>
    </w:p>
    <w:p>
      <w:pPr>
        <w:pStyle w:val="26"/>
        <w:snapToGrid w:val="0"/>
        <w:spacing w:line="600" w:lineRule="auto"/>
        <w:jc w:val="center"/>
        <w:rPr>
          <w:rFonts w:hint="eastAsia" w:hAnsi="宋体"/>
          <w:sz w:val="24"/>
        </w:rPr>
      </w:pPr>
    </w:p>
    <w:p>
      <w:pPr>
        <w:pStyle w:val="26"/>
        <w:snapToGrid w:val="0"/>
        <w:spacing w:line="600" w:lineRule="auto"/>
        <w:jc w:val="center"/>
        <w:rPr>
          <w:rFonts w:hint="eastAsia" w:hAnsi="宋体"/>
          <w:sz w:val="24"/>
          <w:szCs w:val="24"/>
          <w:u w:val="single"/>
        </w:rPr>
      </w:pPr>
      <w:r>
        <w:rPr>
          <w:rFonts w:hint="eastAsia" w:hAnsi="宋体"/>
          <w:sz w:val="24"/>
        </w:rPr>
        <w:t>投标人名称（</w:t>
      </w:r>
      <w:r>
        <w:rPr>
          <w:rFonts w:hint="eastAsia" w:hAnsi="宋体"/>
          <w:b/>
          <w:bCs/>
          <w:sz w:val="24"/>
          <w:lang w:val="en-US" w:eastAsia="zh-CN"/>
        </w:rPr>
        <w:t>公章</w:t>
      </w:r>
      <w:r>
        <w:rPr>
          <w:rFonts w:hint="eastAsia" w:hAnsi="宋体"/>
          <w:sz w:val="24"/>
        </w:rPr>
        <w:t>）：</w:t>
      </w:r>
      <w:r>
        <w:rPr>
          <w:rFonts w:hint="eastAsia" w:hAnsi="宋体"/>
          <w:sz w:val="24"/>
          <w:u w:val="single"/>
          <w:lang w:val="en-US" w:eastAsia="zh-CN"/>
        </w:rPr>
        <w:t xml:space="preserve">    </w:t>
      </w:r>
      <w:r>
        <w:rPr>
          <w:rFonts w:hAnsi="宋体"/>
          <w:sz w:val="24"/>
          <w:u w:val="single"/>
        </w:rPr>
        <w:t xml:space="preserve">    </w:t>
      </w:r>
      <w:r>
        <w:rPr>
          <w:rFonts w:hint="eastAsia" w:hAnsi="宋体"/>
          <w:sz w:val="24"/>
          <w:u w:val="single"/>
          <w:lang w:val="en-US" w:eastAsia="zh-CN"/>
        </w:rPr>
        <w:t xml:space="preserve">              </w:t>
      </w:r>
      <w:r>
        <w:rPr>
          <w:rFonts w:hAnsi="宋体"/>
          <w:sz w:val="24"/>
          <w:u w:val="single"/>
        </w:rPr>
        <w:t xml:space="preserve">  </w:t>
      </w:r>
    </w:p>
    <w:p>
      <w:pPr>
        <w:pStyle w:val="26"/>
        <w:snapToGrid w:val="0"/>
        <w:spacing w:line="600" w:lineRule="auto"/>
        <w:jc w:val="right"/>
        <w:rPr>
          <w:rFonts w:hint="eastAsia" w:hAnsi="宋体"/>
          <w:sz w:val="24"/>
          <w:szCs w:val="24"/>
        </w:rPr>
      </w:pPr>
      <w:r>
        <w:rPr>
          <w:rFonts w:hint="eastAsia" w:hAnsi="宋体"/>
          <w:sz w:val="24"/>
          <w:szCs w:val="24"/>
          <w:u w:val="single"/>
        </w:rPr>
        <w:t xml:space="preserve">    </w:t>
      </w:r>
      <w:r>
        <w:rPr>
          <w:rFonts w:hint="eastAsia" w:hAnsi="宋体"/>
          <w:sz w:val="24"/>
          <w:szCs w:val="24"/>
        </w:rPr>
        <w:t>年</w:t>
      </w:r>
      <w:r>
        <w:rPr>
          <w:rFonts w:hint="eastAsia" w:hAnsi="宋体"/>
          <w:sz w:val="24"/>
          <w:szCs w:val="24"/>
          <w:u w:val="single"/>
        </w:rPr>
        <w:t xml:space="preserve">    </w:t>
      </w:r>
      <w:r>
        <w:rPr>
          <w:rFonts w:hint="eastAsia" w:hAnsi="宋体"/>
          <w:sz w:val="24"/>
          <w:szCs w:val="24"/>
        </w:rPr>
        <w:t>月</w:t>
      </w:r>
      <w:r>
        <w:rPr>
          <w:rFonts w:hint="eastAsia" w:hAnsi="宋体"/>
          <w:sz w:val="24"/>
          <w:szCs w:val="24"/>
          <w:u w:val="single"/>
        </w:rPr>
        <w:t xml:space="preserve">    </w:t>
      </w:r>
      <w:r>
        <w:rPr>
          <w:rFonts w:hint="eastAsia" w:hAnsi="宋体"/>
          <w:sz w:val="24"/>
          <w:szCs w:val="24"/>
        </w:rPr>
        <w:t>日</w:t>
      </w:r>
    </w:p>
    <w:p>
      <w:pPr>
        <w:snapToGrid w:val="0"/>
        <w:spacing w:before="120" w:beforeLines="50"/>
        <w:rPr>
          <w:rFonts w:hAnsi="宋体"/>
          <w:sz w:val="24"/>
          <w:szCs w:val="20"/>
        </w:rPr>
        <w:sectPr>
          <w:headerReference r:id="rId3" w:type="default"/>
          <w:footerReference r:id="rId4" w:type="default"/>
          <w:pgSz w:w="11906" w:h="16838"/>
          <w:pgMar w:top="1440" w:right="1797" w:bottom="1440" w:left="1797" w:header="851" w:footer="992" w:gutter="0"/>
          <w:cols w:space="720" w:num="1"/>
          <w:docGrid w:linePitch="312" w:charSpace="0"/>
        </w:sectPr>
      </w:pPr>
    </w:p>
    <w:p>
      <w:pPr>
        <w:keepNext w:val="0"/>
        <w:keepLines w:val="0"/>
        <w:pageBreakBefore w:val="0"/>
        <w:numPr>
          <w:ilvl w:val="0"/>
          <w:numId w:val="0"/>
        </w:numPr>
        <w:kinsoku/>
        <w:overflowPunct/>
        <w:topLinePunct w:val="0"/>
        <w:bidi w:val="0"/>
        <w:spacing w:line="360" w:lineRule="auto"/>
        <w:textAlignment w:val="auto"/>
        <w:rPr>
          <w:rFonts w:hint="eastAsia" w:ascii="宋体" w:hAnsi="宋体" w:cs="Times New Roman"/>
          <w:b/>
          <w:bCs/>
          <w:color w:val="auto"/>
          <w:sz w:val="21"/>
          <w:szCs w:val="21"/>
          <w:highlight w:val="none"/>
          <w:lang w:val="en-US" w:eastAsia="zh-CN"/>
        </w:rPr>
      </w:pPr>
      <w:r>
        <w:rPr>
          <w:rFonts w:hint="eastAsia" w:ascii="宋体" w:hAnsi="宋体" w:cs="Times New Roman"/>
          <w:b/>
          <w:bCs/>
          <w:color w:val="auto"/>
          <w:sz w:val="21"/>
          <w:szCs w:val="21"/>
          <w:highlight w:val="none"/>
          <w:lang w:val="en-US" w:eastAsia="zh-CN"/>
        </w:rPr>
        <w:t>（11）供应商根据“第四章 评审方法”的评分要点提供相应证明材料（格式目录自拟）</w:t>
      </w:r>
    </w:p>
    <w:p>
      <w:pPr>
        <w:keepNext w:val="0"/>
        <w:keepLines w:val="0"/>
        <w:pageBreakBefore w:val="0"/>
        <w:numPr>
          <w:ilvl w:val="0"/>
          <w:numId w:val="0"/>
        </w:numPr>
        <w:kinsoku/>
        <w:overflowPunct/>
        <w:topLinePunct w:val="0"/>
        <w:bidi w:val="0"/>
        <w:spacing w:line="360" w:lineRule="auto"/>
        <w:textAlignment w:val="auto"/>
        <w:rPr>
          <w:rFonts w:hint="eastAsia" w:ascii="宋体" w:hAnsi="宋体" w:cs="Times New Roman"/>
          <w:b/>
          <w:bCs/>
          <w:color w:val="auto"/>
          <w:sz w:val="21"/>
          <w:szCs w:val="21"/>
          <w:highlight w:val="none"/>
          <w:lang w:val="en-US" w:eastAsia="zh-CN"/>
        </w:rPr>
      </w:pPr>
    </w:p>
    <w:p>
      <w:pPr>
        <w:keepNext w:val="0"/>
        <w:keepLines w:val="0"/>
        <w:pageBreakBefore w:val="0"/>
        <w:numPr>
          <w:ilvl w:val="0"/>
          <w:numId w:val="0"/>
        </w:numPr>
        <w:kinsoku/>
        <w:overflowPunct/>
        <w:topLinePunct w:val="0"/>
        <w:bidi w:val="0"/>
        <w:spacing w:line="360" w:lineRule="auto"/>
        <w:textAlignment w:val="auto"/>
        <w:rPr>
          <w:rFonts w:hint="eastAsia" w:ascii="宋体" w:hAnsi="宋体" w:cs="Times New Roman"/>
          <w:b/>
          <w:bCs/>
          <w:color w:val="auto"/>
          <w:sz w:val="21"/>
          <w:szCs w:val="21"/>
          <w:highlight w:val="none"/>
          <w:lang w:val="en-US" w:eastAsia="zh-CN"/>
        </w:rPr>
      </w:pPr>
      <w:r>
        <w:rPr>
          <w:rFonts w:hint="eastAsia" w:ascii="宋体" w:hAnsi="宋体" w:cs="Times New Roman"/>
          <w:b/>
          <w:bCs/>
          <w:color w:val="auto"/>
          <w:sz w:val="21"/>
          <w:szCs w:val="21"/>
          <w:highlight w:val="none"/>
          <w:lang w:val="en-US" w:eastAsia="zh-CN"/>
        </w:rPr>
        <w:t>（12）供应商认为其他需要提供的证明其履约能力和满足“采购需求”的相关材料。</w:t>
      </w:r>
    </w:p>
    <w:p>
      <w:pPr>
        <w:pStyle w:val="57"/>
        <w:numPr>
          <w:ilvl w:val="0"/>
          <w:numId w:val="0"/>
        </w:numPr>
        <w:rPr>
          <w:rFonts w:hint="eastAsia"/>
          <w:lang w:eastAsia="zh-CN"/>
        </w:rPr>
      </w:pPr>
    </w:p>
    <w:p>
      <w:pPr>
        <w:rPr>
          <w:rFonts w:hint="eastAsia" w:ascii="宋体" w:hAnsi="宋体"/>
          <w:b/>
          <w:color w:val="auto"/>
          <w:sz w:val="32"/>
          <w:szCs w:val="32"/>
          <w:highlight w:val="none"/>
        </w:rPr>
      </w:pPr>
      <w:r>
        <w:rPr>
          <w:rFonts w:hint="eastAsia" w:ascii="宋体" w:hAnsi="宋体"/>
          <w:b/>
          <w:color w:val="auto"/>
          <w:sz w:val="32"/>
          <w:szCs w:val="32"/>
          <w:highlight w:val="none"/>
        </w:rPr>
        <w:br w:type="page"/>
      </w:r>
    </w:p>
    <w:p>
      <w:pPr>
        <w:snapToGrid w:val="0"/>
        <w:jc w:val="center"/>
        <w:rPr>
          <w:rFonts w:hint="eastAsia" w:hAnsi="宋体"/>
          <w:b/>
          <w:sz w:val="32"/>
          <w:szCs w:val="32"/>
        </w:rPr>
      </w:pPr>
    </w:p>
    <w:p>
      <w:pPr>
        <w:snapToGrid w:val="0"/>
        <w:jc w:val="center"/>
        <w:rPr>
          <w:rFonts w:hint="eastAsia" w:hAnsi="宋体"/>
          <w:b/>
          <w:sz w:val="32"/>
          <w:szCs w:val="32"/>
        </w:rPr>
      </w:pPr>
      <w:r>
        <w:rPr>
          <w:rFonts w:hint="eastAsia" w:hAnsi="宋体"/>
          <w:b/>
          <w:sz w:val="32"/>
          <w:szCs w:val="32"/>
        </w:rPr>
        <w:t>中小企业声明函（货物）</w:t>
      </w:r>
    </w:p>
    <w:p>
      <w:pPr>
        <w:spacing w:before="2" w:line="500" w:lineRule="exact"/>
        <w:rPr>
          <w:rFonts w:hAnsi="宋体" w:cs="宋体"/>
          <w:b/>
          <w:bCs/>
          <w:sz w:val="24"/>
        </w:rPr>
      </w:pPr>
    </w:p>
    <w:p>
      <w:pPr>
        <w:pStyle w:val="19"/>
        <w:keepNext w:val="0"/>
        <w:keepLines w:val="0"/>
        <w:pageBreakBefore w:val="0"/>
        <w:widowControl w:val="0"/>
        <w:kinsoku/>
        <w:wordWrap/>
        <w:overflowPunct/>
        <w:topLinePunct w:val="0"/>
        <w:bidi w:val="0"/>
        <w:snapToGrid/>
        <w:spacing w:line="480" w:lineRule="exact"/>
        <w:ind w:firstLine="420" w:firstLineChars="200"/>
        <w:jc w:val="both"/>
        <w:textAlignment w:val="auto"/>
        <w:rPr>
          <w:rFonts w:hint="eastAsia" w:ascii="宋体" w:hAnsi="宋体" w:eastAsia="宋体" w:cs="宋体"/>
          <w:sz w:val="21"/>
          <w:szCs w:val="21"/>
        </w:rPr>
      </w:pPr>
      <w:r>
        <w:rPr>
          <w:rFonts w:hint="eastAsia" w:ascii="宋体" w:hAnsi="宋体" w:eastAsia="宋体" w:cs="宋体"/>
          <w:kern w:val="24"/>
          <w:sz w:val="21"/>
          <w:szCs w:val="21"/>
        </w:rPr>
        <w:t>本公司（联合体）郑重声明，根据《政府采购促进中小企业发展管理办法》（财库﹝2020﹞46号）的规定，本公司（联合体）参加</w:t>
      </w:r>
      <w:r>
        <w:rPr>
          <w:rFonts w:hint="eastAsia" w:ascii="宋体" w:hAnsi="宋体" w:eastAsia="宋体" w:cs="宋体"/>
          <w:kern w:val="24"/>
          <w:sz w:val="21"/>
          <w:szCs w:val="21"/>
          <w:u w:val="single"/>
        </w:rPr>
        <w:t>（单位名称）</w:t>
      </w:r>
      <w:r>
        <w:rPr>
          <w:rFonts w:hint="eastAsia" w:ascii="宋体" w:hAnsi="宋体" w:eastAsia="宋体" w:cs="宋体"/>
          <w:kern w:val="24"/>
          <w:sz w:val="21"/>
          <w:szCs w:val="21"/>
        </w:rPr>
        <w:t>的</w:t>
      </w:r>
      <w:r>
        <w:rPr>
          <w:rFonts w:hint="eastAsia" w:ascii="宋体" w:hAnsi="宋体" w:eastAsia="宋体" w:cs="宋体"/>
          <w:kern w:val="24"/>
          <w:sz w:val="21"/>
          <w:szCs w:val="21"/>
          <w:u w:val="single"/>
        </w:rPr>
        <w:t>（项目名称）</w:t>
      </w:r>
      <w:r>
        <w:rPr>
          <w:rFonts w:hint="eastAsia" w:ascii="宋体" w:hAnsi="宋体" w:eastAsia="宋体" w:cs="宋体"/>
          <w:kern w:val="24"/>
          <w:sz w:val="21"/>
          <w:szCs w:val="21"/>
        </w:rPr>
        <w:t>采购活动，提供的货物全部由符合政策要求的中小企业制造。相关企业（含联合体中的中小企业、签订分包意向协议的中小企业）的具体情况如下</w:t>
      </w:r>
      <w:r>
        <w:rPr>
          <w:rFonts w:hint="eastAsia" w:ascii="宋体" w:hAnsi="宋体" w:eastAsia="宋体" w:cs="宋体"/>
          <w:sz w:val="21"/>
          <w:szCs w:val="21"/>
        </w:rPr>
        <w:t>：</w:t>
      </w:r>
    </w:p>
    <w:p>
      <w:pPr>
        <w:keepNext w:val="0"/>
        <w:keepLines w:val="0"/>
        <w:pageBreakBefore w:val="0"/>
        <w:widowControl w:val="0"/>
        <w:kinsoku/>
        <w:wordWrap/>
        <w:overflowPunct/>
        <w:topLinePunct w:val="0"/>
        <w:bidi w:val="0"/>
        <w:snapToGrid/>
        <w:spacing w:line="480" w:lineRule="exact"/>
        <w:ind w:firstLine="420" w:firstLineChars="200"/>
        <w:jc w:val="both"/>
        <w:textAlignment w:val="auto"/>
        <w:rPr>
          <w:rFonts w:hint="eastAsia" w:ascii="宋体" w:hAnsi="宋体" w:eastAsia="宋体" w:cs="宋体"/>
          <w:sz w:val="21"/>
          <w:szCs w:val="21"/>
        </w:rPr>
      </w:pPr>
      <w:r>
        <w:rPr>
          <w:rFonts w:hint="eastAsia" w:ascii="宋体" w:hAnsi="宋体" w:eastAsia="宋体" w:cs="宋体"/>
          <w:kern w:val="24"/>
          <w:sz w:val="21"/>
          <w:szCs w:val="21"/>
        </w:rPr>
        <w:t>1.</w:t>
      </w:r>
      <w:r>
        <w:rPr>
          <w:rFonts w:hint="eastAsia" w:ascii="宋体" w:hAnsi="宋体" w:eastAsia="宋体" w:cs="宋体"/>
          <w:sz w:val="21"/>
          <w:szCs w:val="21"/>
        </w:rPr>
        <w:t xml:space="preserve"> </w:t>
      </w:r>
      <w:r>
        <w:rPr>
          <w:rFonts w:hint="eastAsia" w:ascii="宋体" w:hAnsi="宋体" w:eastAsia="宋体" w:cs="宋体"/>
          <w:kern w:val="24"/>
          <w:sz w:val="21"/>
          <w:szCs w:val="21"/>
          <w:u w:val="single"/>
          <w:lang w:val="en-US" w:eastAsia="zh-CN"/>
        </w:rPr>
        <w:t xml:space="preserve">          </w:t>
      </w:r>
      <w:r>
        <w:rPr>
          <w:rFonts w:hint="eastAsia" w:ascii="宋体" w:hAnsi="宋体" w:eastAsia="宋体" w:cs="宋体"/>
          <w:kern w:val="24"/>
          <w:sz w:val="21"/>
          <w:szCs w:val="21"/>
        </w:rPr>
        <w:t>，属于</w:t>
      </w:r>
      <w:r>
        <w:rPr>
          <w:rFonts w:hint="eastAsia" w:ascii="宋体" w:hAnsi="宋体" w:eastAsia="宋体" w:cs="宋体"/>
          <w:kern w:val="24"/>
          <w:sz w:val="21"/>
          <w:szCs w:val="21"/>
          <w:u w:val="single"/>
        </w:rPr>
        <w:t>软件和信息技术服务业</w:t>
      </w:r>
      <w:r>
        <w:rPr>
          <w:rFonts w:hint="eastAsia" w:ascii="宋体" w:hAnsi="宋体" w:eastAsia="宋体" w:cs="宋体"/>
          <w:kern w:val="24"/>
          <w:sz w:val="21"/>
          <w:szCs w:val="21"/>
        </w:rPr>
        <w:t>行业；</w:t>
      </w:r>
      <w:r>
        <w:rPr>
          <w:rFonts w:hint="eastAsia" w:ascii="宋体" w:hAnsi="宋体" w:eastAsia="宋体" w:cs="宋体"/>
          <w:b/>
          <w:kern w:val="24"/>
          <w:sz w:val="21"/>
          <w:szCs w:val="21"/>
        </w:rPr>
        <w:t>制造商</w:t>
      </w:r>
      <w:r>
        <w:rPr>
          <w:rFonts w:hint="eastAsia" w:ascii="宋体" w:hAnsi="宋体" w:eastAsia="宋体" w:cs="宋体"/>
          <w:kern w:val="24"/>
          <w:sz w:val="21"/>
          <w:szCs w:val="21"/>
        </w:rPr>
        <w:t>为</w:t>
      </w:r>
      <w:r>
        <w:rPr>
          <w:rFonts w:hint="eastAsia" w:ascii="宋体" w:hAnsi="宋体" w:eastAsia="宋体" w:cs="宋体"/>
          <w:kern w:val="24"/>
          <w:sz w:val="21"/>
          <w:szCs w:val="21"/>
          <w:u w:val="single"/>
        </w:rPr>
        <w:t>（企业名称）</w:t>
      </w:r>
      <w:r>
        <w:rPr>
          <w:rFonts w:hint="eastAsia" w:ascii="宋体" w:hAnsi="宋体" w:eastAsia="宋体" w:cs="宋体"/>
          <w:kern w:val="24"/>
          <w:sz w:val="21"/>
          <w:szCs w:val="21"/>
        </w:rPr>
        <w:t>，从业人员</w:t>
      </w:r>
      <w:r>
        <w:rPr>
          <w:rFonts w:hint="eastAsia" w:ascii="宋体" w:hAnsi="宋体" w:eastAsia="宋体" w:cs="宋体"/>
          <w:kern w:val="24"/>
          <w:sz w:val="21"/>
          <w:szCs w:val="21"/>
          <w:u w:val="single"/>
        </w:rPr>
        <w:t xml:space="preserve">      </w:t>
      </w:r>
      <w:r>
        <w:rPr>
          <w:rFonts w:hint="eastAsia" w:ascii="宋体" w:hAnsi="宋体" w:eastAsia="宋体" w:cs="宋体"/>
          <w:kern w:val="24"/>
          <w:sz w:val="21"/>
          <w:szCs w:val="21"/>
        </w:rPr>
        <w:t>人，营业收入为</w:t>
      </w:r>
      <w:r>
        <w:rPr>
          <w:rFonts w:hint="eastAsia" w:ascii="宋体" w:hAnsi="宋体" w:eastAsia="宋体" w:cs="宋体"/>
          <w:kern w:val="24"/>
          <w:sz w:val="21"/>
          <w:szCs w:val="21"/>
          <w:u w:val="single"/>
        </w:rPr>
        <w:t xml:space="preserve">      </w:t>
      </w:r>
      <w:r>
        <w:rPr>
          <w:rFonts w:hint="eastAsia" w:ascii="宋体" w:hAnsi="宋体" w:eastAsia="宋体" w:cs="宋体"/>
          <w:kern w:val="24"/>
          <w:sz w:val="21"/>
          <w:szCs w:val="21"/>
        </w:rPr>
        <w:t>万元，资产总额为</w:t>
      </w:r>
      <w:r>
        <w:rPr>
          <w:rFonts w:hint="eastAsia" w:ascii="宋体" w:hAnsi="宋体" w:eastAsia="宋体" w:cs="宋体"/>
          <w:kern w:val="24"/>
          <w:sz w:val="21"/>
          <w:szCs w:val="21"/>
          <w:u w:val="single"/>
        </w:rPr>
        <w:t xml:space="preserve">      </w:t>
      </w:r>
      <w:r>
        <w:rPr>
          <w:rFonts w:hint="eastAsia" w:ascii="宋体" w:hAnsi="宋体" w:eastAsia="宋体" w:cs="宋体"/>
          <w:kern w:val="24"/>
          <w:sz w:val="21"/>
          <w:szCs w:val="21"/>
        </w:rPr>
        <w:t>万元，属于</w:t>
      </w:r>
      <w:r>
        <w:rPr>
          <w:rFonts w:hint="eastAsia" w:ascii="宋体" w:hAnsi="宋体" w:eastAsia="宋体" w:cs="宋体"/>
          <w:kern w:val="24"/>
          <w:sz w:val="21"/>
          <w:szCs w:val="21"/>
          <w:u w:val="single"/>
        </w:rPr>
        <w:t>（中型企业、小型企业、微型企业）</w:t>
      </w:r>
      <w:r>
        <w:rPr>
          <w:rFonts w:hint="eastAsia" w:ascii="宋体" w:hAnsi="宋体" w:eastAsia="宋体" w:cs="宋体"/>
          <w:sz w:val="21"/>
          <w:szCs w:val="21"/>
        </w:rPr>
        <w:t>；</w:t>
      </w:r>
    </w:p>
    <w:p>
      <w:pPr>
        <w:keepNext w:val="0"/>
        <w:keepLines w:val="0"/>
        <w:pageBreakBefore w:val="0"/>
        <w:widowControl w:val="0"/>
        <w:kinsoku/>
        <w:wordWrap/>
        <w:overflowPunct/>
        <w:topLinePunct w:val="0"/>
        <w:bidi w:val="0"/>
        <w:snapToGrid/>
        <w:spacing w:line="480" w:lineRule="exact"/>
        <w:ind w:firstLine="420" w:firstLineChars="200"/>
        <w:jc w:val="both"/>
        <w:textAlignment w:val="auto"/>
        <w:rPr>
          <w:rFonts w:hint="eastAsia" w:ascii="宋体" w:hAnsi="宋体" w:eastAsia="宋体" w:cs="宋体"/>
          <w:sz w:val="21"/>
          <w:szCs w:val="21"/>
        </w:rPr>
      </w:pPr>
      <w:r>
        <w:rPr>
          <w:rFonts w:hint="eastAsia" w:ascii="宋体" w:hAnsi="宋体" w:eastAsia="宋体" w:cs="宋体"/>
          <w:kern w:val="24"/>
          <w:sz w:val="21"/>
          <w:szCs w:val="21"/>
        </w:rPr>
        <w:t>2.</w:t>
      </w:r>
      <w:r>
        <w:rPr>
          <w:rFonts w:hint="eastAsia" w:ascii="宋体" w:hAnsi="宋体" w:eastAsia="宋体" w:cs="宋体"/>
          <w:sz w:val="21"/>
          <w:szCs w:val="21"/>
        </w:rPr>
        <w:t xml:space="preserve"> </w:t>
      </w:r>
      <w:r>
        <w:rPr>
          <w:rFonts w:hint="eastAsia" w:ascii="宋体" w:hAnsi="宋体" w:eastAsia="宋体" w:cs="宋体"/>
          <w:kern w:val="24"/>
          <w:sz w:val="21"/>
          <w:szCs w:val="21"/>
          <w:u w:val="single"/>
          <w:lang w:val="en-US" w:eastAsia="zh-CN"/>
        </w:rPr>
        <w:t xml:space="preserve">           </w:t>
      </w:r>
      <w:r>
        <w:rPr>
          <w:rFonts w:hint="eastAsia" w:ascii="宋体" w:hAnsi="宋体" w:eastAsia="宋体" w:cs="宋体"/>
          <w:kern w:val="24"/>
          <w:sz w:val="21"/>
          <w:szCs w:val="21"/>
        </w:rPr>
        <w:t>，属于</w:t>
      </w:r>
      <w:r>
        <w:rPr>
          <w:rFonts w:hint="eastAsia" w:ascii="宋体" w:hAnsi="宋体" w:eastAsia="宋体" w:cs="宋体"/>
          <w:kern w:val="24"/>
          <w:sz w:val="21"/>
          <w:szCs w:val="21"/>
          <w:u w:val="single"/>
          <w:lang w:val="en-US" w:eastAsia="zh-CN"/>
        </w:rPr>
        <w:t>制造业</w:t>
      </w:r>
      <w:r>
        <w:rPr>
          <w:rFonts w:hint="eastAsia" w:ascii="宋体" w:hAnsi="宋体" w:eastAsia="宋体" w:cs="宋体"/>
          <w:kern w:val="24"/>
          <w:sz w:val="21"/>
          <w:szCs w:val="21"/>
        </w:rPr>
        <w:t>行业；</w:t>
      </w:r>
      <w:r>
        <w:rPr>
          <w:rFonts w:hint="eastAsia" w:ascii="宋体" w:hAnsi="宋体" w:eastAsia="宋体" w:cs="宋体"/>
          <w:b/>
          <w:kern w:val="24"/>
          <w:sz w:val="21"/>
          <w:szCs w:val="21"/>
        </w:rPr>
        <w:t>制造商</w:t>
      </w:r>
      <w:r>
        <w:rPr>
          <w:rFonts w:hint="eastAsia" w:ascii="宋体" w:hAnsi="宋体" w:eastAsia="宋体" w:cs="宋体"/>
          <w:kern w:val="24"/>
          <w:sz w:val="21"/>
          <w:szCs w:val="21"/>
        </w:rPr>
        <w:t>为</w:t>
      </w:r>
      <w:r>
        <w:rPr>
          <w:rFonts w:hint="eastAsia" w:ascii="宋体" w:hAnsi="宋体" w:eastAsia="宋体" w:cs="宋体"/>
          <w:kern w:val="24"/>
          <w:sz w:val="21"/>
          <w:szCs w:val="21"/>
          <w:u w:val="single"/>
        </w:rPr>
        <w:t>（企业名称）</w:t>
      </w:r>
      <w:r>
        <w:rPr>
          <w:rFonts w:hint="eastAsia" w:ascii="宋体" w:hAnsi="宋体" w:eastAsia="宋体" w:cs="宋体"/>
          <w:kern w:val="24"/>
          <w:sz w:val="21"/>
          <w:szCs w:val="21"/>
        </w:rPr>
        <w:t>，从业人员</w:t>
      </w:r>
      <w:r>
        <w:rPr>
          <w:rFonts w:hint="eastAsia" w:ascii="宋体" w:hAnsi="宋体" w:eastAsia="宋体" w:cs="宋体"/>
          <w:kern w:val="24"/>
          <w:sz w:val="21"/>
          <w:szCs w:val="21"/>
          <w:u w:val="single"/>
        </w:rPr>
        <w:t xml:space="preserve">      </w:t>
      </w:r>
      <w:r>
        <w:rPr>
          <w:rFonts w:hint="eastAsia" w:ascii="宋体" w:hAnsi="宋体" w:eastAsia="宋体" w:cs="宋体"/>
          <w:kern w:val="24"/>
          <w:sz w:val="21"/>
          <w:szCs w:val="21"/>
        </w:rPr>
        <w:t>人，营业收入为</w:t>
      </w:r>
      <w:r>
        <w:rPr>
          <w:rFonts w:hint="eastAsia" w:ascii="宋体" w:hAnsi="宋体" w:eastAsia="宋体" w:cs="宋体"/>
          <w:kern w:val="24"/>
          <w:sz w:val="21"/>
          <w:szCs w:val="21"/>
          <w:u w:val="single"/>
        </w:rPr>
        <w:t xml:space="preserve">      </w:t>
      </w:r>
      <w:r>
        <w:rPr>
          <w:rFonts w:hint="eastAsia" w:ascii="宋体" w:hAnsi="宋体" w:eastAsia="宋体" w:cs="宋体"/>
          <w:kern w:val="24"/>
          <w:sz w:val="21"/>
          <w:szCs w:val="21"/>
        </w:rPr>
        <w:t>万元，资产总额为</w:t>
      </w:r>
      <w:r>
        <w:rPr>
          <w:rFonts w:hint="eastAsia" w:ascii="宋体" w:hAnsi="宋体" w:eastAsia="宋体" w:cs="宋体"/>
          <w:kern w:val="24"/>
          <w:sz w:val="21"/>
          <w:szCs w:val="21"/>
          <w:u w:val="single"/>
        </w:rPr>
        <w:t xml:space="preserve">      </w:t>
      </w:r>
      <w:r>
        <w:rPr>
          <w:rFonts w:hint="eastAsia" w:ascii="宋体" w:hAnsi="宋体" w:eastAsia="宋体" w:cs="宋体"/>
          <w:kern w:val="24"/>
          <w:sz w:val="21"/>
          <w:szCs w:val="21"/>
        </w:rPr>
        <w:t>万元，属于</w:t>
      </w:r>
      <w:r>
        <w:rPr>
          <w:rFonts w:hint="eastAsia" w:ascii="宋体" w:hAnsi="宋体" w:eastAsia="宋体" w:cs="宋体"/>
          <w:kern w:val="24"/>
          <w:sz w:val="21"/>
          <w:szCs w:val="21"/>
          <w:u w:val="single"/>
        </w:rPr>
        <w:t>（中型企业、小型企业、微型企业）</w:t>
      </w:r>
      <w:r>
        <w:rPr>
          <w:rFonts w:hint="eastAsia" w:ascii="宋体" w:hAnsi="宋体" w:eastAsia="宋体" w:cs="宋体"/>
          <w:sz w:val="21"/>
          <w:szCs w:val="21"/>
        </w:rPr>
        <w:t>；</w:t>
      </w:r>
    </w:p>
    <w:p>
      <w:pPr>
        <w:keepNext w:val="0"/>
        <w:keepLines w:val="0"/>
        <w:pageBreakBefore w:val="0"/>
        <w:widowControl w:val="0"/>
        <w:kinsoku/>
        <w:wordWrap/>
        <w:overflowPunct/>
        <w:topLinePunct w:val="0"/>
        <w:bidi w:val="0"/>
        <w:snapToGrid/>
        <w:spacing w:line="480" w:lineRule="exact"/>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w:t>
      </w:r>
    </w:p>
    <w:p>
      <w:pPr>
        <w:pStyle w:val="19"/>
        <w:keepNext w:val="0"/>
        <w:keepLines w:val="0"/>
        <w:pageBreakBefore w:val="0"/>
        <w:widowControl w:val="0"/>
        <w:kinsoku/>
        <w:wordWrap/>
        <w:overflowPunct/>
        <w:topLinePunct w:val="0"/>
        <w:bidi w:val="0"/>
        <w:snapToGrid/>
        <w:spacing w:before="34" w:line="480" w:lineRule="exact"/>
        <w:ind w:right="142"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以上企业，不属于大企业的分支机构，不存在控股股东为大企业的情形，也不存在与大企业的负责人为同一人的情形。</w:t>
      </w:r>
    </w:p>
    <w:p>
      <w:pPr>
        <w:pStyle w:val="19"/>
        <w:keepNext w:val="0"/>
        <w:keepLines w:val="0"/>
        <w:pageBreakBefore w:val="0"/>
        <w:widowControl w:val="0"/>
        <w:kinsoku/>
        <w:wordWrap/>
        <w:overflowPunct/>
        <w:topLinePunct w:val="0"/>
        <w:bidi w:val="0"/>
        <w:snapToGrid/>
        <w:spacing w:before="34" w:line="480" w:lineRule="exact"/>
        <w:ind w:right="142"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本企业对上述声明内容的真实性负责。如有虚假，将依法承担相应责任。</w:t>
      </w:r>
    </w:p>
    <w:p>
      <w:pPr>
        <w:pStyle w:val="19"/>
        <w:spacing w:before="56" w:line="240" w:lineRule="auto"/>
        <w:ind w:left="3960" w:right="1808"/>
        <w:rPr>
          <w:rFonts w:hAnsi="宋体"/>
          <w:kern w:val="24"/>
          <w:sz w:val="21"/>
          <w:szCs w:val="21"/>
        </w:rPr>
      </w:pPr>
    </w:p>
    <w:p>
      <w:pPr>
        <w:pStyle w:val="19"/>
        <w:spacing w:before="56" w:line="240" w:lineRule="auto"/>
        <w:ind w:left="3960" w:right="1808"/>
        <w:rPr>
          <w:rFonts w:hAnsi="宋体"/>
          <w:kern w:val="24"/>
          <w:sz w:val="21"/>
          <w:szCs w:val="21"/>
        </w:rPr>
      </w:pPr>
    </w:p>
    <w:p>
      <w:pPr>
        <w:pStyle w:val="19"/>
        <w:spacing w:before="56" w:line="240" w:lineRule="auto"/>
        <w:ind w:left="3960" w:right="1808"/>
        <w:rPr>
          <w:rFonts w:hAnsi="宋体"/>
          <w:kern w:val="24"/>
          <w:sz w:val="21"/>
          <w:szCs w:val="21"/>
        </w:rPr>
      </w:pPr>
    </w:p>
    <w:p>
      <w:pPr>
        <w:pStyle w:val="19"/>
        <w:spacing w:before="56" w:line="240" w:lineRule="auto"/>
        <w:ind w:left="3960" w:right="1808"/>
        <w:rPr>
          <w:rFonts w:hAnsi="宋体"/>
          <w:sz w:val="21"/>
          <w:szCs w:val="21"/>
        </w:rPr>
      </w:pPr>
      <w:r>
        <w:rPr>
          <w:rFonts w:hAnsi="宋体"/>
          <w:kern w:val="24"/>
          <w:sz w:val="21"/>
          <w:szCs w:val="21"/>
        </w:rPr>
        <w:t>企业名称（</w:t>
      </w:r>
      <w:r>
        <w:rPr>
          <w:rFonts w:hint="eastAsia" w:hAnsi="宋体"/>
          <w:kern w:val="24"/>
          <w:sz w:val="21"/>
          <w:szCs w:val="21"/>
          <w:lang w:val="en-US" w:eastAsia="zh-CN"/>
        </w:rPr>
        <w:t>公章</w:t>
      </w:r>
      <w:r>
        <w:rPr>
          <w:rFonts w:hAnsi="宋体"/>
          <w:kern w:val="24"/>
          <w:sz w:val="21"/>
          <w:szCs w:val="21"/>
        </w:rPr>
        <w:t>）：</w:t>
      </w:r>
      <w:r>
        <w:rPr>
          <w:rFonts w:hAnsi="宋体"/>
          <w:sz w:val="21"/>
          <w:szCs w:val="21"/>
        </w:rPr>
        <w:t xml:space="preserve"> </w:t>
      </w:r>
    </w:p>
    <w:p>
      <w:pPr>
        <w:pStyle w:val="19"/>
        <w:spacing w:before="56" w:line="240" w:lineRule="auto"/>
        <w:ind w:left="3960" w:right="1808"/>
        <w:rPr>
          <w:rFonts w:hint="eastAsia" w:hAnsi="宋体"/>
          <w:sz w:val="21"/>
          <w:szCs w:val="21"/>
        </w:rPr>
      </w:pPr>
      <w:r>
        <w:rPr>
          <w:rFonts w:hAnsi="宋体"/>
          <w:sz w:val="21"/>
          <w:szCs w:val="21"/>
        </w:rPr>
        <w:t>日 期：</w:t>
      </w:r>
    </w:p>
    <w:p>
      <w:pPr>
        <w:rPr>
          <w:rFonts w:hint="eastAsia" w:hAnsi="宋体"/>
          <w:sz w:val="24"/>
        </w:rPr>
      </w:pPr>
      <w:r>
        <w:rPr>
          <w:rFonts w:hint="eastAsia" w:hAnsi="宋体"/>
          <w:spacing w:val="6"/>
          <w:sz w:val="24"/>
        </w:rPr>
        <w:t xml:space="preserve"> </w:t>
      </w:r>
    </w:p>
    <w:p>
      <w:pPr>
        <w:rPr>
          <w:rFonts w:hAnsi="宋体"/>
          <w:b/>
          <w:bCs/>
          <w:sz w:val="21"/>
          <w:szCs w:val="21"/>
        </w:rPr>
      </w:pPr>
      <w:r>
        <w:rPr>
          <w:rFonts w:hint="eastAsia" w:hAnsi="宋体"/>
          <w:b/>
          <w:bCs/>
          <w:sz w:val="21"/>
          <w:szCs w:val="21"/>
        </w:rPr>
        <w:t>注：享受《政府采购促进中小企业发展管理办法》（财库〔2020〕46号）规定的中小企业扶持政策的，采购人、采购代理机构应当随中标结果公开中标供应商的《中小企业声明函》。从业人员、营业收入、资产总额填报上一年度数据，无上一年度数据的新成立企业可不填报。</w:t>
      </w:r>
    </w:p>
    <w:p>
      <w:pPr>
        <w:rPr>
          <w:rFonts w:hAnsi="宋体"/>
          <w:sz w:val="24"/>
        </w:rPr>
      </w:pPr>
    </w:p>
    <w:p>
      <w:pPr>
        <w:pStyle w:val="5"/>
        <w:rPr>
          <w:rFonts w:hint="eastAsia" w:hAnsi="宋体"/>
        </w:rPr>
      </w:pPr>
      <w:r>
        <w:br w:type="page"/>
      </w:r>
    </w:p>
    <w:p>
      <w:pPr>
        <w:spacing w:line="588" w:lineRule="exact"/>
        <w:jc w:val="center"/>
        <w:rPr>
          <w:rFonts w:hint="eastAsia" w:ascii="仿宋_GB2312" w:eastAsia="仿宋_GB2312"/>
          <w:b/>
          <w:spacing w:val="6"/>
          <w:sz w:val="32"/>
          <w:szCs w:val="32"/>
        </w:rPr>
      </w:pPr>
      <w:bookmarkStart w:id="98" w:name="OLE_LINK13"/>
      <w:bookmarkStart w:id="99" w:name="OLE_LINK14"/>
    </w:p>
    <w:p>
      <w:pPr>
        <w:snapToGrid w:val="0"/>
        <w:jc w:val="center"/>
        <w:rPr>
          <w:rFonts w:hint="eastAsia" w:ascii="宋体" w:hAnsi="宋体" w:eastAsia="宋体" w:cs="宋体"/>
          <w:b/>
          <w:sz w:val="32"/>
          <w:szCs w:val="32"/>
        </w:rPr>
      </w:pPr>
      <w:r>
        <w:rPr>
          <w:rFonts w:hint="eastAsia" w:ascii="宋体" w:hAnsi="宋体" w:eastAsia="宋体" w:cs="宋体"/>
          <w:b/>
          <w:sz w:val="32"/>
          <w:szCs w:val="32"/>
        </w:rPr>
        <w:t>残疾人福利性单位声明函</w:t>
      </w:r>
    </w:p>
    <w:bookmarkEnd w:id="98"/>
    <w:bookmarkEnd w:id="99"/>
    <w:p>
      <w:pPr>
        <w:spacing w:line="588" w:lineRule="exact"/>
        <w:rPr>
          <w:rFonts w:ascii="仿宋_GB2312" w:eastAsia="仿宋_GB2312"/>
          <w:b/>
          <w:spacing w:val="6"/>
          <w:sz w:val="30"/>
          <w:szCs w:val="30"/>
        </w:rPr>
      </w:pPr>
    </w:p>
    <w:p>
      <w:pPr>
        <w:keepNext w:val="0"/>
        <w:keepLines w:val="0"/>
        <w:pageBreakBefore w:val="0"/>
        <w:widowControl w:val="0"/>
        <w:kinsoku/>
        <w:wordWrap/>
        <w:overflowPunct/>
        <w:topLinePunct w:val="0"/>
        <w:autoSpaceDE/>
        <w:autoSpaceDN/>
        <w:bidi w:val="0"/>
        <w:adjustRightInd/>
        <w:snapToGrid/>
        <w:spacing w:line="480" w:lineRule="exact"/>
        <w:ind w:firstLine="504" w:firstLineChars="200"/>
        <w:contextualSpacing/>
        <w:jc w:val="both"/>
        <w:textAlignment w:val="auto"/>
        <w:rPr>
          <w:rFonts w:hAnsi="宋体"/>
          <w:spacing w:val="6"/>
          <w:sz w:val="24"/>
        </w:rPr>
      </w:pPr>
      <w:r>
        <w:rPr>
          <w:rFonts w:hint="eastAsia" w:hAnsi="宋体"/>
          <w:spacing w:val="6"/>
          <w:sz w:val="24"/>
        </w:rPr>
        <w:t>本单位郑重声明，根据《财政部 民政部 中国残疾人联合会关于促进残疾人就业政府采购政策的通知》（财库</w:t>
      </w:r>
      <w:r>
        <w:rPr>
          <w:rFonts w:hint="eastAsia" w:hAnsi="宋体"/>
          <w:sz w:val="24"/>
        </w:rPr>
        <w:t>〔2017〕 141</w:t>
      </w:r>
      <w:r>
        <w:rPr>
          <w:rFonts w:hint="eastAsia" w:hAnsi="宋体"/>
          <w:spacing w:val="6"/>
          <w:sz w:val="24"/>
        </w:rPr>
        <w:t>号）的规定，本单位为符合条件的残疾人福利性单位，且本单位参加______单位的______项目采购活动提供本单位制造的货物（由本单位承担工程/提供服务），或者提供其他残</w:t>
      </w:r>
      <w:r>
        <w:rPr>
          <w:rFonts w:hint="eastAsia" w:hAnsi="宋体"/>
          <w:spacing w:val="-6"/>
          <w:sz w:val="24"/>
        </w:rPr>
        <w:t>疾人福利性单位制造的货物（不包括使用非残疾人福利性单位注册商标的货物）。</w:t>
      </w:r>
    </w:p>
    <w:p>
      <w:pPr>
        <w:keepNext w:val="0"/>
        <w:keepLines w:val="0"/>
        <w:pageBreakBefore w:val="0"/>
        <w:widowControl w:val="0"/>
        <w:kinsoku/>
        <w:wordWrap/>
        <w:overflowPunct/>
        <w:topLinePunct w:val="0"/>
        <w:autoSpaceDE/>
        <w:autoSpaceDN/>
        <w:bidi w:val="0"/>
        <w:adjustRightInd/>
        <w:snapToGrid/>
        <w:spacing w:line="480" w:lineRule="exact"/>
        <w:ind w:firstLine="504" w:firstLineChars="200"/>
        <w:contextualSpacing/>
        <w:jc w:val="both"/>
        <w:textAlignment w:val="auto"/>
        <w:rPr>
          <w:rFonts w:hAnsi="宋体"/>
          <w:spacing w:val="6"/>
          <w:sz w:val="24"/>
        </w:rPr>
      </w:pPr>
      <w:r>
        <w:rPr>
          <w:rFonts w:hint="eastAsia" w:hAnsi="宋体"/>
          <w:spacing w:val="6"/>
          <w:sz w:val="24"/>
        </w:rPr>
        <w:t>本单位对上述声明的真实性负责。如有虚假，将依法承担相应责任。</w:t>
      </w:r>
    </w:p>
    <w:p>
      <w:pPr>
        <w:keepNext w:val="0"/>
        <w:keepLines w:val="0"/>
        <w:pageBreakBefore w:val="0"/>
        <w:widowControl w:val="0"/>
        <w:kinsoku/>
        <w:wordWrap/>
        <w:overflowPunct/>
        <w:topLinePunct w:val="0"/>
        <w:autoSpaceDE/>
        <w:autoSpaceDN/>
        <w:bidi w:val="0"/>
        <w:adjustRightInd/>
        <w:snapToGrid/>
        <w:spacing w:line="480" w:lineRule="exact"/>
        <w:ind w:firstLine="504" w:firstLineChars="200"/>
        <w:contextualSpacing/>
        <w:jc w:val="both"/>
        <w:textAlignment w:val="auto"/>
        <w:rPr>
          <w:rFonts w:hAnsi="宋体"/>
          <w:spacing w:val="6"/>
          <w:sz w:val="24"/>
        </w:rPr>
      </w:pPr>
    </w:p>
    <w:p>
      <w:pPr>
        <w:keepNext w:val="0"/>
        <w:keepLines w:val="0"/>
        <w:pageBreakBefore w:val="0"/>
        <w:widowControl w:val="0"/>
        <w:kinsoku/>
        <w:wordWrap/>
        <w:overflowPunct/>
        <w:topLinePunct w:val="0"/>
        <w:autoSpaceDE/>
        <w:autoSpaceDN/>
        <w:bidi w:val="0"/>
        <w:adjustRightInd/>
        <w:snapToGrid/>
        <w:spacing w:line="480" w:lineRule="exact"/>
        <w:ind w:firstLine="504" w:firstLineChars="200"/>
        <w:contextualSpacing/>
        <w:jc w:val="both"/>
        <w:textAlignment w:val="auto"/>
        <w:rPr>
          <w:rFonts w:hAnsi="宋体"/>
          <w:spacing w:val="6"/>
          <w:sz w:val="24"/>
        </w:rPr>
      </w:pPr>
    </w:p>
    <w:p>
      <w:pPr>
        <w:keepNext w:val="0"/>
        <w:keepLines w:val="0"/>
        <w:pageBreakBefore w:val="0"/>
        <w:widowControl w:val="0"/>
        <w:kinsoku/>
        <w:wordWrap/>
        <w:overflowPunct/>
        <w:topLinePunct w:val="0"/>
        <w:autoSpaceDE/>
        <w:autoSpaceDN/>
        <w:bidi w:val="0"/>
        <w:adjustRightInd/>
        <w:snapToGrid/>
        <w:spacing w:line="480" w:lineRule="exact"/>
        <w:ind w:right="1560" w:firstLine="504" w:firstLineChars="200"/>
        <w:contextualSpacing/>
        <w:jc w:val="both"/>
        <w:textAlignment w:val="auto"/>
        <w:rPr>
          <w:rFonts w:hAnsi="宋体"/>
          <w:spacing w:val="6"/>
          <w:sz w:val="24"/>
        </w:rPr>
      </w:pPr>
      <w:r>
        <w:rPr>
          <w:rFonts w:hint="eastAsia" w:hAnsi="宋体"/>
          <w:spacing w:val="6"/>
          <w:sz w:val="24"/>
          <w:lang w:val="en-US" w:eastAsia="zh-CN"/>
        </w:rPr>
        <w:t xml:space="preserve">                       </w:t>
      </w:r>
      <w:r>
        <w:rPr>
          <w:rFonts w:hint="eastAsia" w:hAnsi="宋体"/>
          <w:spacing w:val="6"/>
          <w:sz w:val="24"/>
        </w:rPr>
        <w:t>单位名称（</w:t>
      </w:r>
      <w:r>
        <w:rPr>
          <w:rFonts w:hint="eastAsia" w:hAnsi="宋体"/>
          <w:spacing w:val="6"/>
          <w:sz w:val="24"/>
          <w:lang w:val="en-US" w:eastAsia="zh-CN"/>
        </w:rPr>
        <w:t>公章</w:t>
      </w:r>
      <w:r>
        <w:rPr>
          <w:rFonts w:hint="eastAsia" w:hAnsi="宋体"/>
          <w:spacing w:val="6"/>
          <w:sz w:val="24"/>
        </w:rPr>
        <w:t>）：</w:t>
      </w:r>
    </w:p>
    <w:p>
      <w:pPr>
        <w:keepNext w:val="0"/>
        <w:keepLines w:val="0"/>
        <w:pageBreakBefore w:val="0"/>
        <w:widowControl w:val="0"/>
        <w:kinsoku/>
        <w:wordWrap/>
        <w:overflowPunct/>
        <w:topLinePunct w:val="0"/>
        <w:autoSpaceDE/>
        <w:autoSpaceDN/>
        <w:bidi w:val="0"/>
        <w:adjustRightInd/>
        <w:snapToGrid/>
        <w:spacing w:line="480" w:lineRule="exact"/>
        <w:ind w:right="1560" w:firstLine="504" w:firstLineChars="200"/>
        <w:contextualSpacing/>
        <w:jc w:val="both"/>
        <w:textAlignment w:val="auto"/>
        <w:rPr>
          <w:rFonts w:hAnsi="宋体"/>
          <w:spacing w:val="6"/>
          <w:sz w:val="24"/>
        </w:rPr>
      </w:pPr>
      <w:r>
        <w:rPr>
          <w:rFonts w:hint="eastAsia" w:hAnsi="宋体"/>
          <w:spacing w:val="6"/>
          <w:sz w:val="24"/>
          <w:lang w:val="en-US" w:eastAsia="zh-CN"/>
        </w:rPr>
        <w:t xml:space="preserve">                                </w:t>
      </w:r>
      <w:r>
        <w:rPr>
          <w:rFonts w:hint="eastAsia" w:hAnsi="宋体"/>
          <w:spacing w:val="6"/>
          <w:sz w:val="24"/>
        </w:rPr>
        <w:t>日  期：</w:t>
      </w:r>
    </w:p>
    <w:p>
      <w:pPr>
        <w:contextualSpacing/>
        <w:rPr>
          <w:rFonts w:hAnsi="宋体"/>
          <w:sz w:val="24"/>
        </w:rPr>
      </w:pPr>
    </w:p>
    <w:p>
      <w:pPr>
        <w:contextualSpacing/>
        <w:rPr>
          <w:rFonts w:hint="eastAsia" w:hAnsi="宋体"/>
          <w:sz w:val="24"/>
        </w:rPr>
      </w:pPr>
    </w:p>
    <w:p>
      <w:pPr>
        <w:contextualSpacing/>
        <w:rPr>
          <w:rFonts w:hAnsi="宋体"/>
          <w:sz w:val="24"/>
        </w:rPr>
      </w:pPr>
    </w:p>
    <w:p>
      <w:pPr>
        <w:contextualSpacing/>
        <w:rPr>
          <w:rFonts w:hAnsi="宋体"/>
          <w:sz w:val="21"/>
          <w:szCs w:val="21"/>
        </w:rPr>
      </w:pPr>
      <w:r>
        <w:rPr>
          <w:rFonts w:hint="eastAsia" w:hAnsi="宋体"/>
          <w:sz w:val="21"/>
          <w:szCs w:val="21"/>
        </w:rPr>
        <w:t>注：请根据自己的真实情况出具《残疾人福利性单位声明函》。依法享受中小企业优惠政策的，采购人或者采购代理机构在公告中标结果时，同时公告其《残疾人福利性单位声明函》，接受社会监督。</w:t>
      </w:r>
    </w:p>
    <w:p>
      <w:pPr>
        <w:rPr>
          <w:rFonts w:hint="eastAsia" w:ascii="宋体" w:hAnsi="宋体" w:cs="宋体"/>
          <w:sz w:val="24"/>
        </w:rPr>
      </w:pPr>
    </w:p>
    <w:p>
      <w:pPr>
        <w:rPr>
          <w:rFonts w:hint="eastAsia" w:ascii="宋体" w:hAnsi="宋体" w:cs="宋体"/>
          <w:sz w:val="24"/>
        </w:rPr>
      </w:pPr>
    </w:p>
    <w:p>
      <w:pPr>
        <w:rPr>
          <w:rFonts w:hint="eastAsia" w:ascii="宋体" w:hAnsi="宋体" w:cs="宋体"/>
          <w:sz w:val="24"/>
        </w:rPr>
      </w:pPr>
    </w:p>
    <w:p>
      <w:pPr>
        <w:rPr>
          <w:rFonts w:hint="eastAsia" w:ascii="宋体" w:hAnsi="宋体" w:cs="宋体"/>
          <w:sz w:val="24"/>
        </w:rPr>
      </w:pPr>
    </w:p>
    <w:p>
      <w:pPr>
        <w:rPr>
          <w:rFonts w:hint="eastAsia" w:ascii="宋体" w:hAnsi="宋体" w:cs="宋体"/>
          <w:sz w:val="24"/>
        </w:rPr>
      </w:pPr>
    </w:p>
    <w:p>
      <w:pPr>
        <w:rPr>
          <w:rFonts w:hint="eastAsia" w:ascii="宋体" w:hAnsi="宋体" w:cs="宋体"/>
          <w:sz w:val="24"/>
        </w:rPr>
      </w:pPr>
    </w:p>
    <w:p>
      <w:pPr>
        <w:pStyle w:val="57"/>
      </w:pPr>
    </w:p>
    <w:sectPr>
      <w:footerReference r:id="rId5" w:type="default"/>
      <w:pgSz w:w="11906" w:h="16838"/>
      <w:pgMar w:top="1134" w:right="1134" w:bottom="1134" w:left="1134" w:header="709" w:footer="709"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Microsoft YaHei UI"/>
    <w:panose1 w:val="03000509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22225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14935" cy="222250"/>
                      </a:xfrm>
                      <a:prstGeom prst="rect">
                        <a:avLst/>
                      </a:prstGeom>
                      <a:noFill/>
                      <a:ln>
                        <a:noFill/>
                      </a:ln>
                    </wps:spPr>
                    <wps:txbx>
                      <w:txbxContent>
                        <w:p>
                          <w:pPr>
                            <w:pStyle w:val="2"/>
                          </w:pPr>
                          <w:r>
                            <w:fldChar w:fldCharType="begin"/>
                          </w:r>
                          <w:r>
                            <w:instrText xml:space="preserve"> PAGE  \* MERGEFORMAT </w:instrText>
                          </w:r>
                          <w:r>
                            <w:fldChar w:fldCharType="separate"/>
                          </w:r>
                          <w:r>
                            <w:t>87</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7.5pt;width:9.05pt;mso-position-horizontal:center;mso-position-horizontal-relative:margin;mso-wrap-style:none;z-index:251659264;mso-width-relative:page;mso-height-relative:page;" filled="f" stroked="f" coordsize="21600,21600" o:gfxdata="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iT0Qt9EAAAADAQAADwAAAAAAAAABACAAAAAiAAAAZHJzL2Rvd25y&#10;ZXYueG1sUEsBAhQAFAAAAAgAh07iQPtrwp7MAQAAlwMAAA4AAAAAAAAAAQAgAAAAIAEAAGRycy9l&#10;Mm9Eb2MueG1sUEsFBgAAAAAGAAYAWQEAAF4FAAAAAA==&#10;">
              <v:fill on="f" focussize="0,0"/>
              <v:stroke on="f"/>
              <v:imagedata o:title=""/>
              <o:lock v:ext="edit" aspectratio="f"/>
              <v:textbox inset="0mm,0mm,0mm,0mm" style="mso-fit-shape-to-text:t;">
                <w:txbxContent>
                  <w:p>
                    <w:pPr>
                      <w:pStyle w:val="2"/>
                    </w:pPr>
                    <w:r>
                      <w:fldChar w:fldCharType="begin"/>
                    </w:r>
                    <w:r>
                      <w:instrText xml:space="preserve"> PAGE  \* MERGEFORMAT </w:instrText>
                    </w:r>
                    <w:r>
                      <w:fldChar w:fldCharType="separate"/>
                    </w:r>
                    <w:r>
                      <w:t>87</w:t>
                    </w:r>
                    <w:r>
                      <w:fldChar w:fldCharType="end"/>
                    </w:r>
                  </w:p>
                </w:txbxContent>
              </v:textbox>
            </v:shape>
          </w:pict>
        </mc:Fallback>
      </mc:AlternateContent>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jc w:val="center"/>
      <w:rPr>
        <w:rStyle w:val="52"/>
      </w:rPr>
    </w:pPr>
    <w:r>
      <w:fldChar w:fldCharType="begin"/>
    </w:r>
    <w:r>
      <w:rPr>
        <w:rStyle w:val="52"/>
      </w:rPr>
      <w:instrText xml:space="preserve">PAGE  </w:instrText>
    </w:r>
    <w:r>
      <w:fldChar w:fldCharType="separate"/>
    </w:r>
    <w:r>
      <w:rPr>
        <w:rStyle w:val="52"/>
      </w:rPr>
      <w:t>17</w:t>
    </w:r>
    <w:r>
      <w:fldChar w:fldCharType="end"/>
    </w: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Bdr>
        <w:bottom w:val="none" w:color="auto" w:sz="0" w:space="0"/>
      </w:pBdr>
      <w:tabs>
        <w:tab w:val="center" w:pos="0"/>
        <w:tab w:val="left" w:pos="8306"/>
        <w:tab w:val="clear" w:pos="4153"/>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3"/>
      <w:numFmt w:val="chineseCountingThousand"/>
      <w:suff w:val="nothing"/>
      <w:lvlText w:val="第%1章"/>
      <w:lvlJc w:val="left"/>
      <w:pPr>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pStyle w:val="6"/>
      <w:suff w:val="nothing"/>
      <w:lvlText w:val=""/>
      <w:lvlJc w:val="left"/>
      <w:pPr>
        <w:ind w:left="0" w:firstLine="0"/>
      </w:pPr>
      <w:rPr>
        <w:rFonts w:hint="eastAsia"/>
      </w:rPr>
    </w:lvl>
    <w:lvl w:ilvl="4" w:tentative="0">
      <w:start w:val="1"/>
      <w:numFmt w:val="none"/>
      <w:pStyle w:val="7"/>
      <w:suff w:val="nothing"/>
      <w:lvlText w:val=""/>
      <w:lvlJc w:val="left"/>
      <w:pPr>
        <w:ind w:left="0" w:firstLine="0"/>
      </w:pPr>
      <w:rPr>
        <w:rFonts w:hint="eastAsia"/>
      </w:rPr>
    </w:lvl>
    <w:lvl w:ilvl="5" w:tentative="0">
      <w:start w:val="1"/>
      <w:numFmt w:val="none"/>
      <w:pStyle w:val="9"/>
      <w:suff w:val="nothing"/>
      <w:lvlText w:val=""/>
      <w:lvlJc w:val="left"/>
      <w:pPr>
        <w:ind w:left="0" w:firstLine="0"/>
      </w:pPr>
      <w:rPr>
        <w:rFonts w:hint="eastAsia"/>
      </w:rPr>
    </w:lvl>
    <w:lvl w:ilvl="6" w:tentative="0">
      <w:start w:val="1"/>
      <w:numFmt w:val="none"/>
      <w:pStyle w:val="10"/>
      <w:suff w:val="nothing"/>
      <w:lvlText w:val=""/>
      <w:lvlJc w:val="left"/>
      <w:pPr>
        <w:ind w:left="0" w:firstLine="0"/>
      </w:pPr>
      <w:rPr>
        <w:rFonts w:hint="eastAsia"/>
      </w:rPr>
    </w:lvl>
    <w:lvl w:ilvl="7" w:tentative="0">
      <w:start w:val="1"/>
      <w:numFmt w:val="none"/>
      <w:pStyle w:val="11"/>
      <w:suff w:val="nothing"/>
      <w:lvlText w:val=""/>
      <w:lvlJc w:val="left"/>
      <w:pPr>
        <w:ind w:left="0" w:firstLine="0"/>
      </w:pPr>
      <w:rPr>
        <w:rFonts w:hint="eastAsia"/>
      </w:rPr>
    </w:lvl>
    <w:lvl w:ilvl="8" w:tentative="0">
      <w:start w:val="1"/>
      <w:numFmt w:val="none"/>
      <w:pStyle w:val="12"/>
      <w:suff w:val="nothing"/>
      <w:lvlText w:val=""/>
      <w:lvlJc w:val="left"/>
      <w:pPr>
        <w:ind w:left="0" w:firstLine="0"/>
      </w:pPr>
      <w:rPr>
        <w:rFonts w:hint="eastAsia"/>
      </w:rPr>
    </w:lvl>
  </w:abstractNum>
  <w:abstractNum w:abstractNumId="1">
    <w:nsid w:val="1429918D"/>
    <w:multiLevelType w:val="singleLevel"/>
    <w:tmpl w:val="1429918D"/>
    <w:lvl w:ilvl="0" w:tentative="0">
      <w:start w:val="3"/>
      <w:numFmt w:val="chineseCounting"/>
      <w:suff w:val="nothing"/>
      <w:lvlText w:val="%1、"/>
      <w:lvlJc w:val="left"/>
      <w:rPr>
        <w:rFonts w:hint="eastAsia"/>
      </w:rPr>
    </w:lvl>
  </w:abstractNum>
  <w:abstractNum w:abstractNumId="2">
    <w:nsid w:val="46446BAE"/>
    <w:multiLevelType w:val="singleLevel"/>
    <w:tmpl w:val="46446BAE"/>
    <w:lvl w:ilvl="0" w:tentative="0">
      <w:start w:val="1"/>
      <w:numFmt w:val="chineseCounting"/>
      <w:suff w:val="space"/>
      <w:lvlText w:val="第%1条"/>
      <w:lvlJc w:val="left"/>
      <w:rPr>
        <w:rFonts w:hint="eastAsia"/>
      </w:rPr>
    </w:lvl>
  </w:abstractNum>
  <w:abstractNum w:abstractNumId="3">
    <w:nsid w:val="52A3EC38"/>
    <w:multiLevelType w:val="singleLevel"/>
    <w:tmpl w:val="52A3EC38"/>
    <w:lvl w:ilvl="0" w:tentative="0">
      <w:start w:val="3"/>
      <w:numFmt w:val="chineseCounting"/>
      <w:pStyle w:val="21"/>
      <w:suff w:val="nothing"/>
      <w:lvlText w:val="%1、"/>
      <w:lvlJc w:val="left"/>
    </w:lvl>
  </w:abstractNum>
  <w:abstractNum w:abstractNumId="4">
    <w:nsid w:val="53EB3389"/>
    <w:multiLevelType w:val="multilevel"/>
    <w:tmpl w:val="53EB3389"/>
    <w:lvl w:ilvl="0" w:tentative="0">
      <w:start w:val="1"/>
      <w:numFmt w:val="decimalEnclosedCircle"/>
      <w:pStyle w:val="264"/>
      <w:lvlText w:val="%1"/>
      <w:lvlJc w:val="left"/>
      <w:pPr>
        <w:ind w:left="1200" w:hanging="36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5">
    <w:nsid w:val="7116F2CC"/>
    <w:multiLevelType w:val="singleLevel"/>
    <w:tmpl w:val="7116F2CC"/>
    <w:lvl w:ilvl="0" w:tentative="0">
      <w:start w:val="2"/>
      <w:numFmt w:val="decimal"/>
      <w:lvlText w:val="%1."/>
      <w:lvlJc w:val="left"/>
      <w:pPr>
        <w:tabs>
          <w:tab w:val="left" w:pos="312"/>
        </w:tabs>
      </w:pPr>
    </w:lvl>
  </w:abstractNum>
  <w:num w:numId="1">
    <w:abstractNumId w:val="0"/>
  </w:num>
  <w:num w:numId="2">
    <w:abstractNumId w:val="3"/>
  </w:num>
  <w:num w:numId="3">
    <w:abstractNumId w:val="4"/>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NiZTAzZjRlMjc2MmVhMzExZGI5YWRmZjA5ZDVhYzEifQ=="/>
  </w:docVars>
  <w:rsids>
    <w:rsidRoot w:val="00172A27"/>
    <w:rsid w:val="000009B2"/>
    <w:rsid w:val="00000BE0"/>
    <w:rsid w:val="00002AC7"/>
    <w:rsid w:val="00003CE5"/>
    <w:rsid w:val="00004337"/>
    <w:rsid w:val="000044AD"/>
    <w:rsid w:val="00004F42"/>
    <w:rsid w:val="00006276"/>
    <w:rsid w:val="00006EFC"/>
    <w:rsid w:val="00010479"/>
    <w:rsid w:val="00011718"/>
    <w:rsid w:val="00012AE2"/>
    <w:rsid w:val="0001455D"/>
    <w:rsid w:val="0001491F"/>
    <w:rsid w:val="00015D4C"/>
    <w:rsid w:val="000165AA"/>
    <w:rsid w:val="0001732F"/>
    <w:rsid w:val="000178B1"/>
    <w:rsid w:val="00022CB1"/>
    <w:rsid w:val="0002393D"/>
    <w:rsid w:val="0002475C"/>
    <w:rsid w:val="00025437"/>
    <w:rsid w:val="00025544"/>
    <w:rsid w:val="00025622"/>
    <w:rsid w:val="00025B91"/>
    <w:rsid w:val="0002752B"/>
    <w:rsid w:val="00030368"/>
    <w:rsid w:val="00031637"/>
    <w:rsid w:val="000319C3"/>
    <w:rsid w:val="000359BA"/>
    <w:rsid w:val="00036B82"/>
    <w:rsid w:val="00037596"/>
    <w:rsid w:val="000376F4"/>
    <w:rsid w:val="00037C1A"/>
    <w:rsid w:val="00040D93"/>
    <w:rsid w:val="00040DD3"/>
    <w:rsid w:val="00040E90"/>
    <w:rsid w:val="000419D3"/>
    <w:rsid w:val="00042D37"/>
    <w:rsid w:val="0004426F"/>
    <w:rsid w:val="00044A04"/>
    <w:rsid w:val="00044EE6"/>
    <w:rsid w:val="00045D74"/>
    <w:rsid w:val="00047350"/>
    <w:rsid w:val="000473BC"/>
    <w:rsid w:val="00050011"/>
    <w:rsid w:val="00050E1D"/>
    <w:rsid w:val="000512D5"/>
    <w:rsid w:val="00051ADD"/>
    <w:rsid w:val="00051D97"/>
    <w:rsid w:val="00052767"/>
    <w:rsid w:val="00054302"/>
    <w:rsid w:val="00055358"/>
    <w:rsid w:val="0005662B"/>
    <w:rsid w:val="000578B0"/>
    <w:rsid w:val="00060CE6"/>
    <w:rsid w:val="00062560"/>
    <w:rsid w:val="00063355"/>
    <w:rsid w:val="00063B63"/>
    <w:rsid w:val="00063FAB"/>
    <w:rsid w:val="00064176"/>
    <w:rsid w:val="00064C4E"/>
    <w:rsid w:val="00065A26"/>
    <w:rsid w:val="0006689D"/>
    <w:rsid w:val="000674A8"/>
    <w:rsid w:val="000716D8"/>
    <w:rsid w:val="000722DA"/>
    <w:rsid w:val="00073131"/>
    <w:rsid w:val="0007355F"/>
    <w:rsid w:val="000737C8"/>
    <w:rsid w:val="00073EAE"/>
    <w:rsid w:val="00073FDD"/>
    <w:rsid w:val="000745A8"/>
    <w:rsid w:val="000748B0"/>
    <w:rsid w:val="00074CA7"/>
    <w:rsid w:val="00075EA8"/>
    <w:rsid w:val="0007678F"/>
    <w:rsid w:val="000770F1"/>
    <w:rsid w:val="00077A5F"/>
    <w:rsid w:val="000807D7"/>
    <w:rsid w:val="000818D7"/>
    <w:rsid w:val="00081D8B"/>
    <w:rsid w:val="000838D8"/>
    <w:rsid w:val="00084DF4"/>
    <w:rsid w:val="00085F3C"/>
    <w:rsid w:val="00086193"/>
    <w:rsid w:val="00086924"/>
    <w:rsid w:val="00086940"/>
    <w:rsid w:val="00086FA5"/>
    <w:rsid w:val="000871D5"/>
    <w:rsid w:val="00090286"/>
    <w:rsid w:val="00091E8F"/>
    <w:rsid w:val="0009282D"/>
    <w:rsid w:val="00093132"/>
    <w:rsid w:val="000952A4"/>
    <w:rsid w:val="000956C0"/>
    <w:rsid w:val="00095DC9"/>
    <w:rsid w:val="00096261"/>
    <w:rsid w:val="000970F5"/>
    <w:rsid w:val="00097FBA"/>
    <w:rsid w:val="000A1A5A"/>
    <w:rsid w:val="000A237B"/>
    <w:rsid w:val="000A2453"/>
    <w:rsid w:val="000A41D7"/>
    <w:rsid w:val="000A44ED"/>
    <w:rsid w:val="000A51A7"/>
    <w:rsid w:val="000A52EC"/>
    <w:rsid w:val="000A588B"/>
    <w:rsid w:val="000B06AE"/>
    <w:rsid w:val="000B0866"/>
    <w:rsid w:val="000B11A9"/>
    <w:rsid w:val="000B1783"/>
    <w:rsid w:val="000B2CC4"/>
    <w:rsid w:val="000B5023"/>
    <w:rsid w:val="000B5699"/>
    <w:rsid w:val="000B64B7"/>
    <w:rsid w:val="000C01BF"/>
    <w:rsid w:val="000C1131"/>
    <w:rsid w:val="000C1E1B"/>
    <w:rsid w:val="000C1FB2"/>
    <w:rsid w:val="000C2059"/>
    <w:rsid w:val="000C24F6"/>
    <w:rsid w:val="000C2DE8"/>
    <w:rsid w:val="000C375D"/>
    <w:rsid w:val="000C3BB1"/>
    <w:rsid w:val="000C43D7"/>
    <w:rsid w:val="000C43F3"/>
    <w:rsid w:val="000C4FEA"/>
    <w:rsid w:val="000C74AF"/>
    <w:rsid w:val="000D02C5"/>
    <w:rsid w:val="000D0AA1"/>
    <w:rsid w:val="000D1CFA"/>
    <w:rsid w:val="000D282A"/>
    <w:rsid w:val="000D3B73"/>
    <w:rsid w:val="000D3F50"/>
    <w:rsid w:val="000D51F6"/>
    <w:rsid w:val="000D591F"/>
    <w:rsid w:val="000D5C8E"/>
    <w:rsid w:val="000D64B2"/>
    <w:rsid w:val="000D672E"/>
    <w:rsid w:val="000D6872"/>
    <w:rsid w:val="000D733E"/>
    <w:rsid w:val="000D7994"/>
    <w:rsid w:val="000E00A1"/>
    <w:rsid w:val="000E045F"/>
    <w:rsid w:val="000E06F6"/>
    <w:rsid w:val="000E094E"/>
    <w:rsid w:val="000E0D79"/>
    <w:rsid w:val="000E1689"/>
    <w:rsid w:val="000E1E13"/>
    <w:rsid w:val="000E41A4"/>
    <w:rsid w:val="000E4ED3"/>
    <w:rsid w:val="000E6281"/>
    <w:rsid w:val="000E6E3E"/>
    <w:rsid w:val="000E7F98"/>
    <w:rsid w:val="000F3FB7"/>
    <w:rsid w:val="000F475D"/>
    <w:rsid w:val="000F4837"/>
    <w:rsid w:val="000F575F"/>
    <w:rsid w:val="000F5ADE"/>
    <w:rsid w:val="000F7E66"/>
    <w:rsid w:val="00102033"/>
    <w:rsid w:val="001024DB"/>
    <w:rsid w:val="00102F73"/>
    <w:rsid w:val="00104214"/>
    <w:rsid w:val="00104565"/>
    <w:rsid w:val="00104989"/>
    <w:rsid w:val="00105121"/>
    <w:rsid w:val="001067C4"/>
    <w:rsid w:val="00107740"/>
    <w:rsid w:val="0011047C"/>
    <w:rsid w:val="0011098B"/>
    <w:rsid w:val="00110CE6"/>
    <w:rsid w:val="00111E35"/>
    <w:rsid w:val="00112775"/>
    <w:rsid w:val="001147BB"/>
    <w:rsid w:val="00114AC5"/>
    <w:rsid w:val="00115726"/>
    <w:rsid w:val="0011633A"/>
    <w:rsid w:val="0011661F"/>
    <w:rsid w:val="00116DBC"/>
    <w:rsid w:val="001216D7"/>
    <w:rsid w:val="00122345"/>
    <w:rsid w:val="00122DAC"/>
    <w:rsid w:val="00123860"/>
    <w:rsid w:val="00123A7B"/>
    <w:rsid w:val="001244D6"/>
    <w:rsid w:val="00125085"/>
    <w:rsid w:val="0012558D"/>
    <w:rsid w:val="00125EF1"/>
    <w:rsid w:val="001269DD"/>
    <w:rsid w:val="00126DEA"/>
    <w:rsid w:val="00127B33"/>
    <w:rsid w:val="0013050E"/>
    <w:rsid w:val="00133418"/>
    <w:rsid w:val="0013606C"/>
    <w:rsid w:val="001362C1"/>
    <w:rsid w:val="0013648D"/>
    <w:rsid w:val="001377B8"/>
    <w:rsid w:val="0014078C"/>
    <w:rsid w:val="00140A72"/>
    <w:rsid w:val="00140DF8"/>
    <w:rsid w:val="001413A1"/>
    <w:rsid w:val="00142A21"/>
    <w:rsid w:val="00142B0A"/>
    <w:rsid w:val="001449B4"/>
    <w:rsid w:val="00145374"/>
    <w:rsid w:val="001463A7"/>
    <w:rsid w:val="00147540"/>
    <w:rsid w:val="001478F9"/>
    <w:rsid w:val="00152555"/>
    <w:rsid w:val="0015280A"/>
    <w:rsid w:val="0015297F"/>
    <w:rsid w:val="00153963"/>
    <w:rsid w:val="00153D88"/>
    <w:rsid w:val="0015417A"/>
    <w:rsid w:val="00154277"/>
    <w:rsid w:val="00154978"/>
    <w:rsid w:val="00156023"/>
    <w:rsid w:val="00161964"/>
    <w:rsid w:val="00162551"/>
    <w:rsid w:val="00162A74"/>
    <w:rsid w:val="00163A5B"/>
    <w:rsid w:val="00163BB2"/>
    <w:rsid w:val="00163DF2"/>
    <w:rsid w:val="001665C5"/>
    <w:rsid w:val="00166FA6"/>
    <w:rsid w:val="00167096"/>
    <w:rsid w:val="00167104"/>
    <w:rsid w:val="0017171C"/>
    <w:rsid w:val="001724DF"/>
    <w:rsid w:val="001728EB"/>
    <w:rsid w:val="00172A27"/>
    <w:rsid w:val="00172F6C"/>
    <w:rsid w:val="0017320B"/>
    <w:rsid w:val="001734E1"/>
    <w:rsid w:val="00175DAA"/>
    <w:rsid w:val="0017702C"/>
    <w:rsid w:val="001771B5"/>
    <w:rsid w:val="00177651"/>
    <w:rsid w:val="001777A2"/>
    <w:rsid w:val="00177AE1"/>
    <w:rsid w:val="00181039"/>
    <w:rsid w:val="00182120"/>
    <w:rsid w:val="00182682"/>
    <w:rsid w:val="001826B0"/>
    <w:rsid w:val="00185EBE"/>
    <w:rsid w:val="001866E1"/>
    <w:rsid w:val="00186790"/>
    <w:rsid w:val="001877A2"/>
    <w:rsid w:val="00187B31"/>
    <w:rsid w:val="0019114D"/>
    <w:rsid w:val="00192A4C"/>
    <w:rsid w:val="001939F2"/>
    <w:rsid w:val="00193C50"/>
    <w:rsid w:val="00194422"/>
    <w:rsid w:val="001949D8"/>
    <w:rsid w:val="00194A8F"/>
    <w:rsid w:val="00195D0D"/>
    <w:rsid w:val="00197AD6"/>
    <w:rsid w:val="001A00ED"/>
    <w:rsid w:val="001A1D52"/>
    <w:rsid w:val="001A2242"/>
    <w:rsid w:val="001A2553"/>
    <w:rsid w:val="001A317F"/>
    <w:rsid w:val="001A3C7F"/>
    <w:rsid w:val="001A49CA"/>
    <w:rsid w:val="001A4DDA"/>
    <w:rsid w:val="001A4ED3"/>
    <w:rsid w:val="001A50C9"/>
    <w:rsid w:val="001A50FC"/>
    <w:rsid w:val="001A694A"/>
    <w:rsid w:val="001A70FC"/>
    <w:rsid w:val="001A7666"/>
    <w:rsid w:val="001B019D"/>
    <w:rsid w:val="001B2B1C"/>
    <w:rsid w:val="001B2F45"/>
    <w:rsid w:val="001B4956"/>
    <w:rsid w:val="001B4B01"/>
    <w:rsid w:val="001B5078"/>
    <w:rsid w:val="001B741E"/>
    <w:rsid w:val="001B7C39"/>
    <w:rsid w:val="001C1969"/>
    <w:rsid w:val="001C27EB"/>
    <w:rsid w:val="001C2C61"/>
    <w:rsid w:val="001C3434"/>
    <w:rsid w:val="001C4E19"/>
    <w:rsid w:val="001C5506"/>
    <w:rsid w:val="001C5BD1"/>
    <w:rsid w:val="001C6C91"/>
    <w:rsid w:val="001D00F2"/>
    <w:rsid w:val="001D1319"/>
    <w:rsid w:val="001D153A"/>
    <w:rsid w:val="001D1C87"/>
    <w:rsid w:val="001D3469"/>
    <w:rsid w:val="001D56DD"/>
    <w:rsid w:val="001D62B6"/>
    <w:rsid w:val="001E008D"/>
    <w:rsid w:val="001E0C68"/>
    <w:rsid w:val="001E105A"/>
    <w:rsid w:val="001E24DD"/>
    <w:rsid w:val="001E273E"/>
    <w:rsid w:val="001E345E"/>
    <w:rsid w:val="001E35E4"/>
    <w:rsid w:val="001E37B9"/>
    <w:rsid w:val="001E62DA"/>
    <w:rsid w:val="001F23AE"/>
    <w:rsid w:val="001F2C1A"/>
    <w:rsid w:val="001F2E55"/>
    <w:rsid w:val="001F2FD7"/>
    <w:rsid w:val="001F3413"/>
    <w:rsid w:val="001F3A99"/>
    <w:rsid w:val="001F41DB"/>
    <w:rsid w:val="001F5A10"/>
    <w:rsid w:val="001F6B58"/>
    <w:rsid w:val="001F761A"/>
    <w:rsid w:val="001F7E80"/>
    <w:rsid w:val="002010A4"/>
    <w:rsid w:val="00203C02"/>
    <w:rsid w:val="00204403"/>
    <w:rsid w:val="00211C14"/>
    <w:rsid w:val="002143FD"/>
    <w:rsid w:val="00216B8C"/>
    <w:rsid w:val="00217032"/>
    <w:rsid w:val="00217932"/>
    <w:rsid w:val="00220FE8"/>
    <w:rsid w:val="00221371"/>
    <w:rsid w:val="00221C24"/>
    <w:rsid w:val="0022262C"/>
    <w:rsid w:val="00224F75"/>
    <w:rsid w:val="0022535F"/>
    <w:rsid w:val="002273CA"/>
    <w:rsid w:val="00227F10"/>
    <w:rsid w:val="00227F59"/>
    <w:rsid w:val="0023005D"/>
    <w:rsid w:val="002303E5"/>
    <w:rsid w:val="00231DEE"/>
    <w:rsid w:val="0023233B"/>
    <w:rsid w:val="00232BD9"/>
    <w:rsid w:val="002336E4"/>
    <w:rsid w:val="0023376B"/>
    <w:rsid w:val="00234834"/>
    <w:rsid w:val="00234ABF"/>
    <w:rsid w:val="00234CD2"/>
    <w:rsid w:val="002367C3"/>
    <w:rsid w:val="00236EEF"/>
    <w:rsid w:val="00240AF9"/>
    <w:rsid w:val="00240CCD"/>
    <w:rsid w:val="00242EED"/>
    <w:rsid w:val="002435B9"/>
    <w:rsid w:val="002436C5"/>
    <w:rsid w:val="00245882"/>
    <w:rsid w:val="0025282D"/>
    <w:rsid w:val="00252E8A"/>
    <w:rsid w:val="002544C6"/>
    <w:rsid w:val="00256486"/>
    <w:rsid w:val="00256FF8"/>
    <w:rsid w:val="00261101"/>
    <w:rsid w:val="00262E0E"/>
    <w:rsid w:val="0026389F"/>
    <w:rsid w:val="00263C9C"/>
    <w:rsid w:val="00267295"/>
    <w:rsid w:val="002679B4"/>
    <w:rsid w:val="00270250"/>
    <w:rsid w:val="00270310"/>
    <w:rsid w:val="002709FA"/>
    <w:rsid w:val="002715A2"/>
    <w:rsid w:val="00271609"/>
    <w:rsid w:val="002742E2"/>
    <w:rsid w:val="00274C89"/>
    <w:rsid w:val="00274D1B"/>
    <w:rsid w:val="00274E50"/>
    <w:rsid w:val="00276295"/>
    <w:rsid w:val="002766DD"/>
    <w:rsid w:val="00282639"/>
    <w:rsid w:val="00282DE6"/>
    <w:rsid w:val="00283432"/>
    <w:rsid w:val="0028452E"/>
    <w:rsid w:val="002848A6"/>
    <w:rsid w:val="002867BC"/>
    <w:rsid w:val="00286EFD"/>
    <w:rsid w:val="002904D7"/>
    <w:rsid w:val="00290F28"/>
    <w:rsid w:val="00291F07"/>
    <w:rsid w:val="00292B9D"/>
    <w:rsid w:val="00294BC4"/>
    <w:rsid w:val="002958CD"/>
    <w:rsid w:val="00295FDE"/>
    <w:rsid w:val="0029698C"/>
    <w:rsid w:val="002974ED"/>
    <w:rsid w:val="002977C6"/>
    <w:rsid w:val="00297E9A"/>
    <w:rsid w:val="002A1179"/>
    <w:rsid w:val="002A1770"/>
    <w:rsid w:val="002A1C40"/>
    <w:rsid w:val="002A25F1"/>
    <w:rsid w:val="002A2C8F"/>
    <w:rsid w:val="002A4AB8"/>
    <w:rsid w:val="002A4CB0"/>
    <w:rsid w:val="002A70F5"/>
    <w:rsid w:val="002A73F5"/>
    <w:rsid w:val="002A7416"/>
    <w:rsid w:val="002A7C15"/>
    <w:rsid w:val="002B12C0"/>
    <w:rsid w:val="002B228D"/>
    <w:rsid w:val="002B2C50"/>
    <w:rsid w:val="002B4048"/>
    <w:rsid w:val="002B5AA4"/>
    <w:rsid w:val="002B5E21"/>
    <w:rsid w:val="002B63DC"/>
    <w:rsid w:val="002C00EC"/>
    <w:rsid w:val="002C0411"/>
    <w:rsid w:val="002C103A"/>
    <w:rsid w:val="002C1D3F"/>
    <w:rsid w:val="002C268F"/>
    <w:rsid w:val="002C34A1"/>
    <w:rsid w:val="002C393D"/>
    <w:rsid w:val="002C4845"/>
    <w:rsid w:val="002C4CA5"/>
    <w:rsid w:val="002C64B2"/>
    <w:rsid w:val="002C724D"/>
    <w:rsid w:val="002C78B2"/>
    <w:rsid w:val="002C7EF2"/>
    <w:rsid w:val="002D05E6"/>
    <w:rsid w:val="002D0985"/>
    <w:rsid w:val="002D0AAC"/>
    <w:rsid w:val="002D0C27"/>
    <w:rsid w:val="002D0E44"/>
    <w:rsid w:val="002D1186"/>
    <w:rsid w:val="002D16E7"/>
    <w:rsid w:val="002D221C"/>
    <w:rsid w:val="002D3FDA"/>
    <w:rsid w:val="002D5B85"/>
    <w:rsid w:val="002D6F94"/>
    <w:rsid w:val="002D7080"/>
    <w:rsid w:val="002E04CD"/>
    <w:rsid w:val="002E220D"/>
    <w:rsid w:val="002E47BF"/>
    <w:rsid w:val="002E70A8"/>
    <w:rsid w:val="002E716E"/>
    <w:rsid w:val="002F0366"/>
    <w:rsid w:val="002F23CB"/>
    <w:rsid w:val="002F38F8"/>
    <w:rsid w:val="002F4573"/>
    <w:rsid w:val="002F5829"/>
    <w:rsid w:val="002F6069"/>
    <w:rsid w:val="002F6311"/>
    <w:rsid w:val="00301529"/>
    <w:rsid w:val="0030209C"/>
    <w:rsid w:val="00302C00"/>
    <w:rsid w:val="00303774"/>
    <w:rsid w:val="00303A37"/>
    <w:rsid w:val="003048F0"/>
    <w:rsid w:val="00305A16"/>
    <w:rsid w:val="0030640A"/>
    <w:rsid w:val="00306EE7"/>
    <w:rsid w:val="00311298"/>
    <w:rsid w:val="00312919"/>
    <w:rsid w:val="00312F6F"/>
    <w:rsid w:val="003154E7"/>
    <w:rsid w:val="00315A57"/>
    <w:rsid w:val="00316540"/>
    <w:rsid w:val="00317F33"/>
    <w:rsid w:val="00323A7F"/>
    <w:rsid w:val="0032530F"/>
    <w:rsid w:val="00325C54"/>
    <w:rsid w:val="0033092E"/>
    <w:rsid w:val="003324E6"/>
    <w:rsid w:val="00334440"/>
    <w:rsid w:val="003349A8"/>
    <w:rsid w:val="00334E71"/>
    <w:rsid w:val="003352C0"/>
    <w:rsid w:val="00335E7D"/>
    <w:rsid w:val="003361F2"/>
    <w:rsid w:val="0033743D"/>
    <w:rsid w:val="0033745B"/>
    <w:rsid w:val="003408E5"/>
    <w:rsid w:val="0034117F"/>
    <w:rsid w:val="003431E2"/>
    <w:rsid w:val="00343913"/>
    <w:rsid w:val="00346C30"/>
    <w:rsid w:val="003541BD"/>
    <w:rsid w:val="00355F75"/>
    <w:rsid w:val="00356D74"/>
    <w:rsid w:val="00356E8D"/>
    <w:rsid w:val="003573A7"/>
    <w:rsid w:val="00357718"/>
    <w:rsid w:val="00357851"/>
    <w:rsid w:val="003579EA"/>
    <w:rsid w:val="003604BD"/>
    <w:rsid w:val="00360781"/>
    <w:rsid w:val="00362010"/>
    <w:rsid w:val="0036327C"/>
    <w:rsid w:val="00363C7C"/>
    <w:rsid w:val="003647D8"/>
    <w:rsid w:val="00366C87"/>
    <w:rsid w:val="003725DF"/>
    <w:rsid w:val="003767EB"/>
    <w:rsid w:val="00376D4E"/>
    <w:rsid w:val="003772C1"/>
    <w:rsid w:val="00377D7E"/>
    <w:rsid w:val="0038184F"/>
    <w:rsid w:val="00381A66"/>
    <w:rsid w:val="0038226A"/>
    <w:rsid w:val="003831EA"/>
    <w:rsid w:val="00384DD1"/>
    <w:rsid w:val="00384F16"/>
    <w:rsid w:val="00385ECF"/>
    <w:rsid w:val="00386413"/>
    <w:rsid w:val="00387481"/>
    <w:rsid w:val="00387D44"/>
    <w:rsid w:val="003905AB"/>
    <w:rsid w:val="00392813"/>
    <w:rsid w:val="00392AE2"/>
    <w:rsid w:val="00392CA6"/>
    <w:rsid w:val="00392E19"/>
    <w:rsid w:val="0039385E"/>
    <w:rsid w:val="00393CE3"/>
    <w:rsid w:val="003970B9"/>
    <w:rsid w:val="003A0EAF"/>
    <w:rsid w:val="003A11F2"/>
    <w:rsid w:val="003A11F9"/>
    <w:rsid w:val="003A1B82"/>
    <w:rsid w:val="003A602E"/>
    <w:rsid w:val="003A619B"/>
    <w:rsid w:val="003A7071"/>
    <w:rsid w:val="003A76AA"/>
    <w:rsid w:val="003B113F"/>
    <w:rsid w:val="003B1477"/>
    <w:rsid w:val="003B196E"/>
    <w:rsid w:val="003B22E8"/>
    <w:rsid w:val="003B264A"/>
    <w:rsid w:val="003B3A85"/>
    <w:rsid w:val="003B53C9"/>
    <w:rsid w:val="003B5403"/>
    <w:rsid w:val="003B5BA6"/>
    <w:rsid w:val="003C186B"/>
    <w:rsid w:val="003C337A"/>
    <w:rsid w:val="003C357C"/>
    <w:rsid w:val="003C3CFC"/>
    <w:rsid w:val="003C426B"/>
    <w:rsid w:val="003C4B2B"/>
    <w:rsid w:val="003C5AD6"/>
    <w:rsid w:val="003D0B37"/>
    <w:rsid w:val="003D1C60"/>
    <w:rsid w:val="003D2561"/>
    <w:rsid w:val="003D29EE"/>
    <w:rsid w:val="003D323B"/>
    <w:rsid w:val="003D33F9"/>
    <w:rsid w:val="003D415A"/>
    <w:rsid w:val="003D46B1"/>
    <w:rsid w:val="003D4706"/>
    <w:rsid w:val="003D499F"/>
    <w:rsid w:val="003D5A3C"/>
    <w:rsid w:val="003D5EC8"/>
    <w:rsid w:val="003D67D1"/>
    <w:rsid w:val="003D6825"/>
    <w:rsid w:val="003D7709"/>
    <w:rsid w:val="003E09AB"/>
    <w:rsid w:val="003E2B98"/>
    <w:rsid w:val="003E5091"/>
    <w:rsid w:val="003E6892"/>
    <w:rsid w:val="003E72AA"/>
    <w:rsid w:val="003F03AD"/>
    <w:rsid w:val="003F1530"/>
    <w:rsid w:val="003F176F"/>
    <w:rsid w:val="003F25F1"/>
    <w:rsid w:val="003F26D8"/>
    <w:rsid w:val="003F2BA5"/>
    <w:rsid w:val="003F2F20"/>
    <w:rsid w:val="003F3360"/>
    <w:rsid w:val="003F3B24"/>
    <w:rsid w:val="003F4186"/>
    <w:rsid w:val="003F4EA6"/>
    <w:rsid w:val="003F6127"/>
    <w:rsid w:val="003F64AB"/>
    <w:rsid w:val="003F6A27"/>
    <w:rsid w:val="003F6C34"/>
    <w:rsid w:val="004014E4"/>
    <w:rsid w:val="004042CE"/>
    <w:rsid w:val="00404D8A"/>
    <w:rsid w:val="0040512E"/>
    <w:rsid w:val="00405479"/>
    <w:rsid w:val="0040601C"/>
    <w:rsid w:val="004068CD"/>
    <w:rsid w:val="00406D86"/>
    <w:rsid w:val="00412273"/>
    <w:rsid w:val="004140C0"/>
    <w:rsid w:val="00414C0F"/>
    <w:rsid w:val="00414F12"/>
    <w:rsid w:val="0041686C"/>
    <w:rsid w:val="00416976"/>
    <w:rsid w:val="00421D78"/>
    <w:rsid w:val="004230AE"/>
    <w:rsid w:val="00423102"/>
    <w:rsid w:val="00423247"/>
    <w:rsid w:val="004235F8"/>
    <w:rsid w:val="0042519B"/>
    <w:rsid w:val="004252F9"/>
    <w:rsid w:val="0042546E"/>
    <w:rsid w:val="00425883"/>
    <w:rsid w:val="0042592A"/>
    <w:rsid w:val="00425E0B"/>
    <w:rsid w:val="00426558"/>
    <w:rsid w:val="00427113"/>
    <w:rsid w:val="00427740"/>
    <w:rsid w:val="00431018"/>
    <w:rsid w:val="00431E95"/>
    <w:rsid w:val="004322AA"/>
    <w:rsid w:val="004328EB"/>
    <w:rsid w:val="00434105"/>
    <w:rsid w:val="00436937"/>
    <w:rsid w:val="00441535"/>
    <w:rsid w:val="00441F67"/>
    <w:rsid w:val="004420AC"/>
    <w:rsid w:val="00442DE1"/>
    <w:rsid w:val="00443E71"/>
    <w:rsid w:val="00443F63"/>
    <w:rsid w:val="0044507A"/>
    <w:rsid w:val="004458C6"/>
    <w:rsid w:val="0044799F"/>
    <w:rsid w:val="004520C4"/>
    <w:rsid w:val="004538B0"/>
    <w:rsid w:val="00454367"/>
    <w:rsid w:val="00454575"/>
    <w:rsid w:val="00455282"/>
    <w:rsid w:val="00455534"/>
    <w:rsid w:val="00456813"/>
    <w:rsid w:val="0045693B"/>
    <w:rsid w:val="00456C98"/>
    <w:rsid w:val="00461063"/>
    <w:rsid w:val="004611E9"/>
    <w:rsid w:val="00461AC5"/>
    <w:rsid w:val="00462394"/>
    <w:rsid w:val="00463024"/>
    <w:rsid w:val="00463605"/>
    <w:rsid w:val="0046450D"/>
    <w:rsid w:val="00464584"/>
    <w:rsid w:val="0046498E"/>
    <w:rsid w:val="00465787"/>
    <w:rsid w:val="00465912"/>
    <w:rsid w:val="00467CE3"/>
    <w:rsid w:val="00470B8B"/>
    <w:rsid w:val="00470C3C"/>
    <w:rsid w:val="00471659"/>
    <w:rsid w:val="00472714"/>
    <w:rsid w:val="00473804"/>
    <w:rsid w:val="00473F39"/>
    <w:rsid w:val="00475198"/>
    <w:rsid w:val="00475DF9"/>
    <w:rsid w:val="00477118"/>
    <w:rsid w:val="00480315"/>
    <w:rsid w:val="00482570"/>
    <w:rsid w:val="00482DF7"/>
    <w:rsid w:val="00484EF4"/>
    <w:rsid w:val="004865CE"/>
    <w:rsid w:val="00490B57"/>
    <w:rsid w:val="00491BEF"/>
    <w:rsid w:val="00494E63"/>
    <w:rsid w:val="00495135"/>
    <w:rsid w:val="00495552"/>
    <w:rsid w:val="00495913"/>
    <w:rsid w:val="00495B4B"/>
    <w:rsid w:val="0049642C"/>
    <w:rsid w:val="00496F61"/>
    <w:rsid w:val="00497116"/>
    <w:rsid w:val="0049747D"/>
    <w:rsid w:val="004A05FA"/>
    <w:rsid w:val="004A0C33"/>
    <w:rsid w:val="004A0FC8"/>
    <w:rsid w:val="004A2E24"/>
    <w:rsid w:val="004A506F"/>
    <w:rsid w:val="004A61E4"/>
    <w:rsid w:val="004B0652"/>
    <w:rsid w:val="004B088A"/>
    <w:rsid w:val="004B1348"/>
    <w:rsid w:val="004B2F45"/>
    <w:rsid w:val="004B3499"/>
    <w:rsid w:val="004B3704"/>
    <w:rsid w:val="004B426B"/>
    <w:rsid w:val="004B49C5"/>
    <w:rsid w:val="004B4D85"/>
    <w:rsid w:val="004B546D"/>
    <w:rsid w:val="004B6DBA"/>
    <w:rsid w:val="004B6F27"/>
    <w:rsid w:val="004C042A"/>
    <w:rsid w:val="004C04CB"/>
    <w:rsid w:val="004C073D"/>
    <w:rsid w:val="004C19BC"/>
    <w:rsid w:val="004C1D44"/>
    <w:rsid w:val="004C3B65"/>
    <w:rsid w:val="004C3D9B"/>
    <w:rsid w:val="004C4580"/>
    <w:rsid w:val="004C5172"/>
    <w:rsid w:val="004C60E5"/>
    <w:rsid w:val="004C6488"/>
    <w:rsid w:val="004C650B"/>
    <w:rsid w:val="004C79DD"/>
    <w:rsid w:val="004C7F8D"/>
    <w:rsid w:val="004D0D59"/>
    <w:rsid w:val="004D26A5"/>
    <w:rsid w:val="004D3906"/>
    <w:rsid w:val="004D4192"/>
    <w:rsid w:val="004D43BA"/>
    <w:rsid w:val="004D7348"/>
    <w:rsid w:val="004D7DFD"/>
    <w:rsid w:val="004E09A9"/>
    <w:rsid w:val="004E0B5C"/>
    <w:rsid w:val="004E2150"/>
    <w:rsid w:val="004E2FFC"/>
    <w:rsid w:val="004E3528"/>
    <w:rsid w:val="004E4AF9"/>
    <w:rsid w:val="004E53CB"/>
    <w:rsid w:val="004E63DC"/>
    <w:rsid w:val="004E691A"/>
    <w:rsid w:val="004E6DD9"/>
    <w:rsid w:val="004F0778"/>
    <w:rsid w:val="004F30CF"/>
    <w:rsid w:val="004F3CD5"/>
    <w:rsid w:val="004F4C28"/>
    <w:rsid w:val="004F4F8B"/>
    <w:rsid w:val="004F5415"/>
    <w:rsid w:val="004F6871"/>
    <w:rsid w:val="004F7333"/>
    <w:rsid w:val="004F777F"/>
    <w:rsid w:val="004F7C0A"/>
    <w:rsid w:val="00500A80"/>
    <w:rsid w:val="00500EA3"/>
    <w:rsid w:val="00500F56"/>
    <w:rsid w:val="00501C21"/>
    <w:rsid w:val="00502A71"/>
    <w:rsid w:val="00502EFE"/>
    <w:rsid w:val="00503E21"/>
    <w:rsid w:val="00504DC3"/>
    <w:rsid w:val="00504E43"/>
    <w:rsid w:val="00506CBE"/>
    <w:rsid w:val="00506DB0"/>
    <w:rsid w:val="00511CBB"/>
    <w:rsid w:val="00511D0B"/>
    <w:rsid w:val="00512242"/>
    <w:rsid w:val="00513A3B"/>
    <w:rsid w:val="00517F01"/>
    <w:rsid w:val="00522746"/>
    <w:rsid w:val="00523676"/>
    <w:rsid w:val="00523F17"/>
    <w:rsid w:val="00524A55"/>
    <w:rsid w:val="005252B5"/>
    <w:rsid w:val="00525E51"/>
    <w:rsid w:val="005260E6"/>
    <w:rsid w:val="00527E21"/>
    <w:rsid w:val="005305DC"/>
    <w:rsid w:val="005319BC"/>
    <w:rsid w:val="00531A7F"/>
    <w:rsid w:val="00532351"/>
    <w:rsid w:val="00533090"/>
    <w:rsid w:val="005336F1"/>
    <w:rsid w:val="00533B88"/>
    <w:rsid w:val="00536A79"/>
    <w:rsid w:val="00536BC7"/>
    <w:rsid w:val="00537DC5"/>
    <w:rsid w:val="00541613"/>
    <w:rsid w:val="00542604"/>
    <w:rsid w:val="005432B8"/>
    <w:rsid w:val="00544DB0"/>
    <w:rsid w:val="005451F7"/>
    <w:rsid w:val="00547225"/>
    <w:rsid w:val="00550030"/>
    <w:rsid w:val="00552209"/>
    <w:rsid w:val="00553AF9"/>
    <w:rsid w:val="00554574"/>
    <w:rsid w:val="00555908"/>
    <w:rsid w:val="00556DD5"/>
    <w:rsid w:val="005572A2"/>
    <w:rsid w:val="0055783D"/>
    <w:rsid w:val="00557D80"/>
    <w:rsid w:val="00557DC2"/>
    <w:rsid w:val="00557F58"/>
    <w:rsid w:val="00557FB8"/>
    <w:rsid w:val="00561D03"/>
    <w:rsid w:val="005621E7"/>
    <w:rsid w:val="005625C6"/>
    <w:rsid w:val="00562F27"/>
    <w:rsid w:val="00566AAD"/>
    <w:rsid w:val="005673BA"/>
    <w:rsid w:val="0056773F"/>
    <w:rsid w:val="0056787B"/>
    <w:rsid w:val="00570369"/>
    <w:rsid w:val="00570E9E"/>
    <w:rsid w:val="00571656"/>
    <w:rsid w:val="0057298D"/>
    <w:rsid w:val="00572DAF"/>
    <w:rsid w:val="00572EBF"/>
    <w:rsid w:val="00572FC5"/>
    <w:rsid w:val="0057324C"/>
    <w:rsid w:val="005739D8"/>
    <w:rsid w:val="00574009"/>
    <w:rsid w:val="00574700"/>
    <w:rsid w:val="0057538C"/>
    <w:rsid w:val="00576B96"/>
    <w:rsid w:val="005801D2"/>
    <w:rsid w:val="00580F51"/>
    <w:rsid w:val="005812E6"/>
    <w:rsid w:val="005814B1"/>
    <w:rsid w:val="005829B8"/>
    <w:rsid w:val="0058410A"/>
    <w:rsid w:val="005842DD"/>
    <w:rsid w:val="00585B36"/>
    <w:rsid w:val="005862A6"/>
    <w:rsid w:val="00586E8E"/>
    <w:rsid w:val="005904C4"/>
    <w:rsid w:val="0059097C"/>
    <w:rsid w:val="00590BD3"/>
    <w:rsid w:val="00591118"/>
    <w:rsid w:val="005914C9"/>
    <w:rsid w:val="005937A6"/>
    <w:rsid w:val="00593D08"/>
    <w:rsid w:val="0059403E"/>
    <w:rsid w:val="0059723A"/>
    <w:rsid w:val="00597B1E"/>
    <w:rsid w:val="005A0002"/>
    <w:rsid w:val="005A0E1F"/>
    <w:rsid w:val="005A24F3"/>
    <w:rsid w:val="005A3053"/>
    <w:rsid w:val="005A30E9"/>
    <w:rsid w:val="005A32BC"/>
    <w:rsid w:val="005A3572"/>
    <w:rsid w:val="005A3795"/>
    <w:rsid w:val="005A4C96"/>
    <w:rsid w:val="005A5317"/>
    <w:rsid w:val="005A557E"/>
    <w:rsid w:val="005A58B3"/>
    <w:rsid w:val="005A6F62"/>
    <w:rsid w:val="005A7219"/>
    <w:rsid w:val="005A7C69"/>
    <w:rsid w:val="005B0844"/>
    <w:rsid w:val="005B0AEF"/>
    <w:rsid w:val="005B13CF"/>
    <w:rsid w:val="005B2D8B"/>
    <w:rsid w:val="005B2FAF"/>
    <w:rsid w:val="005B337C"/>
    <w:rsid w:val="005B3384"/>
    <w:rsid w:val="005B3AD7"/>
    <w:rsid w:val="005B48D9"/>
    <w:rsid w:val="005B4D80"/>
    <w:rsid w:val="005B6EB7"/>
    <w:rsid w:val="005C0B7F"/>
    <w:rsid w:val="005C0BFD"/>
    <w:rsid w:val="005C1384"/>
    <w:rsid w:val="005C1B1A"/>
    <w:rsid w:val="005C2125"/>
    <w:rsid w:val="005C2CDE"/>
    <w:rsid w:val="005C30CC"/>
    <w:rsid w:val="005C342B"/>
    <w:rsid w:val="005C3EDA"/>
    <w:rsid w:val="005C43F9"/>
    <w:rsid w:val="005C4D39"/>
    <w:rsid w:val="005C56B1"/>
    <w:rsid w:val="005C5758"/>
    <w:rsid w:val="005C5FCF"/>
    <w:rsid w:val="005C647E"/>
    <w:rsid w:val="005C6B6E"/>
    <w:rsid w:val="005D0568"/>
    <w:rsid w:val="005D07C7"/>
    <w:rsid w:val="005D19F3"/>
    <w:rsid w:val="005D20EE"/>
    <w:rsid w:val="005D230C"/>
    <w:rsid w:val="005D24B1"/>
    <w:rsid w:val="005D2C34"/>
    <w:rsid w:val="005D3531"/>
    <w:rsid w:val="005D47B1"/>
    <w:rsid w:val="005D4AFA"/>
    <w:rsid w:val="005D53BA"/>
    <w:rsid w:val="005D56F5"/>
    <w:rsid w:val="005D71C9"/>
    <w:rsid w:val="005E0387"/>
    <w:rsid w:val="005E067C"/>
    <w:rsid w:val="005E0979"/>
    <w:rsid w:val="005E12F4"/>
    <w:rsid w:val="005E28DD"/>
    <w:rsid w:val="005E3F08"/>
    <w:rsid w:val="005E3F7D"/>
    <w:rsid w:val="005E487F"/>
    <w:rsid w:val="005E5921"/>
    <w:rsid w:val="005F1067"/>
    <w:rsid w:val="005F2353"/>
    <w:rsid w:val="005F2E90"/>
    <w:rsid w:val="005F35EB"/>
    <w:rsid w:val="005F3885"/>
    <w:rsid w:val="005F42F0"/>
    <w:rsid w:val="005F5F45"/>
    <w:rsid w:val="005F64B8"/>
    <w:rsid w:val="005F69C1"/>
    <w:rsid w:val="005F6F86"/>
    <w:rsid w:val="005F7F76"/>
    <w:rsid w:val="005F7FEB"/>
    <w:rsid w:val="00601887"/>
    <w:rsid w:val="00602C99"/>
    <w:rsid w:val="00602FD1"/>
    <w:rsid w:val="0060303C"/>
    <w:rsid w:val="00605E5A"/>
    <w:rsid w:val="00606132"/>
    <w:rsid w:val="00606D53"/>
    <w:rsid w:val="00607006"/>
    <w:rsid w:val="006075D6"/>
    <w:rsid w:val="0061091E"/>
    <w:rsid w:val="00611415"/>
    <w:rsid w:val="006122D7"/>
    <w:rsid w:val="0061402E"/>
    <w:rsid w:val="0061482E"/>
    <w:rsid w:val="00614F26"/>
    <w:rsid w:val="006156B7"/>
    <w:rsid w:val="00616754"/>
    <w:rsid w:val="00616A10"/>
    <w:rsid w:val="00616E19"/>
    <w:rsid w:val="00616EC7"/>
    <w:rsid w:val="00616FD7"/>
    <w:rsid w:val="00620F4A"/>
    <w:rsid w:val="00622520"/>
    <w:rsid w:val="00622FD5"/>
    <w:rsid w:val="00623D97"/>
    <w:rsid w:val="00624041"/>
    <w:rsid w:val="00624479"/>
    <w:rsid w:val="006256DE"/>
    <w:rsid w:val="00625DF4"/>
    <w:rsid w:val="00626560"/>
    <w:rsid w:val="00631E86"/>
    <w:rsid w:val="00632D39"/>
    <w:rsid w:val="00633049"/>
    <w:rsid w:val="006359C3"/>
    <w:rsid w:val="00635F71"/>
    <w:rsid w:val="0063738D"/>
    <w:rsid w:val="00637C67"/>
    <w:rsid w:val="00641D29"/>
    <w:rsid w:val="0064289F"/>
    <w:rsid w:val="00642D8D"/>
    <w:rsid w:val="006440B2"/>
    <w:rsid w:val="00644E80"/>
    <w:rsid w:val="00644ED9"/>
    <w:rsid w:val="0064525F"/>
    <w:rsid w:val="006458F8"/>
    <w:rsid w:val="006470C7"/>
    <w:rsid w:val="00651CF8"/>
    <w:rsid w:val="00651EA5"/>
    <w:rsid w:val="0065282C"/>
    <w:rsid w:val="00653CA7"/>
    <w:rsid w:val="00656674"/>
    <w:rsid w:val="00660706"/>
    <w:rsid w:val="00665381"/>
    <w:rsid w:val="006663D3"/>
    <w:rsid w:val="00666E7B"/>
    <w:rsid w:val="0066711B"/>
    <w:rsid w:val="0066766A"/>
    <w:rsid w:val="006709DB"/>
    <w:rsid w:val="0067162C"/>
    <w:rsid w:val="00671865"/>
    <w:rsid w:val="006727AB"/>
    <w:rsid w:val="00673076"/>
    <w:rsid w:val="00674408"/>
    <w:rsid w:val="00674C7E"/>
    <w:rsid w:val="00674E29"/>
    <w:rsid w:val="00674EE7"/>
    <w:rsid w:val="00674F73"/>
    <w:rsid w:val="00675CBA"/>
    <w:rsid w:val="006800C0"/>
    <w:rsid w:val="006837D9"/>
    <w:rsid w:val="006863F7"/>
    <w:rsid w:val="00690B17"/>
    <w:rsid w:val="006920EA"/>
    <w:rsid w:val="00694AF9"/>
    <w:rsid w:val="006958B6"/>
    <w:rsid w:val="00696BD2"/>
    <w:rsid w:val="00697558"/>
    <w:rsid w:val="006A0C47"/>
    <w:rsid w:val="006A27C7"/>
    <w:rsid w:val="006A2E09"/>
    <w:rsid w:val="006A338B"/>
    <w:rsid w:val="006A46A6"/>
    <w:rsid w:val="006A6AF8"/>
    <w:rsid w:val="006A71B7"/>
    <w:rsid w:val="006B3391"/>
    <w:rsid w:val="006B348F"/>
    <w:rsid w:val="006B3A72"/>
    <w:rsid w:val="006B450F"/>
    <w:rsid w:val="006B5C7D"/>
    <w:rsid w:val="006B5D42"/>
    <w:rsid w:val="006B7152"/>
    <w:rsid w:val="006B7D1A"/>
    <w:rsid w:val="006C056C"/>
    <w:rsid w:val="006C07BD"/>
    <w:rsid w:val="006C2180"/>
    <w:rsid w:val="006C2E1D"/>
    <w:rsid w:val="006C3E46"/>
    <w:rsid w:val="006C626B"/>
    <w:rsid w:val="006C6485"/>
    <w:rsid w:val="006D0628"/>
    <w:rsid w:val="006D19F4"/>
    <w:rsid w:val="006D2015"/>
    <w:rsid w:val="006D3C9E"/>
    <w:rsid w:val="006D4175"/>
    <w:rsid w:val="006D4BD7"/>
    <w:rsid w:val="006D52FD"/>
    <w:rsid w:val="006D561A"/>
    <w:rsid w:val="006D5B9F"/>
    <w:rsid w:val="006D60E5"/>
    <w:rsid w:val="006D6690"/>
    <w:rsid w:val="006D67BA"/>
    <w:rsid w:val="006D729D"/>
    <w:rsid w:val="006E13B9"/>
    <w:rsid w:val="006E289E"/>
    <w:rsid w:val="006E2D02"/>
    <w:rsid w:val="006E2D42"/>
    <w:rsid w:val="006E32DF"/>
    <w:rsid w:val="006E352F"/>
    <w:rsid w:val="006E4696"/>
    <w:rsid w:val="006E5FBB"/>
    <w:rsid w:val="006E6C0E"/>
    <w:rsid w:val="006F21FB"/>
    <w:rsid w:val="006F38C4"/>
    <w:rsid w:val="006F38DD"/>
    <w:rsid w:val="006F5691"/>
    <w:rsid w:val="006F6A34"/>
    <w:rsid w:val="007017F6"/>
    <w:rsid w:val="00702250"/>
    <w:rsid w:val="0070235F"/>
    <w:rsid w:val="00702C0D"/>
    <w:rsid w:val="00703138"/>
    <w:rsid w:val="007038A2"/>
    <w:rsid w:val="007067A6"/>
    <w:rsid w:val="007079F2"/>
    <w:rsid w:val="00707DB4"/>
    <w:rsid w:val="00710972"/>
    <w:rsid w:val="007109B4"/>
    <w:rsid w:val="00711D3E"/>
    <w:rsid w:val="00711DF2"/>
    <w:rsid w:val="007146ED"/>
    <w:rsid w:val="00714EA8"/>
    <w:rsid w:val="00715BFE"/>
    <w:rsid w:val="007165C2"/>
    <w:rsid w:val="00720F10"/>
    <w:rsid w:val="007211AE"/>
    <w:rsid w:val="00721B00"/>
    <w:rsid w:val="0072276D"/>
    <w:rsid w:val="00722FE0"/>
    <w:rsid w:val="00723AC4"/>
    <w:rsid w:val="007247FB"/>
    <w:rsid w:val="0072549D"/>
    <w:rsid w:val="00725CF3"/>
    <w:rsid w:val="00727C9E"/>
    <w:rsid w:val="00732AD0"/>
    <w:rsid w:val="00732E51"/>
    <w:rsid w:val="00734653"/>
    <w:rsid w:val="007346A9"/>
    <w:rsid w:val="007346D8"/>
    <w:rsid w:val="00736211"/>
    <w:rsid w:val="00740757"/>
    <w:rsid w:val="00742517"/>
    <w:rsid w:val="007428EB"/>
    <w:rsid w:val="007439DF"/>
    <w:rsid w:val="00743AE8"/>
    <w:rsid w:val="00743CCB"/>
    <w:rsid w:val="00745E82"/>
    <w:rsid w:val="0074668C"/>
    <w:rsid w:val="00746726"/>
    <w:rsid w:val="00746949"/>
    <w:rsid w:val="00746B2A"/>
    <w:rsid w:val="00750DD2"/>
    <w:rsid w:val="0075229B"/>
    <w:rsid w:val="007526B8"/>
    <w:rsid w:val="00752C09"/>
    <w:rsid w:val="00753230"/>
    <w:rsid w:val="00753D4E"/>
    <w:rsid w:val="00754002"/>
    <w:rsid w:val="00754724"/>
    <w:rsid w:val="00754866"/>
    <w:rsid w:val="00756DCD"/>
    <w:rsid w:val="00757361"/>
    <w:rsid w:val="00762D5A"/>
    <w:rsid w:val="00763060"/>
    <w:rsid w:val="00763A11"/>
    <w:rsid w:val="007655E4"/>
    <w:rsid w:val="007656BF"/>
    <w:rsid w:val="0076589D"/>
    <w:rsid w:val="00765CAA"/>
    <w:rsid w:val="007661F9"/>
    <w:rsid w:val="00766F71"/>
    <w:rsid w:val="007719FC"/>
    <w:rsid w:val="00771D1A"/>
    <w:rsid w:val="00774970"/>
    <w:rsid w:val="00774FE6"/>
    <w:rsid w:val="007753A7"/>
    <w:rsid w:val="0078013E"/>
    <w:rsid w:val="0078069D"/>
    <w:rsid w:val="00780C38"/>
    <w:rsid w:val="007815E8"/>
    <w:rsid w:val="00781A5D"/>
    <w:rsid w:val="00782756"/>
    <w:rsid w:val="00782E70"/>
    <w:rsid w:val="00783264"/>
    <w:rsid w:val="007833CB"/>
    <w:rsid w:val="0078494E"/>
    <w:rsid w:val="007852A0"/>
    <w:rsid w:val="0078540A"/>
    <w:rsid w:val="00787C88"/>
    <w:rsid w:val="007902EE"/>
    <w:rsid w:val="0079073A"/>
    <w:rsid w:val="00790B7C"/>
    <w:rsid w:val="00791D78"/>
    <w:rsid w:val="00792B3B"/>
    <w:rsid w:val="00792EDF"/>
    <w:rsid w:val="00793444"/>
    <w:rsid w:val="00796CAF"/>
    <w:rsid w:val="00796CE5"/>
    <w:rsid w:val="007A1446"/>
    <w:rsid w:val="007A160D"/>
    <w:rsid w:val="007A297B"/>
    <w:rsid w:val="007A3407"/>
    <w:rsid w:val="007A360E"/>
    <w:rsid w:val="007A3C28"/>
    <w:rsid w:val="007A3CBF"/>
    <w:rsid w:val="007A3CCA"/>
    <w:rsid w:val="007A3EDA"/>
    <w:rsid w:val="007A413A"/>
    <w:rsid w:val="007A5939"/>
    <w:rsid w:val="007A7F4A"/>
    <w:rsid w:val="007B062B"/>
    <w:rsid w:val="007B1804"/>
    <w:rsid w:val="007B1DE8"/>
    <w:rsid w:val="007B1EBE"/>
    <w:rsid w:val="007B2426"/>
    <w:rsid w:val="007B3CED"/>
    <w:rsid w:val="007B45D7"/>
    <w:rsid w:val="007B4E40"/>
    <w:rsid w:val="007B5AD4"/>
    <w:rsid w:val="007B5C33"/>
    <w:rsid w:val="007B5F33"/>
    <w:rsid w:val="007C06F5"/>
    <w:rsid w:val="007C103B"/>
    <w:rsid w:val="007C2CBF"/>
    <w:rsid w:val="007C30F3"/>
    <w:rsid w:val="007C4089"/>
    <w:rsid w:val="007C489F"/>
    <w:rsid w:val="007C496A"/>
    <w:rsid w:val="007C5668"/>
    <w:rsid w:val="007C673B"/>
    <w:rsid w:val="007D11EF"/>
    <w:rsid w:val="007D29CF"/>
    <w:rsid w:val="007D3147"/>
    <w:rsid w:val="007D356E"/>
    <w:rsid w:val="007D3FED"/>
    <w:rsid w:val="007D571D"/>
    <w:rsid w:val="007D5B62"/>
    <w:rsid w:val="007D5F17"/>
    <w:rsid w:val="007D7455"/>
    <w:rsid w:val="007D7AAF"/>
    <w:rsid w:val="007E056B"/>
    <w:rsid w:val="007E105E"/>
    <w:rsid w:val="007E113E"/>
    <w:rsid w:val="007E36F6"/>
    <w:rsid w:val="007E3D21"/>
    <w:rsid w:val="007E3DEF"/>
    <w:rsid w:val="007E7213"/>
    <w:rsid w:val="007E7253"/>
    <w:rsid w:val="007E77B5"/>
    <w:rsid w:val="007E7C1C"/>
    <w:rsid w:val="007F0F97"/>
    <w:rsid w:val="007F3D3F"/>
    <w:rsid w:val="007F3E1F"/>
    <w:rsid w:val="007F3EB4"/>
    <w:rsid w:val="007F43E3"/>
    <w:rsid w:val="007F47FF"/>
    <w:rsid w:val="007F4F26"/>
    <w:rsid w:val="007F56EE"/>
    <w:rsid w:val="007F6E43"/>
    <w:rsid w:val="007F7E0F"/>
    <w:rsid w:val="0080209C"/>
    <w:rsid w:val="00802361"/>
    <w:rsid w:val="00802E3B"/>
    <w:rsid w:val="00803298"/>
    <w:rsid w:val="00803323"/>
    <w:rsid w:val="0080382F"/>
    <w:rsid w:val="0080550F"/>
    <w:rsid w:val="008078A7"/>
    <w:rsid w:val="0081258D"/>
    <w:rsid w:val="0081414F"/>
    <w:rsid w:val="00814DE5"/>
    <w:rsid w:val="00815050"/>
    <w:rsid w:val="00815807"/>
    <w:rsid w:val="008158D1"/>
    <w:rsid w:val="00817207"/>
    <w:rsid w:val="0081781E"/>
    <w:rsid w:val="00817C15"/>
    <w:rsid w:val="00817F57"/>
    <w:rsid w:val="008200C5"/>
    <w:rsid w:val="00822D1E"/>
    <w:rsid w:val="00822D68"/>
    <w:rsid w:val="0082514E"/>
    <w:rsid w:val="00826488"/>
    <w:rsid w:val="00827AC6"/>
    <w:rsid w:val="00827E2C"/>
    <w:rsid w:val="00831247"/>
    <w:rsid w:val="008329CF"/>
    <w:rsid w:val="008337DA"/>
    <w:rsid w:val="00833AF8"/>
    <w:rsid w:val="00833E83"/>
    <w:rsid w:val="00834F0C"/>
    <w:rsid w:val="00836563"/>
    <w:rsid w:val="00836EF3"/>
    <w:rsid w:val="00837F4B"/>
    <w:rsid w:val="00841603"/>
    <w:rsid w:val="00841881"/>
    <w:rsid w:val="0084371E"/>
    <w:rsid w:val="00845659"/>
    <w:rsid w:val="00845A5A"/>
    <w:rsid w:val="008467B0"/>
    <w:rsid w:val="00846E5F"/>
    <w:rsid w:val="0084756C"/>
    <w:rsid w:val="008500E1"/>
    <w:rsid w:val="00851914"/>
    <w:rsid w:val="008532CE"/>
    <w:rsid w:val="00853A19"/>
    <w:rsid w:val="00855487"/>
    <w:rsid w:val="00856457"/>
    <w:rsid w:val="00857F3C"/>
    <w:rsid w:val="0086078A"/>
    <w:rsid w:val="00860BF7"/>
    <w:rsid w:val="00861CDB"/>
    <w:rsid w:val="008622F5"/>
    <w:rsid w:val="008628C6"/>
    <w:rsid w:val="00863A41"/>
    <w:rsid w:val="00864907"/>
    <w:rsid w:val="00865D51"/>
    <w:rsid w:val="008662FE"/>
    <w:rsid w:val="008670E4"/>
    <w:rsid w:val="00867137"/>
    <w:rsid w:val="00867849"/>
    <w:rsid w:val="008717D6"/>
    <w:rsid w:val="00871D6E"/>
    <w:rsid w:val="008721CB"/>
    <w:rsid w:val="0087343B"/>
    <w:rsid w:val="00873D38"/>
    <w:rsid w:val="00873E5D"/>
    <w:rsid w:val="0087620C"/>
    <w:rsid w:val="00882F86"/>
    <w:rsid w:val="00883B4D"/>
    <w:rsid w:val="00883B63"/>
    <w:rsid w:val="008849A6"/>
    <w:rsid w:val="00885314"/>
    <w:rsid w:val="008873F3"/>
    <w:rsid w:val="00887F36"/>
    <w:rsid w:val="00890C78"/>
    <w:rsid w:val="008912A6"/>
    <w:rsid w:val="00891BF2"/>
    <w:rsid w:val="0089321E"/>
    <w:rsid w:val="008936C9"/>
    <w:rsid w:val="00893F0E"/>
    <w:rsid w:val="0089489B"/>
    <w:rsid w:val="0089621D"/>
    <w:rsid w:val="00896ED1"/>
    <w:rsid w:val="00897253"/>
    <w:rsid w:val="008973EA"/>
    <w:rsid w:val="00897903"/>
    <w:rsid w:val="008A01D5"/>
    <w:rsid w:val="008A1329"/>
    <w:rsid w:val="008A1D91"/>
    <w:rsid w:val="008A27FA"/>
    <w:rsid w:val="008A407E"/>
    <w:rsid w:val="008A43F4"/>
    <w:rsid w:val="008A5152"/>
    <w:rsid w:val="008A58C9"/>
    <w:rsid w:val="008A735E"/>
    <w:rsid w:val="008A7377"/>
    <w:rsid w:val="008A783F"/>
    <w:rsid w:val="008B072B"/>
    <w:rsid w:val="008B0CF5"/>
    <w:rsid w:val="008B135B"/>
    <w:rsid w:val="008B3800"/>
    <w:rsid w:val="008B551A"/>
    <w:rsid w:val="008B57B1"/>
    <w:rsid w:val="008B5CCF"/>
    <w:rsid w:val="008B6027"/>
    <w:rsid w:val="008B605D"/>
    <w:rsid w:val="008B6444"/>
    <w:rsid w:val="008B775E"/>
    <w:rsid w:val="008C002D"/>
    <w:rsid w:val="008C12EF"/>
    <w:rsid w:val="008C1AC3"/>
    <w:rsid w:val="008C218F"/>
    <w:rsid w:val="008C2652"/>
    <w:rsid w:val="008C2C3C"/>
    <w:rsid w:val="008C5906"/>
    <w:rsid w:val="008D076A"/>
    <w:rsid w:val="008D0EA8"/>
    <w:rsid w:val="008D110C"/>
    <w:rsid w:val="008D1622"/>
    <w:rsid w:val="008D20E5"/>
    <w:rsid w:val="008D2B4E"/>
    <w:rsid w:val="008D3F0E"/>
    <w:rsid w:val="008D4395"/>
    <w:rsid w:val="008E1057"/>
    <w:rsid w:val="008E1704"/>
    <w:rsid w:val="008E2D6B"/>
    <w:rsid w:val="008E424F"/>
    <w:rsid w:val="008E5934"/>
    <w:rsid w:val="008E5B62"/>
    <w:rsid w:val="008E6BA9"/>
    <w:rsid w:val="008E77E2"/>
    <w:rsid w:val="008F0A92"/>
    <w:rsid w:val="008F2299"/>
    <w:rsid w:val="008F53F6"/>
    <w:rsid w:val="008F5DF9"/>
    <w:rsid w:val="008F6988"/>
    <w:rsid w:val="008F77BE"/>
    <w:rsid w:val="009007AC"/>
    <w:rsid w:val="009008D3"/>
    <w:rsid w:val="009019A7"/>
    <w:rsid w:val="009030D2"/>
    <w:rsid w:val="009034E1"/>
    <w:rsid w:val="00903A5D"/>
    <w:rsid w:val="00903BBA"/>
    <w:rsid w:val="0090474E"/>
    <w:rsid w:val="00905D02"/>
    <w:rsid w:val="009101B3"/>
    <w:rsid w:val="0091077D"/>
    <w:rsid w:val="009115A9"/>
    <w:rsid w:val="00911988"/>
    <w:rsid w:val="00912DD5"/>
    <w:rsid w:val="00913E5C"/>
    <w:rsid w:val="00915D80"/>
    <w:rsid w:val="0091736C"/>
    <w:rsid w:val="00917A00"/>
    <w:rsid w:val="00917E7D"/>
    <w:rsid w:val="00920259"/>
    <w:rsid w:val="0092072F"/>
    <w:rsid w:val="0092215A"/>
    <w:rsid w:val="00923A8B"/>
    <w:rsid w:val="009244E0"/>
    <w:rsid w:val="00924BC5"/>
    <w:rsid w:val="00926984"/>
    <w:rsid w:val="00927639"/>
    <w:rsid w:val="00927B55"/>
    <w:rsid w:val="00927EC4"/>
    <w:rsid w:val="0093092E"/>
    <w:rsid w:val="0093387B"/>
    <w:rsid w:val="00933D99"/>
    <w:rsid w:val="00934DC2"/>
    <w:rsid w:val="00934E12"/>
    <w:rsid w:val="00935EB4"/>
    <w:rsid w:val="00936C7E"/>
    <w:rsid w:val="009406A7"/>
    <w:rsid w:val="00940E35"/>
    <w:rsid w:val="0094122B"/>
    <w:rsid w:val="00941AD8"/>
    <w:rsid w:val="00942834"/>
    <w:rsid w:val="0094295D"/>
    <w:rsid w:val="00943135"/>
    <w:rsid w:val="00943492"/>
    <w:rsid w:val="00944394"/>
    <w:rsid w:val="00944B6B"/>
    <w:rsid w:val="009457B7"/>
    <w:rsid w:val="009459D9"/>
    <w:rsid w:val="009465C1"/>
    <w:rsid w:val="00946B27"/>
    <w:rsid w:val="009476E4"/>
    <w:rsid w:val="00947CC0"/>
    <w:rsid w:val="00950475"/>
    <w:rsid w:val="00950B90"/>
    <w:rsid w:val="00952DA3"/>
    <w:rsid w:val="00952DA6"/>
    <w:rsid w:val="009541B6"/>
    <w:rsid w:val="009549A9"/>
    <w:rsid w:val="009550F3"/>
    <w:rsid w:val="00955A90"/>
    <w:rsid w:val="009564E8"/>
    <w:rsid w:val="00956714"/>
    <w:rsid w:val="0095688C"/>
    <w:rsid w:val="00960C92"/>
    <w:rsid w:val="00961DC4"/>
    <w:rsid w:val="00961F32"/>
    <w:rsid w:val="009621AA"/>
    <w:rsid w:val="0096265E"/>
    <w:rsid w:val="00963084"/>
    <w:rsid w:val="0096376A"/>
    <w:rsid w:val="009639F6"/>
    <w:rsid w:val="00964EA8"/>
    <w:rsid w:val="0096673E"/>
    <w:rsid w:val="00966DB8"/>
    <w:rsid w:val="00967133"/>
    <w:rsid w:val="00967CEC"/>
    <w:rsid w:val="009725CE"/>
    <w:rsid w:val="00972BFA"/>
    <w:rsid w:val="00973C8B"/>
    <w:rsid w:val="009753AB"/>
    <w:rsid w:val="00975E60"/>
    <w:rsid w:val="0097759B"/>
    <w:rsid w:val="00977FF3"/>
    <w:rsid w:val="009801CD"/>
    <w:rsid w:val="009824A9"/>
    <w:rsid w:val="00982BE1"/>
    <w:rsid w:val="00983375"/>
    <w:rsid w:val="0098508C"/>
    <w:rsid w:val="00985630"/>
    <w:rsid w:val="009863AE"/>
    <w:rsid w:val="0098658A"/>
    <w:rsid w:val="0098676D"/>
    <w:rsid w:val="009876EC"/>
    <w:rsid w:val="009903C3"/>
    <w:rsid w:val="00990A4F"/>
    <w:rsid w:val="00991487"/>
    <w:rsid w:val="00991863"/>
    <w:rsid w:val="009921FA"/>
    <w:rsid w:val="00992852"/>
    <w:rsid w:val="00992F96"/>
    <w:rsid w:val="009934D5"/>
    <w:rsid w:val="00993BCC"/>
    <w:rsid w:val="00995C89"/>
    <w:rsid w:val="00995D9B"/>
    <w:rsid w:val="00996506"/>
    <w:rsid w:val="0099659F"/>
    <w:rsid w:val="00997E6B"/>
    <w:rsid w:val="009A1F34"/>
    <w:rsid w:val="009A1F4E"/>
    <w:rsid w:val="009A2A10"/>
    <w:rsid w:val="009A2DDD"/>
    <w:rsid w:val="009A3570"/>
    <w:rsid w:val="009A558A"/>
    <w:rsid w:val="009A6539"/>
    <w:rsid w:val="009A71E1"/>
    <w:rsid w:val="009A77E6"/>
    <w:rsid w:val="009B0A06"/>
    <w:rsid w:val="009B149E"/>
    <w:rsid w:val="009B1A29"/>
    <w:rsid w:val="009B210A"/>
    <w:rsid w:val="009B2A76"/>
    <w:rsid w:val="009B54B5"/>
    <w:rsid w:val="009B5881"/>
    <w:rsid w:val="009B6397"/>
    <w:rsid w:val="009B66FB"/>
    <w:rsid w:val="009B70A6"/>
    <w:rsid w:val="009B74AB"/>
    <w:rsid w:val="009C043E"/>
    <w:rsid w:val="009C0529"/>
    <w:rsid w:val="009C0FF8"/>
    <w:rsid w:val="009C1115"/>
    <w:rsid w:val="009C1840"/>
    <w:rsid w:val="009C31AC"/>
    <w:rsid w:val="009C6571"/>
    <w:rsid w:val="009D045B"/>
    <w:rsid w:val="009D0A8A"/>
    <w:rsid w:val="009D0A92"/>
    <w:rsid w:val="009D0B35"/>
    <w:rsid w:val="009D2480"/>
    <w:rsid w:val="009D29CC"/>
    <w:rsid w:val="009D4640"/>
    <w:rsid w:val="009D4EA8"/>
    <w:rsid w:val="009D5055"/>
    <w:rsid w:val="009D79E2"/>
    <w:rsid w:val="009D7A9F"/>
    <w:rsid w:val="009E0836"/>
    <w:rsid w:val="009E115A"/>
    <w:rsid w:val="009E1957"/>
    <w:rsid w:val="009E259A"/>
    <w:rsid w:val="009E3C77"/>
    <w:rsid w:val="009E57E2"/>
    <w:rsid w:val="009E5FC9"/>
    <w:rsid w:val="009E726C"/>
    <w:rsid w:val="009E74B1"/>
    <w:rsid w:val="009E7A2F"/>
    <w:rsid w:val="009E7B17"/>
    <w:rsid w:val="009E7FCE"/>
    <w:rsid w:val="009F01DF"/>
    <w:rsid w:val="009F0201"/>
    <w:rsid w:val="009F046D"/>
    <w:rsid w:val="009F30F0"/>
    <w:rsid w:val="009F34A1"/>
    <w:rsid w:val="009F37A2"/>
    <w:rsid w:val="009F405A"/>
    <w:rsid w:val="009F5C54"/>
    <w:rsid w:val="009F6D2E"/>
    <w:rsid w:val="009F70D6"/>
    <w:rsid w:val="009F7163"/>
    <w:rsid w:val="00A0090C"/>
    <w:rsid w:val="00A01844"/>
    <w:rsid w:val="00A0232B"/>
    <w:rsid w:val="00A02346"/>
    <w:rsid w:val="00A03E16"/>
    <w:rsid w:val="00A04CFC"/>
    <w:rsid w:val="00A06DD4"/>
    <w:rsid w:val="00A073F4"/>
    <w:rsid w:val="00A10CBF"/>
    <w:rsid w:val="00A12561"/>
    <w:rsid w:val="00A1294E"/>
    <w:rsid w:val="00A12BDC"/>
    <w:rsid w:val="00A16FA6"/>
    <w:rsid w:val="00A2006B"/>
    <w:rsid w:val="00A20228"/>
    <w:rsid w:val="00A21597"/>
    <w:rsid w:val="00A2186B"/>
    <w:rsid w:val="00A21898"/>
    <w:rsid w:val="00A22C51"/>
    <w:rsid w:val="00A243CC"/>
    <w:rsid w:val="00A2558E"/>
    <w:rsid w:val="00A26003"/>
    <w:rsid w:val="00A26E24"/>
    <w:rsid w:val="00A27ADB"/>
    <w:rsid w:val="00A27DB7"/>
    <w:rsid w:val="00A32490"/>
    <w:rsid w:val="00A3299A"/>
    <w:rsid w:val="00A33369"/>
    <w:rsid w:val="00A3356E"/>
    <w:rsid w:val="00A339E9"/>
    <w:rsid w:val="00A354EC"/>
    <w:rsid w:val="00A358B0"/>
    <w:rsid w:val="00A363C7"/>
    <w:rsid w:val="00A36568"/>
    <w:rsid w:val="00A41E05"/>
    <w:rsid w:val="00A42558"/>
    <w:rsid w:val="00A428B0"/>
    <w:rsid w:val="00A43300"/>
    <w:rsid w:val="00A43919"/>
    <w:rsid w:val="00A43974"/>
    <w:rsid w:val="00A43992"/>
    <w:rsid w:val="00A43B00"/>
    <w:rsid w:val="00A4609E"/>
    <w:rsid w:val="00A46FEC"/>
    <w:rsid w:val="00A47D30"/>
    <w:rsid w:val="00A521F3"/>
    <w:rsid w:val="00A53355"/>
    <w:rsid w:val="00A5385B"/>
    <w:rsid w:val="00A5457B"/>
    <w:rsid w:val="00A54D17"/>
    <w:rsid w:val="00A5595C"/>
    <w:rsid w:val="00A568A9"/>
    <w:rsid w:val="00A6067F"/>
    <w:rsid w:val="00A60C25"/>
    <w:rsid w:val="00A60D11"/>
    <w:rsid w:val="00A63B1E"/>
    <w:rsid w:val="00A63E09"/>
    <w:rsid w:val="00A63E36"/>
    <w:rsid w:val="00A64FAE"/>
    <w:rsid w:val="00A670AE"/>
    <w:rsid w:val="00A70136"/>
    <w:rsid w:val="00A7135D"/>
    <w:rsid w:val="00A718FA"/>
    <w:rsid w:val="00A73B25"/>
    <w:rsid w:val="00A758E8"/>
    <w:rsid w:val="00A76394"/>
    <w:rsid w:val="00A76957"/>
    <w:rsid w:val="00A77E8D"/>
    <w:rsid w:val="00A77F5C"/>
    <w:rsid w:val="00A8023E"/>
    <w:rsid w:val="00A805B0"/>
    <w:rsid w:val="00A8093D"/>
    <w:rsid w:val="00A8123F"/>
    <w:rsid w:val="00A812CD"/>
    <w:rsid w:val="00A82378"/>
    <w:rsid w:val="00A82836"/>
    <w:rsid w:val="00A82D74"/>
    <w:rsid w:val="00A82EDC"/>
    <w:rsid w:val="00A8305F"/>
    <w:rsid w:val="00A83814"/>
    <w:rsid w:val="00A8385F"/>
    <w:rsid w:val="00A84541"/>
    <w:rsid w:val="00A84B77"/>
    <w:rsid w:val="00A856D5"/>
    <w:rsid w:val="00A85A0C"/>
    <w:rsid w:val="00A85E2F"/>
    <w:rsid w:val="00A85F72"/>
    <w:rsid w:val="00A866A0"/>
    <w:rsid w:val="00A873A3"/>
    <w:rsid w:val="00A87A4D"/>
    <w:rsid w:val="00A907F9"/>
    <w:rsid w:val="00A90AB4"/>
    <w:rsid w:val="00A93D83"/>
    <w:rsid w:val="00A95331"/>
    <w:rsid w:val="00A95D62"/>
    <w:rsid w:val="00A9794D"/>
    <w:rsid w:val="00A97A9F"/>
    <w:rsid w:val="00AA06CC"/>
    <w:rsid w:val="00AA0770"/>
    <w:rsid w:val="00AA2158"/>
    <w:rsid w:val="00AA2C51"/>
    <w:rsid w:val="00AA2CB3"/>
    <w:rsid w:val="00AA3C42"/>
    <w:rsid w:val="00AA5518"/>
    <w:rsid w:val="00AA55EE"/>
    <w:rsid w:val="00AA5EF8"/>
    <w:rsid w:val="00AA6C19"/>
    <w:rsid w:val="00AA6FD8"/>
    <w:rsid w:val="00AA7EA9"/>
    <w:rsid w:val="00AA7FA8"/>
    <w:rsid w:val="00AB1BD7"/>
    <w:rsid w:val="00AB1C4F"/>
    <w:rsid w:val="00AB5D75"/>
    <w:rsid w:val="00AB5F9C"/>
    <w:rsid w:val="00AB624A"/>
    <w:rsid w:val="00AB6501"/>
    <w:rsid w:val="00AB7DB3"/>
    <w:rsid w:val="00AC0190"/>
    <w:rsid w:val="00AC1987"/>
    <w:rsid w:val="00AC1BFB"/>
    <w:rsid w:val="00AC340D"/>
    <w:rsid w:val="00AC348C"/>
    <w:rsid w:val="00AC3C22"/>
    <w:rsid w:val="00AC4ADD"/>
    <w:rsid w:val="00AC4DC9"/>
    <w:rsid w:val="00AC5377"/>
    <w:rsid w:val="00AC53FA"/>
    <w:rsid w:val="00AC5612"/>
    <w:rsid w:val="00AC58B1"/>
    <w:rsid w:val="00AC7BD3"/>
    <w:rsid w:val="00AC7F76"/>
    <w:rsid w:val="00AD18F1"/>
    <w:rsid w:val="00AD29A0"/>
    <w:rsid w:val="00AD29BF"/>
    <w:rsid w:val="00AD5005"/>
    <w:rsid w:val="00AD5938"/>
    <w:rsid w:val="00AD628D"/>
    <w:rsid w:val="00AD7C69"/>
    <w:rsid w:val="00AE0391"/>
    <w:rsid w:val="00AE131D"/>
    <w:rsid w:val="00AE2FE7"/>
    <w:rsid w:val="00AE36A5"/>
    <w:rsid w:val="00AE56CD"/>
    <w:rsid w:val="00AE679A"/>
    <w:rsid w:val="00AE7DBC"/>
    <w:rsid w:val="00AF071F"/>
    <w:rsid w:val="00AF0CB9"/>
    <w:rsid w:val="00AF171A"/>
    <w:rsid w:val="00AF251A"/>
    <w:rsid w:val="00AF2E1A"/>
    <w:rsid w:val="00AF3035"/>
    <w:rsid w:val="00AF3447"/>
    <w:rsid w:val="00AF6882"/>
    <w:rsid w:val="00AF6D65"/>
    <w:rsid w:val="00AF763B"/>
    <w:rsid w:val="00B026E0"/>
    <w:rsid w:val="00B02D54"/>
    <w:rsid w:val="00B0416D"/>
    <w:rsid w:val="00B042E4"/>
    <w:rsid w:val="00B043FF"/>
    <w:rsid w:val="00B053A5"/>
    <w:rsid w:val="00B0642C"/>
    <w:rsid w:val="00B07211"/>
    <w:rsid w:val="00B10F6E"/>
    <w:rsid w:val="00B13199"/>
    <w:rsid w:val="00B13436"/>
    <w:rsid w:val="00B14889"/>
    <w:rsid w:val="00B16050"/>
    <w:rsid w:val="00B16C59"/>
    <w:rsid w:val="00B206BD"/>
    <w:rsid w:val="00B20740"/>
    <w:rsid w:val="00B21C0F"/>
    <w:rsid w:val="00B2251A"/>
    <w:rsid w:val="00B27E97"/>
    <w:rsid w:val="00B30849"/>
    <w:rsid w:val="00B31157"/>
    <w:rsid w:val="00B31EB2"/>
    <w:rsid w:val="00B32452"/>
    <w:rsid w:val="00B32882"/>
    <w:rsid w:val="00B328FD"/>
    <w:rsid w:val="00B33547"/>
    <w:rsid w:val="00B33CB5"/>
    <w:rsid w:val="00B34251"/>
    <w:rsid w:val="00B34D0F"/>
    <w:rsid w:val="00B34F34"/>
    <w:rsid w:val="00B358F8"/>
    <w:rsid w:val="00B36FAB"/>
    <w:rsid w:val="00B375C4"/>
    <w:rsid w:val="00B37C57"/>
    <w:rsid w:val="00B37D81"/>
    <w:rsid w:val="00B409D6"/>
    <w:rsid w:val="00B451E4"/>
    <w:rsid w:val="00B47B11"/>
    <w:rsid w:val="00B512B2"/>
    <w:rsid w:val="00B522E0"/>
    <w:rsid w:val="00B52D5C"/>
    <w:rsid w:val="00B53719"/>
    <w:rsid w:val="00B538D5"/>
    <w:rsid w:val="00B53D9A"/>
    <w:rsid w:val="00B557E2"/>
    <w:rsid w:val="00B55A16"/>
    <w:rsid w:val="00B56179"/>
    <w:rsid w:val="00B57AE8"/>
    <w:rsid w:val="00B60631"/>
    <w:rsid w:val="00B65BE8"/>
    <w:rsid w:val="00B669F0"/>
    <w:rsid w:val="00B670CA"/>
    <w:rsid w:val="00B67997"/>
    <w:rsid w:val="00B67C41"/>
    <w:rsid w:val="00B710E5"/>
    <w:rsid w:val="00B72315"/>
    <w:rsid w:val="00B72380"/>
    <w:rsid w:val="00B72400"/>
    <w:rsid w:val="00B74BD9"/>
    <w:rsid w:val="00B74CB2"/>
    <w:rsid w:val="00B755E2"/>
    <w:rsid w:val="00B75BE6"/>
    <w:rsid w:val="00B763EA"/>
    <w:rsid w:val="00B77909"/>
    <w:rsid w:val="00B80046"/>
    <w:rsid w:val="00B81FBF"/>
    <w:rsid w:val="00B82B9D"/>
    <w:rsid w:val="00B83A0E"/>
    <w:rsid w:val="00B84919"/>
    <w:rsid w:val="00B84C5D"/>
    <w:rsid w:val="00B8513A"/>
    <w:rsid w:val="00B863B9"/>
    <w:rsid w:val="00B9077D"/>
    <w:rsid w:val="00B919AC"/>
    <w:rsid w:val="00B92E86"/>
    <w:rsid w:val="00B93121"/>
    <w:rsid w:val="00B9481A"/>
    <w:rsid w:val="00B94FF4"/>
    <w:rsid w:val="00B950C7"/>
    <w:rsid w:val="00B95B52"/>
    <w:rsid w:val="00B964DD"/>
    <w:rsid w:val="00B9719F"/>
    <w:rsid w:val="00B97910"/>
    <w:rsid w:val="00BA0890"/>
    <w:rsid w:val="00BA29EB"/>
    <w:rsid w:val="00BA3855"/>
    <w:rsid w:val="00BA3BB5"/>
    <w:rsid w:val="00BA3BE3"/>
    <w:rsid w:val="00BA42A9"/>
    <w:rsid w:val="00BA4DD2"/>
    <w:rsid w:val="00BA5031"/>
    <w:rsid w:val="00BA601D"/>
    <w:rsid w:val="00BA733E"/>
    <w:rsid w:val="00BB1465"/>
    <w:rsid w:val="00BB17B5"/>
    <w:rsid w:val="00BB3715"/>
    <w:rsid w:val="00BB3B50"/>
    <w:rsid w:val="00BB4203"/>
    <w:rsid w:val="00BB4890"/>
    <w:rsid w:val="00BB7290"/>
    <w:rsid w:val="00BC022B"/>
    <w:rsid w:val="00BC1E62"/>
    <w:rsid w:val="00BC1EE1"/>
    <w:rsid w:val="00BC20F0"/>
    <w:rsid w:val="00BC74CA"/>
    <w:rsid w:val="00BC7A58"/>
    <w:rsid w:val="00BC7E0E"/>
    <w:rsid w:val="00BD079E"/>
    <w:rsid w:val="00BD1053"/>
    <w:rsid w:val="00BD1737"/>
    <w:rsid w:val="00BD320E"/>
    <w:rsid w:val="00BD58C4"/>
    <w:rsid w:val="00BD5F6E"/>
    <w:rsid w:val="00BD7285"/>
    <w:rsid w:val="00BD74D1"/>
    <w:rsid w:val="00BD7806"/>
    <w:rsid w:val="00BE0679"/>
    <w:rsid w:val="00BE1F4E"/>
    <w:rsid w:val="00BE7EB1"/>
    <w:rsid w:val="00BF10DF"/>
    <w:rsid w:val="00BF1426"/>
    <w:rsid w:val="00BF159F"/>
    <w:rsid w:val="00BF27B8"/>
    <w:rsid w:val="00BF34F5"/>
    <w:rsid w:val="00BF392B"/>
    <w:rsid w:val="00BF3A1C"/>
    <w:rsid w:val="00BF3E8B"/>
    <w:rsid w:val="00BF4C17"/>
    <w:rsid w:val="00BF5B11"/>
    <w:rsid w:val="00BF66AE"/>
    <w:rsid w:val="00BF7A50"/>
    <w:rsid w:val="00BF7FE2"/>
    <w:rsid w:val="00C02314"/>
    <w:rsid w:val="00C0235E"/>
    <w:rsid w:val="00C02D26"/>
    <w:rsid w:val="00C032B5"/>
    <w:rsid w:val="00C04400"/>
    <w:rsid w:val="00C049F8"/>
    <w:rsid w:val="00C067E9"/>
    <w:rsid w:val="00C06B73"/>
    <w:rsid w:val="00C10E3F"/>
    <w:rsid w:val="00C11306"/>
    <w:rsid w:val="00C12559"/>
    <w:rsid w:val="00C128CA"/>
    <w:rsid w:val="00C12FBF"/>
    <w:rsid w:val="00C13A5B"/>
    <w:rsid w:val="00C13A70"/>
    <w:rsid w:val="00C1473A"/>
    <w:rsid w:val="00C16883"/>
    <w:rsid w:val="00C206B9"/>
    <w:rsid w:val="00C2193B"/>
    <w:rsid w:val="00C2205A"/>
    <w:rsid w:val="00C22C8B"/>
    <w:rsid w:val="00C24561"/>
    <w:rsid w:val="00C24BA3"/>
    <w:rsid w:val="00C25644"/>
    <w:rsid w:val="00C26CD5"/>
    <w:rsid w:val="00C27202"/>
    <w:rsid w:val="00C27C3E"/>
    <w:rsid w:val="00C302C9"/>
    <w:rsid w:val="00C31B11"/>
    <w:rsid w:val="00C33847"/>
    <w:rsid w:val="00C33D16"/>
    <w:rsid w:val="00C3436F"/>
    <w:rsid w:val="00C35E23"/>
    <w:rsid w:val="00C369DF"/>
    <w:rsid w:val="00C37982"/>
    <w:rsid w:val="00C401C0"/>
    <w:rsid w:val="00C4089E"/>
    <w:rsid w:val="00C428E3"/>
    <w:rsid w:val="00C42CA6"/>
    <w:rsid w:val="00C44046"/>
    <w:rsid w:val="00C468E1"/>
    <w:rsid w:val="00C46AF8"/>
    <w:rsid w:val="00C46C1A"/>
    <w:rsid w:val="00C47A20"/>
    <w:rsid w:val="00C47E12"/>
    <w:rsid w:val="00C503D3"/>
    <w:rsid w:val="00C5168F"/>
    <w:rsid w:val="00C524B5"/>
    <w:rsid w:val="00C53349"/>
    <w:rsid w:val="00C53373"/>
    <w:rsid w:val="00C563F6"/>
    <w:rsid w:val="00C56623"/>
    <w:rsid w:val="00C56DF2"/>
    <w:rsid w:val="00C56E40"/>
    <w:rsid w:val="00C600C3"/>
    <w:rsid w:val="00C6022F"/>
    <w:rsid w:val="00C60DEC"/>
    <w:rsid w:val="00C61220"/>
    <w:rsid w:val="00C61425"/>
    <w:rsid w:val="00C620AB"/>
    <w:rsid w:val="00C65747"/>
    <w:rsid w:val="00C66301"/>
    <w:rsid w:val="00C70003"/>
    <w:rsid w:val="00C700C9"/>
    <w:rsid w:val="00C71BF7"/>
    <w:rsid w:val="00C734B7"/>
    <w:rsid w:val="00C75DC6"/>
    <w:rsid w:val="00C75E1D"/>
    <w:rsid w:val="00C763F4"/>
    <w:rsid w:val="00C76D59"/>
    <w:rsid w:val="00C76D73"/>
    <w:rsid w:val="00C77829"/>
    <w:rsid w:val="00C81699"/>
    <w:rsid w:val="00C8238B"/>
    <w:rsid w:val="00C84217"/>
    <w:rsid w:val="00C85468"/>
    <w:rsid w:val="00C860B6"/>
    <w:rsid w:val="00C91314"/>
    <w:rsid w:val="00C9253F"/>
    <w:rsid w:val="00C94231"/>
    <w:rsid w:val="00C968CE"/>
    <w:rsid w:val="00C97320"/>
    <w:rsid w:val="00CA12E5"/>
    <w:rsid w:val="00CA1DFB"/>
    <w:rsid w:val="00CA2B14"/>
    <w:rsid w:val="00CA34C0"/>
    <w:rsid w:val="00CA34CC"/>
    <w:rsid w:val="00CA3672"/>
    <w:rsid w:val="00CA36E7"/>
    <w:rsid w:val="00CA3B32"/>
    <w:rsid w:val="00CA4DB2"/>
    <w:rsid w:val="00CA4E4E"/>
    <w:rsid w:val="00CA5E2D"/>
    <w:rsid w:val="00CA7065"/>
    <w:rsid w:val="00CA7B22"/>
    <w:rsid w:val="00CA7B6B"/>
    <w:rsid w:val="00CB093E"/>
    <w:rsid w:val="00CB39AB"/>
    <w:rsid w:val="00CB5F06"/>
    <w:rsid w:val="00CC013D"/>
    <w:rsid w:val="00CC17A8"/>
    <w:rsid w:val="00CC23A2"/>
    <w:rsid w:val="00CC2827"/>
    <w:rsid w:val="00CC4017"/>
    <w:rsid w:val="00CC4092"/>
    <w:rsid w:val="00CC4CAE"/>
    <w:rsid w:val="00CC4F6F"/>
    <w:rsid w:val="00CC5611"/>
    <w:rsid w:val="00CC5848"/>
    <w:rsid w:val="00CC6911"/>
    <w:rsid w:val="00CC71FC"/>
    <w:rsid w:val="00CC7474"/>
    <w:rsid w:val="00CD386C"/>
    <w:rsid w:val="00CD4CB0"/>
    <w:rsid w:val="00CD5884"/>
    <w:rsid w:val="00CD6678"/>
    <w:rsid w:val="00CE14FA"/>
    <w:rsid w:val="00CE1E99"/>
    <w:rsid w:val="00CE3CA3"/>
    <w:rsid w:val="00CE40A0"/>
    <w:rsid w:val="00CE5AD2"/>
    <w:rsid w:val="00CE705C"/>
    <w:rsid w:val="00CF0109"/>
    <w:rsid w:val="00CF04DD"/>
    <w:rsid w:val="00CF1078"/>
    <w:rsid w:val="00CF1276"/>
    <w:rsid w:val="00CF1A02"/>
    <w:rsid w:val="00CF31DB"/>
    <w:rsid w:val="00CF3718"/>
    <w:rsid w:val="00CF3CA9"/>
    <w:rsid w:val="00CF48C1"/>
    <w:rsid w:val="00CF6D17"/>
    <w:rsid w:val="00CF6F18"/>
    <w:rsid w:val="00CF7007"/>
    <w:rsid w:val="00CF7DBA"/>
    <w:rsid w:val="00D00949"/>
    <w:rsid w:val="00D00C97"/>
    <w:rsid w:val="00D01E60"/>
    <w:rsid w:val="00D021CE"/>
    <w:rsid w:val="00D0333A"/>
    <w:rsid w:val="00D03BBC"/>
    <w:rsid w:val="00D03EAE"/>
    <w:rsid w:val="00D06690"/>
    <w:rsid w:val="00D06D12"/>
    <w:rsid w:val="00D06EC3"/>
    <w:rsid w:val="00D07674"/>
    <w:rsid w:val="00D0779B"/>
    <w:rsid w:val="00D1037C"/>
    <w:rsid w:val="00D10618"/>
    <w:rsid w:val="00D10690"/>
    <w:rsid w:val="00D10BE4"/>
    <w:rsid w:val="00D11B99"/>
    <w:rsid w:val="00D12716"/>
    <w:rsid w:val="00D12B81"/>
    <w:rsid w:val="00D12DEF"/>
    <w:rsid w:val="00D13408"/>
    <w:rsid w:val="00D1571E"/>
    <w:rsid w:val="00D15ED1"/>
    <w:rsid w:val="00D1618D"/>
    <w:rsid w:val="00D16491"/>
    <w:rsid w:val="00D164D2"/>
    <w:rsid w:val="00D17596"/>
    <w:rsid w:val="00D201C1"/>
    <w:rsid w:val="00D203FF"/>
    <w:rsid w:val="00D210A0"/>
    <w:rsid w:val="00D21167"/>
    <w:rsid w:val="00D21FD3"/>
    <w:rsid w:val="00D234A5"/>
    <w:rsid w:val="00D237DB"/>
    <w:rsid w:val="00D25325"/>
    <w:rsid w:val="00D259D7"/>
    <w:rsid w:val="00D25FCD"/>
    <w:rsid w:val="00D2626F"/>
    <w:rsid w:val="00D31967"/>
    <w:rsid w:val="00D3567B"/>
    <w:rsid w:val="00D359ED"/>
    <w:rsid w:val="00D36447"/>
    <w:rsid w:val="00D36891"/>
    <w:rsid w:val="00D36A2F"/>
    <w:rsid w:val="00D36F48"/>
    <w:rsid w:val="00D3770D"/>
    <w:rsid w:val="00D40866"/>
    <w:rsid w:val="00D409C3"/>
    <w:rsid w:val="00D409DF"/>
    <w:rsid w:val="00D40FA5"/>
    <w:rsid w:val="00D4145C"/>
    <w:rsid w:val="00D42EE8"/>
    <w:rsid w:val="00D43652"/>
    <w:rsid w:val="00D4414C"/>
    <w:rsid w:val="00D46591"/>
    <w:rsid w:val="00D46E4F"/>
    <w:rsid w:val="00D47F7A"/>
    <w:rsid w:val="00D50DD9"/>
    <w:rsid w:val="00D53235"/>
    <w:rsid w:val="00D54247"/>
    <w:rsid w:val="00D552A4"/>
    <w:rsid w:val="00D55992"/>
    <w:rsid w:val="00D56148"/>
    <w:rsid w:val="00D562EE"/>
    <w:rsid w:val="00D565A7"/>
    <w:rsid w:val="00D567FF"/>
    <w:rsid w:val="00D56A75"/>
    <w:rsid w:val="00D574B2"/>
    <w:rsid w:val="00D607D2"/>
    <w:rsid w:val="00D613CC"/>
    <w:rsid w:val="00D62C41"/>
    <w:rsid w:val="00D6310F"/>
    <w:rsid w:val="00D63B1A"/>
    <w:rsid w:val="00D63CE4"/>
    <w:rsid w:val="00D6430F"/>
    <w:rsid w:val="00D70E8E"/>
    <w:rsid w:val="00D724E3"/>
    <w:rsid w:val="00D72D9A"/>
    <w:rsid w:val="00D737EE"/>
    <w:rsid w:val="00D7469E"/>
    <w:rsid w:val="00D765F1"/>
    <w:rsid w:val="00D7675B"/>
    <w:rsid w:val="00D80294"/>
    <w:rsid w:val="00D81676"/>
    <w:rsid w:val="00D82E02"/>
    <w:rsid w:val="00D82EF3"/>
    <w:rsid w:val="00D84FBB"/>
    <w:rsid w:val="00D859CD"/>
    <w:rsid w:val="00D871A8"/>
    <w:rsid w:val="00D87349"/>
    <w:rsid w:val="00D901B8"/>
    <w:rsid w:val="00D91055"/>
    <w:rsid w:val="00D9112E"/>
    <w:rsid w:val="00D913B3"/>
    <w:rsid w:val="00D91689"/>
    <w:rsid w:val="00D92977"/>
    <w:rsid w:val="00D92A69"/>
    <w:rsid w:val="00D93263"/>
    <w:rsid w:val="00D9352C"/>
    <w:rsid w:val="00D93A18"/>
    <w:rsid w:val="00D94A3D"/>
    <w:rsid w:val="00D9564E"/>
    <w:rsid w:val="00D957D0"/>
    <w:rsid w:val="00D966F5"/>
    <w:rsid w:val="00DA1608"/>
    <w:rsid w:val="00DA2B46"/>
    <w:rsid w:val="00DA4139"/>
    <w:rsid w:val="00DA5FEA"/>
    <w:rsid w:val="00DA76FB"/>
    <w:rsid w:val="00DA7867"/>
    <w:rsid w:val="00DB0004"/>
    <w:rsid w:val="00DB0378"/>
    <w:rsid w:val="00DB1364"/>
    <w:rsid w:val="00DB2ACD"/>
    <w:rsid w:val="00DB4314"/>
    <w:rsid w:val="00DB5497"/>
    <w:rsid w:val="00DC112C"/>
    <w:rsid w:val="00DC1813"/>
    <w:rsid w:val="00DC220F"/>
    <w:rsid w:val="00DC29AD"/>
    <w:rsid w:val="00DC699C"/>
    <w:rsid w:val="00DC7C52"/>
    <w:rsid w:val="00DD0075"/>
    <w:rsid w:val="00DD02E2"/>
    <w:rsid w:val="00DD12EC"/>
    <w:rsid w:val="00DD13E1"/>
    <w:rsid w:val="00DD26BA"/>
    <w:rsid w:val="00DD2D1A"/>
    <w:rsid w:val="00DD3493"/>
    <w:rsid w:val="00DD49A2"/>
    <w:rsid w:val="00DD558E"/>
    <w:rsid w:val="00DD5C65"/>
    <w:rsid w:val="00DE01AE"/>
    <w:rsid w:val="00DE165B"/>
    <w:rsid w:val="00DE275A"/>
    <w:rsid w:val="00DE3145"/>
    <w:rsid w:val="00DE49D6"/>
    <w:rsid w:val="00DE4A66"/>
    <w:rsid w:val="00DE4E5E"/>
    <w:rsid w:val="00DE6325"/>
    <w:rsid w:val="00DE76CF"/>
    <w:rsid w:val="00DE7BE6"/>
    <w:rsid w:val="00DF08F3"/>
    <w:rsid w:val="00DF0941"/>
    <w:rsid w:val="00DF1551"/>
    <w:rsid w:val="00DF2A8D"/>
    <w:rsid w:val="00DF2A9C"/>
    <w:rsid w:val="00DF3202"/>
    <w:rsid w:val="00DF33A7"/>
    <w:rsid w:val="00DF3841"/>
    <w:rsid w:val="00DF3986"/>
    <w:rsid w:val="00DF4199"/>
    <w:rsid w:val="00DF47FC"/>
    <w:rsid w:val="00DF5E71"/>
    <w:rsid w:val="00DF639A"/>
    <w:rsid w:val="00DF69A4"/>
    <w:rsid w:val="00DF7914"/>
    <w:rsid w:val="00E0008C"/>
    <w:rsid w:val="00E00B99"/>
    <w:rsid w:val="00E00E96"/>
    <w:rsid w:val="00E01228"/>
    <w:rsid w:val="00E01D48"/>
    <w:rsid w:val="00E03578"/>
    <w:rsid w:val="00E03994"/>
    <w:rsid w:val="00E03CE9"/>
    <w:rsid w:val="00E05693"/>
    <w:rsid w:val="00E06732"/>
    <w:rsid w:val="00E069BB"/>
    <w:rsid w:val="00E06ACB"/>
    <w:rsid w:val="00E0738D"/>
    <w:rsid w:val="00E11797"/>
    <w:rsid w:val="00E12535"/>
    <w:rsid w:val="00E12A34"/>
    <w:rsid w:val="00E1305F"/>
    <w:rsid w:val="00E1701D"/>
    <w:rsid w:val="00E17159"/>
    <w:rsid w:val="00E1723F"/>
    <w:rsid w:val="00E1780D"/>
    <w:rsid w:val="00E20FB9"/>
    <w:rsid w:val="00E21285"/>
    <w:rsid w:val="00E22E28"/>
    <w:rsid w:val="00E22EBE"/>
    <w:rsid w:val="00E24AA8"/>
    <w:rsid w:val="00E26BA5"/>
    <w:rsid w:val="00E2735C"/>
    <w:rsid w:val="00E31DBA"/>
    <w:rsid w:val="00E328EE"/>
    <w:rsid w:val="00E32F4C"/>
    <w:rsid w:val="00E34EA5"/>
    <w:rsid w:val="00E351E9"/>
    <w:rsid w:val="00E354FF"/>
    <w:rsid w:val="00E36554"/>
    <w:rsid w:val="00E4029D"/>
    <w:rsid w:val="00E40CF9"/>
    <w:rsid w:val="00E4135F"/>
    <w:rsid w:val="00E42218"/>
    <w:rsid w:val="00E44C22"/>
    <w:rsid w:val="00E454D8"/>
    <w:rsid w:val="00E4640A"/>
    <w:rsid w:val="00E515E6"/>
    <w:rsid w:val="00E5209A"/>
    <w:rsid w:val="00E5397C"/>
    <w:rsid w:val="00E53B97"/>
    <w:rsid w:val="00E53C5F"/>
    <w:rsid w:val="00E55CEA"/>
    <w:rsid w:val="00E55F35"/>
    <w:rsid w:val="00E560E5"/>
    <w:rsid w:val="00E57D45"/>
    <w:rsid w:val="00E6065F"/>
    <w:rsid w:val="00E61367"/>
    <w:rsid w:val="00E62C90"/>
    <w:rsid w:val="00E64FE4"/>
    <w:rsid w:val="00E653C6"/>
    <w:rsid w:val="00E653F6"/>
    <w:rsid w:val="00E666BE"/>
    <w:rsid w:val="00E66A57"/>
    <w:rsid w:val="00E70139"/>
    <w:rsid w:val="00E70506"/>
    <w:rsid w:val="00E71A92"/>
    <w:rsid w:val="00E71C66"/>
    <w:rsid w:val="00E71E05"/>
    <w:rsid w:val="00E71E2B"/>
    <w:rsid w:val="00E72E62"/>
    <w:rsid w:val="00E74595"/>
    <w:rsid w:val="00E75107"/>
    <w:rsid w:val="00E7750D"/>
    <w:rsid w:val="00E81F06"/>
    <w:rsid w:val="00E8530D"/>
    <w:rsid w:val="00E864D5"/>
    <w:rsid w:val="00E870C4"/>
    <w:rsid w:val="00E878D7"/>
    <w:rsid w:val="00E87BA5"/>
    <w:rsid w:val="00E87BEF"/>
    <w:rsid w:val="00E92114"/>
    <w:rsid w:val="00E932D2"/>
    <w:rsid w:val="00E94049"/>
    <w:rsid w:val="00E9585B"/>
    <w:rsid w:val="00E95C85"/>
    <w:rsid w:val="00E965BA"/>
    <w:rsid w:val="00E967C6"/>
    <w:rsid w:val="00E97119"/>
    <w:rsid w:val="00EA1A77"/>
    <w:rsid w:val="00EA2C38"/>
    <w:rsid w:val="00EA31E4"/>
    <w:rsid w:val="00EA35AA"/>
    <w:rsid w:val="00EA4198"/>
    <w:rsid w:val="00EA7174"/>
    <w:rsid w:val="00EA7F41"/>
    <w:rsid w:val="00EB06B3"/>
    <w:rsid w:val="00EB0D51"/>
    <w:rsid w:val="00EB2476"/>
    <w:rsid w:val="00EB3783"/>
    <w:rsid w:val="00EB3AA1"/>
    <w:rsid w:val="00EB4208"/>
    <w:rsid w:val="00EB4B5C"/>
    <w:rsid w:val="00EB5663"/>
    <w:rsid w:val="00EC013A"/>
    <w:rsid w:val="00EC1DE6"/>
    <w:rsid w:val="00EC4A2B"/>
    <w:rsid w:val="00ED0472"/>
    <w:rsid w:val="00ED0916"/>
    <w:rsid w:val="00ED0B0E"/>
    <w:rsid w:val="00ED0E4E"/>
    <w:rsid w:val="00ED1F6C"/>
    <w:rsid w:val="00ED237B"/>
    <w:rsid w:val="00ED28E6"/>
    <w:rsid w:val="00ED296E"/>
    <w:rsid w:val="00ED37C7"/>
    <w:rsid w:val="00ED4696"/>
    <w:rsid w:val="00ED4712"/>
    <w:rsid w:val="00ED4976"/>
    <w:rsid w:val="00ED4BDA"/>
    <w:rsid w:val="00ED515F"/>
    <w:rsid w:val="00ED55FD"/>
    <w:rsid w:val="00ED568A"/>
    <w:rsid w:val="00ED64C3"/>
    <w:rsid w:val="00ED7334"/>
    <w:rsid w:val="00ED7525"/>
    <w:rsid w:val="00EE0B28"/>
    <w:rsid w:val="00EE0D20"/>
    <w:rsid w:val="00EE13A1"/>
    <w:rsid w:val="00EE3436"/>
    <w:rsid w:val="00EE362C"/>
    <w:rsid w:val="00EE3C7F"/>
    <w:rsid w:val="00EE64C1"/>
    <w:rsid w:val="00EF0261"/>
    <w:rsid w:val="00EF09F1"/>
    <w:rsid w:val="00EF1553"/>
    <w:rsid w:val="00EF1913"/>
    <w:rsid w:val="00EF19D0"/>
    <w:rsid w:val="00EF1E10"/>
    <w:rsid w:val="00EF21CA"/>
    <w:rsid w:val="00EF23A2"/>
    <w:rsid w:val="00EF2509"/>
    <w:rsid w:val="00EF29E3"/>
    <w:rsid w:val="00EF3116"/>
    <w:rsid w:val="00EF323D"/>
    <w:rsid w:val="00EF476E"/>
    <w:rsid w:val="00EF501F"/>
    <w:rsid w:val="00EF52B6"/>
    <w:rsid w:val="00EF5BAD"/>
    <w:rsid w:val="00EF6F2C"/>
    <w:rsid w:val="00EF79BF"/>
    <w:rsid w:val="00F00A18"/>
    <w:rsid w:val="00F028A2"/>
    <w:rsid w:val="00F03CCC"/>
    <w:rsid w:val="00F03F4B"/>
    <w:rsid w:val="00F04D5D"/>
    <w:rsid w:val="00F04E88"/>
    <w:rsid w:val="00F07019"/>
    <w:rsid w:val="00F0728D"/>
    <w:rsid w:val="00F0784A"/>
    <w:rsid w:val="00F100A5"/>
    <w:rsid w:val="00F117BB"/>
    <w:rsid w:val="00F12091"/>
    <w:rsid w:val="00F1375E"/>
    <w:rsid w:val="00F15A92"/>
    <w:rsid w:val="00F162C8"/>
    <w:rsid w:val="00F1694F"/>
    <w:rsid w:val="00F207CE"/>
    <w:rsid w:val="00F21362"/>
    <w:rsid w:val="00F21A65"/>
    <w:rsid w:val="00F22D89"/>
    <w:rsid w:val="00F238DA"/>
    <w:rsid w:val="00F23B43"/>
    <w:rsid w:val="00F25359"/>
    <w:rsid w:val="00F253E8"/>
    <w:rsid w:val="00F257D3"/>
    <w:rsid w:val="00F25E07"/>
    <w:rsid w:val="00F264C2"/>
    <w:rsid w:val="00F26788"/>
    <w:rsid w:val="00F26AA0"/>
    <w:rsid w:val="00F26CAA"/>
    <w:rsid w:val="00F27906"/>
    <w:rsid w:val="00F30221"/>
    <w:rsid w:val="00F32882"/>
    <w:rsid w:val="00F34999"/>
    <w:rsid w:val="00F3686D"/>
    <w:rsid w:val="00F368D5"/>
    <w:rsid w:val="00F3776D"/>
    <w:rsid w:val="00F40CAF"/>
    <w:rsid w:val="00F41940"/>
    <w:rsid w:val="00F41E94"/>
    <w:rsid w:val="00F4251E"/>
    <w:rsid w:val="00F43B0D"/>
    <w:rsid w:val="00F45E71"/>
    <w:rsid w:val="00F45F0F"/>
    <w:rsid w:val="00F46204"/>
    <w:rsid w:val="00F463C9"/>
    <w:rsid w:val="00F506B2"/>
    <w:rsid w:val="00F506BE"/>
    <w:rsid w:val="00F5107A"/>
    <w:rsid w:val="00F54447"/>
    <w:rsid w:val="00F54E89"/>
    <w:rsid w:val="00F57586"/>
    <w:rsid w:val="00F579DD"/>
    <w:rsid w:val="00F61D6E"/>
    <w:rsid w:val="00F61E4A"/>
    <w:rsid w:val="00F62840"/>
    <w:rsid w:val="00F6423E"/>
    <w:rsid w:val="00F6476D"/>
    <w:rsid w:val="00F6697C"/>
    <w:rsid w:val="00F6746D"/>
    <w:rsid w:val="00F70762"/>
    <w:rsid w:val="00F70F8E"/>
    <w:rsid w:val="00F71652"/>
    <w:rsid w:val="00F71A3D"/>
    <w:rsid w:val="00F71E42"/>
    <w:rsid w:val="00F72A01"/>
    <w:rsid w:val="00F72BE8"/>
    <w:rsid w:val="00F72C34"/>
    <w:rsid w:val="00F743B4"/>
    <w:rsid w:val="00F74B90"/>
    <w:rsid w:val="00F754F1"/>
    <w:rsid w:val="00F81E7B"/>
    <w:rsid w:val="00F83941"/>
    <w:rsid w:val="00F857ED"/>
    <w:rsid w:val="00F85C23"/>
    <w:rsid w:val="00F868F1"/>
    <w:rsid w:val="00F9047A"/>
    <w:rsid w:val="00F907D0"/>
    <w:rsid w:val="00F92715"/>
    <w:rsid w:val="00F939D9"/>
    <w:rsid w:val="00F93ACE"/>
    <w:rsid w:val="00F93AFC"/>
    <w:rsid w:val="00F96588"/>
    <w:rsid w:val="00F96627"/>
    <w:rsid w:val="00F967A9"/>
    <w:rsid w:val="00F96C72"/>
    <w:rsid w:val="00F9715C"/>
    <w:rsid w:val="00FA009C"/>
    <w:rsid w:val="00FA0282"/>
    <w:rsid w:val="00FA0C97"/>
    <w:rsid w:val="00FA0D41"/>
    <w:rsid w:val="00FA18D4"/>
    <w:rsid w:val="00FA1A3B"/>
    <w:rsid w:val="00FA3034"/>
    <w:rsid w:val="00FA4729"/>
    <w:rsid w:val="00FA4ED5"/>
    <w:rsid w:val="00FA530B"/>
    <w:rsid w:val="00FB014F"/>
    <w:rsid w:val="00FB0580"/>
    <w:rsid w:val="00FB2637"/>
    <w:rsid w:val="00FB2C74"/>
    <w:rsid w:val="00FB2ED7"/>
    <w:rsid w:val="00FB3F5D"/>
    <w:rsid w:val="00FB40AA"/>
    <w:rsid w:val="00FB4A3E"/>
    <w:rsid w:val="00FB4ED4"/>
    <w:rsid w:val="00FB535F"/>
    <w:rsid w:val="00FB5667"/>
    <w:rsid w:val="00FB5803"/>
    <w:rsid w:val="00FC12B5"/>
    <w:rsid w:val="00FC1454"/>
    <w:rsid w:val="00FC2F47"/>
    <w:rsid w:val="00FC32B3"/>
    <w:rsid w:val="00FC42A3"/>
    <w:rsid w:val="00FC44F1"/>
    <w:rsid w:val="00FC46FA"/>
    <w:rsid w:val="00FC4EED"/>
    <w:rsid w:val="00FC5552"/>
    <w:rsid w:val="00FC55F1"/>
    <w:rsid w:val="00FC637F"/>
    <w:rsid w:val="00FC6E1D"/>
    <w:rsid w:val="00FD0400"/>
    <w:rsid w:val="00FD07D9"/>
    <w:rsid w:val="00FD08C5"/>
    <w:rsid w:val="00FD1995"/>
    <w:rsid w:val="00FD2191"/>
    <w:rsid w:val="00FD3069"/>
    <w:rsid w:val="00FD366D"/>
    <w:rsid w:val="00FD3AE3"/>
    <w:rsid w:val="00FD43B2"/>
    <w:rsid w:val="00FD5A22"/>
    <w:rsid w:val="00FD65BF"/>
    <w:rsid w:val="00FD6816"/>
    <w:rsid w:val="00FD6A10"/>
    <w:rsid w:val="00FD73BD"/>
    <w:rsid w:val="00FD7661"/>
    <w:rsid w:val="00FE0C79"/>
    <w:rsid w:val="00FE224E"/>
    <w:rsid w:val="00FE4383"/>
    <w:rsid w:val="00FE69C1"/>
    <w:rsid w:val="00FF0389"/>
    <w:rsid w:val="00FF0960"/>
    <w:rsid w:val="00FF2537"/>
    <w:rsid w:val="00FF3851"/>
    <w:rsid w:val="00FF4888"/>
    <w:rsid w:val="00FF54C9"/>
    <w:rsid w:val="00FF67CE"/>
    <w:rsid w:val="00FF6E0D"/>
    <w:rsid w:val="00FF79EC"/>
    <w:rsid w:val="010A29DC"/>
    <w:rsid w:val="02BD20E3"/>
    <w:rsid w:val="03487496"/>
    <w:rsid w:val="04476073"/>
    <w:rsid w:val="05855EEC"/>
    <w:rsid w:val="058A5E9A"/>
    <w:rsid w:val="05C425E3"/>
    <w:rsid w:val="07A502FF"/>
    <w:rsid w:val="07C72F83"/>
    <w:rsid w:val="07DE7B41"/>
    <w:rsid w:val="08002443"/>
    <w:rsid w:val="085F52C3"/>
    <w:rsid w:val="08820598"/>
    <w:rsid w:val="09075CB8"/>
    <w:rsid w:val="09815806"/>
    <w:rsid w:val="09D21BBD"/>
    <w:rsid w:val="0A013CC4"/>
    <w:rsid w:val="0A1B3564"/>
    <w:rsid w:val="0A29089B"/>
    <w:rsid w:val="0A9C4909"/>
    <w:rsid w:val="0AD860D1"/>
    <w:rsid w:val="0AE622BA"/>
    <w:rsid w:val="0B7E013F"/>
    <w:rsid w:val="0C37049C"/>
    <w:rsid w:val="0D5B3A6D"/>
    <w:rsid w:val="0DF668CF"/>
    <w:rsid w:val="0EFC02FC"/>
    <w:rsid w:val="0F501D99"/>
    <w:rsid w:val="0FAF31B0"/>
    <w:rsid w:val="0FE64614"/>
    <w:rsid w:val="104D44FD"/>
    <w:rsid w:val="106D183A"/>
    <w:rsid w:val="10DC1574"/>
    <w:rsid w:val="114C66F9"/>
    <w:rsid w:val="11E15093"/>
    <w:rsid w:val="13016218"/>
    <w:rsid w:val="13E4101E"/>
    <w:rsid w:val="13EC5F71"/>
    <w:rsid w:val="14665900"/>
    <w:rsid w:val="15137904"/>
    <w:rsid w:val="154222ED"/>
    <w:rsid w:val="157A0BE7"/>
    <w:rsid w:val="159152D8"/>
    <w:rsid w:val="15C42DE2"/>
    <w:rsid w:val="162753FF"/>
    <w:rsid w:val="16B32D77"/>
    <w:rsid w:val="179B06B9"/>
    <w:rsid w:val="18035AC4"/>
    <w:rsid w:val="190F1BE1"/>
    <w:rsid w:val="1A9A1477"/>
    <w:rsid w:val="1A9C3430"/>
    <w:rsid w:val="1B205FCC"/>
    <w:rsid w:val="1B446693"/>
    <w:rsid w:val="1B6D0844"/>
    <w:rsid w:val="1BFB31F6"/>
    <w:rsid w:val="1C12639B"/>
    <w:rsid w:val="1C1C22EA"/>
    <w:rsid w:val="1C207895"/>
    <w:rsid w:val="1C8B27CB"/>
    <w:rsid w:val="1CB67F57"/>
    <w:rsid w:val="1D047440"/>
    <w:rsid w:val="1D060B2E"/>
    <w:rsid w:val="1D3F1F41"/>
    <w:rsid w:val="1D5A5F94"/>
    <w:rsid w:val="1D5E5986"/>
    <w:rsid w:val="1D8A4831"/>
    <w:rsid w:val="1EAD30EA"/>
    <w:rsid w:val="1F356839"/>
    <w:rsid w:val="1F394761"/>
    <w:rsid w:val="1F63352B"/>
    <w:rsid w:val="1FEC6894"/>
    <w:rsid w:val="2020322B"/>
    <w:rsid w:val="202D1DEC"/>
    <w:rsid w:val="215417DB"/>
    <w:rsid w:val="22F569E0"/>
    <w:rsid w:val="23383301"/>
    <w:rsid w:val="234C0796"/>
    <w:rsid w:val="248F4CBD"/>
    <w:rsid w:val="24E050B6"/>
    <w:rsid w:val="253B5D39"/>
    <w:rsid w:val="2561523F"/>
    <w:rsid w:val="25684B8D"/>
    <w:rsid w:val="257B6FF6"/>
    <w:rsid w:val="25D4501E"/>
    <w:rsid w:val="25F43DF1"/>
    <w:rsid w:val="26243349"/>
    <w:rsid w:val="26A747E4"/>
    <w:rsid w:val="26C04EA1"/>
    <w:rsid w:val="26FE39C7"/>
    <w:rsid w:val="275D5307"/>
    <w:rsid w:val="2841496F"/>
    <w:rsid w:val="290A10F9"/>
    <w:rsid w:val="292813A2"/>
    <w:rsid w:val="29283FBC"/>
    <w:rsid w:val="2A783C63"/>
    <w:rsid w:val="2AFA1FCC"/>
    <w:rsid w:val="2B726706"/>
    <w:rsid w:val="2BBC087A"/>
    <w:rsid w:val="2BEA0B0A"/>
    <w:rsid w:val="2C5869D0"/>
    <w:rsid w:val="2C665485"/>
    <w:rsid w:val="2E300293"/>
    <w:rsid w:val="2EB57234"/>
    <w:rsid w:val="2EFE7B51"/>
    <w:rsid w:val="2F512EF2"/>
    <w:rsid w:val="2F6173BC"/>
    <w:rsid w:val="307663F5"/>
    <w:rsid w:val="309B04C2"/>
    <w:rsid w:val="31211DB1"/>
    <w:rsid w:val="313B25D2"/>
    <w:rsid w:val="31616FC6"/>
    <w:rsid w:val="31CB5112"/>
    <w:rsid w:val="31ED0364"/>
    <w:rsid w:val="321A6D0A"/>
    <w:rsid w:val="32BF0681"/>
    <w:rsid w:val="32C87A38"/>
    <w:rsid w:val="32D7593D"/>
    <w:rsid w:val="32FD48AE"/>
    <w:rsid w:val="33030EB6"/>
    <w:rsid w:val="332F2BA2"/>
    <w:rsid w:val="33AC476C"/>
    <w:rsid w:val="33C87A09"/>
    <w:rsid w:val="33EA1D4E"/>
    <w:rsid w:val="34267E11"/>
    <w:rsid w:val="36B14785"/>
    <w:rsid w:val="36BA7A9D"/>
    <w:rsid w:val="37085BE3"/>
    <w:rsid w:val="376F0F4A"/>
    <w:rsid w:val="37A46227"/>
    <w:rsid w:val="38E4447B"/>
    <w:rsid w:val="38F41CAC"/>
    <w:rsid w:val="39057B83"/>
    <w:rsid w:val="3915396C"/>
    <w:rsid w:val="395947D8"/>
    <w:rsid w:val="39FC0CA0"/>
    <w:rsid w:val="3A021B8A"/>
    <w:rsid w:val="3A4C37B1"/>
    <w:rsid w:val="3A6C2288"/>
    <w:rsid w:val="3D233C1D"/>
    <w:rsid w:val="3DD93AE7"/>
    <w:rsid w:val="3E1A70B4"/>
    <w:rsid w:val="3F110BCB"/>
    <w:rsid w:val="3F2253B7"/>
    <w:rsid w:val="3F6B1DE0"/>
    <w:rsid w:val="403041DC"/>
    <w:rsid w:val="41906EED"/>
    <w:rsid w:val="41917F4D"/>
    <w:rsid w:val="41FB6582"/>
    <w:rsid w:val="42F779C3"/>
    <w:rsid w:val="43B14016"/>
    <w:rsid w:val="43D32BC8"/>
    <w:rsid w:val="43E03D0D"/>
    <w:rsid w:val="45525D88"/>
    <w:rsid w:val="455E49F0"/>
    <w:rsid w:val="46565349"/>
    <w:rsid w:val="46566C93"/>
    <w:rsid w:val="46EE000D"/>
    <w:rsid w:val="4707219F"/>
    <w:rsid w:val="485F6FAF"/>
    <w:rsid w:val="486377AA"/>
    <w:rsid w:val="486A6AC5"/>
    <w:rsid w:val="48B85ED8"/>
    <w:rsid w:val="497D50F0"/>
    <w:rsid w:val="49A8022D"/>
    <w:rsid w:val="49F27137"/>
    <w:rsid w:val="4A6C0C97"/>
    <w:rsid w:val="4A702FFD"/>
    <w:rsid w:val="4AA93872"/>
    <w:rsid w:val="4AC25FAD"/>
    <w:rsid w:val="4B1E3FB4"/>
    <w:rsid w:val="4B2F3883"/>
    <w:rsid w:val="4B7404E0"/>
    <w:rsid w:val="4BDB3175"/>
    <w:rsid w:val="4BDC3BFA"/>
    <w:rsid w:val="4BFB54F9"/>
    <w:rsid w:val="4C283C45"/>
    <w:rsid w:val="4C4D4AF8"/>
    <w:rsid w:val="4C653BF0"/>
    <w:rsid w:val="4DB1782C"/>
    <w:rsid w:val="4DBB7A1A"/>
    <w:rsid w:val="4DD13360"/>
    <w:rsid w:val="4DDD0D5D"/>
    <w:rsid w:val="4E2F6BAB"/>
    <w:rsid w:val="4E8111E8"/>
    <w:rsid w:val="4E8350EA"/>
    <w:rsid w:val="4EF516B9"/>
    <w:rsid w:val="4FBD66C3"/>
    <w:rsid w:val="50415057"/>
    <w:rsid w:val="505F2FC5"/>
    <w:rsid w:val="52546BE0"/>
    <w:rsid w:val="527032EE"/>
    <w:rsid w:val="537853C6"/>
    <w:rsid w:val="53DC1C2A"/>
    <w:rsid w:val="5401711E"/>
    <w:rsid w:val="5491679B"/>
    <w:rsid w:val="54A92194"/>
    <w:rsid w:val="55247373"/>
    <w:rsid w:val="552F638D"/>
    <w:rsid w:val="55CD19D1"/>
    <w:rsid w:val="56FA011E"/>
    <w:rsid w:val="572850E5"/>
    <w:rsid w:val="574F23B7"/>
    <w:rsid w:val="576E0B38"/>
    <w:rsid w:val="58006459"/>
    <w:rsid w:val="58093FC9"/>
    <w:rsid w:val="5898519A"/>
    <w:rsid w:val="5904194C"/>
    <w:rsid w:val="5B2B24A8"/>
    <w:rsid w:val="5B3A13FC"/>
    <w:rsid w:val="5B764A19"/>
    <w:rsid w:val="5C401F83"/>
    <w:rsid w:val="5C717109"/>
    <w:rsid w:val="5CA41536"/>
    <w:rsid w:val="5CFF3BED"/>
    <w:rsid w:val="5D3B263B"/>
    <w:rsid w:val="5D5A7075"/>
    <w:rsid w:val="5DC57FB0"/>
    <w:rsid w:val="5DED1C97"/>
    <w:rsid w:val="5E797FFB"/>
    <w:rsid w:val="5F7C7776"/>
    <w:rsid w:val="5FAA2AD2"/>
    <w:rsid w:val="604A6751"/>
    <w:rsid w:val="611F34A2"/>
    <w:rsid w:val="61FD5165"/>
    <w:rsid w:val="623D5410"/>
    <w:rsid w:val="628A6FCD"/>
    <w:rsid w:val="62C639F3"/>
    <w:rsid w:val="62D022B3"/>
    <w:rsid w:val="62DF165D"/>
    <w:rsid w:val="63465F11"/>
    <w:rsid w:val="639D0FF4"/>
    <w:rsid w:val="63A10BD6"/>
    <w:rsid w:val="63ED1010"/>
    <w:rsid w:val="63ED599B"/>
    <w:rsid w:val="64300B2F"/>
    <w:rsid w:val="64342C4C"/>
    <w:rsid w:val="64942F08"/>
    <w:rsid w:val="662C169B"/>
    <w:rsid w:val="66B51D11"/>
    <w:rsid w:val="67137C81"/>
    <w:rsid w:val="679C11F9"/>
    <w:rsid w:val="6837468C"/>
    <w:rsid w:val="6898283B"/>
    <w:rsid w:val="68D65EA4"/>
    <w:rsid w:val="698810E4"/>
    <w:rsid w:val="69A46245"/>
    <w:rsid w:val="6A024E0C"/>
    <w:rsid w:val="6AE84658"/>
    <w:rsid w:val="6B120F8F"/>
    <w:rsid w:val="6B2A0A71"/>
    <w:rsid w:val="6BE9177C"/>
    <w:rsid w:val="6C216489"/>
    <w:rsid w:val="6C4169C4"/>
    <w:rsid w:val="6C571860"/>
    <w:rsid w:val="6C7E50C9"/>
    <w:rsid w:val="6CD4062A"/>
    <w:rsid w:val="6D561607"/>
    <w:rsid w:val="6DE27B06"/>
    <w:rsid w:val="6E2F7588"/>
    <w:rsid w:val="6E4B629A"/>
    <w:rsid w:val="6E851A78"/>
    <w:rsid w:val="6E865E29"/>
    <w:rsid w:val="6E9975B5"/>
    <w:rsid w:val="6ECE341F"/>
    <w:rsid w:val="6EE443CA"/>
    <w:rsid w:val="6F1B57F1"/>
    <w:rsid w:val="6F566213"/>
    <w:rsid w:val="6F631F94"/>
    <w:rsid w:val="6FD809F9"/>
    <w:rsid w:val="6FDF0931"/>
    <w:rsid w:val="70043652"/>
    <w:rsid w:val="70522ADF"/>
    <w:rsid w:val="706742A9"/>
    <w:rsid w:val="70767CAB"/>
    <w:rsid w:val="70B66A0B"/>
    <w:rsid w:val="7175385C"/>
    <w:rsid w:val="72C963D7"/>
    <w:rsid w:val="73442C60"/>
    <w:rsid w:val="73D963DA"/>
    <w:rsid w:val="7417580B"/>
    <w:rsid w:val="741C4C2C"/>
    <w:rsid w:val="743374C1"/>
    <w:rsid w:val="74836A59"/>
    <w:rsid w:val="74E514C2"/>
    <w:rsid w:val="75333457"/>
    <w:rsid w:val="756617C4"/>
    <w:rsid w:val="76B51D8D"/>
    <w:rsid w:val="77C305EE"/>
    <w:rsid w:val="77DD1DFC"/>
    <w:rsid w:val="77F20F30"/>
    <w:rsid w:val="79295E21"/>
    <w:rsid w:val="796C59D2"/>
    <w:rsid w:val="79981742"/>
    <w:rsid w:val="79D457D6"/>
    <w:rsid w:val="7B195D05"/>
    <w:rsid w:val="7C053FD3"/>
    <w:rsid w:val="7C2E3BC1"/>
    <w:rsid w:val="7CB7787A"/>
    <w:rsid w:val="7E4A27FD"/>
    <w:rsid w:val="7E503216"/>
    <w:rsid w:val="7EA24A4B"/>
    <w:rsid w:val="7EC61571"/>
    <w:rsid w:val="7EE66086"/>
    <w:rsid w:val="7FB37454"/>
    <w:rsid w:val="7FC70160"/>
    <w:rsid w:val="B6F8A292"/>
    <w:rsid w:val="D83BDE7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qFormat="1" w:unhideWhenUsed="0" w:uiPriority="0" w:semiHidden="0" w:name="List"/>
    <w:lsdException w:uiPriority="0" w:name="List Bullet"/>
    <w:lsdException w:qFormat="1" w:unhideWhenUsed="0" w:uiPriority="0" w:semiHidden="0" w:name="List Number"/>
    <w:lsdException w:qFormat="1" w:unhideWhenUsed="0" w:uiPriority="0" w:semiHidden="0" w:name="List 2"/>
    <w:lsdException w:uiPriority="0" w:name="List 3"/>
    <w:lsdException w:unhideWhenUsed="0" w:uiPriority="0" w:semiHidden="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qFormat="1" w:unhideWhenUsed="0" w:uiPriority="0" w:semiHidden="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97"/>
    <w:qFormat/>
    <w:uiPriority w:val="0"/>
    <w:pPr>
      <w:keepNext/>
      <w:spacing w:line="340" w:lineRule="exact"/>
      <w:outlineLvl w:val="0"/>
    </w:pPr>
    <w:rPr>
      <w:bCs/>
    </w:rPr>
  </w:style>
  <w:style w:type="paragraph" w:styleId="4">
    <w:name w:val="heading 2"/>
    <w:basedOn w:val="1"/>
    <w:next w:val="1"/>
    <w:link w:val="100"/>
    <w:autoRedefine/>
    <w:qFormat/>
    <w:uiPriority w:val="9"/>
    <w:pPr>
      <w:keepNext/>
      <w:keepLines/>
      <w:spacing w:before="260" w:after="260" w:line="413" w:lineRule="auto"/>
      <w:outlineLvl w:val="1"/>
    </w:pPr>
    <w:rPr>
      <w:rFonts w:ascii="Arial" w:hAnsi="Arial" w:eastAsia="黑体"/>
      <w:b/>
      <w:bCs/>
      <w:sz w:val="32"/>
      <w:szCs w:val="32"/>
    </w:rPr>
  </w:style>
  <w:style w:type="paragraph" w:styleId="5">
    <w:name w:val="heading 3"/>
    <w:basedOn w:val="1"/>
    <w:next w:val="1"/>
    <w:link w:val="94"/>
    <w:qFormat/>
    <w:uiPriority w:val="0"/>
    <w:pPr>
      <w:keepNext/>
      <w:keepLines/>
      <w:spacing w:before="260" w:after="260" w:line="416" w:lineRule="auto"/>
      <w:outlineLvl w:val="2"/>
    </w:pPr>
    <w:rPr>
      <w:b/>
      <w:bCs/>
      <w:sz w:val="32"/>
      <w:szCs w:val="32"/>
    </w:rPr>
  </w:style>
  <w:style w:type="paragraph" w:styleId="6">
    <w:name w:val="heading 4"/>
    <w:basedOn w:val="1"/>
    <w:next w:val="1"/>
    <w:link w:val="149"/>
    <w:autoRedefine/>
    <w:qFormat/>
    <w:uiPriority w:val="0"/>
    <w:pPr>
      <w:keepNext/>
      <w:keepLines/>
      <w:numPr>
        <w:ilvl w:val="3"/>
        <w:numId w:val="1"/>
      </w:numPr>
      <w:spacing w:before="280" w:after="290" w:line="372" w:lineRule="auto"/>
      <w:outlineLvl w:val="3"/>
    </w:pPr>
    <w:rPr>
      <w:rFonts w:ascii="宋体" w:hAnsi="Arial" w:eastAsia="黑体"/>
      <w:b/>
      <w:sz w:val="24"/>
      <w:szCs w:val="20"/>
    </w:rPr>
  </w:style>
  <w:style w:type="paragraph" w:styleId="7">
    <w:name w:val="heading 5"/>
    <w:basedOn w:val="1"/>
    <w:next w:val="8"/>
    <w:link w:val="147"/>
    <w:qFormat/>
    <w:uiPriority w:val="0"/>
    <w:pPr>
      <w:keepNext/>
      <w:keepLines/>
      <w:numPr>
        <w:ilvl w:val="4"/>
        <w:numId w:val="1"/>
      </w:numPr>
      <w:spacing w:before="280" w:after="290" w:line="372" w:lineRule="auto"/>
      <w:outlineLvl w:val="4"/>
    </w:pPr>
    <w:rPr>
      <w:b/>
      <w:sz w:val="28"/>
      <w:szCs w:val="20"/>
    </w:rPr>
  </w:style>
  <w:style w:type="paragraph" w:styleId="9">
    <w:name w:val="heading 6"/>
    <w:basedOn w:val="1"/>
    <w:next w:val="8"/>
    <w:link w:val="144"/>
    <w:autoRedefine/>
    <w:qFormat/>
    <w:uiPriority w:val="0"/>
    <w:pPr>
      <w:keepNext/>
      <w:keepLines/>
      <w:numPr>
        <w:ilvl w:val="5"/>
        <w:numId w:val="1"/>
      </w:numPr>
      <w:spacing w:before="240" w:after="64" w:line="317" w:lineRule="auto"/>
      <w:outlineLvl w:val="5"/>
    </w:pPr>
    <w:rPr>
      <w:rFonts w:ascii="Arial" w:hAnsi="Arial" w:eastAsia="黑体"/>
      <w:b/>
      <w:sz w:val="24"/>
      <w:szCs w:val="20"/>
    </w:rPr>
  </w:style>
  <w:style w:type="paragraph" w:styleId="10">
    <w:name w:val="heading 7"/>
    <w:basedOn w:val="1"/>
    <w:next w:val="8"/>
    <w:link w:val="150"/>
    <w:qFormat/>
    <w:uiPriority w:val="0"/>
    <w:pPr>
      <w:keepNext/>
      <w:keepLines/>
      <w:numPr>
        <w:ilvl w:val="6"/>
        <w:numId w:val="1"/>
      </w:numPr>
      <w:spacing w:before="240" w:after="64" w:line="317" w:lineRule="auto"/>
      <w:outlineLvl w:val="6"/>
    </w:pPr>
    <w:rPr>
      <w:b/>
      <w:sz w:val="24"/>
      <w:szCs w:val="20"/>
    </w:rPr>
  </w:style>
  <w:style w:type="paragraph" w:styleId="11">
    <w:name w:val="heading 8"/>
    <w:basedOn w:val="1"/>
    <w:next w:val="8"/>
    <w:link w:val="151"/>
    <w:autoRedefine/>
    <w:qFormat/>
    <w:uiPriority w:val="0"/>
    <w:pPr>
      <w:keepNext/>
      <w:keepLines/>
      <w:numPr>
        <w:ilvl w:val="7"/>
        <w:numId w:val="1"/>
      </w:numPr>
      <w:spacing w:before="240" w:after="64" w:line="317" w:lineRule="auto"/>
      <w:outlineLvl w:val="7"/>
    </w:pPr>
    <w:rPr>
      <w:rFonts w:ascii="Arial" w:hAnsi="Arial" w:eastAsia="黑体"/>
      <w:sz w:val="24"/>
      <w:szCs w:val="20"/>
    </w:rPr>
  </w:style>
  <w:style w:type="paragraph" w:styleId="12">
    <w:name w:val="heading 9"/>
    <w:basedOn w:val="1"/>
    <w:next w:val="8"/>
    <w:link w:val="152"/>
    <w:autoRedefine/>
    <w:qFormat/>
    <w:uiPriority w:val="0"/>
    <w:pPr>
      <w:keepNext/>
      <w:keepLines/>
      <w:numPr>
        <w:ilvl w:val="8"/>
        <w:numId w:val="1"/>
      </w:numPr>
      <w:spacing w:before="240" w:after="64" w:line="317" w:lineRule="auto"/>
      <w:outlineLvl w:val="8"/>
    </w:pPr>
    <w:rPr>
      <w:rFonts w:ascii="Arial" w:hAnsi="Arial" w:eastAsia="黑体"/>
      <w:szCs w:val="20"/>
    </w:rPr>
  </w:style>
  <w:style w:type="character" w:default="1" w:styleId="50">
    <w:name w:val="Default Paragraph Font"/>
    <w:semiHidden/>
    <w:unhideWhenUsed/>
    <w:qFormat/>
    <w:uiPriority w:val="1"/>
  </w:style>
  <w:style w:type="table" w:default="1" w:styleId="48">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98"/>
    <w:qFormat/>
    <w:uiPriority w:val="0"/>
    <w:pPr>
      <w:tabs>
        <w:tab w:val="center" w:pos="4153"/>
        <w:tab w:val="right" w:pos="8306"/>
      </w:tabs>
      <w:snapToGrid w:val="0"/>
      <w:jc w:val="left"/>
    </w:pPr>
    <w:rPr>
      <w:rFonts w:ascii="宋体" w:hAnsi="Courier New"/>
      <w:sz w:val="18"/>
      <w:szCs w:val="20"/>
    </w:rPr>
  </w:style>
  <w:style w:type="paragraph" w:styleId="8">
    <w:name w:val="Normal Indent"/>
    <w:basedOn w:val="1"/>
    <w:qFormat/>
    <w:uiPriority w:val="0"/>
    <w:pPr>
      <w:ind w:firstLine="420"/>
    </w:pPr>
    <w:rPr>
      <w:szCs w:val="20"/>
    </w:rPr>
  </w:style>
  <w:style w:type="paragraph" w:styleId="13">
    <w:name w:val="toc 7"/>
    <w:basedOn w:val="1"/>
    <w:next w:val="1"/>
    <w:autoRedefine/>
    <w:qFormat/>
    <w:uiPriority w:val="0"/>
    <w:pPr>
      <w:tabs>
        <w:tab w:val="right" w:leader="dot" w:pos="9185"/>
      </w:tabs>
      <w:adjustRightInd w:val="0"/>
      <w:spacing w:line="312" w:lineRule="atLeast"/>
      <w:ind w:left="2520"/>
      <w:textAlignment w:val="baseline"/>
    </w:pPr>
    <w:rPr>
      <w:kern w:val="0"/>
      <w:szCs w:val="20"/>
    </w:rPr>
  </w:style>
  <w:style w:type="paragraph" w:styleId="14">
    <w:name w:val="List Number"/>
    <w:basedOn w:val="1"/>
    <w:autoRedefine/>
    <w:qFormat/>
    <w:uiPriority w:val="0"/>
    <w:pPr>
      <w:widowControl/>
      <w:tabs>
        <w:tab w:val="left" w:pos="454"/>
        <w:tab w:val="left" w:pos="720"/>
        <w:tab w:val="left" w:pos="840"/>
      </w:tabs>
      <w:spacing w:afterLines="50"/>
      <w:ind w:left="454" w:hanging="284"/>
      <w:jc w:val="left"/>
    </w:pPr>
    <w:rPr>
      <w:kern w:val="0"/>
      <w:sz w:val="24"/>
      <w:szCs w:val="20"/>
    </w:rPr>
  </w:style>
  <w:style w:type="paragraph" w:styleId="15">
    <w:name w:val="caption"/>
    <w:basedOn w:val="1"/>
    <w:next w:val="1"/>
    <w:qFormat/>
    <w:uiPriority w:val="0"/>
    <w:pPr>
      <w:spacing w:before="152" w:after="160"/>
    </w:pPr>
    <w:rPr>
      <w:rFonts w:ascii="Arial" w:hAnsi="Arial" w:eastAsia="黑体" w:cs="Arial"/>
      <w:sz w:val="20"/>
      <w:szCs w:val="20"/>
    </w:rPr>
  </w:style>
  <w:style w:type="paragraph" w:styleId="16">
    <w:name w:val="Document Map"/>
    <w:basedOn w:val="1"/>
    <w:autoRedefine/>
    <w:qFormat/>
    <w:uiPriority w:val="0"/>
    <w:pPr>
      <w:shd w:val="clear" w:color="auto" w:fill="000080"/>
    </w:pPr>
  </w:style>
  <w:style w:type="paragraph" w:styleId="17">
    <w:name w:val="annotation text"/>
    <w:basedOn w:val="1"/>
    <w:link w:val="101"/>
    <w:autoRedefine/>
    <w:qFormat/>
    <w:uiPriority w:val="0"/>
    <w:pPr>
      <w:jc w:val="left"/>
    </w:pPr>
  </w:style>
  <w:style w:type="paragraph" w:styleId="18">
    <w:name w:val="Body Text 3"/>
    <w:basedOn w:val="1"/>
    <w:link w:val="103"/>
    <w:qFormat/>
    <w:uiPriority w:val="0"/>
    <w:pPr>
      <w:spacing w:line="500" w:lineRule="exact"/>
    </w:pPr>
    <w:rPr>
      <w:b/>
      <w:bCs/>
      <w:sz w:val="24"/>
    </w:rPr>
  </w:style>
  <w:style w:type="paragraph" w:styleId="19">
    <w:name w:val="Body Text"/>
    <w:basedOn w:val="1"/>
    <w:next w:val="1"/>
    <w:link w:val="153"/>
    <w:autoRedefine/>
    <w:qFormat/>
    <w:uiPriority w:val="0"/>
    <w:pPr>
      <w:autoSpaceDE w:val="0"/>
      <w:autoSpaceDN w:val="0"/>
      <w:adjustRightInd w:val="0"/>
      <w:spacing w:after="120"/>
      <w:jc w:val="left"/>
    </w:pPr>
    <w:rPr>
      <w:rFonts w:ascii="宋体"/>
      <w:kern w:val="0"/>
      <w:sz w:val="34"/>
      <w:szCs w:val="20"/>
    </w:rPr>
  </w:style>
  <w:style w:type="paragraph" w:styleId="20">
    <w:name w:val="Body Text Indent"/>
    <w:basedOn w:val="1"/>
    <w:qFormat/>
    <w:uiPriority w:val="0"/>
    <w:pPr>
      <w:spacing w:line="200" w:lineRule="exact"/>
      <w:ind w:firstLine="301"/>
    </w:pPr>
    <w:rPr>
      <w:rFonts w:ascii="宋体" w:hAnsi="Courier New"/>
      <w:spacing w:val="-4"/>
      <w:sz w:val="18"/>
      <w:szCs w:val="20"/>
    </w:rPr>
  </w:style>
  <w:style w:type="paragraph" w:styleId="21">
    <w:name w:val="List Number 3"/>
    <w:basedOn w:val="1"/>
    <w:autoRedefine/>
    <w:qFormat/>
    <w:uiPriority w:val="0"/>
    <w:pPr>
      <w:numPr>
        <w:ilvl w:val="0"/>
        <w:numId w:val="2"/>
      </w:numPr>
      <w:tabs>
        <w:tab w:val="left" w:pos="1200"/>
      </w:tabs>
    </w:pPr>
  </w:style>
  <w:style w:type="paragraph" w:styleId="22">
    <w:name w:val="List 2"/>
    <w:basedOn w:val="1"/>
    <w:autoRedefine/>
    <w:qFormat/>
    <w:uiPriority w:val="0"/>
    <w:pPr>
      <w:ind w:left="100" w:leftChars="200" w:hanging="200" w:hangingChars="200"/>
    </w:pPr>
    <w:rPr>
      <w:sz w:val="28"/>
    </w:rPr>
  </w:style>
  <w:style w:type="paragraph" w:styleId="23">
    <w:name w:val="Block Text"/>
    <w:basedOn w:val="1"/>
    <w:qFormat/>
    <w:uiPriority w:val="0"/>
    <w:pPr>
      <w:adjustRightInd w:val="0"/>
      <w:ind w:left="420" w:right="33"/>
      <w:jc w:val="left"/>
      <w:textAlignment w:val="baseline"/>
    </w:pPr>
    <w:rPr>
      <w:kern w:val="0"/>
      <w:sz w:val="24"/>
      <w:szCs w:val="20"/>
    </w:rPr>
  </w:style>
  <w:style w:type="paragraph" w:styleId="24">
    <w:name w:val="toc 5"/>
    <w:basedOn w:val="1"/>
    <w:next w:val="1"/>
    <w:qFormat/>
    <w:uiPriority w:val="0"/>
    <w:pPr>
      <w:tabs>
        <w:tab w:val="right" w:leader="dot" w:pos="9185"/>
      </w:tabs>
      <w:adjustRightInd w:val="0"/>
      <w:spacing w:line="312" w:lineRule="atLeast"/>
      <w:ind w:left="1680"/>
      <w:textAlignment w:val="baseline"/>
    </w:pPr>
    <w:rPr>
      <w:kern w:val="0"/>
      <w:szCs w:val="20"/>
    </w:rPr>
  </w:style>
  <w:style w:type="paragraph" w:styleId="25">
    <w:name w:val="toc 3"/>
    <w:basedOn w:val="1"/>
    <w:next w:val="1"/>
    <w:autoRedefine/>
    <w:qFormat/>
    <w:uiPriority w:val="0"/>
    <w:pPr>
      <w:ind w:left="840" w:leftChars="400"/>
    </w:pPr>
  </w:style>
  <w:style w:type="paragraph" w:styleId="26">
    <w:name w:val="Plain Text"/>
    <w:basedOn w:val="1"/>
    <w:link w:val="245"/>
    <w:qFormat/>
    <w:uiPriority w:val="0"/>
    <w:rPr>
      <w:rFonts w:ascii="宋体" w:hAnsi="Courier New"/>
      <w:szCs w:val="20"/>
    </w:rPr>
  </w:style>
  <w:style w:type="paragraph" w:styleId="27">
    <w:name w:val="toc 8"/>
    <w:basedOn w:val="1"/>
    <w:next w:val="1"/>
    <w:autoRedefine/>
    <w:qFormat/>
    <w:uiPriority w:val="0"/>
    <w:pPr>
      <w:tabs>
        <w:tab w:val="right" w:leader="dot" w:pos="9185"/>
      </w:tabs>
      <w:adjustRightInd w:val="0"/>
      <w:spacing w:line="312" w:lineRule="atLeast"/>
      <w:ind w:left="2940"/>
      <w:textAlignment w:val="baseline"/>
    </w:pPr>
    <w:rPr>
      <w:kern w:val="0"/>
      <w:szCs w:val="20"/>
    </w:rPr>
  </w:style>
  <w:style w:type="paragraph" w:styleId="28">
    <w:name w:val="Date"/>
    <w:basedOn w:val="1"/>
    <w:next w:val="1"/>
    <w:qFormat/>
    <w:uiPriority w:val="0"/>
    <w:pPr>
      <w:ind w:left="100" w:leftChars="2500"/>
    </w:pPr>
    <w:rPr>
      <w:spacing w:val="30"/>
      <w:sz w:val="28"/>
    </w:rPr>
  </w:style>
  <w:style w:type="paragraph" w:styleId="29">
    <w:name w:val="Body Text Indent 2"/>
    <w:basedOn w:val="1"/>
    <w:qFormat/>
    <w:uiPriority w:val="0"/>
    <w:pPr>
      <w:spacing w:line="400" w:lineRule="exact"/>
      <w:ind w:firstLine="480"/>
    </w:pPr>
  </w:style>
  <w:style w:type="paragraph" w:styleId="30">
    <w:name w:val="Balloon Text"/>
    <w:basedOn w:val="1"/>
    <w:autoRedefine/>
    <w:qFormat/>
    <w:uiPriority w:val="0"/>
    <w:rPr>
      <w:sz w:val="18"/>
      <w:szCs w:val="18"/>
    </w:rPr>
  </w:style>
  <w:style w:type="paragraph" w:styleId="31">
    <w:name w:val="header"/>
    <w:basedOn w:val="1"/>
    <w:link w:val="90"/>
    <w:autoRedefine/>
    <w:qFormat/>
    <w:uiPriority w:val="0"/>
    <w:pPr>
      <w:pBdr>
        <w:bottom w:val="single" w:color="auto" w:sz="6" w:space="1"/>
      </w:pBdr>
      <w:tabs>
        <w:tab w:val="center" w:pos="4153"/>
        <w:tab w:val="right" w:pos="8306"/>
      </w:tabs>
      <w:snapToGrid w:val="0"/>
      <w:jc w:val="center"/>
    </w:pPr>
    <w:rPr>
      <w:rFonts w:ascii="宋体" w:hAnsi="Courier New"/>
      <w:sz w:val="18"/>
      <w:szCs w:val="20"/>
    </w:rPr>
  </w:style>
  <w:style w:type="paragraph" w:styleId="32">
    <w:name w:val="toc 1"/>
    <w:basedOn w:val="1"/>
    <w:next w:val="1"/>
    <w:qFormat/>
    <w:uiPriority w:val="0"/>
    <w:pPr>
      <w:tabs>
        <w:tab w:val="right" w:leader="dot" w:pos="8398"/>
      </w:tabs>
      <w:spacing w:before="120" w:after="120"/>
      <w:ind w:firstLine="240" w:firstLineChars="100"/>
      <w:jc w:val="left"/>
    </w:pPr>
    <w:rPr>
      <w:rFonts w:ascii="宋体" w:hAnsi="宋体"/>
      <w:b/>
      <w:bCs/>
      <w:caps/>
      <w:sz w:val="24"/>
    </w:rPr>
  </w:style>
  <w:style w:type="paragraph" w:styleId="33">
    <w:name w:val="toc 4"/>
    <w:basedOn w:val="1"/>
    <w:next w:val="1"/>
    <w:qFormat/>
    <w:uiPriority w:val="0"/>
    <w:pPr>
      <w:tabs>
        <w:tab w:val="right" w:leader="dot" w:pos="9185"/>
      </w:tabs>
      <w:adjustRightInd w:val="0"/>
      <w:spacing w:line="312" w:lineRule="atLeast"/>
      <w:ind w:left="1260"/>
      <w:textAlignment w:val="baseline"/>
    </w:pPr>
    <w:rPr>
      <w:kern w:val="0"/>
      <w:szCs w:val="20"/>
    </w:rPr>
  </w:style>
  <w:style w:type="paragraph" w:styleId="34">
    <w:name w:val="List"/>
    <w:basedOn w:val="1"/>
    <w:autoRedefine/>
    <w:qFormat/>
    <w:uiPriority w:val="0"/>
    <w:pPr>
      <w:ind w:left="200" w:hanging="200" w:hangingChars="200"/>
    </w:pPr>
    <w:rPr>
      <w:sz w:val="28"/>
    </w:rPr>
  </w:style>
  <w:style w:type="paragraph" w:styleId="35">
    <w:name w:val="toc 6"/>
    <w:basedOn w:val="1"/>
    <w:next w:val="1"/>
    <w:autoRedefine/>
    <w:qFormat/>
    <w:uiPriority w:val="0"/>
    <w:pPr>
      <w:tabs>
        <w:tab w:val="right" w:leader="dot" w:pos="9185"/>
      </w:tabs>
      <w:adjustRightInd w:val="0"/>
      <w:spacing w:line="312" w:lineRule="atLeast"/>
      <w:ind w:left="2100"/>
      <w:textAlignment w:val="baseline"/>
    </w:pPr>
    <w:rPr>
      <w:kern w:val="0"/>
      <w:szCs w:val="20"/>
    </w:rPr>
  </w:style>
  <w:style w:type="paragraph" w:styleId="36">
    <w:name w:val="List 5"/>
    <w:basedOn w:val="1"/>
    <w:qFormat/>
    <w:uiPriority w:val="0"/>
    <w:pPr>
      <w:ind w:left="2100" w:hanging="420"/>
    </w:pPr>
    <w:rPr>
      <w:szCs w:val="20"/>
    </w:rPr>
  </w:style>
  <w:style w:type="paragraph" w:styleId="37">
    <w:name w:val="Body Text Indent 3"/>
    <w:basedOn w:val="1"/>
    <w:qFormat/>
    <w:uiPriority w:val="0"/>
    <w:pPr>
      <w:spacing w:line="360" w:lineRule="auto"/>
      <w:ind w:firstLine="359" w:firstLineChars="171"/>
    </w:pPr>
  </w:style>
  <w:style w:type="paragraph" w:styleId="38">
    <w:name w:val="toc 2"/>
    <w:basedOn w:val="1"/>
    <w:next w:val="1"/>
    <w:qFormat/>
    <w:uiPriority w:val="0"/>
    <w:pPr>
      <w:ind w:left="420" w:leftChars="200"/>
    </w:pPr>
  </w:style>
  <w:style w:type="paragraph" w:styleId="39">
    <w:name w:val="toc 9"/>
    <w:basedOn w:val="1"/>
    <w:next w:val="1"/>
    <w:autoRedefine/>
    <w:qFormat/>
    <w:uiPriority w:val="0"/>
    <w:pPr>
      <w:tabs>
        <w:tab w:val="right" w:leader="dot" w:pos="9185"/>
      </w:tabs>
      <w:adjustRightInd w:val="0"/>
      <w:spacing w:line="312" w:lineRule="atLeast"/>
      <w:ind w:left="3360"/>
      <w:textAlignment w:val="baseline"/>
    </w:pPr>
    <w:rPr>
      <w:kern w:val="0"/>
      <w:szCs w:val="20"/>
    </w:rPr>
  </w:style>
  <w:style w:type="paragraph" w:styleId="40">
    <w:name w:val="Body Text 2"/>
    <w:basedOn w:val="1"/>
    <w:autoRedefine/>
    <w:qFormat/>
    <w:uiPriority w:val="0"/>
    <w:pPr>
      <w:spacing w:after="120" w:line="480" w:lineRule="auto"/>
    </w:p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42">
    <w:name w:val="Normal (Web)"/>
    <w:basedOn w:val="1"/>
    <w:qFormat/>
    <w:uiPriority w:val="0"/>
    <w:rPr>
      <w:sz w:val="24"/>
    </w:rPr>
  </w:style>
  <w:style w:type="paragraph" w:styleId="43">
    <w:name w:val="index 1"/>
    <w:basedOn w:val="1"/>
    <w:next w:val="1"/>
    <w:autoRedefine/>
    <w:qFormat/>
    <w:uiPriority w:val="0"/>
    <w:pPr>
      <w:spacing w:line="360" w:lineRule="exact"/>
      <w:ind w:firstLine="432" w:firstLineChars="240"/>
    </w:pPr>
    <w:rPr>
      <w:rFonts w:ascii="宋体" w:hAnsi="宋体"/>
      <w:bCs/>
      <w:sz w:val="18"/>
      <w:szCs w:val="18"/>
    </w:rPr>
  </w:style>
  <w:style w:type="paragraph" w:styleId="44">
    <w:name w:val="Title"/>
    <w:basedOn w:val="1"/>
    <w:next w:val="1"/>
    <w:autoRedefine/>
    <w:qFormat/>
    <w:uiPriority w:val="0"/>
    <w:pPr>
      <w:spacing w:before="240" w:after="60"/>
      <w:jc w:val="center"/>
      <w:outlineLvl w:val="0"/>
    </w:pPr>
    <w:rPr>
      <w:rFonts w:ascii="Arial" w:hAnsi="Arial"/>
      <w:b/>
      <w:sz w:val="32"/>
      <w:szCs w:val="20"/>
    </w:rPr>
  </w:style>
  <w:style w:type="paragraph" w:styleId="45">
    <w:name w:val="annotation subject"/>
    <w:basedOn w:val="17"/>
    <w:next w:val="17"/>
    <w:qFormat/>
    <w:uiPriority w:val="0"/>
    <w:rPr>
      <w:b/>
      <w:bCs/>
    </w:rPr>
  </w:style>
  <w:style w:type="paragraph" w:styleId="46">
    <w:name w:val="Body Text First Indent"/>
    <w:basedOn w:val="19"/>
    <w:autoRedefine/>
    <w:qFormat/>
    <w:uiPriority w:val="0"/>
    <w:pPr>
      <w:adjustRightInd w:val="0"/>
      <w:snapToGrid w:val="0"/>
      <w:spacing w:after="120" w:line="360" w:lineRule="auto"/>
      <w:ind w:right="240" w:firstLine="420" w:firstLineChars="100"/>
      <w:jc w:val="left"/>
    </w:pPr>
    <w:rPr>
      <w:rFonts w:ascii="宋体" w:hAnsi="宋体" w:eastAsia="方正仿宋_GBK"/>
      <w:kern w:val="2"/>
      <w:sz w:val="21"/>
      <w:szCs w:val="28"/>
    </w:rPr>
  </w:style>
  <w:style w:type="paragraph" w:styleId="47">
    <w:name w:val="Body Text First Indent 2"/>
    <w:basedOn w:val="20"/>
    <w:unhideWhenUsed/>
    <w:qFormat/>
    <w:uiPriority w:val="99"/>
    <w:pPr>
      <w:ind w:firstLine="0"/>
    </w:pPr>
    <w:rPr>
      <w:rFonts w:hint="eastAsia" w:ascii="Times New Roman" w:hAnsi="Times New Roman"/>
      <w:sz w:val="22"/>
    </w:rPr>
  </w:style>
  <w:style w:type="table" w:styleId="49">
    <w:name w:val="Table Grid"/>
    <w:basedOn w:val="4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1">
    <w:name w:val="Strong"/>
    <w:basedOn w:val="50"/>
    <w:autoRedefine/>
    <w:qFormat/>
    <w:uiPriority w:val="0"/>
    <w:rPr>
      <w:b/>
      <w:bCs/>
    </w:rPr>
  </w:style>
  <w:style w:type="character" w:styleId="52">
    <w:name w:val="page number"/>
    <w:basedOn w:val="50"/>
    <w:autoRedefine/>
    <w:qFormat/>
    <w:uiPriority w:val="0"/>
  </w:style>
  <w:style w:type="character" w:styleId="53">
    <w:name w:val="FollowedHyperlink"/>
    <w:autoRedefine/>
    <w:qFormat/>
    <w:uiPriority w:val="0"/>
    <w:rPr>
      <w:color w:val="800080"/>
      <w:u w:val="single"/>
    </w:rPr>
  </w:style>
  <w:style w:type="character" w:styleId="54">
    <w:name w:val="Hyperlink"/>
    <w:autoRedefine/>
    <w:qFormat/>
    <w:uiPriority w:val="0"/>
    <w:rPr>
      <w:color w:val="0000FF"/>
      <w:u w:val="single"/>
    </w:rPr>
  </w:style>
  <w:style w:type="character" w:styleId="55">
    <w:name w:val="HTML Code"/>
    <w:qFormat/>
    <w:uiPriority w:val="0"/>
    <w:rPr>
      <w:rFonts w:ascii="宋体" w:hAnsi="宋体" w:eastAsia="宋体" w:cs="宋体"/>
      <w:sz w:val="24"/>
      <w:szCs w:val="24"/>
    </w:rPr>
  </w:style>
  <w:style w:type="character" w:styleId="56">
    <w:name w:val="annotation reference"/>
    <w:autoRedefine/>
    <w:qFormat/>
    <w:uiPriority w:val="99"/>
    <w:rPr>
      <w:sz w:val="21"/>
    </w:rPr>
  </w:style>
  <w:style w:type="paragraph" w:customStyle="1" w:styleId="57">
    <w:name w:val="章标题"/>
    <w:next w:val="1"/>
    <w:autoRedefine/>
    <w:qFormat/>
    <w:uiPriority w:val="99"/>
    <w:pPr>
      <w:spacing w:beforeLines="50" w:afterLines="50" w:line="336" w:lineRule="auto"/>
      <w:jc w:val="both"/>
      <w:outlineLvl w:val="1"/>
    </w:pPr>
    <w:rPr>
      <w:rFonts w:ascii="黑体" w:hAnsi="Times New Roman" w:eastAsia="黑体" w:cs="Times New Roman"/>
      <w:sz w:val="21"/>
      <w:szCs w:val="21"/>
      <w:lang w:val="en-US" w:eastAsia="zh-CN" w:bidi="ar-SA"/>
    </w:rPr>
  </w:style>
  <w:style w:type="paragraph" w:customStyle="1" w:styleId="58">
    <w:name w:val="Default"/>
    <w:basedOn w:val="44"/>
    <w:autoRedefine/>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59">
    <w:name w:val="TOC 标题1"/>
    <w:basedOn w:val="3"/>
    <w:next w:val="1"/>
    <w:qFormat/>
    <w:uiPriority w:val="0"/>
    <w:pPr>
      <w:spacing w:before="480" w:line="276" w:lineRule="auto"/>
      <w:outlineLvl w:val="9"/>
    </w:pPr>
    <w:rPr>
      <w:rFonts w:ascii="仿宋" w:hAnsi="仿宋" w:eastAsia="仿宋"/>
      <w:color w:val="000000"/>
      <w:kern w:val="0"/>
      <w:szCs w:val="32"/>
    </w:rPr>
  </w:style>
  <w:style w:type="paragraph" w:customStyle="1" w:styleId="60">
    <w:name w:val="首行缩进"/>
    <w:basedOn w:val="1"/>
    <w:qFormat/>
    <w:uiPriority w:val="0"/>
    <w:pPr>
      <w:ind w:firstLine="480" w:firstLineChars="200"/>
    </w:pPr>
    <w:rPr>
      <w:lang w:val="zh-CN"/>
    </w:rPr>
  </w:style>
  <w:style w:type="character" w:customStyle="1" w:styleId="61">
    <w:name w:val="style54"/>
    <w:basedOn w:val="50"/>
    <w:autoRedefine/>
    <w:qFormat/>
    <w:uiPriority w:val="0"/>
  </w:style>
  <w:style w:type="character" w:customStyle="1" w:styleId="62">
    <w:name w:val="1051"/>
    <w:autoRedefine/>
    <w:qFormat/>
    <w:uiPriority w:val="0"/>
    <w:rPr>
      <w:sz w:val="21"/>
      <w:szCs w:val="21"/>
    </w:rPr>
  </w:style>
  <w:style w:type="character" w:customStyle="1" w:styleId="63">
    <w:name w:val="style31"/>
    <w:qFormat/>
    <w:uiPriority w:val="0"/>
    <w:rPr>
      <w:sz w:val="18"/>
      <w:szCs w:val="18"/>
    </w:rPr>
  </w:style>
  <w:style w:type="character" w:customStyle="1" w:styleId="64">
    <w:name w:val="unnamed21"/>
    <w:basedOn w:val="50"/>
    <w:autoRedefine/>
    <w:qFormat/>
    <w:uiPriority w:val="0"/>
  </w:style>
  <w:style w:type="character" w:customStyle="1" w:styleId="65">
    <w:name w:val="Char Char2"/>
    <w:qFormat/>
    <w:uiPriority w:val="0"/>
    <w:rPr>
      <w:rFonts w:ascii="宋体" w:hAnsi="Courier New" w:eastAsia="宋体"/>
      <w:spacing w:val="-4"/>
      <w:kern w:val="2"/>
      <w:sz w:val="18"/>
      <w:lang w:val="en-US" w:eastAsia="zh-CN" w:bidi="ar-SA"/>
    </w:rPr>
  </w:style>
  <w:style w:type="character" w:customStyle="1" w:styleId="66">
    <w:name w:val="style51"/>
    <w:basedOn w:val="50"/>
    <w:autoRedefine/>
    <w:qFormat/>
    <w:uiPriority w:val="0"/>
  </w:style>
  <w:style w:type="character" w:customStyle="1" w:styleId="67">
    <w:name w:val="普通文字 Char Char1"/>
    <w:autoRedefine/>
    <w:qFormat/>
    <w:uiPriority w:val="0"/>
    <w:rPr>
      <w:rFonts w:ascii="宋体" w:hAnsi="Courier New" w:eastAsia="宋体"/>
      <w:kern w:val="2"/>
      <w:sz w:val="21"/>
      <w:lang w:val="en-US" w:eastAsia="zh-CN" w:bidi="ar-SA"/>
    </w:rPr>
  </w:style>
  <w:style w:type="character" w:customStyle="1" w:styleId="68">
    <w:name w:val="apple-style-span"/>
    <w:basedOn w:val="50"/>
    <w:qFormat/>
    <w:uiPriority w:val="0"/>
  </w:style>
  <w:style w:type="paragraph" w:customStyle="1" w:styleId="69">
    <w:name w:val="Char Char Char Char Char Char Char"/>
    <w:basedOn w:val="1"/>
    <w:autoRedefine/>
    <w:qFormat/>
    <w:uiPriority w:val="0"/>
  </w:style>
  <w:style w:type="paragraph" w:customStyle="1" w:styleId="70">
    <w:name w:val="默认段落字体 Para Char1"/>
    <w:next w:val="1"/>
    <w:autoRedefine/>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71">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0"/>
      <w:szCs w:val="20"/>
    </w:rPr>
  </w:style>
  <w:style w:type="paragraph" w:customStyle="1" w:styleId="72">
    <w:name w:val="默认段落字体 Char Char Char"/>
    <w:basedOn w:val="1"/>
    <w:autoRedefine/>
    <w:qFormat/>
    <w:uiPriority w:val="0"/>
    <w:pPr>
      <w:widowControl/>
    </w:pPr>
    <w:rPr>
      <w:rFonts w:ascii="Arial" w:hAnsi="Arial" w:cs="Arial"/>
      <w:sz w:val="22"/>
      <w:szCs w:val="22"/>
      <w:lang w:eastAsia="en-US"/>
    </w:rPr>
  </w:style>
  <w:style w:type="paragraph" w:customStyle="1" w:styleId="73">
    <w:name w:val="样式1"/>
    <w:basedOn w:val="1"/>
    <w:autoRedefine/>
    <w:qFormat/>
    <w:uiPriority w:val="0"/>
  </w:style>
  <w:style w:type="paragraph" w:customStyle="1" w:styleId="74">
    <w:name w:val="Char"/>
    <w:basedOn w:val="16"/>
    <w:autoRedefine/>
    <w:qFormat/>
    <w:uiPriority w:val="0"/>
    <w:rPr>
      <w:rFonts w:ascii="Tahoma" w:hAnsi="Tahoma"/>
      <w:sz w:val="24"/>
    </w:rPr>
  </w:style>
  <w:style w:type="paragraph" w:customStyle="1" w:styleId="75">
    <w:name w:val="Char Char Char"/>
    <w:basedOn w:val="1"/>
    <w:autoRedefine/>
    <w:qFormat/>
    <w:uiPriority w:val="0"/>
    <w:rPr>
      <w:rFonts w:ascii="Tahoma" w:hAnsi="Tahoma"/>
      <w:sz w:val="24"/>
      <w:szCs w:val="20"/>
    </w:rPr>
  </w:style>
  <w:style w:type="paragraph" w:customStyle="1" w:styleId="76">
    <w:name w:val="font5"/>
    <w:basedOn w:val="1"/>
    <w:autoRedefine/>
    <w:qFormat/>
    <w:uiPriority w:val="0"/>
    <w:pPr>
      <w:widowControl/>
      <w:spacing w:before="100" w:beforeAutospacing="1" w:after="100" w:afterAutospacing="1"/>
      <w:jc w:val="left"/>
    </w:pPr>
    <w:rPr>
      <w:rFonts w:hint="eastAsia" w:ascii="宋体" w:hAnsi="宋体"/>
      <w:kern w:val="0"/>
      <w:sz w:val="18"/>
      <w:szCs w:val="18"/>
    </w:rPr>
  </w:style>
  <w:style w:type="paragraph" w:customStyle="1" w:styleId="77">
    <w:name w:val="默认段落字体 Para Char Char Char Char Char Char Char Char Char Char"/>
    <w:basedOn w:val="1"/>
    <w:autoRedefine/>
    <w:qFormat/>
    <w:uiPriority w:val="0"/>
  </w:style>
  <w:style w:type="paragraph" w:customStyle="1" w:styleId="78">
    <w:name w:val="F2"/>
    <w:basedOn w:val="1"/>
    <w:qFormat/>
    <w:uiPriority w:val="0"/>
    <w:pPr>
      <w:autoSpaceDE w:val="0"/>
      <w:autoSpaceDN w:val="0"/>
      <w:adjustRightInd w:val="0"/>
      <w:ind w:firstLine="601"/>
      <w:textAlignment w:val="baseline"/>
    </w:pPr>
    <w:rPr>
      <w:kern w:val="0"/>
      <w:sz w:val="24"/>
      <w:szCs w:val="20"/>
    </w:rPr>
  </w:style>
  <w:style w:type="paragraph" w:customStyle="1" w:styleId="79">
    <w:name w:val="xl31"/>
    <w:basedOn w:val="1"/>
    <w:autoRedefine/>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80">
    <w:name w:val="xl2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0"/>
      <w:szCs w:val="20"/>
    </w:rPr>
  </w:style>
  <w:style w:type="paragraph" w:customStyle="1" w:styleId="81">
    <w:name w:val="xl2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0"/>
      <w:szCs w:val="20"/>
    </w:rPr>
  </w:style>
  <w:style w:type="paragraph" w:customStyle="1" w:styleId="82">
    <w:name w:val="Char Char Char Char Char Char1 Char"/>
    <w:basedOn w:val="1"/>
    <w:autoRedefine/>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3">
    <w:name w:val="xl2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kern w:val="0"/>
      <w:sz w:val="20"/>
      <w:szCs w:val="20"/>
    </w:rPr>
  </w:style>
  <w:style w:type="paragraph" w:customStyle="1" w:styleId="84">
    <w:name w:val="样式3"/>
    <w:basedOn w:val="19"/>
    <w:autoRedefine/>
    <w:qFormat/>
    <w:uiPriority w:val="0"/>
    <w:pPr>
      <w:autoSpaceDE/>
      <w:autoSpaceDN/>
      <w:adjustRightInd/>
      <w:spacing w:line="360" w:lineRule="auto"/>
      <w:jc w:val="both"/>
    </w:pPr>
    <w:rPr>
      <w:kern w:val="2"/>
      <w:sz w:val="21"/>
      <w:szCs w:val="24"/>
    </w:rPr>
  </w:style>
  <w:style w:type="paragraph" w:customStyle="1" w:styleId="85">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86">
    <w:name w:val="Char Char Char Char Char Char1 Char1"/>
    <w:basedOn w:val="1"/>
    <w:autoRedefine/>
    <w:qFormat/>
    <w:uiPriority w:val="0"/>
    <w:pPr>
      <w:widowControl/>
      <w:spacing w:after="160" w:line="240" w:lineRule="exact"/>
      <w:jc w:val="left"/>
    </w:pPr>
    <w:rPr>
      <w:rFonts w:ascii="Arial" w:hAnsi="Arial" w:eastAsia="楷体_GB2312" w:cs="Verdana"/>
      <w:b/>
      <w:kern w:val="0"/>
      <w:sz w:val="24"/>
      <w:lang w:eastAsia="en-US"/>
    </w:rPr>
  </w:style>
  <w:style w:type="paragraph" w:customStyle="1" w:styleId="87">
    <w:name w:val="列出段落1"/>
    <w:autoRedefine/>
    <w:qFormat/>
    <w:uiPriority w:val="0"/>
    <w:pPr>
      <w:ind w:firstLine="420" w:firstLineChars="200"/>
    </w:pPr>
    <w:rPr>
      <w:rFonts w:ascii="Calibri" w:hAnsi="Calibri" w:eastAsia="宋体" w:cs="Times New Roman"/>
      <w:lang w:val="en-US" w:eastAsia="zh-CN" w:bidi="ar-SA"/>
    </w:rPr>
  </w:style>
  <w:style w:type="character" w:customStyle="1" w:styleId="88">
    <w:name w:val="apple-converted-space"/>
    <w:basedOn w:val="50"/>
    <w:autoRedefine/>
    <w:qFormat/>
    <w:uiPriority w:val="0"/>
  </w:style>
  <w:style w:type="paragraph" w:customStyle="1" w:styleId="89">
    <w:name w:val="Char Char Char Char"/>
    <w:basedOn w:val="1"/>
    <w:autoRedefine/>
    <w:qFormat/>
    <w:uiPriority w:val="0"/>
    <w:rPr>
      <w:szCs w:val="20"/>
    </w:rPr>
  </w:style>
  <w:style w:type="character" w:customStyle="1" w:styleId="90">
    <w:name w:val="页眉 Char"/>
    <w:link w:val="31"/>
    <w:autoRedefine/>
    <w:qFormat/>
    <w:uiPriority w:val="0"/>
    <w:rPr>
      <w:rFonts w:ascii="宋体" w:hAnsi="Courier New" w:eastAsia="宋体"/>
      <w:kern w:val="2"/>
      <w:sz w:val="18"/>
      <w:lang w:val="en-US" w:eastAsia="zh-CN" w:bidi="ar-SA"/>
    </w:rPr>
  </w:style>
  <w:style w:type="character" w:customStyle="1" w:styleId="91">
    <w:name w:val="chart1"/>
    <w:autoRedefine/>
    <w:qFormat/>
    <w:uiPriority w:val="0"/>
    <w:rPr>
      <w:rFonts w:hint="default" w:ascii="Verdana" w:hAnsi="Verdana"/>
      <w:color w:val="000000"/>
      <w:sz w:val="16"/>
      <w:szCs w:val="16"/>
    </w:rPr>
  </w:style>
  <w:style w:type="character" w:customStyle="1" w:styleId="92">
    <w:name w:val="1ji Char Char"/>
    <w:link w:val="93"/>
    <w:autoRedefine/>
    <w:qFormat/>
    <w:uiPriority w:val="0"/>
    <w:rPr>
      <w:rFonts w:ascii="宋体" w:hAnsi="宋体" w:eastAsia="宋体"/>
      <w:b/>
      <w:bCs/>
      <w:kern w:val="44"/>
      <w:sz w:val="36"/>
      <w:szCs w:val="44"/>
      <w:lang w:val="en-US" w:eastAsia="zh-CN" w:bidi="ar-SA"/>
    </w:rPr>
  </w:style>
  <w:style w:type="paragraph" w:customStyle="1" w:styleId="93">
    <w:name w:val="1ji"/>
    <w:basedOn w:val="3"/>
    <w:link w:val="92"/>
    <w:autoRedefine/>
    <w:qFormat/>
    <w:uiPriority w:val="0"/>
    <w:pPr>
      <w:widowControl/>
      <w:spacing w:line="240" w:lineRule="auto"/>
      <w:jc w:val="center"/>
    </w:pPr>
    <w:rPr>
      <w:rFonts w:ascii="宋体" w:hAnsi="宋体"/>
      <w:kern w:val="44"/>
      <w:sz w:val="36"/>
      <w:szCs w:val="44"/>
    </w:rPr>
  </w:style>
  <w:style w:type="character" w:customStyle="1" w:styleId="94">
    <w:name w:val="标题 3 Char"/>
    <w:link w:val="5"/>
    <w:autoRedefine/>
    <w:qFormat/>
    <w:uiPriority w:val="9"/>
    <w:rPr>
      <w:rFonts w:eastAsia="宋体"/>
      <w:b/>
      <w:bCs/>
      <w:kern w:val="2"/>
      <w:sz w:val="32"/>
      <w:szCs w:val="32"/>
      <w:lang w:val="en-US" w:eastAsia="zh-CN" w:bidi="ar-SA"/>
    </w:rPr>
  </w:style>
  <w:style w:type="character" w:customStyle="1" w:styleId="95">
    <w:name w:val="Char Char3"/>
    <w:autoRedefine/>
    <w:qFormat/>
    <w:uiPriority w:val="0"/>
    <w:rPr>
      <w:rFonts w:eastAsia="宋体"/>
      <w:kern w:val="2"/>
      <w:sz w:val="21"/>
      <w:szCs w:val="24"/>
      <w:lang w:val="en-US" w:eastAsia="zh-CN" w:bidi="ar-SA"/>
    </w:rPr>
  </w:style>
  <w:style w:type="character" w:customStyle="1" w:styleId="96">
    <w:name w:val="1ji Char Char Char"/>
    <w:autoRedefine/>
    <w:qFormat/>
    <w:uiPriority w:val="0"/>
    <w:rPr>
      <w:rFonts w:ascii="宋体" w:hAnsi="宋体" w:eastAsia="宋体"/>
      <w:b/>
      <w:bCs/>
      <w:kern w:val="44"/>
      <w:sz w:val="36"/>
      <w:szCs w:val="44"/>
      <w:lang w:val="en-US" w:eastAsia="zh-CN" w:bidi="ar-SA"/>
    </w:rPr>
  </w:style>
  <w:style w:type="character" w:customStyle="1" w:styleId="97">
    <w:name w:val="标题 1 Char"/>
    <w:link w:val="3"/>
    <w:autoRedefine/>
    <w:qFormat/>
    <w:uiPriority w:val="0"/>
    <w:rPr>
      <w:rFonts w:eastAsia="宋体"/>
      <w:b/>
      <w:bCs/>
      <w:kern w:val="2"/>
      <w:sz w:val="21"/>
      <w:szCs w:val="24"/>
      <w:lang w:val="en-US" w:eastAsia="zh-CN" w:bidi="ar-SA"/>
    </w:rPr>
  </w:style>
  <w:style w:type="character" w:customStyle="1" w:styleId="98">
    <w:name w:val="页脚 Char"/>
    <w:link w:val="2"/>
    <w:autoRedefine/>
    <w:qFormat/>
    <w:uiPriority w:val="0"/>
    <w:rPr>
      <w:rFonts w:ascii="宋体" w:hAnsi="Courier New" w:eastAsia="宋体"/>
      <w:kern w:val="2"/>
      <w:sz w:val="18"/>
      <w:lang w:val="en-US" w:eastAsia="zh-CN" w:bidi="ar-SA"/>
    </w:rPr>
  </w:style>
  <w:style w:type="character" w:customStyle="1" w:styleId="99">
    <w:name w:val="case31"/>
    <w:autoRedefine/>
    <w:qFormat/>
    <w:uiPriority w:val="0"/>
    <w:rPr>
      <w:rFonts w:hint="default"/>
      <w:sz w:val="21"/>
      <w:szCs w:val="21"/>
    </w:rPr>
  </w:style>
  <w:style w:type="character" w:customStyle="1" w:styleId="100">
    <w:name w:val="标题 2 Char"/>
    <w:link w:val="4"/>
    <w:autoRedefine/>
    <w:qFormat/>
    <w:uiPriority w:val="0"/>
    <w:rPr>
      <w:rFonts w:ascii="Arial" w:hAnsi="Arial" w:eastAsia="黑体"/>
      <w:b/>
      <w:bCs/>
      <w:kern w:val="2"/>
      <w:sz w:val="32"/>
      <w:szCs w:val="32"/>
      <w:lang w:val="en-US" w:eastAsia="zh-CN" w:bidi="ar-SA"/>
    </w:rPr>
  </w:style>
  <w:style w:type="character" w:customStyle="1" w:styleId="101">
    <w:name w:val="批注文字 Char"/>
    <w:link w:val="17"/>
    <w:autoRedefine/>
    <w:qFormat/>
    <w:uiPriority w:val="0"/>
    <w:rPr>
      <w:rFonts w:eastAsia="宋体"/>
      <w:kern w:val="2"/>
      <w:sz w:val="21"/>
      <w:szCs w:val="24"/>
      <w:lang w:val="en-US" w:eastAsia="zh-CN" w:bidi="ar-SA"/>
    </w:rPr>
  </w:style>
  <w:style w:type="character" w:customStyle="1" w:styleId="102">
    <w:name w:val="062"/>
    <w:autoRedefine/>
    <w:qFormat/>
    <w:uiPriority w:val="0"/>
    <w:rPr>
      <w:rFonts w:ascii="宋体" w:hAnsi="宋体"/>
      <w:b/>
      <w:bCs/>
      <w:sz w:val="32"/>
    </w:rPr>
  </w:style>
  <w:style w:type="character" w:customStyle="1" w:styleId="103">
    <w:name w:val="正文文本 3 Char"/>
    <w:link w:val="18"/>
    <w:autoRedefine/>
    <w:qFormat/>
    <w:uiPriority w:val="0"/>
    <w:rPr>
      <w:rFonts w:eastAsia="宋体"/>
      <w:b/>
      <w:bCs/>
      <w:kern w:val="2"/>
      <w:sz w:val="24"/>
      <w:szCs w:val="24"/>
      <w:lang w:val="en-US" w:eastAsia="zh-CN" w:bidi="ar-SA"/>
    </w:rPr>
  </w:style>
  <w:style w:type="character" w:customStyle="1" w:styleId="104">
    <w:name w:val="正文YANG Char Char"/>
    <w:link w:val="105"/>
    <w:autoRedefine/>
    <w:qFormat/>
    <w:uiPriority w:val="0"/>
    <w:rPr>
      <w:rFonts w:ascii="Calibri" w:hAnsi="Calibri" w:eastAsia="华文中宋"/>
      <w:kern w:val="2"/>
      <w:sz w:val="24"/>
      <w:szCs w:val="24"/>
      <w:lang w:val="en-US" w:eastAsia="zh-CN" w:bidi="ar-SA"/>
    </w:rPr>
  </w:style>
  <w:style w:type="paragraph" w:customStyle="1" w:styleId="105">
    <w:name w:val="正文YANG"/>
    <w:basedOn w:val="1"/>
    <w:link w:val="104"/>
    <w:autoRedefine/>
    <w:qFormat/>
    <w:uiPriority w:val="0"/>
    <w:rPr>
      <w:rFonts w:ascii="Calibri" w:hAnsi="Calibri" w:eastAsia="华文中宋"/>
      <w:sz w:val="24"/>
    </w:rPr>
  </w:style>
  <w:style w:type="character" w:customStyle="1" w:styleId="106">
    <w:name w:val="Char Char5"/>
    <w:autoRedefine/>
    <w:qFormat/>
    <w:uiPriority w:val="0"/>
    <w:rPr>
      <w:rFonts w:ascii="仿宋_GB2312" w:eastAsia="仿宋_GB2312"/>
      <w:kern w:val="2"/>
      <w:sz w:val="32"/>
      <w:lang w:val="en-US" w:eastAsia="zh-CN" w:bidi="ar-SA"/>
    </w:rPr>
  </w:style>
  <w:style w:type="character" w:customStyle="1" w:styleId="107">
    <w:name w:val="Normal Indent Char Char"/>
    <w:autoRedefine/>
    <w:qFormat/>
    <w:uiPriority w:val="0"/>
    <w:rPr>
      <w:rFonts w:eastAsia="宋体"/>
      <w:kern w:val="2"/>
      <w:sz w:val="21"/>
      <w:lang w:val="en-US" w:eastAsia="zh-CN"/>
    </w:rPr>
  </w:style>
  <w:style w:type="character" w:customStyle="1" w:styleId="108">
    <w:name w:val="body1"/>
    <w:autoRedefine/>
    <w:qFormat/>
    <w:uiPriority w:val="0"/>
    <w:rPr>
      <w:rFonts w:hint="default" w:ascii="Verdana" w:hAnsi="Verdana"/>
      <w:color w:val="000000"/>
      <w:sz w:val="19"/>
      <w:szCs w:val="19"/>
    </w:rPr>
  </w:style>
  <w:style w:type="paragraph" w:customStyle="1" w:styleId="109">
    <w:name w:val="Char1 Char Char Char Char Char Char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110">
    <w:name w:val="彩色列表 - 强调文字颜色 11"/>
    <w:basedOn w:val="1"/>
    <w:autoRedefine/>
    <w:qFormat/>
    <w:uiPriority w:val="0"/>
    <w:pPr>
      <w:ind w:firstLine="200" w:firstLineChars="200"/>
    </w:pPr>
    <w:rPr>
      <w:rFonts w:ascii="Calibri" w:hAnsi="Calibri" w:cs="Calibri"/>
      <w:sz w:val="24"/>
    </w:rPr>
  </w:style>
  <w:style w:type="paragraph" w:customStyle="1" w:styleId="111">
    <w:name w:val="Char Char Char1"/>
    <w:basedOn w:val="1"/>
    <w:autoRedefine/>
    <w:qFormat/>
    <w:uiPriority w:val="0"/>
    <w:rPr>
      <w:rFonts w:ascii="Tahoma" w:hAnsi="Tahoma"/>
      <w:sz w:val="24"/>
      <w:szCs w:val="20"/>
    </w:rPr>
  </w:style>
  <w:style w:type="paragraph" w:customStyle="1" w:styleId="112">
    <w:name w:val="正文段"/>
    <w:basedOn w:val="1"/>
    <w:autoRedefine/>
    <w:qFormat/>
    <w:uiPriority w:val="0"/>
    <w:pPr>
      <w:widowControl/>
      <w:snapToGrid w:val="0"/>
      <w:spacing w:afterLines="50"/>
      <w:ind w:firstLine="200" w:firstLineChars="200"/>
    </w:pPr>
    <w:rPr>
      <w:kern w:val="0"/>
      <w:sz w:val="24"/>
      <w:szCs w:val="20"/>
    </w:rPr>
  </w:style>
  <w:style w:type="paragraph" w:customStyle="1" w:styleId="113">
    <w:name w:val="Default Paragraph Font Para Char Char Char Char Char Char"/>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114">
    <w:name w:val="默认段落字体 Para Char Char Char Char Char Char Char"/>
    <w:basedOn w:val="1"/>
    <w:autoRedefine/>
    <w:qFormat/>
    <w:uiPriority w:val="0"/>
    <w:rPr>
      <w:rFonts w:ascii="Tahoma" w:hAnsi="Tahoma" w:cs="Tahoma"/>
      <w:sz w:val="24"/>
    </w:rPr>
  </w:style>
  <w:style w:type="paragraph" w:customStyle="1" w:styleId="115">
    <w:name w:val="默认段落字体 Para Char Char Char Char Char Char Char Char Char1 Char Char Char Char"/>
    <w:basedOn w:val="1"/>
    <w:autoRedefine/>
    <w:qFormat/>
    <w:uiPriority w:val="0"/>
    <w:rPr>
      <w:rFonts w:ascii="Tahoma" w:hAnsi="Tahoma"/>
      <w:sz w:val="24"/>
      <w:szCs w:val="20"/>
    </w:rPr>
  </w:style>
  <w:style w:type="paragraph" w:customStyle="1" w:styleId="116">
    <w:name w:val="表格"/>
    <w:basedOn w:val="1"/>
    <w:autoRedefine/>
    <w:qFormat/>
    <w:uiPriority w:val="0"/>
    <w:pPr>
      <w:spacing w:line="400" w:lineRule="exact"/>
    </w:pPr>
    <w:rPr>
      <w:sz w:val="24"/>
    </w:rPr>
  </w:style>
  <w:style w:type="paragraph" w:customStyle="1" w:styleId="117">
    <w:name w:val="列出段落11"/>
    <w:basedOn w:val="1"/>
    <w:autoRedefine/>
    <w:qFormat/>
    <w:uiPriority w:val="0"/>
    <w:pPr>
      <w:ind w:firstLine="420" w:firstLineChars="200"/>
    </w:pPr>
    <w:rPr>
      <w:rFonts w:ascii="Calibri" w:hAnsi="Calibri"/>
      <w:szCs w:val="22"/>
    </w:rPr>
  </w:style>
  <w:style w:type="paragraph" w:customStyle="1" w:styleId="118">
    <w:name w:val="1"/>
    <w:basedOn w:val="1"/>
    <w:next w:val="26"/>
    <w:autoRedefine/>
    <w:qFormat/>
    <w:uiPriority w:val="0"/>
    <w:rPr>
      <w:rFonts w:ascii="宋体" w:hAnsi="Courier New"/>
      <w:szCs w:val="20"/>
    </w:rPr>
  </w:style>
  <w:style w:type="paragraph" w:customStyle="1" w:styleId="119">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20">
    <w:name w:val="默认段落字体 Para Char Char Char Char"/>
    <w:basedOn w:val="1"/>
    <w:autoRedefine/>
    <w:qFormat/>
    <w:uiPriority w:val="0"/>
    <w:pPr>
      <w:spacing w:line="560" w:lineRule="exact"/>
      <w:ind w:firstLine="640" w:firstLineChars="200"/>
    </w:pPr>
    <w:rPr>
      <w:rFonts w:eastAsia="仿宋_GB2312"/>
      <w:kern w:val="0"/>
      <w:sz w:val="32"/>
      <w:szCs w:val="32"/>
    </w:rPr>
  </w:style>
  <w:style w:type="paragraph" w:customStyle="1" w:styleId="121">
    <w:name w:val="2ji"/>
    <w:basedOn w:val="4"/>
    <w:autoRedefine/>
    <w:qFormat/>
    <w:uiPriority w:val="0"/>
    <w:pPr>
      <w:adjustRightInd w:val="0"/>
      <w:spacing w:before="0" w:after="0" w:line="360" w:lineRule="auto"/>
      <w:textAlignment w:val="baseline"/>
    </w:pPr>
    <w:rPr>
      <w:rFonts w:ascii="宋体" w:hAnsi="宋体" w:eastAsia="宋体"/>
      <w:kern w:val="0"/>
      <w:sz w:val="21"/>
      <w:szCs w:val="21"/>
    </w:rPr>
  </w:style>
  <w:style w:type="paragraph" w:customStyle="1" w:styleId="122">
    <w:name w:val="444"/>
    <w:basedOn w:val="1"/>
    <w:autoRedefine/>
    <w:qFormat/>
    <w:uiPriority w:val="0"/>
    <w:pPr>
      <w:adjustRightInd w:val="0"/>
      <w:spacing w:line="312" w:lineRule="atLeast"/>
      <w:jc w:val="center"/>
      <w:textAlignment w:val="baseline"/>
    </w:pPr>
    <w:rPr>
      <w:b/>
      <w:kern w:val="0"/>
      <w:sz w:val="36"/>
      <w:szCs w:val="36"/>
    </w:rPr>
  </w:style>
  <w:style w:type="paragraph" w:customStyle="1" w:styleId="123">
    <w:name w:val="Char1"/>
    <w:basedOn w:val="1"/>
    <w:autoRedefine/>
    <w:qFormat/>
    <w:uiPriority w:val="0"/>
    <w:rPr>
      <w:szCs w:val="21"/>
    </w:rPr>
  </w:style>
  <w:style w:type="paragraph" w:customStyle="1" w:styleId="124">
    <w:name w:val="Char3"/>
    <w:basedOn w:val="1"/>
    <w:autoRedefine/>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25">
    <w:name w:val="普通(网站)1"/>
    <w:basedOn w:val="1"/>
    <w:autoRedefine/>
    <w:qFormat/>
    <w:uiPriority w:val="0"/>
    <w:pPr>
      <w:widowControl/>
      <w:spacing w:beforeLines="50" w:beforeAutospacing="1" w:afterLines="50" w:afterAutospacing="1"/>
      <w:ind w:firstLine="200" w:firstLineChars="200"/>
      <w:jc w:val="left"/>
    </w:pPr>
    <w:rPr>
      <w:rFonts w:ascii="宋体" w:hAnsi="宋体" w:cs="宋体"/>
      <w:kern w:val="0"/>
      <w:sz w:val="24"/>
    </w:rPr>
  </w:style>
  <w:style w:type="paragraph" w:customStyle="1" w:styleId="126">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27">
    <w:name w:val="Char Char Char Char Char Char Char1"/>
    <w:basedOn w:val="1"/>
    <w:autoRedefine/>
    <w:qFormat/>
    <w:uiPriority w:val="0"/>
  </w:style>
  <w:style w:type="paragraph" w:customStyle="1" w:styleId="128">
    <w:name w:val="默认段落字体 Para Char Char Char Char Char Char Char Char Char Cha标题1r"/>
    <w:basedOn w:val="1"/>
    <w:autoRedefine/>
    <w:qFormat/>
    <w:uiPriority w:val="0"/>
    <w:pPr>
      <w:jc w:val="center"/>
    </w:pPr>
  </w:style>
  <w:style w:type="paragraph" w:customStyle="1" w:styleId="129">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30">
    <w:name w:val="2-2ji"/>
    <w:basedOn w:val="4"/>
    <w:autoRedefine/>
    <w:qFormat/>
    <w:uiPriority w:val="0"/>
    <w:pPr>
      <w:adjustRightInd w:val="0"/>
      <w:spacing w:before="0" w:after="0" w:line="360" w:lineRule="auto"/>
      <w:jc w:val="center"/>
      <w:textAlignment w:val="baseline"/>
    </w:pPr>
    <w:rPr>
      <w:rFonts w:ascii="宋体" w:hAnsi="宋体" w:eastAsia="宋体"/>
      <w:bCs w:val="0"/>
      <w:kern w:val="0"/>
      <w:sz w:val="36"/>
    </w:rPr>
  </w:style>
  <w:style w:type="paragraph" w:customStyle="1" w:styleId="131">
    <w:name w:val="表内文字"/>
    <w:basedOn w:val="1"/>
    <w:autoRedefine/>
    <w:qFormat/>
    <w:uiPriority w:val="0"/>
    <w:pPr>
      <w:snapToGrid w:val="0"/>
      <w:spacing w:before="50" w:after="50"/>
      <w:jc w:val="center"/>
    </w:pPr>
    <w:rPr>
      <w:rFonts w:ascii="仿宋_GB2312" w:hAnsi="宋体" w:eastAsia="仿宋_GB2312"/>
      <w:b/>
      <w:color w:val="000000"/>
      <w:sz w:val="32"/>
      <w:szCs w:val="32"/>
    </w:rPr>
  </w:style>
  <w:style w:type="paragraph" w:customStyle="1" w:styleId="132">
    <w:name w:val="样式 首行缩进:  2 字符"/>
    <w:basedOn w:val="1"/>
    <w:autoRedefine/>
    <w:qFormat/>
    <w:uiPriority w:val="0"/>
    <w:pPr>
      <w:spacing w:line="400" w:lineRule="exact"/>
      <w:ind w:firstLine="200" w:firstLineChars="200"/>
    </w:pPr>
    <w:rPr>
      <w:rFonts w:cs="宋体"/>
      <w:sz w:val="24"/>
    </w:rPr>
  </w:style>
  <w:style w:type="paragraph" w:customStyle="1" w:styleId="133">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4">
    <w:name w:val="正文首行缩进两字符"/>
    <w:basedOn w:val="1"/>
    <w:autoRedefine/>
    <w:qFormat/>
    <w:uiPriority w:val="0"/>
    <w:pPr>
      <w:spacing w:line="360" w:lineRule="auto"/>
      <w:ind w:firstLine="200" w:firstLineChars="200"/>
    </w:pPr>
  </w:style>
  <w:style w:type="character" w:customStyle="1" w:styleId="135">
    <w:name w:val="H1 Char"/>
    <w:autoRedefine/>
    <w:qFormat/>
    <w:uiPriority w:val="0"/>
    <w:rPr>
      <w:rFonts w:eastAsia="宋体"/>
      <w:b/>
      <w:bCs/>
      <w:kern w:val="44"/>
      <w:sz w:val="44"/>
      <w:szCs w:val="44"/>
      <w:lang w:val="en-US" w:eastAsia="zh-CN" w:bidi="ar-SA"/>
    </w:rPr>
  </w:style>
  <w:style w:type="character" w:customStyle="1" w:styleId="136">
    <w:name w:val="小标题 Char"/>
    <w:autoRedefine/>
    <w:qFormat/>
    <w:uiPriority w:val="0"/>
    <w:rPr>
      <w:rFonts w:eastAsia="宋体"/>
      <w:b/>
      <w:bCs/>
      <w:kern w:val="2"/>
      <w:sz w:val="32"/>
      <w:szCs w:val="32"/>
      <w:lang w:val="en-US" w:eastAsia="zh-CN" w:bidi="ar-SA"/>
    </w:rPr>
  </w:style>
  <w:style w:type="character" w:customStyle="1" w:styleId="137">
    <w:name w:val="1ji Char"/>
    <w:autoRedefine/>
    <w:qFormat/>
    <w:uiPriority w:val="0"/>
    <w:rPr>
      <w:rFonts w:ascii="宋体" w:hAnsi="宋体" w:eastAsia="宋体"/>
      <w:b/>
      <w:bCs/>
      <w:kern w:val="44"/>
      <w:sz w:val="36"/>
      <w:szCs w:val="44"/>
      <w:lang w:val="en-US" w:eastAsia="zh-CN" w:bidi="ar-SA"/>
    </w:rPr>
  </w:style>
  <w:style w:type="character" w:customStyle="1" w:styleId="138">
    <w:name w:val="正文文字首行缩进 Char1"/>
    <w:autoRedefine/>
    <w:qFormat/>
    <w:uiPriority w:val="0"/>
    <w:rPr>
      <w:rFonts w:ascii="仿宋_GB2312" w:eastAsia="仿宋_GB2312"/>
      <w:kern w:val="2"/>
      <w:sz w:val="32"/>
      <w:lang w:val="en-US" w:eastAsia="zh-CN" w:bidi="ar-SA"/>
    </w:rPr>
  </w:style>
  <w:style w:type="character" w:customStyle="1" w:styleId="139">
    <w:name w:val="h Char"/>
    <w:autoRedefine/>
    <w:qFormat/>
    <w:uiPriority w:val="0"/>
    <w:rPr>
      <w:rFonts w:eastAsia="宋体"/>
      <w:kern w:val="2"/>
      <w:sz w:val="18"/>
      <w:szCs w:val="18"/>
      <w:lang w:val="en-US" w:eastAsia="zh-CN" w:bidi="ar-SA"/>
    </w:rPr>
  </w:style>
  <w:style w:type="character" w:customStyle="1" w:styleId="140">
    <w:name w:val="fo Char"/>
    <w:autoRedefine/>
    <w:qFormat/>
    <w:uiPriority w:val="0"/>
    <w:rPr>
      <w:rFonts w:eastAsia="宋体"/>
      <w:kern w:val="2"/>
      <w:sz w:val="18"/>
      <w:szCs w:val="18"/>
      <w:lang w:val="en-US" w:eastAsia="zh-CN" w:bidi="ar-SA"/>
    </w:rPr>
  </w:style>
  <w:style w:type="paragraph" w:customStyle="1" w:styleId="141">
    <w:name w:val="Char11"/>
    <w:basedOn w:val="1"/>
    <w:autoRedefine/>
    <w:qFormat/>
    <w:uiPriority w:val="0"/>
    <w:rPr>
      <w:rFonts w:ascii="仿宋_GB2312" w:eastAsia="仿宋_GB2312"/>
      <w:b/>
      <w:sz w:val="32"/>
      <w:szCs w:val="32"/>
    </w:rPr>
  </w:style>
  <w:style w:type="character" w:customStyle="1" w:styleId="142">
    <w:name w:val="unnamed11"/>
    <w:autoRedefine/>
    <w:qFormat/>
    <w:uiPriority w:val="0"/>
    <w:rPr>
      <w:color w:val="auto"/>
      <w:sz w:val="18"/>
      <w:szCs w:val="18"/>
    </w:rPr>
  </w:style>
  <w:style w:type="character" w:customStyle="1" w:styleId="143">
    <w:name w:val="A4"/>
    <w:autoRedefine/>
    <w:qFormat/>
    <w:uiPriority w:val="0"/>
    <w:rPr>
      <w:color w:val="000000"/>
    </w:rPr>
  </w:style>
  <w:style w:type="character" w:customStyle="1" w:styleId="144">
    <w:name w:val="标题 6 Char"/>
    <w:link w:val="9"/>
    <w:autoRedefine/>
    <w:qFormat/>
    <w:uiPriority w:val="0"/>
    <w:rPr>
      <w:rFonts w:ascii="Arial" w:hAnsi="Arial" w:eastAsia="黑体"/>
      <w:b/>
      <w:kern w:val="2"/>
      <w:sz w:val="24"/>
    </w:rPr>
  </w:style>
  <w:style w:type="character" w:customStyle="1" w:styleId="145">
    <w:name w:val="正文文字首行缩进 Char"/>
    <w:autoRedefine/>
    <w:qFormat/>
    <w:uiPriority w:val="0"/>
    <w:rPr>
      <w:rFonts w:ascii="仿宋_GB2312" w:eastAsia="仿宋_GB2312"/>
      <w:kern w:val="2"/>
      <w:sz w:val="32"/>
      <w:lang w:val="en-US" w:eastAsia="zh-CN" w:bidi="ar-SA"/>
    </w:rPr>
  </w:style>
  <w:style w:type="paragraph" w:customStyle="1" w:styleId="146">
    <w:name w:val="列出段落2"/>
    <w:basedOn w:val="1"/>
    <w:autoRedefine/>
    <w:qFormat/>
    <w:uiPriority w:val="0"/>
    <w:pPr>
      <w:ind w:firstLine="420" w:firstLineChars="200"/>
    </w:pPr>
    <w:rPr>
      <w:rFonts w:ascii="Calibri" w:hAnsi="Calibri" w:cs="Calibri"/>
      <w:szCs w:val="21"/>
    </w:rPr>
  </w:style>
  <w:style w:type="character" w:customStyle="1" w:styleId="147">
    <w:name w:val="标题 5 Char"/>
    <w:link w:val="7"/>
    <w:autoRedefine/>
    <w:qFormat/>
    <w:uiPriority w:val="0"/>
    <w:rPr>
      <w:b/>
      <w:kern w:val="2"/>
      <w:sz w:val="28"/>
    </w:rPr>
  </w:style>
  <w:style w:type="character" w:customStyle="1" w:styleId="148">
    <w:name w:val="Heading 2 Hidden Char"/>
    <w:autoRedefine/>
    <w:qFormat/>
    <w:uiPriority w:val="0"/>
    <w:rPr>
      <w:rFonts w:ascii="Arial" w:hAnsi="Arial" w:eastAsia="黑体"/>
      <w:b/>
      <w:bCs/>
      <w:kern w:val="2"/>
      <w:sz w:val="32"/>
      <w:szCs w:val="32"/>
      <w:lang w:val="en-US" w:eastAsia="zh-CN" w:bidi="ar-SA"/>
    </w:rPr>
  </w:style>
  <w:style w:type="character" w:customStyle="1" w:styleId="149">
    <w:name w:val="标题 4 Char"/>
    <w:link w:val="6"/>
    <w:autoRedefine/>
    <w:qFormat/>
    <w:uiPriority w:val="0"/>
    <w:rPr>
      <w:rFonts w:ascii="宋体" w:hAnsi="Arial" w:eastAsia="黑体"/>
      <w:b/>
      <w:kern w:val="2"/>
      <w:sz w:val="24"/>
    </w:rPr>
  </w:style>
  <w:style w:type="character" w:customStyle="1" w:styleId="150">
    <w:name w:val="标题 7 Char"/>
    <w:link w:val="10"/>
    <w:autoRedefine/>
    <w:qFormat/>
    <w:uiPriority w:val="0"/>
    <w:rPr>
      <w:b/>
      <w:kern w:val="2"/>
      <w:sz w:val="24"/>
    </w:rPr>
  </w:style>
  <w:style w:type="character" w:customStyle="1" w:styleId="151">
    <w:name w:val="标题 8 Char"/>
    <w:link w:val="11"/>
    <w:autoRedefine/>
    <w:qFormat/>
    <w:uiPriority w:val="0"/>
    <w:rPr>
      <w:rFonts w:ascii="Arial" w:hAnsi="Arial" w:eastAsia="黑体"/>
      <w:kern w:val="2"/>
      <w:sz w:val="24"/>
    </w:rPr>
  </w:style>
  <w:style w:type="character" w:customStyle="1" w:styleId="152">
    <w:name w:val="标题 9 Char"/>
    <w:link w:val="12"/>
    <w:autoRedefine/>
    <w:qFormat/>
    <w:uiPriority w:val="0"/>
    <w:rPr>
      <w:rFonts w:ascii="Arial" w:hAnsi="Arial" w:eastAsia="黑体"/>
      <w:kern w:val="2"/>
      <w:sz w:val="21"/>
    </w:rPr>
  </w:style>
  <w:style w:type="character" w:customStyle="1" w:styleId="153">
    <w:name w:val="正文文本 Char"/>
    <w:link w:val="19"/>
    <w:autoRedefine/>
    <w:qFormat/>
    <w:uiPriority w:val="0"/>
    <w:rPr>
      <w:rFonts w:ascii="宋体" w:eastAsia="宋体"/>
      <w:sz w:val="34"/>
      <w:lang w:val="en-US" w:eastAsia="zh-CN" w:bidi="ar-SA"/>
    </w:rPr>
  </w:style>
  <w:style w:type="character" w:customStyle="1" w:styleId="154">
    <w:name w:val="18h1"/>
    <w:autoRedefine/>
    <w:qFormat/>
    <w:uiPriority w:val="0"/>
    <w:rPr>
      <w:color w:val="3B3B3B"/>
    </w:rPr>
  </w:style>
  <w:style w:type="character" w:customStyle="1" w:styleId="155">
    <w:name w:val="链接"/>
    <w:autoRedefine/>
    <w:qFormat/>
    <w:uiPriority w:val="0"/>
    <w:rPr>
      <w:rFonts w:ascii="Times New Roman" w:eastAsia="宋体"/>
      <w:color w:val="0000FF"/>
      <w:sz w:val="21"/>
      <w:u w:val="single" w:color="0000FF"/>
      <w:vertAlign w:val="baseline"/>
      <w:lang w:val="en-US" w:eastAsia="zh-CN"/>
    </w:rPr>
  </w:style>
  <w:style w:type="character" w:customStyle="1" w:styleId="156">
    <w:name w:val="超级链接"/>
    <w:autoRedefine/>
    <w:qFormat/>
    <w:uiPriority w:val="0"/>
    <w:rPr>
      <w:rFonts w:ascii="Times New Roman" w:eastAsia="宋体"/>
      <w:color w:val="0000FF"/>
      <w:sz w:val="21"/>
      <w:u w:val="single" w:color="0000FF"/>
      <w:vertAlign w:val="baseline"/>
      <w:lang w:val="en-US" w:eastAsia="zh-CN"/>
    </w:rPr>
  </w:style>
  <w:style w:type="paragraph" w:customStyle="1" w:styleId="157">
    <w:name w:val="目录1"/>
    <w:basedOn w:val="1"/>
    <w:next w:val="1"/>
    <w:autoRedefine/>
    <w:qFormat/>
    <w:uiPriority w:val="0"/>
    <w:pPr>
      <w:widowControl/>
      <w:tabs>
        <w:tab w:val="left" w:leader="dot" w:pos="8503"/>
      </w:tabs>
      <w:spacing w:after="136" w:line="289" w:lineRule="atLeast"/>
      <w:jc w:val="left"/>
      <w:textAlignment w:val="baseline"/>
    </w:pPr>
    <w:rPr>
      <w:rFonts w:ascii="Arial" w:eastAsia="黑体"/>
      <w:color w:val="000000"/>
      <w:kern w:val="0"/>
      <w:sz w:val="28"/>
      <w:szCs w:val="20"/>
      <w:u w:color="000000"/>
    </w:rPr>
  </w:style>
  <w:style w:type="paragraph" w:customStyle="1" w:styleId="158">
    <w:name w:val="目录标题"/>
    <w:basedOn w:val="1"/>
    <w:next w:val="1"/>
    <w:autoRedefine/>
    <w:qFormat/>
    <w:uiPriority w:val="0"/>
    <w:pPr>
      <w:widowControl/>
      <w:spacing w:before="566" w:after="544" w:line="566" w:lineRule="atLeast"/>
      <w:ind w:firstLine="419"/>
      <w:jc w:val="center"/>
      <w:textAlignment w:val="baseline"/>
    </w:pPr>
    <w:rPr>
      <w:rFonts w:ascii="Arial" w:eastAsia="黑体"/>
      <w:color w:val="000000"/>
      <w:spacing w:val="566"/>
      <w:kern w:val="0"/>
      <w:sz w:val="54"/>
      <w:szCs w:val="20"/>
      <w:u w:color="000000"/>
    </w:rPr>
  </w:style>
  <w:style w:type="paragraph" w:customStyle="1" w:styleId="159">
    <w:name w:val="文章总标题"/>
    <w:basedOn w:val="1"/>
    <w:next w:val="160"/>
    <w:autoRedefine/>
    <w:qFormat/>
    <w:uiPriority w:val="0"/>
    <w:pPr>
      <w:widowControl/>
      <w:spacing w:before="566" w:after="544" w:line="566" w:lineRule="atLeast"/>
      <w:jc w:val="center"/>
      <w:textAlignment w:val="baseline"/>
    </w:pPr>
    <w:rPr>
      <w:rFonts w:ascii="Arial" w:eastAsia="黑体"/>
      <w:color w:val="000000"/>
      <w:kern w:val="0"/>
      <w:sz w:val="54"/>
      <w:szCs w:val="20"/>
      <w:u w:color="000000"/>
    </w:rPr>
  </w:style>
  <w:style w:type="paragraph" w:customStyle="1" w:styleId="160">
    <w:name w:val="文章附标题"/>
    <w:basedOn w:val="1"/>
    <w:next w:val="3"/>
    <w:autoRedefine/>
    <w:qFormat/>
    <w:uiPriority w:val="0"/>
    <w:pPr>
      <w:widowControl/>
      <w:spacing w:before="187" w:after="175" w:line="374" w:lineRule="atLeast"/>
      <w:jc w:val="center"/>
      <w:textAlignment w:val="baseline"/>
    </w:pPr>
    <w:rPr>
      <w:color w:val="000000"/>
      <w:kern w:val="0"/>
      <w:sz w:val="36"/>
      <w:szCs w:val="20"/>
      <w:u w:color="000000"/>
    </w:rPr>
  </w:style>
  <w:style w:type="paragraph" w:customStyle="1" w:styleId="161">
    <w:name w:val="节标题"/>
    <w:basedOn w:val="1"/>
    <w:next w:val="19"/>
    <w:autoRedefine/>
    <w:qFormat/>
    <w:uiPriority w:val="0"/>
    <w:pPr>
      <w:widowControl/>
      <w:spacing w:line="289" w:lineRule="atLeast"/>
      <w:jc w:val="center"/>
      <w:textAlignment w:val="baseline"/>
    </w:pPr>
    <w:rPr>
      <w:color w:val="000000"/>
      <w:kern w:val="0"/>
      <w:sz w:val="28"/>
      <w:szCs w:val="20"/>
      <w:u w:color="000000"/>
    </w:rPr>
  </w:style>
  <w:style w:type="paragraph" w:customStyle="1" w:styleId="162">
    <w:name w:val="小节标题"/>
    <w:basedOn w:val="1"/>
    <w:next w:val="1"/>
    <w:autoRedefine/>
    <w:qFormat/>
    <w:uiPriority w:val="0"/>
    <w:pPr>
      <w:widowControl/>
      <w:spacing w:before="175" w:after="102" w:line="351" w:lineRule="atLeast"/>
      <w:textAlignment w:val="baseline"/>
    </w:pPr>
    <w:rPr>
      <w:rFonts w:eastAsia="黑体"/>
      <w:color w:val="000000"/>
      <w:kern w:val="0"/>
      <w:szCs w:val="20"/>
      <w:u w:color="000000"/>
    </w:rPr>
  </w:style>
  <w:style w:type="paragraph" w:customStyle="1" w:styleId="163">
    <w:name w:val="目录3"/>
    <w:basedOn w:val="1"/>
    <w:next w:val="1"/>
    <w:autoRedefine/>
    <w:qFormat/>
    <w:uiPriority w:val="0"/>
    <w:pPr>
      <w:widowControl/>
      <w:tabs>
        <w:tab w:val="left" w:leader="dot" w:pos="8503"/>
      </w:tabs>
      <w:spacing w:line="317" w:lineRule="atLeast"/>
      <w:ind w:firstLine="419"/>
      <w:textAlignment w:val="baseline"/>
    </w:pPr>
    <w:rPr>
      <w:color w:val="000000"/>
      <w:kern w:val="0"/>
      <w:szCs w:val="20"/>
      <w:u w:color="000000"/>
    </w:rPr>
  </w:style>
  <w:style w:type="paragraph" w:customStyle="1" w:styleId="164">
    <w:name w:val="目录2"/>
    <w:basedOn w:val="1"/>
    <w:next w:val="1"/>
    <w:autoRedefine/>
    <w:qFormat/>
    <w:uiPriority w:val="0"/>
    <w:pPr>
      <w:widowControl/>
      <w:tabs>
        <w:tab w:val="left" w:leader="dot" w:pos="8503"/>
      </w:tabs>
      <w:spacing w:line="317" w:lineRule="atLeast"/>
      <w:ind w:firstLine="209"/>
      <w:textAlignment w:val="baseline"/>
    </w:pPr>
    <w:rPr>
      <w:color w:val="000000"/>
      <w:kern w:val="0"/>
      <w:szCs w:val="20"/>
      <w:u w:color="000000"/>
    </w:rPr>
  </w:style>
  <w:style w:type="paragraph" w:customStyle="1" w:styleId="165">
    <w:name w:val="目录4"/>
    <w:basedOn w:val="1"/>
    <w:next w:val="1"/>
    <w:autoRedefine/>
    <w:qFormat/>
    <w:uiPriority w:val="0"/>
    <w:pPr>
      <w:widowControl/>
      <w:tabs>
        <w:tab w:val="left" w:leader="dot" w:pos="8503"/>
      </w:tabs>
      <w:spacing w:line="317" w:lineRule="atLeast"/>
      <w:ind w:firstLine="629"/>
      <w:textAlignment w:val="baseline"/>
    </w:pPr>
    <w:rPr>
      <w:color w:val="000000"/>
      <w:kern w:val="0"/>
      <w:szCs w:val="20"/>
      <w:u w:color="000000"/>
    </w:rPr>
  </w:style>
  <w:style w:type="paragraph" w:customStyle="1" w:styleId="166">
    <w:name w:val="Char2"/>
    <w:basedOn w:val="1"/>
    <w:autoRedefine/>
    <w:qFormat/>
    <w:uiPriority w:val="0"/>
    <w:pPr>
      <w:widowControl/>
      <w:spacing w:after="160" w:line="240" w:lineRule="exact"/>
      <w:jc w:val="left"/>
    </w:pPr>
    <w:rPr>
      <w:rFonts w:ascii="Verdana" w:hAnsi="Verdana"/>
      <w:kern w:val="0"/>
      <w:szCs w:val="20"/>
      <w:lang w:eastAsia="en-US"/>
    </w:rPr>
  </w:style>
  <w:style w:type="paragraph" w:customStyle="1" w:styleId="167">
    <w:name w:val="Char Char Char Char Char Char Char Char Char Char Char Char Char Char Char Char"/>
    <w:basedOn w:val="1"/>
    <w:autoRedefine/>
    <w:qFormat/>
    <w:uiPriority w:val="0"/>
    <w:pPr>
      <w:tabs>
        <w:tab w:val="left" w:pos="360"/>
      </w:tabs>
      <w:spacing w:line="360" w:lineRule="auto"/>
      <w:ind w:left="482" w:firstLine="200" w:firstLineChars="200"/>
    </w:pPr>
    <w:rPr>
      <w:rFonts w:ascii="宋体"/>
      <w:sz w:val="24"/>
    </w:rPr>
  </w:style>
  <w:style w:type="paragraph" w:customStyle="1" w:styleId="168">
    <w:name w:val="样式 标题 2 + (西文) 宋体 非加粗 居中"/>
    <w:basedOn w:val="4"/>
    <w:autoRedefine/>
    <w:qFormat/>
    <w:uiPriority w:val="0"/>
    <w:pPr>
      <w:spacing w:line="416" w:lineRule="auto"/>
      <w:jc w:val="center"/>
    </w:pPr>
    <w:rPr>
      <w:rFonts w:ascii="宋体" w:hAnsi="宋体" w:cs="宋体"/>
      <w:b w:val="0"/>
      <w:bCs w:val="0"/>
      <w:spacing w:val="2"/>
      <w:sz w:val="28"/>
      <w:szCs w:val="20"/>
    </w:rPr>
  </w:style>
  <w:style w:type="character" w:customStyle="1" w:styleId="169">
    <w:name w:val="btn-lnk-alignl2"/>
    <w:autoRedefine/>
    <w:qFormat/>
    <w:uiPriority w:val="0"/>
  </w:style>
  <w:style w:type="paragraph" w:customStyle="1" w:styleId="170">
    <w:name w:val="Char Char Char Char1"/>
    <w:basedOn w:val="16"/>
    <w:autoRedefine/>
    <w:qFormat/>
    <w:uiPriority w:val="0"/>
    <w:pPr>
      <w:adjustRightInd w:val="0"/>
      <w:snapToGrid w:val="0"/>
      <w:spacing w:line="360" w:lineRule="auto"/>
    </w:pPr>
    <w:rPr>
      <w:rFonts w:ascii="Tahoma" w:hAnsi="Tahoma"/>
      <w:sz w:val="24"/>
    </w:rPr>
  </w:style>
  <w:style w:type="paragraph" w:customStyle="1" w:styleId="171">
    <w:name w:val="Char21"/>
    <w:basedOn w:val="1"/>
    <w:autoRedefine/>
    <w:qFormat/>
    <w:uiPriority w:val="0"/>
    <w:pPr>
      <w:widowControl/>
      <w:spacing w:after="160" w:line="240" w:lineRule="exact"/>
      <w:jc w:val="left"/>
    </w:pPr>
    <w:rPr>
      <w:rFonts w:ascii="Verdana" w:hAnsi="Verdana"/>
      <w:kern w:val="0"/>
      <w:szCs w:val="20"/>
      <w:lang w:eastAsia="en-US"/>
    </w:rPr>
  </w:style>
  <w:style w:type="paragraph" w:customStyle="1" w:styleId="172">
    <w:name w:val="段"/>
    <w:link w:val="173"/>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173">
    <w:name w:val="段 Char"/>
    <w:link w:val="172"/>
    <w:autoRedefine/>
    <w:qFormat/>
    <w:locked/>
    <w:uiPriority w:val="0"/>
    <w:rPr>
      <w:rFonts w:ascii="宋体"/>
      <w:sz w:val="21"/>
      <w:lang w:val="en-US" w:eastAsia="zh-CN" w:bidi="ar-SA"/>
    </w:rPr>
  </w:style>
  <w:style w:type="character" w:customStyle="1" w:styleId="174">
    <w:name w:val="d1"/>
    <w:autoRedefine/>
    <w:qFormat/>
    <w:uiPriority w:val="0"/>
    <w:rPr>
      <w:color w:val="000000"/>
      <w:sz w:val="21"/>
      <w:szCs w:val="21"/>
      <w:u w:val="none"/>
    </w:rPr>
  </w:style>
  <w:style w:type="paragraph" w:customStyle="1" w:styleId="175">
    <w:name w:val="xl35"/>
    <w:basedOn w:val="1"/>
    <w:autoRedefine/>
    <w:qFormat/>
    <w:uiPriority w:val="0"/>
    <w:pPr>
      <w:widowControl/>
      <w:spacing w:before="100" w:beforeAutospacing="1" w:after="100" w:afterAutospacing="1"/>
      <w:jc w:val="right"/>
    </w:pPr>
    <w:rPr>
      <w:rFonts w:ascii="宋体" w:hAnsi="宋体"/>
      <w:kern w:val="0"/>
      <w:sz w:val="24"/>
    </w:rPr>
  </w:style>
  <w:style w:type="paragraph" w:customStyle="1" w:styleId="176">
    <w:name w:val="6"/>
    <w:basedOn w:val="1"/>
    <w:autoRedefine/>
    <w:qFormat/>
    <w:uiPriority w:val="0"/>
    <w:rPr>
      <w:rFonts w:ascii="Tahoma" w:hAnsi="Tahoma"/>
      <w:sz w:val="24"/>
      <w:u w:val="single"/>
    </w:rPr>
  </w:style>
  <w:style w:type="paragraph" w:customStyle="1" w:styleId="177">
    <w:name w:val="p0"/>
    <w:basedOn w:val="1"/>
    <w:autoRedefine/>
    <w:qFormat/>
    <w:uiPriority w:val="0"/>
    <w:pPr>
      <w:widowControl/>
    </w:pPr>
    <w:rPr>
      <w:kern w:val="0"/>
      <w:szCs w:val="21"/>
    </w:rPr>
  </w:style>
  <w:style w:type="character" w:customStyle="1" w:styleId="178">
    <w:name w:val="c lh15"/>
    <w:basedOn w:val="50"/>
    <w:autoRedefine/>
    <w:qFormat/>
    <w:uiPriority w:val="0"/>
  </w:style>
  <w:style w:type="paragraph" w:customStyle="1" w:styleId="179">
    <w:name w:val="正文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80">
    <w:name w:val="正文 New New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81">
    <w:name w:val="pa-4"/>
    <w:basedOn w:val="1"/>
    <w:autoRedefine/>
    <w:qFormat/>
    <w:uiPriority w:val="0"/>
    <w:pPr>
      <w:widowControl/>
      <w:spacing w:before="150" w:after="150"/>
      <w:jc w:val="left"/>
    </w:pPr>
    <w:rPr>
      <w:rFonts w:ascii="宋体" w:hAnsi="宋体" w:cs="宋体"/>
      <w:kern w:val="0"/>
      <w:sz w:val="24"/>
    </w:rPr>
  </w:style>
  <w:style w:type="character" w:customStyle="1" w:styleId="182">
    <w:name w:val="ca-1"/>
    <w:basedOn w:val="50"/>
    <w:autoRedefine/>
    <w:qFormat/>
    <w:uiPriority w:val="0"/>
  </w:style>
  <w:style w:type="character" w:customStyle="1" w:styleId="183">
    <w:name w:val="ca-4"/>
    <w:basedOn w:val="50"/>
    <w:autoRedefine/>
    <w:qFormat/>
    <w:uiPriority w:val="0"/>
  </w:style>
  <w:style w:type="character" w:customStyle="1" w:styleId="184">
    <w:name w:val="ca-5"/>
    <w:basedOn w:val="50"/>
    <w:autoRedefine/>
    <w:qFormat/>
    <w:uiPriority w:val="0"/>
  </w:style>
  <w:style w:type="paragraph" w:customStyle="1" w:styleId="185">
    <w:name w:val="正文缩进1"/>
    <w:basedOn w:val="1"/>
    <w:autoRedefine/>
    <w:qFormat/>
    <w:uiPriority w:val="0"/>
    <w:pPr>
      <w:autoSpaceDE w:val="0"/>
      <w:autoSpaceDN w:val="0"/>
      <w:adjustRightInd w:val="0"/>
      <w:spacing w:after="80" w:line="300" w:lineRule="atLeast"/>
      <w:ind w:firstLine="482"/>
      <w:textAlignment w:val="baseline"/>
    </w:pPr>
    <w:rPr>
      <w:rFonts w:ascii="Arial" w:hAnsi="Arial" w:cs="Arial"/>
      <w:sz w:val="24"/>
    </w:rPr>
  </w:style>
  <w:style w:type="paragraph" w:customStyle="1" w:styleId="186">
    <w:name w:val="font6"/>
    <w:basedOn w:val="1"/>
    <w:autoRedefine/>
    <w:qFormat/>
    <w:uiPriority w:val="0"/>
    <w:pPr>
      <w:widowControl/>
      <w:spacing w:before="100" w:beforeAutospacing="1" w:after="100" w:afterAutospacing="1"/>
      <w:jc w:val="left"/>
    </w:pPr>
    <w:rPr>
      <w:rFonts w:ascii="宋体" w:hAnsi="宋体" w:cs="宋体"/>
      <w:kern w:val="0"/>
      <w:sz w:val="20"/>
      <w:szCs w:val="20"/>
    </w:rPr>
  </w:style>
  <w:style w:type="paragraph" w:customStyle="1" w:styleId="187">
    <w:name w:val="xl2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88">
    <w:name w:val="xl3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9">
    <w:name w:val="xl32"/>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90">
    <w:name w:val="xl3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91">
    <w:name w:val="xl3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92">
    <w:name w:val="xl36"/>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193">
    <w:name w:val="xl37"/>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Arial" w:hAnsi="Arial" w:cs="Arial"/>
      <w:kern w:val="0"/>
      <w:sz w:val="20"/>
      <w:szCs w:val="20"/>
    </w:rPr>
  </w:style>
  <w:style w:type="paragraph" w:customStyle="1" w:styleId="194">
    <w:name w:val="xl38"/>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000000"/>
      <w:kern w:val="0"/>
      <w:sz w:val="20"/>
      <w:szCs w:val="20"/>
    </w:rPr>
  </w:style>
  <w:style w:type="paragraph" w:customStyle="1" w:styleId="195">
    <w:name w:val="xl3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96">
    <w:name w:val="xl4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97">
    <w:name w:val="xl4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98">
    <w:name w:val="xl42"/>
    <w:basedOn w:val="1"/>
    <w:autoRedefine/>
    <w:qFormat/>
    <w:uiPriority w:val="0"/>
    <w:pPr>
      <w:widowControl/>
      <w:pBdr>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199">
    <w:name w:val="xl43"/>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200">
    <w:name w:val="xl44"/>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201">
    <w:name w:val="xl4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02">
    <w:name w:val="xl46"/>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03">
    <w:name w:val="xl47"/>
    <w:basedOn w:val="1"/>
    <w:autoRedefine/>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04">
    <w:name w:val="xl48"/>
    <w:basedOn w:val="1"/>
    <w:autoRedefine/>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205">
    <w:name w:val="xl49"/>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206">
    <w:name w:val="xl5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07">
    <w:name w:val="xl51"/>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b/>
      <w:bCs/>
      <w:kern w:val="0"/>
      <w:sz w:val="20"/>
      <w:szCs w:val="20"/>
    </w:rPr>
  </w:style>
  <w:style w:type="paragraph" w:customStyle="1" w:styleId="208">
    <w:name w:val="xl52"/>
    <w:basedOn w:val="1"/>
    <w:autoRedefine/>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kern w:val="0"/>
      <w:sz w:val="20"/>
      <w:szCs w:val="20"/>
    </w:rPr>
  </w:style>
  <w:style w:type="paragraph" w:customStyle="1" w:styleId="209">
    <w:name w:val="xl53"/>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szCs w:val="20"/>
    </w:rPr>
  </w:style>
  <w:style w:type="paragraph" w:customStyle="1" w:styleId="210">
    <w:name w:val="xl54"/>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b/>
      <w:bCs/>
      <w:kern w:val="0"/>
      <w:sz w:val="20"/>
      <w:szCs w:val="20"/>
    </w:rPr>
  </w:style>
  <w:style w:type="paragraph" w:customStyle="1" w:styleId="211">
    <w:name w:val="xl55"/>
    <w:basedOn w:val="1"/>
    <w:autoRedefine/>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kern w:val="0"/>
      <w:sz w:val="20"/>
      <w:szCs w:val="20"/>
    </w:rPr>
  </w:style>
  <w:style w:type="paragraph" w:customStyle="1" w:styleId="212">
    <w:name w:val="xl56"/>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szCs w:val="20"/>
    </w:rPr>
  </w:style>
  <w:style w:type="paragraph" w:customStyle="1" w:styleId="213">
    <w:name w:val="xl5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szCs w:val="20"/>
    </w:rPr>
  </w:style>
  <w:style w:type="paragraph" w:customStyle="1" w:styleId="214">
    <w:name w:val="xl58"/>
    <w:basedOn w:val="1"/>
    <w:autoRedefine/>
    <w:qFormat/>
    <w:uiPriority w:val="0"/>
    <w:pPr>
      <w:widowControl/>
      <w:pBdr>
        <w:bottom w:val="single" w:color="auto" w:sz="4" w:space="0"/>
      </w:pBdr>
      <w:spacing w:before="100" w:beforeAutospacing="1" w:after="100" w:afterAutospacing="1"/>
      <w:jc w:val="center"/>
    </w:pPr>
    <w:rPr>
      <w:rFonts w:ascii="宋体" w:hAnsi="宋体" w:cs="宋体"/>
      <w:kern w:val="0"/>
      <w:sz w:val="24"/>
    </w:rPr>
  </w:style>
  <w:style w:type="paragraph" w:customStyle="1" w:styleId="215">
    <w:name w:val="xl6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216">
    <w:name w:val="xl67"/>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2"/>
      <w:szCs w:val="22"/>
    </w:rPr>
  </w:style>
  <w:style w:type="paragraph" w:customStyle="1" w:styleId="217">
    <w:name w:val="xl6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2"/>
      <w:szCs w:val="22"/>
    </w:rPr>
  </w:style>
  <w:style w:type="paragraph" w:customStyle="1" w:styleId="218">
    <w:name w:val="xl69"/>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color w:val="000000"/>
      <w:kern w:val="0"/>
      <w:sz w:val="22"/>
      <w:szCs w:val="22"/>
    </w:rPr>
  </w:style>
  <w:style w:type="paragraph" w:customStyle="1" w:styleId="219">
    <w:name w:val="xl7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2"/>
      <w:szCs w:val="22"/>
    </w:rPr>
  </w:style>
  <w:style w:type="paragraph" w:customStyle="1" w:styleId="220">
    <w:name w:val="xl7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color w:val="FF0000"/>
      <w:kern w:val="0"/>
      <w:szCs w:val="21"/>
    </w:rPr>
  </w:style>
  <w:style w:type="paragraph" w:customStyle="1" w:styleId="221">
    <w:name w:val="xl72"/>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18"/>
      <w:szCs w:val="18"/>
    </w:rPr>
  </w:style>
  <w:style w:type="paragraph" w:customStyle="1" w:styleId="222">
    <w:name w:val="xl73"/>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18"/>
      <w:szCs w:val="18"/>
    </w:rPr>
  </w:style>
  <w:style w:type="paragraph" w:customStyle="1" w:styleId="223">
    <w:name w:val="xl74"/>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宋体" w:hAnsi="宋体" w:cs="宋体"/>
      <w:kern w:val="0"/>
      <w:sz w:val="18"/>
      <w:szCs w:val="18"/>
    </w:rPr>
  </w:style>
  <w:style w:type="paragraph" w:customStyle="1" w:styleId="224">
    <w:name w:val="xl7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2"/>
      <w:szCs w:val="22"/>
    </w:rPr>
  </w:style>
  <w:style w:type="paragraph" w:customStyle="1" w:styleId="225">
    <w:name w:val="xl76"/>
    <w:basedOn w:val="1"/>
    <w:autoRedefine/>
    <w:qFormat/>
    <w:uiPriority w:val="0"/>
    <w:pPr>
      <w:widowControl/>
      <w:pBdr>
        <w:bottom w:val="single" w:color="auto" w:sz="8" w:space="0"/>
        <w:right w:val="single" w:color="auto" w:sz="8" w:space="0"/>
      </w:pBdr>
      <w:spacing w:before="100" w:beforeAutospacing="1" w:after="100" w:afterAutospacing="1"/>
      <w:jc w:val="left"/>
    </w:pPr>
    <w:rPr>
      <w:rFonts w:ascii="宋体" w:hAnsi="宋体" w:cs="宋体"/>
      <w:color w:val="FF0000"/>
      <w:kern w:val="0"/>
      <w:szCs w:val="21"/>
    </w:rPr>
  </w:style>
  <w:style w:type="paragraph" w:customStyle="1" w:styleId="226">
    <w:name w:val="xl7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27">
    <w:name w:val="xl78"/>
    <w:basedOn w:val="1"/>
    <w:autoRedefine/>
    <w:qFormat/>
    <w:uiPriority w:val="0"/>
    <w:pPr>
      <w:widowControl/>
      <w:pBdr>
        <w:top w:val="single" w:color="000000" w:sz="4" w:space="0"/>
        <w:left w:val="single" w:color="000000" w:sz="4" w:space="0"/>
        <w:right w:val="single" w:color="000000" w:sz="4" w:space="0"/>
      </w:pBdr>
      <w:spacing w:before="100" w:beforeAutospacing="1" w:after="100" w:afterAutospacing="1"/>
      <w:jc w:val="left"/>
    </w:pPr>
    <w:rPr>
      <w:rFonts w:ascii="宋体" w:hAnsi="宋体" w:cs="宋体"/>
      <w:kern w:val="0"/>
      <w:sz w:val="18"/>
      <w:szCs w:val="18"/>
    </w:rPr>
  </w:style>
  <w:style w:type="paragraph" w:customStyle="1" w:styleId="228">
    <w:name w:val="xl79"/>
    <w:basedOn w:val="1"/>
    <w:autoRedefine/>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18"/>
      <w:szCs w:val="18"/>
    </w:rPr>
  </w:style>
  <w:style w:type="paragraph" w:customStyle="1" w:styleId="229">
    <w:name w:val="xl80"/>
    <w:basedOn w:val="1"/>
    <w:autoRedefine/>
    <w:qFormat/>
    <w:uiPriority w:val="0"/>
    <w:pPr>
      <w:widowControl/>
      <w:pBdr>
        <w:top w:val="single" w:color="000000" w:sz="4" w:space="0"/>
        <w:left w:val="single" w:color="000000" w:sz="4" w:space="0"/>
        <w:right w:val="single" w:color="000000" w:sz="4" w:space="0"/>
      </w:pBdr>
      <w:spacing w:before="100" w:beforeAutospacing="1" w:after="100" w:afterAutospacing="1"/>
      <w:jc w:val="right"/>
    </w:pPr>
    <w:rPr>
      <w:rFonts w:ascii="宋体" w:hAnsi="宋体" w:cs="宋体"/>
      <w:kern w:val="0"/>
      <w:sz w:val="18"/>
      <w:szCs w:val="18"/>
    </w:rPr>
  </w:style>
  <w:style w:type="paragraph" w:customStyle="1" w:styleId="230">
    <w:name w:val="xl81"/>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18"/>
      <w:szCs w:val="18"/>
    </w:rPr>
  </w:style>
  <w:style w:type="paragraph" w:customStyle="1" w:styleId="231">
    <w:name w:val="xl82"/>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18"/>
      <w:szCs w:val="18"/>
    </w:rPr>
  </w:style>
  <w:style w:type="paragraph" w:customStyle="1" w:styleId="232">
    <w:name w:val="xl83"/>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宋体" w:hAnsi="宋体" w:cs="宋体"/>
      <w:kern w:val="0"/>
      <w:sz w:val="18"/>
      <w:szCs w:val="18"/>
    </w:rPr>
  </w:style>
  <w:style w:type="paragraph" w:customStyle="1" w:styleId="233">
    <w:name w:val="xl8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34">
    <w:name w:val="xl8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35">
    <w:name w:val="xl86"/>
    <w:basedOn w:val="1"/>
    <w:autoRedefine/>
    <w:qFormat/>
    <w:uiPriority w:val="0"/>
    <w:pPr>
      <w:widowControl/>
      <w:pBdr>
        <w:top w:val="single" w:color="000000" w:sz="4" w:space="0"/>
        <w:left w:val="single" w:color="000000" w:sz="4" w:space="0"/>
        <w:right w:val="single" w:color="000000" w:sz="4" w:space="0"/>
      </w:pBdr>
      <w:spacing w:before="100" w:beforeAutospacing="1" w:after="100" w:afterAutospacing="1"/>
      <w:jc w:val="left"/>
    </w:pPr>
    <w:rPr>
      <w:rFonts w:ascii="宋体" w:hAnsi="宋体" w:cs="宋体"/>
      <w:kern w:val="0"/>
      <w:sz w:val="18"/>
      <w:szCs w:val="18"/>
    </w:rPr>
  </w:style>
  <w:style w:type="paragraph" w:customStyle="1" w:styleId="236">
    <w:name w:val="xl87"/>
    <w:basedOn w:val="1"/>
    <w:autoRedefine/>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18"/>
      <w:szCs w:val="18"/>
    </w:rPr>
  </w:style>
  <w:style w:type="paragraph" w:customStyle="1" w:styleId="237">
    <w:name w:val="xl88"/>
    <w:basedOn w:val="1"/>
    <w:autoRedefine/>
    <w:qFormat/>
    <w:uiPriority w:val="0"/>
    <w:pPr>
      <w:widowControl/>
      <w:pBdr>
        <w:top w:val="single" w:color="000000" w:sz="4" w:space="0"/>
        <w:left w:val="single" w:color="000000" w:sz="4" w:space="0"/>
        <w:right w:val="single" w:color="000000" w:sz="4" w:space="0"/>
      </w:pBdr>
      <w:spacing w:before="100" w:beforeAutospacing="1" w:after="100" w:afterAutospacing="1"/>
      <w:jc w:val="right"/>
    </w:pPr>
    <w:rPr>
      <w:rFonts w:ascii="宋体" w:hAnsi="宋体" w:cs="宋体"/>
      <w:kern w:val="0"/>
      <w:sz w:val="18"/>
      <w:szCs w:val="18"/>
    </w:rPr>
  </w:style>
  <w:style w:type="paragraph" w:customStyle="1" w:styleId="238">
    <w:name w:val="xl8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39">
    <w:name w:val="xl9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40">
    <w:name w:val="Char Char2 Char Char Char Char"/>
    <w:basedOn w:val="1"/>
    <w:autoRedefine/>
    <w:qFormat/>
    <w:uiPriority w:val="0"/>
    <w:rPr>
      <w:rFonts w:ascii="Tahoma" w:hAnsi="Tahoma"/>
      <w:sz w:val="24"/>
      <w:u w:val="single"/>
    </w:rPr>
  </w:style>
  <w:style w:type="paragraph" w:customStyle="1" w:styleId="241">
    <w:name w:val="Char Char1 Char Char1"/>
    <w:basedOn w:val="1"/>
    <w:autoRedefine/>
    <w:qFormat/>
    <w:uiPriority w:val="0"/>
    <w:rPr>
      <w:rFonts w:ascii="Tahoma" w:hAnsi="Tahoma"/>
      <w:sz w:val="24"/>
      <w:szCs w:val="20"/>
    </w:rPr>
  </w:style>
  <w:style w:type="paragraph" w:customStyle="1" w:styleId="242">
    <w:name w:val="Char Char13"/>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243">
    <w:name w:val="7"/>
    <w:basedOn w:val="1"/>
    <w:autoRedefine/>
    <w:qFormat/>
    <w:uiPriority w:val="0"/>
    <w:rPr>
      <w:rFonts w:ascii="Tahoma" w:hAnsi="Tahoma"/>
      <w:sz w:val="24"/>
      <w:u w:val="single"/>
    </w:rPr>
  </w:style>
  <w:style w:type="paragraph" w:customStyle="1" w:styleId="244">
    <w:name w:val="_Style 52"/>
    <w:basedOn w:val="1"/>
    <w:autoRedefine/>
    <w:qFormat/>
    <w:uiPriority w:val="0"/>
    <w:pPr>
      <w:widowControl/>
      <w:spacing w:after="160" w:line="240" w:lineRule="exact"/>
      <w:jc w:val="left"/>
    </w:pPr>
  </w:style>
  <w:style w:type="character" w:customStyle="1" w:styleId="245">
    <w:name w:val="纯文本 Char"/>
    <w:link w:val="26"/>
    <w:autoRedefine/>
    <w:qFormat/>
    <w:uiPriority w:val="0"/>
    <w:rPr>
      <w:rFonts w:ascii="宋体" w:hAnsi="Courier New"/>
      <w:kern w:val="2"/>
      <w:sz w:val="21"/>
    </w:rPr>
  </w:style>
  <w:style w:type="character" w:customStyle="1" w:styleId="246">
    <w:name w:val="批注文字 Char1"/>
    <w:autoRedefine/>
    <w:qFormat/>
    <w:uiPriority w:val="99"/>
    <w:rPr>
      <w:rFonts w:eastAsia="宋体"/>
      <w:kern w:val="2"/>
      <w:sz w:val="21"/>
      <w:szCs w:val="24"/>
      <w:lang w:val="en-US" w:eastAsia="zh-CN" w:bidi="ar-SA"/>
    </w:rPr>
  </w:style>
  <w:style w:type="paragraph" w:customStyle="1" w:styleId="247">
    <w:name w:val="大目录"/>
    <w:basedOn w:val="1"/>
    <w:autoRedefine/>
    <w:qFormat/>
    <w:uiPriority w:val="0"/>
    <w:pPr>
      <w:spacing w:line="540" w:lineRule="exact"/>
      <w:jc w:val="center"/>
    </w:pPr>
    <w:rPr>
      <w:rFonts w:ascii="宋体" w:hAnsi="宋体" w:cs="Arial"/>
      <w:b/>
      <w:szCs w:val="21"/>
    </w:rPr>
  </w:style>
  <w:style w:type="paragraph" w:customStyle="1" w:styleId="248">
    <w:name w:val="标题 71"/>
    <w:basedOn w:val="1"/>
    <w:autoRedefine/>
    <w:qFormat/>
    <w:uiPriority w:val="1"/>
    <w:pPr>
      <w:ind w:left="362"/>
      <w:jc w:val="left"/>
      <w:outlineLvl w:val="7"/>
    </w:pPr>
    <w:rPr>
      <w:rFonts w:ascii="宋体" w:hAnsi="宋体"/>
      <w:kern w:val="0"/>
      <w:sz w:val="20"/>
      <w:szCs w:val="20"/>
      <w:lang w:eastAsia="en-US"/>
    </w:rPr>
  </w:style>
  <w:style w:type="paragraph" w:customStyle="1" w:styleId="249">
    <w:name w:val="标题 41"/>
    <w:basedOn w:val="1"/>
    <w:autoRedefine/>
    <w:qFormat/>
    <w:uiPriority w:val="1"/>
    <w:pPr>
      <w:ind w:left="105"/>
      <w:jc w:val="left"/>
      <w:outlineLvl w:val="4"/>
    </w:pPr>
    <w:rPr>
      <w:rFonts w:ascii="宋体" w:hAnsi="宋体"/>
      <w:kern w:val="0"/>
      <w:sz w:val="27"/>
      <w:szCs w:val="27"/>
      <w:lang w:eastAsia="en-US"/>
    </w:rPr>
  </w:style>
  <w:style w:type="paragraph" w:customStyle="1" w:styleId="250">
    <w:name w:val="标题 51"/>
    <w:basedOn w:val="1"/>
    <w:autoRedefine/>
    <w:qFormat/>
    <w:uiPriority w:val="1"/>
    <w:pPr>
      <w:ind w:left="734" w:hanging="5"/>
      <w:jc w:val="left"/>
      <w:outlineLvl w:val="5"/>
    </w:pPr>
    <w:rPr>
      <w:rFonts w:ascii="宋体" w:hAnsi="宋体"/>
      <w:kern w:val="0"/>
      <w:sz w:val="23"/>
      <w:szCs w:val="23"/>
      <w:lang w:eastAsia="en-US"/>
    </w:rPr>
  </w:style>
  <w:style w:type="paragraph" w:customStyle="1" w:styleId="251">
    <w:name w:val="_Style 1"/>
    <w:basedOn w:val="1"/>
    <w:autoRedefine/>
    <w:qFormat/>
    <w:uiPriority w:val="0"/>
    <w:pPr>
      <w:ind w:firstLine="420" w:firstLineChars="200"/>
    </w:pPr>
  </w:style>
  <w:style w:type="character" w:customStyle="1" w:styleId="252">
    <w:name w:val="纯文本 Char2"/>
    <w:autoRedefine/>
    <w:qFormat/>
    <w:locked/>
    <w:uiPriority w:val="0"/>
    <w:rPr>
      <w:rFonts w:ascii="宋体" w:hAnsi="Courier New"/>
    </w:rPr>
  </w:style>
  <w:style w:type="paragraph" w:customStyle="1" w:styleId="253">
    <w:name w:val="正文1"/>
    <w:autoRedefine/>
    <w:qFormat/>
    <w:uiPriority w:val="0"/>
    <w:pPr>
      <w:jc w:val="both"/>
    </w:pPr>
    <w:rPr>
      <w:rFonts w:ascii="Calibri" w:hAnsi="Calibri" w:eastAsia="宋体" w:cs="宋体"/>
      <w:kern w:val="2"/>
      <w:sz w:val="21"/>
      <w:szCs w:val="21"/>
      <w:lang w:val="en-US" w:eastAsia="zh-CN" w:bidi="ar-SA"/>
    </w:rPr>
  </w:style>
  <w:style w:type="paragraph" w:customStyle="1" w:styleId="254">
    <w:name w:val="Normal_63"/>
    <w:basedOn w:val="1"/>
    <w:autoRedefine/>
    <w:qFormat/>
    <w:uiPriority w:val="0"/>
    <w:pPr>
      <w:widowControl/>
      <w:spacing w:before="120" w:after="240"/>
    </w:pPr>
    <w:rPr>
      <w:rFonts w:ascii="Calibri" w:hAnsi="Calibri"/>
      <w:kern w:val="0"/>
      <w:sz w:val="22"/>
      <w:szCs w:val="22"/>
    </w:rPr>
  </w:style>
  <w:style w:type="character" w:customStyle="1" w:styleId="255">
    <w:name w:val="10"/>
    <w:basedOn w:val="50"/>
    <w:autoRedefine/>
    <w:qFormat/>
    <w:uiPriority w:val="0"/>
    <w:rPr>
      <w:rFonts w:hint="default" w:ascii="Calibri" w:hAnsi="Calibri"/>
    </w:rPr>
  </w:style>
  <w:style w:type="character" w:customStyle="1" w:styleId="256">
    <w:name w:val="纯文本 字符"/>
    <w:autoRedefine/>
    <w:qFormat/>
    <w:uiPriority w:val="0"/>
    <w:rPr>
      <w:rFonts w:ascii="宋体" w:hAnsi="Courier New" w:eastAsia="宋体" w:cs="Courier New"/>
      <w:szCs w:val="21"/>
    </w:rPr>
  </w:style>
  <w:style w:type="paragraph" w:customStyle="1" w:styleId="257">
    <w:name w:val="方案正文"/>
    <w:basedOn w:val="1"/>
    <w:link w:val="258"/>
    <w:autoRedefine/>
    <w:qFormat/>
    <w:uiPriority w:val="99"/>
    <w:pPr>
      <w:spacing w:before="120"/>
      <w:ind w:firstLine="425" w:firstLineChars="177"/>
    </w:pPr>
    <w:rPr>
      <w:rFonts w:ascii="华文细黑" w:hAnsi="华文细黑" w:eastAsia="华文细黑"/>
      <w:szCs w:val="20"/>
    </w:rPr>
  </w:style>
  <w:style w:type="character" w:customStyle="1" w:styleId="258">
    <w:name w:val="方案正文 Char"/>
    <w:link w:val="257"/>
    <w:autoRedefine/>
    <w:qFormat/>
    <w:locked/>
    <w:uiPriority w:val="99"/>
    <w:rPr>
      <w:rFonts w:ascii="华文细黑" w:hAnsi="华文细黑" w:eastAsia="华文细黑"/>
      <w:kern w:val="2"/>
      <w:sz w:val="21"/>
    </w:rPr>
  </w:style>
  <w:style w:type="paragraph" w:customStyle="1" w:styleId="259">
    <w:name w:val="Table Paragraph"/>
    <w:basedOn w:val="1"/>
    <w:autoRedefine/>
    <w:qFormat/>
    <w:uiPriority w:val="1"/>
    <w:pPr>
      <w:autoSpaceDE w:val="0"/>
      <w:autoSpaceDN w:val="0"/>
      <w:jc w:val="left"/>
    </w:pPr>
    <w:rPr>
      <w:rFonts w:ascii="宋体" w:hAnsi="宋体" w:cs="宋体"/>
      <w:kern w:val="0"/>
      <w:sz w:val="22"/>
      <w:szCs w:val="22"/>
      <w:lang w:val="zh-CN" w:bidi="zh-CN"/>
    </w:rPr>
  </w:style>
  <w:style w:type="table" w:customStyle="1" w:styleId="260">
    <w:name w:val="Table Normal"/>
    <w:autoRedefine/>
    <w:semiHidden/>
    <w:unhideWhenUsed/>
    <w:qFormat/>
    <w:uiPriority w:val="2"/>
    <w:pPr>
      <w:widowControl w:val="0"/>
      <w:autoSpaceDE w:val="0"/>
      <w:autoSpaceDN w:val="0"/>
    </w:pPr>
    <w:rPr>
      <w:rFonts w:asciiTheme="minorHAnsi" w:hAnsiTheme="minorHAnsi" w:eastAsiaTheme="minorEastAsia" w:cstheme="minorBidi"/>
      <w:sz w:val="22"/>
      <w:lang w:eastAsia="en-US"/>
    </w:rPr>
    <w:tblPr>
      <w:tblCellMar>
        <w:top w:w="0" w:type="dxa"/>
        <w:left w:w="0" w:type="dxa"/>
        <w:bottom w:w="0" w:type="dxa"/>
        <w:right w:w="0" w:type="dxa"/>
      </w:tblCellMar>
    </w:tblPr>
  </w:style>
  <w:style w:type="paragraph" w:customStyle="1" w:styleId="261">
    <w:name w:val="List Paragraph_40b67d30-6b8b-4697-8f49-97c11e174001"/>
    <w:basedOn w:val="1"/>
    <w:autoRedefine/>
    <w:qFormat/>
    <w:uiPriority w:val="34"/>
    <w:pPr>
      <w:ind w:firstLine="420" w:firstLineChars="200"/>
    </w:pPr>
    <w:rPr>
      <w:rFonts w:ascii="Calibri" w:hAnsi="Calibri" w:cs="宋体"/>
      <w:szCs w:val="22"/>
    </w:rPr>
  </w:style>
  <w:style w:type="paragraph" w:styleId="262">
    <w:name w:val="List Paragraph"/>
    <w:basedOn w:val="1"/>
    <w:autoRedefine/>
    <w:qFormat/>
    <w:uiPriority w:val="34"/>
    <w:pPr>
      <w:ind w:firstLine="420" w:firstLineChars="200"/>
    </w:pPr>
  </w:style>
  <w:style w:type="character" w:customStyle="1" w:styleId="263">
    <w:name w:val="四级标题 Char"/>
    <w:link w:val="264"/>
    <w:autoRedefine/>
    <w:qFormat/>
    <w:uiPriority w:val="0"/>
    <w:rPr>
      <w:rFonts w:eastAsia="黑体"/>
      <w:b/>
      <w:kern w:val="2"/>
      <w:sz w:val="28"/>
    </w:rPr>
  </w:style>
  <w:style w:type="paragraph" w:customStyle="1" w:styleId="264">
    <w:name w:val="四级标题"/>
    <w:basedOn w:val="1"/>
    <w:link w:val="263"/>
    <w:autoRedefine/>
    <w:qFormat/>
    <w:uiPriority w:val="0"/>
    <w:pPr>
      <w:numPr>
        <w:ilvl w:val="0"/>
        <w:numId w:val="3"/>
      </w:numPr>
      <w:spacing w:line="360" w:lineRule="auto"/>
      <w:outlineLvl w:val="3"/>
    </w:pPr>
    <w:rPr>
      <w:rFonts w:eastAsia="黑体"/>
      <w:b/>
      <w:sz w:val="28"/>
      <w:szCs w:val="20"/>
    </w:rPr>
  </w:style>
  <w:style w:type="paragraph" w:customStyle="1" w:styleId="265">
    <w:name w:val="_Style 3"/>
    <w:autoRedefine/>
    <w:qFormat/>
    <w:uiPriority w:val="1"/>
    <w:pPr>
      <w:widowControl w:val="0"/>
      <w:jc w:val="both"/>
    </w:pPr>
    <w:rPr>
      <w:rFonts w:ascii="Times New Roman" w:hAnsi="Times New Roman" w:eastAsia="宋体" w:cs="Times New Roman"/>
      <w:kern w:val="2"/>
      <w:sz w:val="21"/>
      <w:szCs w:val="22"/>
      <w:lang w:val="en-US" w:eastAsia="zh-CN" w:bidi="ar-SA"/>
    </w:rPr>
  </w:style>
  <w:style w:type="paragraph" w:customStyle="1" w:styleId="266">
    <w:name w:val="WPSOffice手动目录 1"/>
    <w:autoRedefine/>
    <w:qFormat/>
    <w:uiPriority w:val="0"/>
    <w:pPr>
      <w:ind w:leftChars="0"/>
    </w:pPr>
    <w:rPr>
      <w:rFonts w:ascii="Times New Roman" w:hAnsi="Times New Roman" w:eastAsia="宋体" w:cs="Times New Roman"/>
      <w:sz w:val="20"/>
      <w:szCs w:val="20"/>
    </w:rPr>
  </w:style>
  <w:style w:type="paragraph" w:customStyle="1" w:styleId="267">
    <w:name w:val="Table Text"/>
    <w:basedOn w:val="1"/>
    <w:autoRedefine/>
    <w:semiHidden/>
    <w:qFormat/>
    <w:uiPriority w:val="0"/>
    <w:rPr>
      <w:rFonts w:ascii="宋体" w:hAnsi="宋体" w:eastAsia="宋体" w:cs="宋体"/>
      <w:sz w:val="13"/>
      <w:szCs w:val="13"/>
      <w:lang w:val="en-US" w:eastAsia="en-US" w:bidi="ar-SA"/>
    </w:rPr>
  </w:style>
  <w:style w:type="character" w:customStyle="1" w:styleId="268">
    <w:name w:val="NormalCharacter"/>
    <w:autoRedefine/>
    <w:qFormat/>
    <w:uiPriority w:val="0"/>
  </w:style>
  <w:style w:type="paragraph" w:customStyle="1" w:styleId="269">
    <w:name w:val="表格文字"/>
    <w:basedOn w:val="1"/>
    <w:autoRedefine/>
    <w:qFormat/>
    <w:uiPriority w:val="99"/>
    <w:pPr>
      <w:spacing w:before="25" w:after="25"/>
      <w:jc w:val="left"/>
    </w:pPr>
    <w:rPr>
      <w:bCs/>
      <w:spacing w:val="10"/>
      <w:kern w:val="0"/>
      <w:sz w:val="24"/>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kwzb</Company>
  <Pages>44</Pages>
  <Words>9868</Words>
  <Characters>10612</Characters>
  <Lines>1</Lines>
  <Paragraphs>1</Paragraphs>
  <TotalTime>39</TotalTime>
  <ScaleCrop>false</ScaleCrop>
  <LinksUpToDate>false</LinksUpToDate>
  <CharactersWithSpaces>10698</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2020-08-05T17:22:00Z</dcterms:created>
  <dc:creator>GT</dc:creator>
  <cp:lastModifiedBy>刘晶均</cp:lastModifiedBy>
  <cp:lastPrinted>2025-07-24T03:44:00Z</cp:lastPrinted>
  <dcterms:modified xsi:type="dcterms:W3CDTF">2025-07-31T10:00:20Z</dcterms:modified>
  <dc:title>广西国泰招标咨询有限公司</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36DC10284BC64DCA9BC95FFC02AE4E68</vt:lpwstr>
  </property>
  <property fmtid="{D5CDD505-2E9C-101B-9397-08002B2CF9AE}" pid="4" name="KSOTemplateDocerSaveRecord">
    <vt:lpwstr>eyJoZGlkIjoiNjU1YzFiYTBmYzhkZTkxNjhiZTcwNjI2MTFkZjEwMzEiLCJ1c2VySWQiOiI5NTIwNzI0NzkifQ==</vt:lpwstr>
  </property>
</Properties>
</file>