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bookmarkStart w:id="0" w:name="OLE_LINK7"/>
      <w:bookmarkStart w:id="1" w:name="OLE_LINK6"/>
      <w:r>
        <w:rPr>
          <w:rFonts w:hint="eastAsia" w:ascii="方正小标宋简体" w:hAnsi="宋体" w:eastAsia="方正小标宋简体" w:cs="Times New Roman"/>
          <w:b/>
          <w:sz w:val="44"/>
          <w:szCs w:val="44"/>
        </w:rPr>
        <w:t>广西骨伤医院医院风险评估及内部控制评价服务</w:t>
      </w:r>
      <w:bookmarkEnd w:id="0"/>
      <w:r>
        <w:rPr>
          <w:rFonts w:hint="eastAsia" w:ascii="方正小标宋简体" w:hAnsi="宋体" w:eastAsia="方正小标宋简体" w:cs="Times New Roman"/>
          <w:b/>
          <w:sz w:val="44"/>
          <w:szCs w:val="44"/>
        </w:rPr>
        <w:t>招标文件</w:t>
      </w:r>
    </w:p>
    <w:bookmarkEnd w:id="1"/>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3" w:leftChars="676" w:hanging="1523" w:hangingChars="474"/>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2" w:name="OLE_LINK4"/>
      <w:r>
        <w:rPr>
          <w:rFonts w:hint="eastAsia" w:ascii="仿宋_GB2312" w:hAnsi="宋体" w:eastAsia="仿宋_GB2312" w:cs="Times New Roman"/>
          <w:b/>
          <w:color w:val="000000"/>
          <w:sz w:val="32"/>
          <w:szCs w:val="32"/>
        </w:rPr>
        <w:t>：</w:t>
      </w:r>
      <w:bookmarkStart w:id="3" w:name="_Hlk90536625"/>
      <w:r>
        <w:rPr>
          <w:rFonts w:hint="eastAsia" w:ascii="仿宋_GB2312" w:hAnsi="宋体" w:eastAsia="仿宋_GB2312" w:cs="Times New Roman"/>
          <w:b/>
          <w:color w:val="000000"/>
          <w:sz w:val="32"/>
          <w:szCs w:val="32"/>
        </w:rPr>
        <w:t>广西骨伤医院医院风险评估及内部控制评价服务</w:t>
      </w:r>
      <w:bookmarkEnd w:id="2"/>
      <w:r>
        <w:rPr>
          <w:rFonts w:hint="eastAsia" w:ascii="仿宋_GB2312" w:hAnsi="宋体" w:eastAsia="仿宋_GB2312" w:cs="Times New Roman"/>
          <w:b/>
          <w:color w:val="000000"/>
          <w:sz w:val="32"/>
          <w:szCs w:val="32"/>
          <w:lang w:val="en-US" w:eastAsia="zh-CN"/>
        </w:rPr>
        <w:t>采购</w:t>
      </w:r>
    </w:p>
    <w:bookmarkEnd w:id="3"/>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GXGSYY-CGB-SJK-2025-01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17</w:t>
      </w:r>
      <w:r>
        <w:rPr>
          <w:rFonts w:hint="eastAsia" w:ascii="仿宋_GB2312" w:hAnsi="宋体" w:eastAsia="仿宋_GB2312" w:cs="Times New Roman"/>
          <w:b/>
          <w:color w:val="000000"/>
          <w:sz w:val="32"/>
          <w:szCs w:val="32"/>
        </w:rPr>
        <w:t>日</w:t>
      </w:r>
    </w:p>
    <w:p>
      <w:pPr>
        <w:keepNext/>
        <w:keepLines/>
        <w:numPr>
          <w:ilvl w:val="0"/>
          <w:numId w:val="2"/>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rPr>
        <w:t>项目概况</w:t>
      </w:r>
    </w:p>
    <w:p>
      <w:pPr>
        <w:spacing w:line="400" w:lineRule="exact"/>
        <w:ind w:firstLine="420" w:firstLineChars="200"/>
        <w:rPr>
          <w:rFonts w:ascii="宋体" w:hAnsi="宋体" w:eastAsia="宋体" w:cs="Times New Roman"/>
          <w:bCs/>
          <w:color w:val="000000"/>
          <w:szCs w:val="21"/>
          <w:lang w:val="zh-CN"/>
        </w:rPr>
      </w:pPr>
      <w:bookmarkStart w:id="4" w:name="OLE_LINK5"/>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需要，我院拟对医院风险评估及内部控制评价服务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进行院内议价，欢迎有意参与的公司前来参加。</w:t>
      </w:r>
    </w:p>
    <w:p>
      <w:pPr>
        <w:spacing w:line="400" w:lineRule="exact"/>
        <w:ind w:firstLine="420" w:firstLineChars="200"/>
        <w:rPr>
          <w:rFonts w:ascii="宋体" w:hAnsi="宋体" w:eastAsia="宋体" w:cs="Times New Roman"/>
          <w:bCs/>
          <w:color w:val="000000"/>
          <w:szCs w:val="21"/>
          <w:lang w:val="zh-CN"/>
        </w:rPr>
      </w:pPr>
      <w:bookmarkStart w:id="5" w:name="_Toc44229878"/>
      <w:bookmarkStart w:id="6" w:name="_Toc35393798"/>
      <w:bookmarkStart w:id="7" w:name="_Toc28359089"/>
      <w:bookmarkStart w:id="8" w:name="_Toc28359012"/>
      <w:bookmarkStart w:id="9" w:name="_Toc35393629"/>
      <w:bookmarkStart w:id="10" w:name="_Toc47452205"/>
      <w:r>
        <w:rPr>
          <w:rFonts w:hint="eastAsia" w:ascii="黑体" w:hAnsi="黑体" w:eastAsia="黑体" w:cs="黑体"/>
          <w:bCs/>
          <w:color w:val="000000"/>
          <w:szCs w:val="21"/>
          <w:lang w:val="zh-CN"/>
        </w:rPr>
        <w:t>一、项目基本情况</w:t>
      </w:r>
      <w:bookmarkEnd w:id="5"/>
      <w:bookmarkEnd w:id="6"/>
      <w:bookmarkEnd w:id="7"/>
      <w:bookmarkEnd w:id="8"/>
      <w:bookmarkEnd w:id="9"/>
      <w:bookmarkEnd w:id="10"/>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GXGSYY-CGB-SJK-2025-01</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2.项目名称：广西骨伤医院医院风险评估及内部控制评价服务</w:t>
      </w:r>
      <w:r>
        <w:rPr>
          <w:rFonts w:hint="eastAsia" w:ascii="宋体" w:hAnsi="宋体" w:eastAsia="宋体" w:cs="Times New Roman"/>
          <w:bCs/>
          <w:color w:val="000000"/>
          <w:szCs w:val="21"/>
          <w:lang w:val="en-US" w:eastAsia="zh-CN"/>
        </w:rPr>
        <w:t>采购</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 w:val="22"/>
          <w:szCs w:val="22"/>
        </w:rPr>
        <w:t>竞争性磋商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4.5</w:t>
      </w:r>
      <w:r>
        <w:rPr>
          <w:rFonts w:hint="eastAsia" w:ascii="宋体" w:hAnsi="宋体" w:eastAsia="宋体" w:cs="Times New Roman"/>
          <w:bCs/>
          <w:color w:val="000000"/>
          <w:szCs w:val="21"/>
        </w:rPr>
        <w:t>万元</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需求内容</w:t>
      </w:r>
      <w:r>
        <w:rPr>
          <w:rFonts w:hint="eastAsia" w:ascii="宋体" w:hAnsi="宋体" w:eastAsia="宋体" w:cs="Times New Roman"/>
          <w:bCs/>
          <w:color w:val="000000"/>
          <w:szCs w:val="21"/>
        </w:rPr>
        <w:t>：</w:t>
      </w:r>
    </w:p>
    <w:p>
      <w:pPr>
        <w:keepNext w:val="0"/>
        <w:keepLines w:val="0"/>
        <w:pageBreakBefore w:val="0"/>
        <w:widowControl/>
        <w:kinsoku/>
        <w:overflowPunct/>
        <w:autoSpaceDE/>
        <w:autoSpaceDN/>
        <w:bidi w:val="0"/>
        <w:adjustRightInd w:val="0"/>
        <w:snapToGrid w:val="0"/>
        <w:spacing w:line="300" w:lineRule="exact"/>
        <w:ind w:firstLine="422" w:firstLineChars="200"/>
        <w:jc w:val="left"/>
        <w:textAlignment w:val="auto"/>
        <w:rPr>
          <w:rFonts w:hint="default"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（一）服务内容</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以行政事业单位内部控制相关文件、《公立医院内部控制管理办法》、《广西壮族自治区公立医院内部控制评价管理办法（试行）》为依据全面开展风险评估、对医院单位层面和业务层面内部控制设计及运行情况进行全面评价工作。</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2.结合医院近三年来各类审计等专项检查工作中关于内部控制的相关问题及近两年内部控制报告编报质量审核情况，有针对性地开展评估、评价并提出相应管理建议。</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3.在开展专项工作的过程中，全面梳理医院各项内部控制制度中对同一事项规定不一致的条款，并提出相应的管理建议；</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4.在全面评估、评价的基础上出具风险评估、内控评价报告各一份，并提供穿行测试和控制测试底稿。</w:t>
      </w:r>
    </w:p>
    <w:p>
      <w:pPr>
        <w:keepNext w:val="0"/>
        <w:keepLines w:val="0"/>
        <w:pageBreakBefore w:val="0"/>
        <w:widowControl/>
        <w:kinsoku/>
        <w:overflowPunct/>
        <w:autoSpaceDE/>
        <w:autoSpaceDN/>
        <w:bidi w:val="0"/>
        <w:adjustRightInd w:val="0"/>
        <w:snapToGrid w:val="0"/>
        <w:spacing w:line="300" w:lineRule="exact"/>
        <w:ind w:firstLine="422" w:firstLineChars="200"/>
        <w:jc w:val="left"/>
        <w:textAlignment w:val="auto"/>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（二）投标人要求</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r>
        <w:rPr>
          <w:rFonts w:hint="default" w:ascii="Times New Roman" w:hAnsi="Times New Roman" w:eastAsia="宋体" w:cs="Times New Roman"/>
          <w:highlight w:val="none"/>
          <w:lang w:val="en-US" w:eastAsia="zh-CN"/>
        </w:rPr>
        <w:t>具有能承担专项工作的人员团队，有承接并完成行政事业单位（公立医院优先）类似业务的业绩。</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r>
        <w:rPr>
          <w:rFonts w:hint="default" w:ascii="Times New Roman" w:hAnsi="Times New Roman" w:eastAsia="宋体" w:cs="Times New Roman"/>
          <w:highlight w:val="none"/>
          <w:lang w:val="en-US" w:eastAsia="zh-CN"/>
        </w:rPr>
        <w:t>派驻一定数量、一定资历以上的人员开展现场工作不少于1</w:t>
      </w:r>
      <w:r>
        <w:rPr>
          <w:rFonts w:hint="eastAsia" w:ascii="Times New Roman" w:hAnsi="Times New Roman" w:eastAsia="宋体" w:cs="Times New Roman"/>
          <w:highlight w:val="none"/>
          <w:lang w:val="en-US" w:eastAsia="zh-CN"/>
        </w:rPr>
        <w:t>0</w:t>
      </w:r>
      <w:r>
        <w:rPr>
          <w:rFonts w:hint="default" w:ascii="Times New Roman" w:hAnsi="Times New Roman" w:eastAsia="宋体" w:cs="Times New Roman"/>
          <w:highlight w:val="none"/>
          <w:lang w:val="en-US" w:eastAsia="zh-CN"/>
        </w:rPr>
        <w:t>个工作日。</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3.驻场提供风险评估和内部控制评价实施方案。</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4.2025年5月30</w:t>
      </w:r>
      <w:r>
        <w:rPr>
          <w:rFonts w:hint="eastAsia" w:ascii="Times New Roman" w:hAnsi="Times New Roman" w:eastAsia="宋体" w:cs="Times New Roman"/>
          <w:highlight w:val="none"/>
          <w:lang w:val="en-US" w:eastAsia="zh-CN"/>
        </w:rPr>
        <w:t>日前</w:t>
      </w:r>
      <w:r>
        <w:rPr>
          <w:rFonts w:hint="default" w:ascii="Times New Roman" w:hAnsi="Times New Roman" w:eastAsia="宋体" w:cs="Times New Roman"/>
          <w:highlight w:val="none"/>
          <w:lang w:val="en-US" w:eastAsia="zh-CN"/>
        </w:rPr>
        <w:t>出具风险评估、内</w:t>
      </w:r>
      <w:r>
        <w:rPr>
          <w:rFonts w:hint="eastAsia" w:ascii="Times New Roman" w:hAnsi="Times New Roman" w:eastAsia="宋体" w:cs="Times New Roman"/>
          <w:highlight w:val="none"/>
          <w:lang w:val="en-US" w:eastAsia="zh-CN"/>
        </w:rPr>
        <w:t>部控制</w:t>
      </w:r>
      <w:r>
        <w:rPr>
          <w:rFonts w:hint="default" w:ascii="Times New Roman" w:hAnsi="Times New Roman" w:eastAsia="宋体" w:cs="Times New Roman"/>
          <w:highlight w:val="none"/>
          <w:lang w:val="en-US" w:eastAsia="zh-CN"/>
        </w:rPr>
        <w:t>评价报告。</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宋体" w:hAnsi="宋体" w:eastAsia="宋体" w:cs="Times New Roman"/>
          <w:bCs/>
          <w:color w:val="000000"/>
          <w:szCs w:val="21"/>
        </w:rPr>
        <w:t>其他相关要求，详见</w:t>
      </w:r>
      <w:r>
        <w:rPr>
          <w:rFonts w:hint="eastAsia" w:ascii="宋体" w:hAnsi="宋体" w:eastAsia="宋体" w:cs="Times New Roman"/>
          <w:bCs/>
          <w:color w:val="000000"/>
          <w:szCs w:val="21"/>
          <w:lang w:val="en-US" w:eastAsia="zh-CN"/>
        </w:rPr>
        <w:t>采购需求一览表。</w:t>
      </w:r>
    </w:p>
    <w:p>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1.具有独立承担民事责任能力的在中华人民共和国境内注册的法人。</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营业执照</w:t>
      </w:r>
      <w:r>
        <w:rPr>
          <w:rFonts w:hint="eastAsia" w:ascii="宋体" w:hAnsi="宋体" w:eastAsia="宋体" w:cs="Times New Roman"/>
          <w:bCs/>
          <w:color w:val="000000"/>
          <w:szCs w:val="21"/>
        </w:rPr>
        <w:t>经营范围包含所投</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w:t>
      </w:r>
    </w:p>
    <w:p>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1.投标文件要求：每个投标人只能提交一份投标文件（一个正本五个副本，正本文件内所有资料均需加盖公司鲜章）。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2.投标文件的组成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（1）投标人情况简介、营业执照和相关资质、法定代表人授权委托书；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项目报价（格式附后）</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（3）项目整体方案（根据项目服务需求制定详细实施方案，内容不限于时间进度安排、人员配置、关键问题解决方案等）</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）资格文件</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见采购需求</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）技术参数响应表，商务要求响应表；</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）投标人信誉证明，相关网站查询截图。</w:t>
      </w:r>
    </w:p>
    <w:p>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四、投标人资格要求</w:t>
      </w:r>
      <w:r>
        <w:rPr>
          <w:rFonts w:hint="eastAsia" w:ascii="宋体" w:hAnsi="宋体" w:eastAsia="宋体" w:cs="Times New Roman"/>
          <w:bCs/>
          <w:color w:val="000000"/>
          <w:szCs w:val="21"/>
        </w:rPr>
        <w:t>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1.本次招标要求投标人须具备相关资质。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2.信誉要求。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3.其他投标条件要求：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（1）本项目不接受联合体投标；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（2）投标人有依法缴纳税收和社会保障资金的良好记录；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（3）参加政府采购活动近三年内，在经营活动中没有重大违法记录；</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rPr>
        <w:t>（4）投标材料封面请备注所投项目名称、公司名称、公司联系人姓名、电话，否则视为无效</w:t>
      </w:r>
      <w:r>
        <w:rPr>
          <w:rFonts w:hint="eastAsia" w:ascii="宋体" w:hAnsi="宋体" w:eastAsia="宋体" w:cs="Times New Roman"/>
          <w:bCs/>
          <w:color w:val="000000"/>
          <w:szCs w:val="21"/>
          <w:highlight w:val="none"/>
        </w:rPr>
        <w:t>投标。</w:t>
      </w:r>
    </w:p>
    <w:p>
      <w:pPr>
        <w:spacing w:line="400" w:lineRule="exact"/>
        <w:ind w:firstLine="420" w:firstLineChars="200"/>
        <w:rPr>
          <w:rFonts w:hint="eastAsia" w:ascii="黑体" w:hAnsi="黑体" w:eastAsia="黑体" w:cs="黑体"/>
          <w:bCs/>
          <w:color w:val="000000"/>
          <w:szCs w:val="21"/>
          <w:highlight w:val="none"/>
        </w:rPr>
      </w:pPr>
      <w:r>
        <w:rPr>
          <w:rFonts w:hint="eastAsia" w:ascii="黑体" w:hAnsi="黑体" w:eastAsia="黑体" w:cs="黑体"/>
          <w:bCs/>
          <w:color w:val="000000"/>
          <w:szCs w:val="21"/>
          <w:highlight w:val="none"/>
        </w:rPr>
        <w:t>五、递交投标文件时间：</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2025年4月</w:t>
      </w:r>
      <w:r>
        <w:rPr>
          <w:rFonts w:hint="eastAsia" w:ascii="宋体" w:hAnsi="宋体" w:eastAsia="宋体" w:cs="Times New Roman"/>
          <w:bCs/>
          <w:color w:val="000000"/>
          <w:szCs w:val="21"/>
          <w:highlight w:val="none"/>
          <w:lang w:val="en-US" w:eastAsia="zh-CN"/>
        </w:rPr>
        <w:t>23</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eastAsia="zh-CN"/>
        </w:rPr>
        <w:t>2025年4月</w:t>
      </w:r>
      <w:r>
        <w:rPr>
          <w:rFonts w:hint="eastAsia" w:ascii="宋体" w:hAnsi="宋体" w:eastAsia="宋体" w:cs="Times New Roman"/>
          <w:bCs/>
          <w:color w:val="000000"/>
          <w:szCs w:val="21"/>
          <w:highlight w:val="none"/>
          <w:lang w:val="en-US" w:eastAsia="zh-CN"/>
        </w:rPr>
        <w:t>29</w:t>
      </w:r>
      <w:r>
        <w:rPr>
          <w:rFonts w:hint="eastAsia" w:ascii="宋体" w:hAnsi="宋体" w:eastAsia="宋体" w:cs="Times New Roman"/>
          <w:bCs/>
          <w:color w:val="000000"/>
          <w:szCs w:val="21"/>
          <w:highlight w:val="none"/>
        </w:rPr>
        <w:t>日（周一至周五上午8:00～12：00，下午15：00～18：00，节假日除外）。</w:t>
      </w:r>
    </w:p>
    <w:p>
      <w:pPr>
        <w:spacing w:line="400" w:lineRule="exact"/>
        <w:ind w:firstLine="420" w:firstLineChars="200"/>
        <w:rPr>
          <w:rFonts w:hint="eastAsia" w:ascii="黑体" w:hAnsi="黑体" w:eastAsia="黑体" w:cs="黑体"/>
          <w:bCs/>
          <w:color w:val="000000"/>
          <w:szCs w:val="21"/>
          <w:highlight w:val="none"/>
        </w:rPr>
      </w:pPr>
      <w:r>
        <w:rPr>
          <w:rFonts w:hint="eastAsia" w:ascii="黑体" w:hAnsi="黑体" w:eastAsia="黑体" w:cs="黑体"/>
          <w:bCs/>
          <w:color w:val="000000"/>
          <w:szCs w:val="21"/>
          <w:highlight w:val="none"/>
        </w:rPr>
        <w:t>六、递交投标文件地点：</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地址：南宁市青秀区东葛路1号锦华酒店副楼广西骨伤医院行政办公区401室。</w:t>
      </w:r>
    </w:p>
    <w:p>
      <w:pPr>
        <w:numPr>
          <w:ilvl w:val="0"/>
          <w:numId w:val="0"/>
        </w:numPr>
        <w:spacing w:line="400" w:lineRule="exact"/>
        <w:ind w:firstLine="420" w:firstLineChars="200"/>
        <w:rPr>
          <w:rFonts w:hint="eastAsia" w:ascii="宋体" w:hAnsi="宋体" w:eastAsia="宋体" w:cs="Times New Roman"/>
          <w:bCs/>
          <w:color w:val="000000"/>
          <w:szCs w:val="21"/>
          <w:highlight w:val="none"/>
        </w:rPr>
      </w:pPr>
      <w:r>
        <w:rPr>
          <w:rFonts w:hint="eastAsia" w:ascii="黑体" w:hAnsi="黑体" w:eastAsia="黑体" w:cs="黑体"/>
          <w:bCs/>
          <w:color w:val="000000"/>
          <w:szCs w:val="21"/>
          <w:highlight w:val="none"/>
          <w:lang w:val="en-US" w:eastAsia="zh-CN"/>
        </w:rPr>
        <w:t>七、</w:t>
      </w:r>
      <w:r>
        <w:rPr>
          <w:rFonts w:hint="eastAsia" w:ascii="黑体" w:hAnsi="黑体" w:eastAsia="黑体" w:cs="黑体"/>
          <w:bCs/>
          <w:color w:val="000000"/>
          <w:szCs w:val="21"/>
          <w:highlight w:val="none"/>
        </w:rPr>
        <w:t>议价会时间及地点</w:t>
      </w:r>
      <w:r>
        <w:rPr>
          <w:rFonts w:hint="eastAsia" w:ascii="宋体" w:hAnsi="宋体" w:eastAsia="宋体" w:cs="Times New Roman"/>
          <w:bCs/>
          <w:color w:val="000000"/>
          <w:szCs w:val="21"/>
          <w:highlight w:val="none"/>
        </w:rPr>
        <w:t>：</w:t>
      </w:r>
    </w:p>
    <w:p>
      <w:pPr>
        <w:numPr>
          <w:ilvl w:val="0"/>
          <w:numId w:val="0"/>
        </w:num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另行通知</w:t>
      </w:r>
    </w:p>
    <w:p>
      <w:pPr>
        <w:numPr>
          <w:ilvl w:val="0"/>
          <w:numId w:val="0"/>
        </w:numPr>
        <w:spacing w:line="400" w:lineRule="exact"/>
        <w:ind w:firstLine="420" w:firstLineChars="200"/>
        <w:rPr>
          <w:rFonts w:hint="eastAsia" w:ascii="黑体" w:hAnsi="黑体" w:eastAsia="黑体" w:cs="黑体"/>
          <w:bCs/>
          <w:color w:val="000000"/>
          <w:szCs w:val="21"/>
          <w:highlight w:val="none"/>
          <w:lang w:val="en-US" w:eastAsia="zh-CN"/>
        </w:rPr>
      </w:pPr>
      <w:r>
        <w:rPr>
          <w:rFonts w:hint="eastAsia" w:ascii="黑体" w:hAnsi="黑体" w:eastAsia="黑体" w:cs="黑体"/>
          <w:bCs/>
          <w:color w:val="000000"/>
          <w:szCs w:val="21"/>
          <w:highlight w:val="none"/>
          <w:lang w:val="en-US" w:eastAsia="zh-CN"/>
        </w:rPr>
        <w:t>八、其他事项质询</w:t>
      </w:r>
    </w:p>
    <w:p>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广西骨伤医院采购办，</w:t>
      </w:r>
      <w:r>
        <w:rPr>
          <w:rFonts w:hint="eastAsia" w:ascii="宋体" w:hAnsi="宋体" w:eastAsia="宋体" w:cs="Times New Roman"/>
          <w:bCs/>
          <w:color w:val="000000"/>
          <w:szCs w:val="21"/>
          <w:highlight w:val="none"/>
        </w:rPr>
        <w:t>李老师</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rPr>
        <w:t xml:space="preserve"> 0771-2622251</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rPr>
        <w:t xml:space="preserve"> </w:t>
      </w:r>
    </w:p>
    <w:bookmarkEnd w:id="4"/>
    <w:p>
      <w:pPr>
        <w:keepNext/>
        <w:keepLines/>
        <w:numPr>
          <w:ilvl w:val="0"/>
          <w:numId w:val="2"/>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sz w:val="32"/>
          <w:szCs w:val="32"/>
        </w:rPr>
        <w:t>采购需求</w:t>
      </w:r>
    </w:p>
    <w:p>
      <w:pPr>
        <w:spacing w:line="320" w:lineRule="exact"/>
        <w:rPr>
          <w:rFonts w:ascii="宋体" w:hAnsi="宋体" w:eastAsia="宋体" w:cs="Times New Roman"/>
          <w:color w:val="000000"/>
          <w:szCs w:val="21"/>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bookmarkStart w:id="11" w:name="OLE_LINK3"/>
      <w:r>
        <w:rPr>
          <w:rFonts w:hint="eastAsia" w:ascii="宋体" w:hAnsi="宋体" w:eastAsia="宋体" w:cs="Times New Roman"/>
          <w:b/>
          <w:bCs/>
          <w:color w:val="000000"/>
          <w:szCs w:val="21"/>
        </w:rPr>
        <w:t>采购需求一览表</w:t>
      </w:r>
      <w:bookmarkEnd w:id="11"/>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8"/>
        <w:tblW w:w="90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4"/>
        <w:gridCol w:w="3332"/>
        <w:gridCol w:w="1575"/>
        <w:gridCol w:w="31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9" w:hRule="atLeast"/>
          <w:jc w:val="center"/>
        </w:trPr>
        <w:tc>
          <w:tcPr>
            <w:tcW w:w="9057" w:type="dxa"/>
            <w:gridSpan w:val="4"/>
            <w:tcBorders>
              <w:top w:val="nil"/>
              <w:left w:val="nil"/>
              <w:bottom w:val="single" w:color="auto" w:sz="4" w:space="0"/>
              <w:right w:val="nil"/>
            </w:tcBorders>
            <w:noWrap w:val="0"/>
            <w:vAlign w:val="center"/>
          </w:tcPr>
          <w:p>
            <w:pPr>
              <w:pStyle w:val="14"/>
              <w:keepNext w:val="0"/>
              <w:keepLines w:val="0"/>
              <w:pageBreakBefore w:val="0"/>
              <w:kinsoku/>
              <w:overflowPunct/>
              <w:autoSpaceDE/>
              <w:autoSpaceDN/>
              <w:bidi w:val="0"/>
              <w:spacing w:line="300" w:lineRule="exact"/>
              <w:textAlignment w:val="auto"/>
              <w:rPr>
                <w:rFonts w:hint="eastAsia" w:ascii="宋体" w:hAnsi="宋体" w:eastAsia="宋体" w:cs="宋体"/>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1044" w:type="dxa"/>
            <w:tcBorders>
              <w:top w:val="single" w:color="auto" w:sz="4" w:space="0"/>
              <w:left w:val="single" w:color="auto" w:sz="4" w:space="0"/>
              <w:bottom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项目名称</w:t>
            </w:r>
          </w:p>
        </w:tc>
        <w:tc>
          <w:tcPr>
            <w:tcW w:w="8013" w:type="dxa"/>
            <w:gridSpan w:val="3"/>
            <w:tcBorders>
              <w:top w:val="single" w:color="auto" w:sz="4" w:space="0"/>
              <w:bottom w:val="single" w:color="auto" w:sz="4" w:space="0"/>
              <w:right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rPr>
              <w:t>广西骨伤医院医院风险评估及内部控制评价服务</w:t>
            </w:r>
            <w:r>
              <w:rPr>
                <w:rFonts w:hint="eastAsia" w:ascii="宋体" w:hAnsi="宋体" w:eastAsia="宋体" w:cs="Times New Roman"/>
                <w:szCs w:val="21"/>
                <w:highlight w:val="none"/>
                <w:lang w:val="en-US" w:eastAsia="zh-CN"/>
              </w:rPr>
              <w:t>采购项目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1044" w:type="dxa"/>
            <w:tcBorders>
              <w:top w:val="single" w:color="auto" w:sz="4" w:space="0"/>
              <w:left w:val="single" w:color="auto" w:sz="4" w:space="0"/>
              <w:bottom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val="en-US" w:eastAsia="zh-CN"/>
              </w:rPr>
              <w:t xml:space="preserve">   1     </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采购预算</w:t>
            </w:r>
          </w:p>
        </w:tc>
        <w:tc>
          <w:tcPr>
            <w:tcW w:w="3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    45000.00      （单位：元）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87" w:hRule="atLeast"/>
          <w:jc w:val="center"/>
        </w:trPr>
        <w:tc>
          <w:tcPr>
            <w:tcW w:w="1044" w:type="dxa"/>
            <w:tcBorders>
              <w:top w:val="single" w:color="auto" w:sz="4" w:space="0"/>
              <w:left w:val="single" w:color="auto" w:sz="4" w:space="0"/>
              <w:bottom w:val="single" w:color="auto" w:sz="4" w:space="0"/>
            </w:tcBorders>
            <w:noWrap w:val="0"/>
            <w:vAlign w:val="center"/>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项目概况</w:t>
            </w:r>
          </w:p>
        </w:tc>
        <w:tc>
          <w:tcPr>
            <w:tcW w:w="8013" w:type="dxa"/>
            <w:gridSpan w:val="3"/>
            <w:tcBorders>
              <w:top w:val="single" w:color="auto" w:sz="4" w:space="0"/>
              <w:bottom w:val="single" w:color="auto" w:sz="4" w:space="0"/>
              <w:right w:val="single" w:color="auto" w:sz="4" w:space="0"/>
            </w:tcBorders>
            <w:noWrap w:val="0"/>
            <w:vAlign w:val="top"/>
          </w:tcPr>
          <w:p>
            <w:pPr>
              <w:keepNext w:val="0"/>
              <w:keepLines w:val="0"/>
              <w:pageBreakBefore w:val="0"/>
              <w:numPr>
                <w:ilvl w:val="0"/>
                <w:numId w:val="0"/>
              </w:numPr>
              <w:tabs>
                <w:tab w:val="left" w:pos="180"/>
                <w:tab w:val="left" w:pos="1620"/>
              </w:tabs>
              <w:kinsoku/>
              <w:overflowPunct/>
              <w:autoSpaceDE/>
              <w:autoSpaceDN/>
              <w:bidi w:val="0"/>
              <w:spacing w:line="3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遴选</w:t>
            </w:r>
            <w:r>
              <w:rPr>
                <w:rFonts w:hint="eastAsia" w:ascii="仿宋_GB2312" w:hAnsi="仿宋_GB2312" w:eastAsia="仿宋_GB2312" w:cs="仿宋_GB2312"/>
                <w:sz w:val="24"/>
                <w:szCs w:val="24"/>
                <w:u w:val="single"/>
                <w:lang w:val="en-US" w:eastAsia="zh-CN"/>
              </w:rPr>
              <w:t xml:space="preserve"> 1 </w:t>
            </w:r>
            <w:r>
              <w:rPr>
                <w:rFonts w:hint="eastAsia" w:ascii="仿宋_GB2312" w:hAnsi="仿宋_GB2312" w:eastAsia="仿宋_GB2312" w:cs="仿宋_GB2312"/>
                <w:sz w:val="24"/>
                <w:szCs w:val="24"/>
                <w:lang w:val="en-US" w:eastAsia="zh-CN"/>
              </w:rPr>
              <w:t>家</w:t>
            </w:r>
            <w:r>
              <w:rPr>
                <w:rFonts w:hint="eastAsia" w:ascii="仿宋_GB2312" w:hAnsi="仿宋_GB2312" w:eastAsia="仿宋_GB2312" w:cs="仿宋_GB2312"/>
                <w:sz w:val="24"/>
                <w:szCs w:val="24"/>
                <w:u w:val="single"/>
                <w:lang w:val="en-US" w:eastAsia="zh-CN"/>
              </w:rPr>
              <w:t xml:space="preserve"> 第三方服务  </w:t>
            </w:r>
            <w:r>
              <w:rPr>
                <w:rFonts w:hint="eastAsia" w:ascii="仿宋_GB2312" w:hAnsi="仿宋_GB2312" w:eastAsia="仿宋_GB2312" w:cs="仿宋_GB2312"/>
                <w:sz w:val="24"/>
                <w:szCs w:val="24"/>
                <w:lang w:val="en-US" w:eastAsia="zh-CN"/>
              </w:rPr>
              <w:t>公司，为我院提供</w:t>
            </w:r>
            <w:r>
              <w:rPr>
                <w:rFonts w:hint="eastAsia" w:ascii="仿宋_GB2312" w:hAnsi="仿宋_GB2312" w:eastAsia="仿宋_GB2312" w:cs="仿宋_GB2312"/>
                <w:sz w:val="24"/>
                <w:szCs w:val="24"/>
                <w:u w:val="single"/>
                <w:lang w:val="en-US" w:eastAsia="zh-CN"/>
              </w:rPr>
              <w:t>风险评估及内部控制评价服务</w:t>
            </w:r>
            <w:r>
              <w:rPr>
                <w:rFonts w:hint="eastAsia" w:ascii="仿宋_GB2312" w:hAnsi="仿宋_GB2312" w:eastAsia="仿宋_GB2312" w:cs="仿宋_GB2312"/>
                <w:sz w:val="24"/>
                <w:szCs w:val="24"/>
                <w:lang w:val="en-US" w:eastAsia="zh-CN"/>
              </w:rPr>
              <w:t>服务。</w:t>
            </w:r>
          </w:p>
          <w:p>
            <w:pPr>
              <w:keepNext w:val="0"/>
              <w:keepLines w:val="0"/>
              <w:pageBreakBefore w:val="0"/>
              <w:numPr>
                <w:ilvl w:val="0"/>
                <w:numId w:val="0"/>
              </w:numPr>
              <w:tabs>
                <w:tab w:val="left" w:pos="180"/>
                <w:tab w:val="left" w:pos="1620"/>
              </w:tabs>
              <w:kinsoku/>
              <w:overflowPunct/>
              <w:autoSpaceDE/>
              <w:autoSpaceDN/>
              <w:bidi w:val="0"/>
              <w:spacing w:line="300" w:lineRule="exact"/>
              <w:jc w:val="both"/>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lang w:val="en-US" w:eastAsia="zh-CN"/>
              </w:rPr>
              <w:t>2.服务地点：</w:t>
            </w:r>
            <w:r>
              <w:rPr>
                <w:rFonts w:hint="eastAsia" w:ascii="仿宋_GB2312" w:hAnsi="仿宋_GB2312" w:eastAsia="仿宋_GB2312" w:cs="仿宋_GB2312"/>
                <w:sz w:val="24"/>
                <w:szCs w:val="24"/>
                <w:u w:val="single"/>
                <w:lang w:val="en-US" w:eastAsia="zh-CN"/>
              </w:rPr>
              <w:t>广西骨伤医院（南宁市新民路32号）</w:t>
            </w:r>
            <w:r>
              <w:rPr>
                <w:rFonts w:hint="eastAsia" w:ascii="仿宋_GB2312" w:hAnsi="仿宋_GB2312" w:eastAsia="仿宋_GB2312" w:cs="仿宋_GB2312"/>
                <w:sz w:val="24"/>
                <w:szCs w:val="24"/>
                <w:u w:val="none"/>
                <w:lang w:val="en-US" w:eastAsia="zh-CN"/>
              </w:rPr>
              <w:t xml:space="preserve">                 </w:t>
            </w:r>
          </w:p>
          <w:p>
            <w:pPr>
              <w:keepNext w:val="0"/>
              <w:keepLines w:val="0"/>
              <w:pageBreakBefore w:val="0"/>
              <w:numPr>
                <w:ilvl w:val="0"/>
                <w:numId w:val="0"/>
              </w:numPr>
              <w:tabs>
                <w:tab w:val="left" w:pos="180"/>
                <w:tab w:val="left" w:pos="1620"/>
              </w:tabs>
              <w:kinsoku/>
              <w:overflowPunct/>
              <w:autoSpaceDE/>
              <w:autoSpaceDN/>
              <w:bidi w:val="0"/>
              <w:spacing w:line="300" w:lineRule="exact"/>
              <w:jc w:val="both"/>
              <w:textAlignment w:val="auto"/>
              <w:rPr>
                <w:rFonts w:hint="default" w:ascii="Times New Roman" w:hAnsi="Times New Roman" w:eastAsia="宋体" w:cs="Times New Roman"/>
                <w:lang w:val="en-US" w:eastAsia="zh-CN"/>
              </w:rPr>
            </w:pPr>
            <w:r>
              <w:rPr>
                <w:rFonts w:hint="eastAsia" w:ascii="仿宋_GB2312" w:hAnsi="仿宋_GB2312" w:eastAsia="仿宋_GB2312" w:cs="仿宋_GB2312"/>
                <w:sz w:val="24"/>
                <w:szCs w:val="24"/>
                <w:lang w:val="en-US" w:eastAsia="zh-CN"/>
              </w:rPr>
              <w:t>3.合同期限：自合同签约之日起</w:t>
            </w:r>
            <w:r>
              <w:rPr>
                <w:rFonts w:hint="eastAsia" w:ascii="仿宋_GB2312" w:hAnsi="仿宋_GB2312" w:eastAsia="仿宋_GB2312" w:cs="仿宋_GB2312"/>
                <w:sz w:val="24"/>
                <w:szCs w:val="24"/>
                <w:u w:val="single"/>
                <w:lang w:val="en-US" w:eastAsia="zh-CN"/>
              </w:rPr>
              <w:t>至服务工作完成并提交工作成果之日</w:t>
            </w:r>
            <w:r>
              <w:rPr>
                <w:rFonts w:hint="eastAsia" w:ascii="仿宋_GB2312" w:hAnsi="仿宋_GB2312" w:eastAsia="仿宋_GB2312" w:cs="仿宋_GB2312"/>
                <w:sz w:val="24"/>
                <w:szCs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9057" w:type="dxa"/>
            <w:gridSpan w:val="4"/>
            <w:tcBorders>
              <w:top w:val="single" w:color="auto" w:sz="4" w:space="0"/>
            </w:tcBorders>
            <w:noWrap w:val="0"/>
            <w:vAlign w:val="center"/>
          </w:tcPr>
          <w:p>
            <w:pPr>
              <w:keepNext w:val="0"/>
              <w:keepLines w:val="0"/>
              <w:pageBreakBefore w:val="0"/>
              <w:tabs>
                <w:tab w:val="left" w:pos="180"/>
                <w:tab w:val="left" w:pos="1620"/>
              </w:tabs>
              <w:kinsoku/>
              <w:wordWrap/>
              <w:overflowPunct/>
              <w:topLinePunct w:val="0"/>
              <w:autoSpaceDE/>
              <w:autoSpaceDN/>
              <w:bidi w:val="0"/>
              <w:spacing w:line="300" w:lineRule="exact"/>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Times New Roman" w:hAnsi="Times New Roman" w:eastAsia="宋体" w:cs="Times New Roman"/>
              </w:rPr>
            </w:pPr>
            <w:r>
              <w:rPr>
                <w:rFonts w:hint="eastAsia" w:ascii="Times New Roman" w:hAnsi="Times New Roman" w:eastAsia="宋体" w:cs="Times New Roman"/>
                <w:highlight w:val="none"/>
                <w:lang w:val="en-US" w:eastAsia="zh-CN"/>
              </w:rPr>
              <w:t>（对服务的标准、时间、质量等详细要求）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0" w:hRule="atLeast"/>
          <w:jc w:val="center"/>
        </w:trPr>
        <w:tc>
          <w:tcPr>
            <w:tcW w:w="9057" w:type="dxa"/>
            <w:gridSpan w:val="4"/>
            <w:noWrap w:val="0"/>
            <w:vAlign w:val="center"/>
          </w:tcPr>
          <w:p>
            <w:pPr>
              <w:keepNext w:val="0"/>
              <w:keepLines w:val="0"/>
              <w:pageBreakBefore w:val="0"/>
              <w:widowControl/>
              <w:kinsoku/>
              <w:overflowPunct/>
              <w:autoSpaceDE/>
              <w:autoSpaceDN/>
              <w:bidi w:val="0"/>
              <w:adjustRightInd w:val="0"/>
              <w:snapToGrid w:val="0"/>
              <w:spacing w:line="300" w:lineRule="exact"/>
              <w:ind w:firstLine="482" w:firstLineChars="200"/>
              <w:jc w:val="left"/>
              <w:textAlignment w:val="auto"/>
              <w:rPr>
                <w:rFonts w:hint="eastAsia" w:ascii="黑体" w:hAnsi="黑体" w:eastAsia="黑体" w:cs="黑体"/>
                <w:b/>
                <w:bCs/>
                <w:sz w:val="24"/>
                <w:szCs w:val="24"/>
                <w:highlight w:val="none"/>
              </w:rPr>
            </w:pPr>
            <w:r>
              <w:rPr>
                <w:rFonts w:hint="eastAsia" w:ascii="黑体" w:hAnsi="黑体" w:eastAsia="黑体" w:cs="黑体"/>
                <w:b/>
                <w:bCs/>
                <w:sz w:val="24"/>
                <w:szCs w:val="24"/>
                <w:highlight w:val="none"/>
                <w:lang w:val="en-US" w:eastAsia="zh-CN"/>
              </w:rPr>
              <w:t>一</w:t>
            </w:r>
            <w:r>
              <w:rPr>
                <w:rFonts w:hint="eastAsia" w:ascii="黑体" w:hAnsi="黑体" w:eastAsia="黑体" w:cs="黑体"/>
                <w:b/>
                <w:bCs/>
                <w:sz w:val="24"/>
                <w:szCs w:val="24"/>
                <w:highlight w:val="none"/>
              </w:rPr>
              <w:t>、</w:t>
            </w:r>
            <w:r>
              <w:rPr>
                <w:rFonts w:hint="eastAsia" w:ascii="黑体" w:hAnsi="黑体" w:eastAsia="黑体" w:cs="黑体"/>
                <w:b/>
                <w:bCs/>
                <w:sz w:val="24"/>
                <w:szCs w:val="24"/>
                <w:highlight w:val="none"/>
                <w:lang w:val="en-US" w:eastAsia="zh-CN"/>
              </w:rPr>
              <w:t>服务</w:t>
            </w:r>
            <w:r>
              <w:rPr>
                <w:rFonts w:hint="eastAsia" w:ascii="黑体" w:hAnsi="黑体" w:eastAsia="黑体" w:cs="黑体"/>
                <w:b/>
                <w:bCs/>
                <w:sz w:val="24"/>
                <w:szCs w:val="24"/>
                <w:highlight w:val="none"/>
              </w:rPr>
              <w:t>范围</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rPr>
              <w:t>对</w:t>
            </w:r>
            <w:r>
              <w:rPr>
                <w:rFonts w:hint="eastAsia" w:ascii="Times New Roman" w:hAnsi="Times New Roman" w:eastAsia="宋体" w:cs="Times New Roman"/>
                <w:highlight w:val="none"/>
                <w:lang w:val="en-US" w:eastAsia="zh-CN"/>
              </w:rPr>
              <w:t>2024年度</w:t>
            </w:r>
            <w:r>
              <w:rPr>
                <w:rFonts w:hint="eastAsia" w:ascii="Times New Roman" w:hAnsi="Times New Roman" w:eastAsia="宋体" w:cs="Times New Roman"/>
                <w:highlight w:val="none"/>
              </w:rPr>
              <w:t>医院单位层面和业务层面内部控制设计及运行情况进行全面评价</w:t>
            </w:r>
            <w:r>
              <w:rPr>
                <w:rFonts w:hint="eastAsia" w:ascii="Times New Roman" w:hAnsi="Times New Roman" w:eastAsia="宋体" w:cs="Times New Roman"/>
                <w:highlight w:val="none"/>
                <w:lang w:val="en-US" w:eastAsia="zh-CN"/>
              </w:rPr>
              <w:t>并开展风险评估</w:t>
            </w:r>
            <w:r>
              <w:rPr>
                <w:rFonts w:hint="eastAsia" w:ascii="Times New Roman" w:hAnsi="Times New Roman" w:eastAsia="宋体" w:cs="Times New Roman"/>
                <w:highlight w:val="none"/>
              </w:rPr>
              <w:t>工作</w:t>
            </w:r>
            <w:r>
              <w:rPr>
                <w:rFonts w:hint="eastAsia" w:ascii="Times New Roman" w:hAnsi="Times New Roman" w:eastAsia="宋体" w:cs="Times New Roman"/>
                <w:highlight w:val="none"/>
                <w:lang w:eastAsia="zh-CN"/>
              </w:rPr>
              <w:t>。</w:t>
            </w:r>
          </w:p>
          <w:p>
            <w:pPr>
              <w:keepNext w:val="0"/>
              <w:keepLines w:val="0"/>
              <w:pageBreakBefore w:val="0"/>
              <w:widowControl/>
              <w:kinsoku/>
              <w:overflowPunct/>
              <w:autoSpaceDE/>
              <w:autoSpaceDN/>
              <w:bidi w:val="0"/>
              <w:adjustRightInd w:val="0"/>
              <w:snapToGrid w:val="0"/>
              <w:spacing w:line="300" w:lineRule="exact"/>
              <w:ind w:firstLine="482" w:firstLineChars="200"/>
              <w:jc w:val="left"/>
              <w:textAlignment w:val="auto"/>
              <w:rPr>
                <w:rFonts w:hint="eastAsia" w:ascii="黑体" w:hAnsi="黑体" w:eastAsia="黑体" w:cs="黑体"/>
                <w:b/>
                <w:bCs/>
                <w:sz w:val="24"/>
                <w:szCs w:val="24"/>
                <w:highlight w:val="none"/>
              </w:rPr>
            </w:pPr>
            <w:r>
              <w:rPr>
                <w:rFonts w:hint="eastAsia" w:ascii="黑体" w:hAnsi="黑体" w:eastAsia="黑体" w:cs="黑体"/>
                <w:b/>
                <w:bCs/>
                <w:sz w:val="24"/>
                <w:szCs w:val="24"/>
                <w:highlight w:val="none"/>
                <w:lang w:val="en-US" w:eastAsia="zh-CN"/>
              </w:rPr>
              <w:t>二</w:t>
            </w:r>
            <w:r>
              <w:rPr>
                <w:rFonts w:hint="eastAsia" w:ascii="黑体" w:hAnsi="黑体" w:eastAsia="黑体" w:cs="黑体"/>
                <w:b/>
                <w:bCs/>
                <w:sz w:val="24"/>
                <w:szCs w:val="24"/>
                <w:highlight w:val="none"/>
              </w:rPr>
              <w:t>、服务要求</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bookmarkStart w:id="12" w:name="OLE_LINK2"/>
            <w:r>
              <w:rPr>
                <w:rFonts w:hint="eastAsia" w:ascii="Times New Roman" w:hAnsi="Times New Roman" w:eastAsia="宋体" w:cs="Times New Roman"/>
                <w:highlight w:val="none"/>
                <w:lang w:val="en-US" w:eastAsia="zh-CN"/>
              </w:rPr>
              <w:t>（一）需求内容</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以行政事业单位内部控制相关文件、《公立医院内部控制管理办法》、《广西壮族自治区公立医院内部控制评价管理办法（试行）》为依据全面开展风险评估、对医院单位层面和业务层面内部控制设计及运行情况进行全面评价工作。</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2.结合医院近三年来各类审计等专项检查工作中关于内部控制的相关问题及近两年内部控制报告编报质量审核情况，有针对性地开展评估、评价并提出相应管理建议。</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3.在开展专项工作的过程中，全面梳理医院各项内部控制制度中对同一事项规定不一致的条款，并提出相应的管理建议；</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4.在全面评估、评价的基础上出具风险评估、内控评价报告各一份，并提供穿行测试和控制测试底稿。</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（二）服务要求</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r>
              <w:rPr>
                <w:rFonts w:hint="default" w:ascii="Times New Roman" w:hAnsi="Times New Roman" w:eastAsia="宋体" w:cs="Times New Roman"/>
                <w:highlight w:val="none"/>
                <w:lang w:val="en-US" w:eastAsia="zh-CN"/>
              </w:rPr>
              <w:t>具有能承担专项工作的人员团队，有承接并完成行政事业单位（公立医院优先）类似业务的业绩。</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r>
              <w:rPr>
                <w:rFonts w:hint="default" w:ascii="Times New Roman" w:hAnsi="Times New Roman" w:eastAsia="宋体" w:cs="Times New Roman"/>
                <w:highlight w:val="none"/>
                <w:lang w:val="en-US" w:eastAsia="zh-CN"/>
              </w:rPr>
              <w:t>派驻一定数量、一定资历以上的人员开展现场工作不少于1</w:t>
            </w:r>
            <w:r>
              <w:rPr>
                <w:rFonts w:hint="eastAsia" w:ascii="Times New Roman" w:hAnsi="Times New Roman" w:eastAsia="宋体" w:cs="Times New Roman"/>
                <w:highlight w:val="none"/>
                <w:lang w:val="en-US" w:eastAsia="zh-CN"/>
              </w:rPr>
              <w:t>0</w:t>
            </w:r>
            <w:r>
              <w:rPr>
                <w:rFonts w:hint="default" w:ascii="Times New Roman" w:hAnsi="Times New Roman" w:eastAsia="宋体" w:cs="Times New Roman"/>
                <w:highlight w:val="none"/>
                <w:lang w:val="en-US" w:eastAsia="zh-CN"/>
              </w:rPr>
              <w:t>个工作日。</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3.驻场提供风险评估和内部控制评价实施方案。</w:t>
            </w:r>
          </w:p>
          <w:p>
            <w:pPr>
              <w:keepNext w:val="0"/>
              <w:keepLines w:val="0"/>
              <w:pageBreakBefore w:val="0"/>
              <w:widowControl/>
              <w:kinsoku/>
              <w:overflowPunct/>
              <w:autoSpaceDE/>
              <w:autoSpaceDN/>
              <w:bidi w:val="0"/>
              <w:adjustRightInd w:val="0"/>
              <w:snapToGrid w:val="0"/>
              <w:spacing w:line="300" w:lineRule="exact"/>
              <w:ind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4.2025年5月30</w:t>
            </w:r>
            <w:r>
              <w:rPr>
                <w:rFonts w:hint="eastAsia" w:ascii="Times New Roman" w:hAnsi="Times New Roman" w:eastAsia="宋体" w:cs="Times New Roman"/>
                <w:highlight w:val="none"/>
                <w:lang w:val="en-US" w:eastAsia="zh-CN"/>
              </w:rPr>
              <w:t>日前</w:t>
            </w:r>
            <w:r>
              <w:rPr>
                <w:rFonts w:hint="default" w:ascii="Times New Roman" w:hAnsi="Times New Roman" w:eastAsia="宋体" w:cs="Times New Roman"/>
                <w:highlight w:val="none"/>
                <w:lang w:val="en-US" w:eastAsia="zh-CN"/>
              </w:rPr>
              <w:t>出具风险评估、内</w:t>
            </w:r>
            <w:r>
              <w:rPr>
                <w:rFonts w:hint="eastAsia" w:ascii="Times New Roman" w:hAnsi="Times New Roman" w:eastAsia="宋体" w:cs="Times New Roman"/>
                <w:highlight w:val="none"/>
                <w:lang w:val="en-US" w:eastAsia="zh-CN"/>
              </w:rPr>
              <w:t>部控制</w:t>
            </w:r>
            <w:r>
              <w:rPr>
                <w:rFonts w:hint="default" w:ascii="Times New Roman" w:hAnsi="Times New Roman" w:eastAsia="宋体" w:cs="Times New Roman"/>
                <w:highlight w:val="none"/>
                <w:lang w:val="en-US" w:eastAsia="zh-CN"/>
              </w:rPr>
              <w:t>评价报告。</w:t>
            </w:r>
          </w:p>
          <w:bookmarkEnd w:id="12"/>
          <w:p>
            <w:pPr>
              <w:keepNext w:val="0"/>
              <w:keepLines w:val="0"/>
              <w:pageBreakBefore w:val="0"/>
              <w:widowControl/>
              <w:kinsoku/>
              <w:overflowPunct/>
              <w:autoSpaceDE/>
              <w:autoSpaceDN/>
              <w:bidi w:val="0"/>
              <w:adjustRightInd w:val="0"/>
              <w:snapToGrid w:val="0"/>
              <w:spacing w:line="300" w:lineRule="exact"/>
              <w:ind w:firstLine="482" w:firstLineChars="200"/>
              <w:jc w:val="left"/>
              <w:textAlignment w:val="auto"/>
              <w:rPr>
                <w:rFonts w:hint="eastAsia" w:ascii="黑体" w:hAnsi="黑体" w:eastAsia="黑体" w:cs="黑体"/>
                <w:b/>
                <w:bCs/>
                <w:sz w:val="24"/>
                <w:szCs w:val="24"/>
                <w:highlight w:val="none"/>
              </w:rPr>
            </w:pPr>
            <w:r>
              <w:rPr>
                <w:rFonts w:hint="eastAsia" w:ascii="黑体" w:hAnsi="黑体" w:eastAsia="黑体" w:cs="黑体"/>
                <w:b/>
                <w:bCs/>
                <w:sz w:val="24"/>
                <w:szCs w:val="24"/>
                <w:highlight w:val="none"/>
                <w:lang w:val="en-US" w:eastAsia="zh-CN"/>
              </w:rPr>
              <w:t>三</w:t>
            </w:r>
            <w:r>
              <w:rPr>
                <w:rFonts w:hint="eastAsia" w:ascii="黑体" w:hAnsi="黑体" w:eastAsia="黑体" w:cs="黑体"/>
                <w:b/>
                <w:bCs/>
                <w:sz w:val="24"/>
                <w:szCs w:val="24"/>
                <w:highlight w:val="none"/>
              </w:rPr>
              <w:t>、其他要求</w:t>
            </w:r>
          </w:p>
          <w:p>
            <w:pPr>
              <w:keepNext w:val="0"/>
              <w:keepLines w:val="0"/>
              <w:pageBreakBefore w:val="0"/>
              <w:widowControl/>
              <w:kinsoku/>
              <w:overflowPunct/>
              <w:autoSpaceDE/>
              <w:autoSpaceDN/>
              <w:bidi w:val="0"/>
              <w:adjustRightInd w:val="0"/>
              <w:snapToGrid w:val="0"/>
              <w:spacing w:line="300" w:lineRule="exact"/>
              <w:ind w:firstLine="420" w:firstLineChars="200"/>
              <w:textAlignment w:val="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rPr>
              <w:t>与本</w:t>
            </w:r>
            <w:r>
              <w:rPr>
                <w:rFonts w:hint="eastAsia" w:ascii="Times New Roman" w:hAnsi="Times New Roman" w:eastAsia="宋体" w:cs="Times New Roman"/>
                <w:highlight w:val="none"/>
                <w:lang w:val="en-US" w:eastAsia="zh-CN"/>
              </w:rPr>
              <w:t>项目</w:t>
            </w:r>
            <w:r>
              <w:rPr>
                <w:rFonts w:hint="eastAsia" w:ascii="Times New Roman" w:hAnsi="Times New Roman" w:eastAsia="宋体" w:cs="Times New Roman"/>
                <w:highlight w:val="none"/>
              </w:rPr>
              <w:t>有关的其他费用（包括交通费、食宿费等）由</w:t>
            </w:r>
            <w:r>
              <w:rPr>
                <w:rFonts w:hint="eastAsia" w:ascii="Times New Roman" w:hAnsi="Times New Roman" w:eastAsia="宋体" w:cs="Times New Roman"/>
                <w:highlight w:val="none"/>
                <w:lang w:val="en-US" w:eastAsia="zh-CN"/>
              </w:rPr>
              <w:t>中标人</w:t>
            </w:r>
            <w:r>
              <w:rPr>
                <w:rFonts w:hint="eastAsia" w:ascii="Times New Roman" w:hAnsi="Times New Roman" w:eastAsia="宋体" w:cs="Times New Roman"/>
                <w:highlight w:val="none"/>
              </w:rPr>
              <w:t>承担</w:t>
            </w:r>
            <w:r>
              <w:rPr>
                <w:rFonts w:hint="eastAsia" w:ascii="Times New Roman" w:hAnsi="Times New Roman" w:eastAsia="宋体" w:cs="Times New Roman"/>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jc w:val="center"/>
        </w:trPr>
        <w:tc>
          <w:tcPr>
            <w:tcW w:w="9057"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tabs>
                <w:tab w:val="left" w:pos="180"/>
                <w:tab w:val="left" w:pos="1620"/>
              </w:tabs>
              <w:kinsoku/>
              <w:overflowPunct/>
              <w:autoSpaceDE/>
              <w:autoSpaceDN/>
              <w:bidi w:val="0"/>
              <w:spacing w:line="300" w:lineRule="exact"/>
              <w:jc w:val="center"/>
              <w:textAlignment w:val="auto"/>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pPr>
              <w:keepNext w:val="0"/>
              <w:keepLines w:val="0"/>
              <w:pageBreakBefore w:val="0"/>
              <w:widowControl/>
              <w:numPr>
                <w:ilvl w:val="0"/>
                <w:numId w:val="0"/>
              </w:numPr>
              <w:kinsoku/>
              <w:overflowPunct/>
              <w:autoSpaceDE/>
              <w:autoSpaceDN/>
              <w:bidi w:val="0"/>
              <w:adjustRightInd w:val="0"/>
              <w:snapToGrid w:val="0"/>
              <w:spacing w:line="300" w:lineRule="exact"/>
              <w:jc w:val="center"/>
              <w:textAlignment w:val="auto"/>
              <w:rPr>
                <w:rFonts w:ascii="Times New Roman" w:hAnsi="Times New Roman" w:eastAsia="宋体" w:cs="Times New Roman"/>
              </w:rPr>
            </w:pPr>
            <w:r>
              <w:rPr>
                <w:rFonts w:hint="eastAsia" w:ascii="宋体" w:hAnsi="宋体" w:eastAsia="宋体" w:cs="宋体"/>
                <w:szCs w:val="21"/>
                <w:highlight w:val="none"/>
                <w:lang w:val="en-US" w:eastAsia="zh-CN"/>
              </w:rPr>
              <w:t>（对供应商资质、报价、履约、售后等详细要求）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jc w:val="center"/>
              <w:textAlignment w:val="auto"/>
              <w:rPr>
                <w:rFonts w:hint="default" w:ascii="宋体" w:hAnsi="宋体" w:eastAsia="宋体" w:cs="Times New Roman"/>
                <w:b/>
                <w:bCs/>
                <w:color w:val="000000"/>
                <w:szCs w:val="21"/>
                <w:highlight w:val="none"/>
                <w:lang w:val="en-US" w:eastAsia="zh-CN"/>
              </w:rPr>
            </w:pPr>
            <w:r>
              <w:rPr>
                <w:rFonts w:hint="eastAsia" w:ascii="宋体" w:hAnsi="宋体" w:eastAsia="宋体" w:cs="宋体"/>
                <w:b/>
                <w:bCs/>
                <w:color w:val="000000"/>
                <w:szCs w:val="21"/>
                <w:highlight w:val="none"/>
                <w:lang w:val="en-US" w:eastAsia="zh-CN"/>
              </w:rPr>
              <w:t>供应商资质要求</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kinsoku/>
              <w:overflowPunct/>
              <w:autoSpaceDE/>
              <w:autoSpaceDN/>
              <w:bidi w:val="0"/>
              <w:spacing w:line="300" w:lineRule="exact"/>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一、投标人资质要求</w:t>
            </w:r>
          </w:p>
          <w:p>
            <w:pPr>
              <w:pStyle w:val="14"/>
              <w:keepNext w:val="0"/>
              <w:keepLines w:val="0"/>
              <w:pageBreakBefore w:val="0"/>
              <w:kinsoku/>
              <w:overflowPunct/>
              <w:autoSpaceDE/>
              <w:autoSpaceDN/>
              <w:bidi w:val="0"/>
              <w:spacing w:line="3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除应具备《政府采购法》第二十二条资格条件外，还必须满足：</w:t>
            </w:r>
          </w:p>
          <w:p>
            <w:pPr>
              <w:pStyle w:val="14"/>
              <w:keepNext w:val="0"/>
              <w:keepLines w:val="0"/>
              <w:pageBreakBefore w:val="0"/>
              <w:kinsoku/>
              <w:overflowPunct/>
              <w:autoSpaceDE/>
              <w:autoSpaceDN/>
              <w:bidi w:val="0"/>
              <w:spacing w:line="3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1.具有独立承担民事责任能力的在中华人民共和国境内注册的法人。</w:t>
            </w:r>
          </w:p>
          <w:p>
            <w:pPr>
              <w:pStyle w:val="14"/>
              <w:keepNext w:val="0"/>
              <w:keepLines w:val="0"/>
              <w:pageBreakBefore w:val="0"/>
              <w:kinsoku/>
              <w:overflowPunct/>
              <w:autoSpaceDE/>
              <w:autoSpaceDN/>
              <w:bidi w:val="0"/>
              <w:spacing w:line="3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2.营业执照经营范围包含所投项目。</w:t>
            </w:r>
          </w:p>
          <w:p>
            <w:pPr>
              <w:pStyle w:val="14"/>
              <w:keepNext w:val="0"/>
              <w:keepLines w:val="0"/>
              <w:pageBreakBefore w:val="0"/>
              <w:kinsoku/>
              <w:overflowPunct/>
              <w:autoSpaceDE/>
              <w:autoSpaceDN/>
              <w:bidi w:val="0"/>
              <w:spacing w:line="3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二、信誉要求。</w:t>
            </w:r>
          </w:p>
          <w:p>
            <w:pPr>
              <w:pStyle w:val="14"/>
              <w:keepNext w:val="0"/>
              <w:keepLines w:val="0"/>
              <w:pageBreakBefore w:val="0"/>
              <w:kinsoku/>
              <w:overflowPunct/>
              <w:autoSpaceDE/>
              <w:autoSpaceDN/>
              <w:bidi w:val="0"/>
              <w:spacing w:line="300" w:lineRule="exac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根据最高人民法院等9部门《关于在招投标活动中对失信被执行人实施联合惩戒的通知》（法〔2016〕285号）规定，投标人、拟派项目负责人不得为失信被执行人（以评标阶段 “信用中国”网站（www.creditchina.gov.cn）查询信息为准）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jc w:val="center"/>
              <w:textAlignment w:val="auto"/>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实施期限和地点</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ind w:left="315" w:hanging="315" w:hangingChars="150"/>
              <w:textAlignment w:val="auto"/>
              <w:rPr>
                <w:rFonts w:ascii="宋体" w:hAnsi="宋体" w:eastAsia="宋体" w:cs="Times New Roman"/>
                <w:color w:val="FF0000"/>
                <w:szCs w:val="21"/>
                <w:highlight w:val="none"/>
              </w:rPr>
            </w:pPr>
            <w:r>
              <w:rPr>
                <w:rFonts w:hint="eastAsia" w:ascii="宋体" w:hAnsi="宋体" w:eastAsia="宋体" w:cs="Times New Roman"/>
                <w:szCs w:val="21"/>
                <w:highlight w:val="none"/>
              </w:rPr>
              <w:t>1、服务期限：自签订合同之日起</w:t>
            </w:r>
            <w:r>
              <w:rPr>
                <w:rFonts w:hint="eastAsia" w:ascii="宋体" w:hAnsi="宋体" w:eastAsia="宋体" w:cs="Times New Roman"/>
                <w:szCs w:val="21"/>
                <w:highlight w:val="none"/>
                <w:u w:val="single"/>
                <w:lang w:val="en-US" w:eastAsia="zh-CN"/>
              </w:rPr>
              <w:t>至服务工作完成并提交工作成果之日</w:t>
            </w:r>
            <w:r>
              <w:rPr>
                <w:rFonts w:hint="eastAsia" w:ascii="宋体" w:hAnsi="宋体" w:eastAsia="宋体" w:cs="Times New Roman"/>
                <w:szCs w:val="21"/>
                <w:highlight w:val="none"/>
              </w:rPr>
              <w:t>。</w:t>
            </w:r>
          </w:p>
          <w:p>
            <w:pPr>
              <w:keepNext w:val="0"/>
              <w:keepLines w:val="0"/>
              <w:pageBreakBefore w:val="0"/>
              <w:kinsoku/>
              <w:overflowPunct/>
              <w:autoSpaceDE/>
              <w:autoSpaceDN/>
              <w:bidi w:val="0"/>
              <w:spacing w:line="300" w:lineRule="exac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2、服务地点：</w:t>
            </w:r>
            <w:r>
              <w:rPr>
                <w:rFonts w:hint="eastAsia" w:ascii="宋体" w:hAnsi="宋体" w:eastAsia="宋体" w:cs="Times New Roman"/>
                <w:szCs w:val="21"/>
                <w:highlight w:val="none"/>
                <w:lang w:val="en-US" w:eastAsia="zh-CN"/>
              </w:rPr>
              <w:t xml:space="preserve"> 采购人指定地点</w:t>
            </w:r>
            <w:r>
              <w:rPr>
                <w:rFonts w:hint="eastAsia" w:ascii="宋体" w:hAnsi="宋体" w:eastAsia="宋体" w:cs="Times New Roman"/>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6" w:hRule="atLeast"/>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jc w:val="center"/>
              <w:textAlignment w:val="auto"/>
              <w:rPr>
                <w:rFonts w:ascii="Times New Roman" w:hAnsi="Times New Roman" w:eastAsia="宋体" w:cs="Times New Roman"/>
                <w:b/>
                <w:bCs/>
                <w:color w:val="000000"/>
                <w:szCs w:val="21"/>
                <w:highlight w:val="none"/>
              </w:rPr>
            </w:pPr>
            <w:r>
              <w:rPr>
                <w:rFonts w:ascii="Times New Roman" w:hAnsi="Times New Roman" w:eastAsia="宋体" w:cs="Times New Roman"/>
                <w:b/>
                <w:bCs/>
                <w:color w:val="000000"/>
                <w:szCs w:val="21"/>
                <w:highlight w:val="none"/>
              </w:rPr>
              <w:t>报价要求</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jc w:val="left"/>
              <w:textAlignment w:val="auto"/>
              <w:rPr>
                <w:rFonts w:hint="eastAsia" w:ascii="Times New Roman" w:hAnsi="Times New Roman" w:eastAsia="宋体" w:cs="Times New Roman"/>
                <w:color w:val="000000"/>
                <w:szCs w:val="21"/>
                <w:highlight w:val="none"/>
              </w:rPr>
            </w:pPr>
            <w:r>
              <w:rPr>
                <w:rFonts w:hint="eastAsia" w:ascii="宋体" w:hAnsi="宋体" w:eastAsia="宋体" w:cs="宋体"/>
                <w:szCs w:val="21"/>
                <w:highlight w:val="none"/>
              </w:rPr>
              <w:t>报价为全包价，以人民币为结算单位，包括本项目所有人工费、验收、售后服务、伴随的服务、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jc w:val="center"/>
              <w:textAlignment w:val="auto"/>
              <w:rPr>
                <w:rFonts w:hint="default"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业绩</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如有近三年完成同类项目业绩者为优（提供项目合同或协议或成交/验收证明材料）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00" w:lineRule="exact"/>
              <w:jc w:val="center"/>
              <w:textAlignment w:val="auto"/>
              <w:rPr>
                <w:rFonts w:ascii="Times New Roman" w:hAnsi="Times New Roman" w:eastAsia="宋体" w:cs="Times New Roman"/>
                <w:color w:val="000000"/>
                <w:szCs w:val="21"/>
                <w:highlight w:val="none"/>
              </w:rPr>
            </w:pPr>
            <w:r>
              <w:rPr>
                <w:rFonts w:hint="eastAsia" w:ascii="宋体" w:hAnsi="宋体" w:eastAsia="宋体" w:cs="宋体"/>
                <w:b/>
                <w:szCs w:val="21"/>
                <w:highlight w:val="none"/>
              </w:rPr>
              <w:t>验收标准</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pacing w:line="300" w:lineRule="exact"/>
              <w:textAlignment w:val="auto"/>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.提供针对性的医院</w:t>
            </w:r>
            <w:r>
              <w:rPr>
                <w:rFonts w:hint="eastAsia" w:ascii="Times New Roman" w:hAnsi="Times New Roman" w:eastAsia="宋体" w:cs="Times New Roman"/>
                <w:highlight w:val="none"/>
                <w:lang w:val="en-US" w:eastAsia="zh-CN"/>
              </w:rPr>
              <w:t>风险评估和内部控制评价实施方案</w:t>
            </w:r>
            <w:r>
              <w:rPr>
                <w:rFonts w:hint="eastAsia" w:ascii="宋体" w:hAnsi="宋体" w:eastAsia="宋体" w:cs="宋体"/>
                <w:szCs w:val="21"/>
                <w:highlight w:val="none"/>
              </w:rPr>
              <w:t>。</w:t>
            </w:r>
          </w:p>
          <w:p>
            <w:pPr>
              <w:keepNext w:val="0"/>
              <w:keepLines w:val="0"/>
              <w:pageBreakBefore w:val="0"/>
              <w:kinsoku/>
              <w:overflowPunct/>
              <w:autoSpaceDE/>
              <w:autoSpaceDN/>
              <w:bidi w:val="0"/>
              <w:spacing w:line="300" w:lineRule="exact"/>
              <w:textAlignment w:val="auto"/>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.按</w:t>
            </w:r>
            <w:r>
              <w:rPr>
                <w:rFonts w:hint="eastAsia" w:ascii="宋体" w:hAnsi="宋体" w:eastAsia="宋体" w:cs="宋体"/>
                <w:szCs w:val="21"/>
                <w:highlight w:val="none"/>
              </w:rPr>
              <w:t>行政事业单位内部控制相关文件、《公立医院内部控制管理办法》、《广西壮族自治区公立医院内部控制评价管理办法（试行）》为依据</w:t>
            </w:r>
            <w:r>
              <w:rPr>
                <w:rFonts w:hint="eastAsia" w:ascii="宋体" w:hAnsi="宋体" w:eastAsia="宋体" w:cs="宋体"/>
                <w:szCs w:val="21"/>
                <w:highlight w:val="none"/>
                <w:lang w:val="en-US" w:eastAsia="zh-CN"/>
              </w:rPr>
              <w:t>完成</w:t>
            </w:r>
            <w:r>
              <w:rPr>
                <w:rFonts w:hint="eastAsia" w:ascii="宋体" w:hAnsi="宋体" w:eastAsia="宋体" w:cs="宋体"/>
                <w:szCs w:val="21"/>
                <w:highlight w:val="none"/>
              </w:rPr>
              <w:t>风险评估、对医院单位层面和业务层面内部控制设计及运行情况进行全面评价工作</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并出具2024年度风险评估、内部控制评价报告各一份</w:t>
            </w:r>
            <w:r>
              <w:rPr>
                <w:rFonts w:hint="eastAsia" w:ascii="宋体" w:hAnsi="宋体" w:eastAsia="宋体" w:cs="宋体"/>
                <w:szCs w:val="21"/>
                <w:highlight w:val="none"/>
              </w:rPr>
              <w:t>。</w:t>
            </w:r>
          </w:p>
          <w:p>
            <w:pPr>
              <w:keepNext w:val="0"/>
              <w:keepLines w:val="0"/>
              <w:pageBreakBefore w:val="0"/>
              <w:kinsoku/>
              <w:wordWrap w:val="0"/>
              <w:overflowPunct/>
              <w:topLinePunct/>
              <w:autoSpaceDE/>
              <w:autoSpaceDN/>
              <w:bidi w:val="0"/>
              <w:snapToGrid w:val="0"/>
              <w:spacing w:line="300" w:lineRule="exact"/>
              <w:textAlignment w:val="auto"/>
              <w:rPr>
                <w:rFonts w:hint="eastAsia" w:ascii="Times New Roman" w:hAnsi="Times New Roman" w:eastAsia="宋体" w:cs="Times New Roman"/>
                <w:color w:val="000000"/>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w:t>
            </w:r>
            <w:r>
              <w:rPr>
                <w:rFonts w:hint="eastAsia" w:ascii="Times New Roman" w:hAnsi="Times New Roman" w:eastAsia="宋体" w:cs="Times New Roman"/>
                <w:highlight w:val="none"/>
                <w:lang w:val="en-US" w:eastAsia="zh-CN"/>
              </w:rPr>
              <w:t>提供穿行测试和控制测试底稿</w:t>
            </w:r>
            <w:r>
              <w:rPr>
                <w:rFonts w:hint="eastAsia" w:ascii="宋体" w:hAnsi="宋体" w:eastAsia="宋体" w:cs="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00" w:lineRule="exact"/>
              <w:jc w:val="center"/>
              <w:textAlignment w:val="auto"/>
              <w:rPr>
                <w:rFonts w:hint="eastAsia" w:ascii="宋体" w:hAnsi="宋体" w:eastAsia="宋体" w:cs="宋体"/>
                <w:b/>
                <w:szCs w:val="21"/>
                <w:highlight w:val="none"/>
              </w:rPr>
            </w:pPr>
            <w:r>
              <w:rPr>
                <w:rFonts w:hint="eastAsia" w:ascii="宋体" w:hAnsi="宋体" w:eastAsia="宋体" w:cs="宋体"/>
                <w:b/>
                <w:szCs w:val="21"/>
                <w:highlight w:val="none"/>
              </w:rPr>
              <w:t>结算要求</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00" w:lineRule="exact"/>
              <w:textAlignment w:val="auto"/>
              <w:rPr>
                <w:rFonts w:hint="eastAsia" w:ascii="宋体" w:hAnsi="宋体" w:eastAsia="宋体" w:cs="宋体"/>
                <w:szCs w:val="21"/>
                <w:highlight w:val="none"/>
              </w:rPr>
            </w:pPr>
            <w:r>
              <w:rPr>
                <w:rFonts w:hint="eastAsia" w:ascii="宋体" w:hAnsi="宋体" w:eastAsia="宋体" w:cs="宋体"/>
                <w:kern w:val="1"/>
                <w:szCs w:val="21"/>
                <w:highlight w:val="none"/>
                <w:lang w:val="en-US" w:eastAsia="zh-CN"/>
              </w:rPr>
              <w:t>按要求完成医院风险评估和内部控制评价工作，并出具</w:t>
            </w:r>
            <w:r>
              <w:rPr>
                <w:rFonts w:hint="eastAsia" w:ascii="宋体" w:hAnsi="宋体" w:eastAsia="宋体" w:cs="宋体"/>
                <w:szCs w:val="21"/>
                <w:highlight w:val="none"/>
                <w:lang w:val="en-US" w:eastAsia="zh-CN"/>
              </w:rPr>
              <w:t>风险评估、内部控制评价报告各一份，同时提供相应的工作实施方案和测试底稿</w:t>
            </w:r>
            <w:r>
              <w:rPr>
                <w:rFonts w:hint="eastAsia" w:ascii="宋体" w:hAnsi="宋体" w:eastAsia="宋体" w:cs="宋体"/>
                <w:kern w:val="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00" w:lineRule="exact"/>
              <w:jc w:val="center"/>
              <w:textAlignment w:val="auto"/>
              <w:rPr>
                <w:rFonts w:ascii="Times New Roman" w:hAnsi="Times New Roman" w:eastAsia="宋体" w:cs="Times New Roman"/>
                <w:color w:val="000000"/>
                <w:szCs w:val="21"/>
                <w:highlight w:val="none"/>
              </w:rPr>
            </w:pPr>
            <w:r>
              <w:rPr>
                <w:rFonts w:hint="eastAsia" w:ascii="宋体" w:hAnsi="宋体" w:eastAsia="宋体" w:cs="宋体"/>
                <w:b/>
                <w:szCs w:val="21"/>
                <w:highlight w:val="none"/>
              </w:rPr>
              <w:t>付款条件</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00" w:lineRule="exact"/>
              <w:textAlignment w:val="auto"/>
              <w:rPr>
                <w:rFonts w:hint="eastAsia" w:ascii="Times New Roman" w:hAnsi="Times New Roman" w:eastAsia="宋体" w:cs="Times New Roman"/>
                <w:color w:val="000000"/>
                <w:szCs w:val="21"/>
                <w:highlight w:val="none"/>
              </w:rPr>
            </w:pPr>
            <w:r>
              <w:rPr>
                <w:rFonts w:hint="eastAsia" w:ascii="宋体" w:hAnsi="宋体" w:eastAsia="宋体" w:cs="宋体"/>
                <w:kern w:val="0"/>
                <w:szCs w:val="21"/>
                <w:highlight w:val="none"/>
              </w:rPr>
              <w:t>出具风险评估、内</w:t>
            </w:r>
            <w:r>
              <w:rPr>
                <w:rFonts w:hint="eastAsia" w:ascii="宋体" w:hAnsi="宋体" w:eastAsia="宋体" w:cs="宋体"/>
                <w:kern w:val="0"/>
                <w:szCs w:val="21"/>
                <w:highlight w:val="none"/>
                <w:lang w:val="en-US" w:eastAsia="zh-CN"/>
              </w:rPr>
              <w:t>部控制</w:t>
            </w:r>
            <w:r>
              <w:rPr>
                <w:rFonts w:hint="eastAsia" w:ascii="宋体" w:hAnsi="宋体" w:eastAsia="宋体" w:cs="宋体"/>
                <w:kern w:val="0"/>
                <w:szCs w:val="21"/>
                <w:highlight w:val="none"/>
              </w:rPr>
              <w:t>评价报告，</w:t>
            </w:r>
            <w:r>
              <w:rPr>
                <w:rFonts w:hint="eastAsia" w:ascii="宋体" w:hAnsi="宋体" w:eastAsia="宋体" w:cs="宋体"/>
                <w:kern w:val="0"/>
                <w:szCs w:val="21"/>
                <w:highlight w:val="none"/>
                <w:lang w:val="en-US" w:eastAsia="zh-CN"/>
              </w:rPr>
              <w:t>并提供相应的工作实施方案和测试底稿，</w:t>
            </w:r>
            <w:r>
              <w:rPr>
                <w:rFonts w:hint="eastAsia" w:ascii="宋体" w:hAnsi="宋体" w:eastAsia="宋体" w:cs="宋体"/>
                <w:kern w:val="0"/>
                <w:szCs w:val="21"/>
                <w:highlight w:val="none"/>
              </w:rPr>
              <w:t>采购人核实无误后，中标人开具发票给采购人，采购人支付合同总金额的100%货款。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51" w:hRule="atLeast"/>
          <w:jc w:val="center"/>
        </w:trPr>
        <w:tc>
          <w:tcPr>
            <w:tcW w:w="10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autoSpaceDE/>
              <w:autoSpaceDN/>
              <w:bidi w:val="0"/>
              <w:snapToGrid w:val="0"/>
              <w:spacing w:line="300" w:lineRule="exact"/>
              <w:jc w:val="center"/>
              <w:textAlignment w:val="auto"/>
              <w:rPr>
                <w:rFonts w:hint="eastAsia" w:ascii="宋体" w:hAnsi="宋体" w:eastAsia="宋体" w:cs="宋体"/>
                <w:b/>
                <w:szCs w:val="21"/>
                <w:highlight w:val="none"/>
              </w:rPr>
            </w:pPr>
            <w:r>
              <w:rPr>
                <w:rFonts w:hint="eastAsia" w:ascii="宋体" w:hAnsi="宋体" w:eastAsia="宋体" w:cs="宋体"/>
                <w:b/>
                <w:szCs w:val="21"/>
                <w:highlight w:val="none"/>
              </w:rPr>
              <w:t>保密要求</w:t>
            </w:r>
          </w:p>
        </w:tc>
        <w:tc>
          <w:tcPr>
            <w:tcW w:w="801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autoSpaceDE/>
              <w:autoSpaceDN/>
              <w:bidi w:val="0"/>
              <w:snapToGrid w:val="0"/>
              <w:spacing w:line="300" w:lineRule="exact"/>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1.中标人</w:t>
            </w:r>
            <w:r>
              <w:rPr>
                <w:rFonts w:hint="eastAsia" w:ascii="宋体" w:hAnsi="宋体" w:eastAsia="宋体" w:cs="宋体"/>
                <w:szCs w:val="21"/>
                <w:highlight w:val="none"/>
              </w:rPr>
              <w:t>对在审计过程中知悉的甲方商业秘密、数据、资料、审计记录和审计结果等（下称“保密信息”）负有保密义务，未经</w:t>
            </w:r>
            <w:r>
              <w:rPr>
                <w:rFonts w:hint="eastAsia" w:ascii="宋体" w:hAnsi="宋体" w:eastAsia="宋体" w:cs="宋体"/>
                <w:szCs w:val="21"/>
                <w:highlight w:val="none"/>
                <w:lang w:val="en-US" w:eastAsia="zh-CN"/>
              </w:rPr>
              <w:t>采购人</w:t>
            </w:r>
            <w:r>
              <w:rPr>
                <w:rFonts w:hint="eastAsia" w:ascii="宋体" w:hAnsi="宋体" w:eastAsia="宋体" w:cs="宋体"/>
                <w:szCs w:val="21"/>
                <w:highlight w:val="none"/>
              </w:rPr>
              <w:t>书面同意，</w:t>
            </w:r>
            <w:r>
              <w:rPr>
                <w:rFonts w:hint="eastAsia" w:ascii="宋体" w:hAnsi="宋体" w:eastAsia="宋体" w:cs="宋体"/>
                <w:szCs w:val="21"/>
                <w:highlight w:val="none"/>
                <w:lang w:val="en-US" w:eastAsia="zh-CN"/>
              </w:rPr>
              <w:t>中标人</w:t>
            </w:r>
            <w:r>
              <w:rPr>
                <w:rFonts w:hint="eastAsia" w:ascii="宋体" w:hAnsi="宋体" w:eastAsia="宋体" w:cs="宋体"/>
                <w:szCs w:val="21"/>
                <w:highlight w:val="none"/>
              </w:rPr>
              <w:t>及其员工不得以任何形式向第三方透露该保密信息，并保证就</w:t>
            </w:r>
            <w:r>
              <w:rPr>
                <w:rFonts w:hint="eastAsia" w:ascii="宋体" w:hAnsi="宋体" w:eastAsia="宋体" w:cs="宋体"/>
                <w:szCs w:val="21"/>
                <w:highlight w:val="none"/>
                <w:lang w:val="en-US" w:eastAsia="zh-CN"/>
              </w:rPr>
              <w:t>采购人</w:t>
            </w:r>
            <w:r>
              <w:rPr>
                <w:rFonts w:hint="eastAsia" w:ascii="宋体" w:hAnsi="宋体" w:eastAsia="宋体" w:cs="宋体"/>
                <w:szCs w:val="21"/>
                <w:highlight w:val="none"/>
              </w:rPr>
              <w:t>提供的保密信息仅用于审计的目的。</w:t>
            </w:r>
          </w:p>
          <w:p>
            <w:pPr>
              <w:keepNext w:val="0"/>
              <w:keepLines w:val="0"/>
              <w:pageBreakBefore w:val="0"/>
              <w:kinsoku/>
              <w:wordWrap w:val="0"/>
              <w:overflowPunct/>
              <w:topLinePunct/>
              <w:autoSpaceDE/>
              <w:autoSpaceDN/>
              <w:bidi w:val="0"/>
              <w:snapToGrid w:val="0"/>
              <w:spacing w:line="300" w:lineRule="exact"/>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2.中标人</w:t>
            </w:r>
            <w:r>
              <w:rPr>
                <w:rFonts w:hint="eastAsia" w:ascii="宋体" w:hAnsi="宋体" w:eastAsia="宋体" w:cs="宋体"/>
                <w:szCs w:val="21"/>
                <w:highlight w:val="none"/>
              </w:rPr>
              <w:t>应采取措施保护保密信息，以防止保密信息丢失、被窃或被无权接触保密信息的第三方接触。该保密措施应合理且不低于</w:t>
            </w:r>
            <w:r>
              <w:rPr>
                <w:rFonts w:hint="eastAsia" w:ascii="宋体" w:hAnsi="宋体" w:eastAsia="宋体" w:cs="宋体"/>
                <w:szCs w:val="21"/>
                <w:highlight w:val="none"/>
                <w:lang w:val="en-US" w:eastAsia="zh-CN"/>
              </w:rPr>
              <w:t>中标人</w:t>
            </w:r>
            <w:r>
              <w:rPr>
                <w:rFonts w:hint="eastAsia" w:ascii="宋体" w:hAnsi="宋体" w:eastAsia="宋体" w:cs="宋体"/>
                <w:szCs w:val="21"/>
                <w:highlight w:val="none"/>
              </w:rPr>
              <w:t>对</w:t>
            </w:r>
            <w:r>
              <w:rPr>
                <w:rFonts w:hint="eastAsia" w:ascii="宋体" w:hAnsi="宋体" w:eastAsia="宋体" w:cs="宋体"/>
                <w:szCs w:val="21"/>
                <w:highlight w:val="none"/>
                <w:lang w:val="en-US" w:eastAsia="zh-CN"/>
              </w:rPr>
              <w:t>采购人</w:t>
            </w:r>
            <w:r>
              <w:rPr>
                <w:rFonts w:hint="eastAsia" w:ascii="宋体" w:hAnsi="宋体" w:eastAsia="宋体" w:cs="宋体"/>
                <w:szCs w:val="21"/>
                <w:highlight w:val="none"/>
              </w:rPr>
              <w:t>保密信息所采取保护措施的级别。若发现</w:t>
            </w:r>
            <w:r>
              <w:rPr>
                <w:rFonts w:hint="eastAsia" w:ascii="宋体" w:hAnsi="宋体" w:eastAsia="宋体" w:cs="宋体"/>
                <w:szCs w:val="21"/>
                <w:highlight w:val="none"/>
                <w:lang w:val="en-US" w:eastAsia="zh-CN"/>
              </w:rPr>
              <w:t>中标人</w:t>
            </w:r>
            <w:r>
              <w:rPr>
                <w:rFonts w:hint="eastAsia" w:ascii="宋体" w:hAnsi="宋体" w:eastAsia="宋体" w:cs="宋体"/>
                <w:szCs w:val="21"/>
                <w:highlight w:val="none"/>
              </w:rPr>
              <w:t>及其员工泄露或非法使用保密信息等情形，</w:t>
            </w:r>
            <w:r>
              <w:rPr>
                <w:rFonts w:hint="eastAsia" w:ascii="宋体" w:hAnsi="宋体" w:eastAsia="宋体" w:cs="宋体"/>
                <w:szCs w:val="21"/>
                <w:highlight w:val="none"/>
                <w:lang w:val="en-US" w:eastAsia="zh-CN"/>
              </w:rPr>
              <w:t>采购人</w:t>
            </w:r>
            <w:r>
              <w:rPr>
                <w:rFonts w:hint="eastAsia" w:ascii="宋体" w:hAnsi="宋体" w:eastAsia="宋体" w:cs="宋体"/>
                <w:szCs w:val="21"/>
                <w:highlight w:val="none"/>
              </w:rPr>
              <w:t>有权在不提供任何实际损害证明的前提下，要求</w:t>
            </w:r>
            <w:r>
              <w:rPr>
                <w:rFonts w:hint="eastAsia" w:ascii="宋体" w:hAnsi="宋体" w:eastAsia="宋体" w:cs="宋体"/>
                <w:szCs w:val="21"/>
                <w:highlight w:val="none"/>
                <w:lang w:val="en-US" w:eastAsia="zh-CN"/>
              </w:rPr>
              <w:t>中标人</w:t>
            </w:r>
            <w:r>
              <w:rPr>
                <w:rFonts w:hint="eastAsia" w:ascii="宋体" w:hAnsi="宋体" w:eastAsia="宋体" w:cs="宋体"/>
                <w:szCs w:val="21"/>
                <w:highlight w:val="none"/>
              </w:rPr>
              <w:t>立即采取一切必要措施将因保密信息泄露而产生的不良影响降到最低，由此产生的费用由</w:t>
            </w:r>
            <w:r>
              <w:rPr>
                <w:rFonts w:hint="eastAsia" w:ascii="宋体" w:hAnsi="宋体" w:eastAsia="宋体" w:cs="宋体"/>
                <w:szCs w:val="21"/>
                <w:highlight w:val="none"/>
                <w:lang w:val="en-US" w:eastAsia="zh-CN"/>
              </w:rPr>
              <w:t>中标</w:t>
            </w:r>
            <w:r>
              <w:rPr>
                <w:rFonts w:hint="eastAsia" w:ascii="宋体" w:hAnsi="宋体" w:eastAsia="宋体" w:cs="宋体"/>
                <w:szCs w:val="21"/>
                <w:highlight w:val="none"/>
              </w:rPr>
              <w:t>承担</w:t>
            </w:r>
            <w:r>
              <w:rPr>
                <w:rFonts w:hint="eastAsia" w:ascii="宋体" w:hAnsi="宋体" w:eastAsia="宋体" w:cs="宋体"/>
                <w:szCs w:val="21"/>
                <w:highlight w:val="none"/>
                <w:lang w:eastAsia="zh-CN"/>
              </w:rPr>
              <w:t>。</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40" w:firstLineChars="200"/>
        <w:rPr>
          <w:rFonts w:ascii="宋体" w:hAnsi="宋体" w:eastAsia="宋体" w:cs="Times New Roman"/>
          <w:bCs/>
          <w:color w:val="000000"/>
          <w:sz w:val="22"/>
          <w:szCs w:val="22"/>
        </w:rPr>
      </w:pPr>
      <w:r>
        <w:rPr>
          <w:rFonts w:hint="eastAsia" w:ascii="宋体" w:hAnsi="宋体" w:eastAsia="宋体" w:cs="Times New Roman"/>
          <w:bCs/>
          <w:color w:val="000000"/>
          <w:sz w:val="22"/>
          <w:szCs w:val="22"/>
        </w:rPr>
        <w:t>一、评标办法：</w:t>
      </w:r>
      <w:bookmarkStart w:id="13" w:name="OLE_LINK1"/>
      <w:r>
        <w:rPr>
          <w:rFonts w:hint="eastAsia" w:ascii="宋体" w:hAnsi="宋体" w:eastAsia="宋体" w:cs="Times New Roman"/>
          <w:bCs/>
          <w:color w:val="000000"/>
          <w:sz w:val="22"/>
          <w:szCs w:val="22"/>
        </w:rPr>
        <w:t>综合评分法</w:t>
      </w:r>
      <w:bookmarkEnd w:id="13"/>
    </w:p>
    <w:p>
      <w:pPr>
        <w:spacing w:line="400" w:lineRule="exact"/>
        <w:ind w:firstLine="440" w:firstLineChars="200"/>
        <w:rPr>
          <w:rFonts w:ascii="宋体" w:hAnsi="宋体" w:eastAsia="宋体" w:cs="Times New Roman"/>
          <w:bCs/>
          <w:color w:val="000000"/>
          <w:sz w:val="22"/>
          <w:szCs w:val="22"/>
        </w:rPr>
      </w:pPr>
      <w:r>
        <w:rPr>
          <w:rFonts w:hint="eastAsia" w:ascii="宋体" w:hAnsi="宋体" w:eastAsia="宋体" w:cs="Times New Roman"/>
          <w:bCs/>
          <w:color w:val="000000"/>
          <w:sz w:val="22"/>
          <w:szCs w:val="22"/>
        </w:rPr>
        <w:t>二、评审原则</w:t>
      </w:r>
    </w:p>
    <w:p>
      <w:pPr>
        <w:spacing w:line="400" w:lineRule="exact"/>
        <w:ind w:firstLine="440" w:firstLineChars="200"/>
        <w:rPr>
          <w:rFonts w:ascii="宋体" w:hAnsi="宋体" w:eastAsia="宋体" w:cs="Times New Roman"/>
          <w:bCs/>
          <w:color w:val="000000"/>
          <w:sz w:val="22"/>
          <w:szCs w:val="22"/>
        </w:rPr>
      </w:pPr>
      <w:r>
        <w:rPr>
          <w:rFonts w:ascii="宋体" w:hAnsi="宋体" w:eastAsia="宋体" w:cs="Times New Roman"/>
          <w:bCs/>
          <w:color w:val="000000"/>
          <w:sz w:val="22"/>
          <w:szCs w:val="22"/>
        </w:rPr>
        <w:t>(一)评委构成：本招标采购项目的评委分别由</w:t>
      </w:r>
      <w:r>
        <w:rPr>
          <w:rFonts w:hint="eastAsia" w:ascii="宋体" w:hAnsi="宋体" w:eastAsia="宋体" w:cs="Times New Roman"/>
          <w:bCs/>
          <w:color w:val="000000"/>
          <w:sz w:val="22"/>
          <w:szCs w:val="22"/>
        </w:rPr>
        <w:t>医院相关部门及医院评审专家</w:t>
      </w:r>
      <w:r>
        <w:rPr>
          <w:rFonts w:ascii="宋体" w:hAnsi="宋体" w:eastAsia="宋体" w:cs="Times New Roman"/>
          <w:bCs/>
          <w:color w:val="000000"/>
          <w:sz w:val="22"/>
          <w:szCs w:val="22"/>
        </w:rPr>
        <w:t>共</w:t>
      </w:r>
      <w:r>
        <w:rPr>
          <w:rFonts w:hint="eastAsia" w:ascii="宋体" w:hAnsi="宋体" w:eastAsia="宋体" w:cs="Times New Roman"/>
          <w:bCs/>
          <w:color w:val="000000"/>
          <w:sz w:val="22"/>
          <w:szCs w:val="22"/>
          <w:lang w:val="en-US" w:eastAsia="zh-CN"/>
        </w:rPr>
        <w:t>3</w:t>
      </w:r>
      <w:r>
        <w:rPr>
          <w:rFonts w:ascii="宋体" w:hAnsi="宋体" w:eastAsia="宋体" w:cs="Times New Roman"/>
          <w:bCs/>
          <w:color w:val="000000"/>
          <w:sz w:val="22"/>
          <w:szCs w:val="22"/>
        </w:rPr>
        <w:t>人</w:t>
      </w:r>
      <w:r>
        <w:rPr>
          <w:rFonts w:hint="eastAsia" w:ascii="宋体" w:hAnsi="宋体" w:eastAsia="宋体" w:cs="Times New Roman"/>
          <w:bCs/>
          <w:color w:val="000000"/>
          <w:sz w:val="22"/>
          <w:szCs w:val="22"/>
        </w:rPr>
        <w:t>及</w:t>
      </w:r>
      <w:r>
        <w:rPr>
          <w:rFonts w:ascii="宋体" w:hAnsi="宋体" w:eastAsia="宋体" w:cs="Times New Roman"/>
          <w:bCs/>
          <w:color w:val="000000"/>
          <w:sz w:val="22"/>
          <w:szCs w:val="22"/>
        </w:rPr>
        <w:t>以上单数构成。</w:t>
      </w:r>
    </w:p>
    <w:p>
      <w:pPr>
        <w:spacing w:line="400" w:lineRule="exact"/>
        <w:ind w:firstLine="440" w:firstLineChars="200"/>
        <w:rPr>
          <w:rFonts w:ascii="宋体" w:hAnsi="宋体" w:eastAsia="宋体" w:cs="Times New Roman"/>
          <w:bCs/>
          <w:color w:val="000000"/>
          <w:sz w:val="22"/>
          <w:szCs w:val="22"/>
        </w:rPr>
      </w:pPr>
      <w:r>
        <w:rPr>
          <w:rFonts w:ascii="宋体" w:hAnsi="宋体" w:eastAsia="宋体" w:cs="Times New Roman"/>
          <w:bCs/>
          <w:color w:val="000000"/>
          <w:sz w:val="22"/>
          <w:szCs w:val="22"/>
        </w:rPr>
        <w:t>(二)评标依据：评委将以招投标文件为评标依据，对投标人的投标报价、技术</w:t>
      </w:r>
      <w:r>
        <w:rPr>
          <w:rFonts w:hint="eastAsia" w:ascii="宋体" w:hAnsi="宋体" w:eastAsia="宋体" w:cs="Times New Roman"/>
          <w:bCs/>
          <w:color w:val="000000"/>
          <w:sz w:val="22"/>
          <w:szCs w:val="22"/>
          <w:lang w:val="en-US" w:eastAsia="zh-CN"/>
        </w:rPr>
        <w:t>服务</w:t>
      </w:r>
      <w:r>
        <w:rPr>
          <w:rFonts w:ascii="宋体" w:hAnsi="宋体" w:eastAsia="宋体" w:cs="Times New Roman"/>
          <w:bCs/>
          <w:color w:val="000000"/>
          <w:sz w:val="22"/>
          <w:szCs w:val="22"/>
        </w:rPr>
        <w:t>、</w:t>
      </w:r>
      <w:r>
        <w:rPr>
          <w:rFonts w:hint="eastAsia" w:ascii="宋体" w:hAnsi="宋体" w:eastAsia="宋体" w:cs="Times New Roman"/>
          <w:bCs/>
          <w:color w:val="000000"/>
          <w:sz w:val="22"/>
          <w:szCs w:val="22"/>
          <w:lang w:val="en-US" w:eastAsia="zh-CN"/>
        </w:rPr>
        <w:t>商务</w:t>
      </w:r>
      <w:r>
        <w:rPr>
          <w:rFonts w:ascii="宋体" w:hAnsi="宋体" w:eastAsia="宋体" w:cs="Times New Roman"/>
          <w:bCs/>
          <w:color w:val="000000"/>
          <w:sz w:val="22"/>
          <w:szCs w:val="22"/>
        </w:rPr>
        <w:t>等方面内容按百分制打分。其中价格分</w:t>
      </w:r>
      <w:r>
        <w:rPr>
          <w:rFonts w:hint="eastAsia" w:ascii="宋体" w:hAnsi="宋体" w:eastAsia="宋体" w:cs="Times New Roman"/>
          <w:bCs/>
          <w:color w:val="000000"/>
          <w:sz w:val="22"/>
          <w:szCs w:val="22"/>
          <w:lang w:val="en-US" w:eastAsia="zh-CN"/>
        </w:rPr>
        <w:t>48</w:t>
      </w:r>
      <w:r>
        <w:rPr>
          <w:rFonts w:ascii="宋体" w:hAnsi="宋体" w:eastAsia="宋体" w:cs="Times New Roman"/>
          <w:bCs/>
          <w:color w:val="000000"/>
          <w:sz w:val="22"/>
          <w:szCs w:val="22"/>
        </w:rPr>
        <w:t>分、</w:t>
      </w:r>
      <w:r>
        <w:rPr>
          <w:rFonts w:hint="eastAsia" w:ascii="宋体" w:hAnsi="宋体" w:eastAsia="宋体" w:cs="Times New Roman"/>
          <w:bCs/>
          <w:color w:val="000000"/>
          <w:sz w:val="22"/>
          <w:szCs w:val="22"/>
        </w:rPr>
        <w:t>服务</w:t>
      </w:r>
      <w:r>
        <w:rPr>
          <w:rFonts w:hint="eastAsia" w:ascii="宋体" w:hAnsi="宋体" w:eastAsia="宋体" w:cs="Times New Roman"/>
          <w:bCs/>
          <w:color w:val="000000"/>
          <w:sz w:val="22"/>
          <w:szCs w:val="22"/>
          <w:lang w:val="en-US" w:eastAsia="zh-CN"/>
        </w:rPr>
        <w:t>方案</w:t>
      </w:r>
      <w:r>
        <w:rPr>
          <w:rFonts w:ascii="宋体" w:hAnsi="宋体" w:eastAsia="宋体" w:cs="Times New Roman"/>
          <w:bCs/>
          <w:color w:val="000000"/>
          <w:sz w:val="22"/>
          <w:szCs w:val="22"/>
        </w:rPr>
        <w:t>分</w:t>
      </w:r>
      <w:r>
        <w:rPr>
          <w:rFonts w:hint="eastAsia" w:ascii="宋体" w:hAnsi="宋体" w:eastAsia="宋体" w:cs="Times New Roman"/>
          <w:bCs/>
          <w:color w:val="000000"/>
          <w:sz w:val="22"/>
          <w:szCs w:val="22"/>
          <w:lang w:val="en-US" w:eastAsia="zh-CN"/>
        </w:rPr>
        <w:t>40</w:t>
      </w:r>
      <w:r>
        <w:rPr>
          <w:rFonts w:ascii="宋体" w:hAnsi="宋体" w:eastAsia="宋体" w:cs="Times New Roman"/>
          <w:bCs/>
          <w:color w:val="000000"/>
          <w:sz w:val="22"/>
          <w:szCs w:val="22"/>
        </w:rPr>
        <w:t>分、信誉业绩分</w:t>
      </w:r>
      <w:r>
        <w:rPr>
          <w:rFonts w:hint="eastAsia" w:ascii="宋体" w:hAnsi="宋体" w:eastAsia="宋体" w:cs="Times New Roman"/>
          <w:bCs/>
          <w:color w:val="000000"/>
          <w:sz w:val="22"/>
          <w:szCs w:val="22"/>
          <w:lang w:val="en-US" w:eastAsia="zh-CN"/>
        </w:rPr>
        <w:t>12</w:t>
      </w:r>
      <w:r>
        <w:rPr>
          <w:rFonts w:ascii="宋体" w:hAnsi="宋体" w:eastAsia="宋体" w:cs="Times New Roman"/>
          <w:bCs/>
          <w:color w:val="000000"/>
          <w:sz w:val="22"/>
          <w:szCs w:val="22"/>
        </w:rPr>
        <w:t>分。</w:t>
      </w:r>
    </w:p>
    <w:p>
      <w:pPr>
        <w:spacing w:line="400" w:lineRule="exact"/>
        <w:ind w:firstLine="440" w:firstLineChars="200"/>
        <w:rPr>
          <w:rFonts w:hint="default" w:ascii="宋体" w:hAnsi="宋体" w:eastAsia="宋体" w:cs="Times New Roman"/>
          <w:bCs/>
          <w:color w:val="000000"/>
          <w:sz w:val="22"/>
          <w:szCs w:val="22"/>
          <w:lang w:val="en-US" w:eastAsia="zh-CN"/>
        </w:rPr>
      </w:pPr>
      <w:r>
        <w:rPr>
          <w:rFonts w:hint="eastAsia" w:ascii="宋体" w:hAnsi="宋体" w:eastAsia="宋体" w:cs="Times New Roman"/>
          <w:bCs/>
          <w:color w:val="000000"/>
          <w:sz w:val="22"/>
          <w:szCs w:val="22"/>
        </w:rPr>
        <w:t>三、评</w:t>
      </w:r>
      <w:r>
        <w:rPr>
          <w:rFonts w:hint="eastAsia" w:ascii="宋体" w:hAnsi="宋体" w:eastAsia="宋体" w:cs="Times New Roman"/>
          <w:bCs/>
          <w:color w:val="000000"/>
          <w:sz w:val="22"/>
          <w:szCs w:val="22"/>
          <w:lang w:val="en-US" w:eastAsia="zh-CN"/>
        </w:rPr>
        <w:t>分标准</w:t>
      </w:r>
    </w:p>
    <w:p>
      <w:pPr>
        <w:spacing w:line="400" w:lineRule="exact"/>
        <w:ind w:firstLine="440" w:firstLineChars="200"/>
        <w:rPr>
          <w:rFonts w:ascii="宋体" w:hAnsi="宋体" w:eastAsia="宋体" w:cs="Times New Roman"/>
          <w:bCs/>
          <w:color w:val="000000"/>
          <w:sz w:val="22"/>
          <w:szCs w:val="22"/>
        </w:rPr>
      </w:pPr>
      <w:r>
        <w:rPr>
          <w:rFonts w:ascii="宋体" w:hAnsi="宋体" w:eastAsia="宋体" w:cs="Times New Roman"/>
          <w:bCs/>
          <w:color w:val="000000"/>
          <w:sz w:val="22"/>
          <w:szCs w:val="22"/>
        </w:rPr>
        <w:t>（一）对进入详评的，采用百分制综合评分法。</w:t>
      </w:r>
    </w:p>
    <w:p>
      <w:pPr>
        <w:spacing w:line="400" w:lineRule="exact"/>
        <w:ind w:firstLine="440" w:firstLineChars="200"/>
        <w:rPr>
          <w:rFonts w:hint="eastAsia" w:ascii="宋体" w:hAnsi="宋体" w:eastAsia="宋体" w:cs="Times New Roman"/>
          <w:bCs/>
          <w:color w:val="000000"/>
          <w:sz w:val="22"/>
          <w:szCs w:val="22"/>
        </w:rPr>
      </w:pPr>
      <w:r>
        <w:rPr>
          <w:rFonts w:hint="eastAsia" w:ascii="宋体" w:hAnsi="宋体" w:eastAsia="宋体" w:cs="Times New Roman"/>
          <w:bCs/>
          <w:color w:val="000000"/>
          <w:sz w:val="22"/>
          <w:szCs w:val="22"/>
        </w:rPr>
        <w:t>（二）计分办法（按四舍五入取至百分位）：</w:t>
      </w:r>
    </w:p>
    <w:p>
      <w:pPr>
        <w:spacing w:line="400" w:lineRule="exact"/>
        <w:ind w:firstLine="440" w:firstLineChars="200"/>
        <w:rPr>
          <w:rFonts w:hint="eastAsia" w:ascii="宋体" w:hAnsi="宋体" w:eastAsia="宋体" w:cs="Times New Roman"/>
          <w:bCs/>
          <w:color w:val="000000"/>
          <w:sz w:val="22"/>
          <w:szCs w:val="22"/>
        </w:rPr>
      </w:pPr>
    </w:p>
    <w:p>
      <w:pPr>
        <w:spacing w:line="400" w:lineRule="exact"/>
        <w:ind w:firstLine="440" w:firstLineChars="200"/>
        <w:rPr>
          <w:rFonts w:hint="eastAsia" w:ascii="宋体" w:hAnsi="宋体" w:eastAsia="宋体" w:cs="Times New Roman"/>
          <w:bCs/>
          <w:color w:val="000000"/>
          <w:sz w:val="22"/>
          <w:szCs w:val="22"/>
        </w:rPr>
      </w:pPr>
    </w:p>
    <w:p>
      <w:pPr>
        <w:spacing w:line="400" w:lineRule="exact"/>
        <w:ind w:firstLine="440" w:firstLineChars="200"/>
        <w:rPr>
          <w:rFonts w:hint="eastAsia" w:ascii="宋体" w:hAnsi="宋体" w:eastAsia="宋体" w:cs="Times New Roman"/>
          <w:bCs/>
          <w:color w:val="000000"/>
          <w:sz w:val="22"/>
          <w:szCs w:val="22"/>
        </w:rPr>
      </w:pPr>
    </w:p>
    <w:p>
      <w:pPr>
        <w:spacing w:line="400" w:lineRule="exact"/>
        <w:ind w:firstLine="440" w:firstLineChars="200"/>
        <w:rPr>
          <w:rFonts w:hint="eastAsia" w:ascii="宋体" w:hAnsi="宋体" w:eastAsia="宋体" w:cs="Times New Roman"/>
          <w:bCs/>
          <w:color w:val="000000"/>
          <w:sz w:val="22"/>
          <w:szCs w:val="22"/>
        </w:rPr>
      </w:pPr>
    </w:p>
    <w:tbl>
      <w:tblPr>
        <w:tblStyle w:val="9"/>
        <w:tblW w:w="8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1387"/>
        <w:gridCol w:w="3442"/>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jc w:val="center"/>
        </w:trPr>
        <w:tc>
          <w:tcPr>
            <w:tcW w:w="1801" w:type="dxa"/>
            <w:vAlign w:val="center"/>
          </w:tcPr>
          <w:p>
            <w:pPr>
              <w:spacing w:line="400" w:lineRule="exact"/>
              <w:jc w:val="center"/>
              <w:rPr>
                <w:rFonts w:hint="eastAsia" w:ascii="仿宋_GB2312" w:hAnsi="仿宋_GB2312" w:eastAsia="仿宋_GB2312" w:cs="仿宋_GB2312"/>
                <w:b/>
                <w:bCs w:val="0"/>
                <w:color w:val="000000"/>
                <w:sz w:val="28"/>
                <w:szCs w:val="28"/>
                <w:vertAlign w:val="baseline"/>
                <w:lang w:val="en-US" w:eastAsia="zh-CN"/>
              </w:rPr>
            </w:pPr>
            <w:r>
              <w:rPr>
                <w:rFonts w:hint="eastAsia" w:ascii="仿宋_GB2312" w:hAnsi="仿宋_GB2312" w:eastAsia="仿宋_GB2312" w:cs="仿宋_GB2312"/>
                <w:b/>
                <w:bCs w:val="0"/>
                <w:color w:val="000000"/>
                <w:sz w:val="28"/>
                <w:szCs w:val="28"/>
                <w:vertAlign w:val="baseline"/>
                <w:lang w:val="en-US" w:eastAsia="zh-CN"/>
              </w:rPr>
              <w:t>分项</w:t>
            </w:r>
          </w:p>
        </w:tc>
        <w:tc>
          <w:tcPr>
            <w:tcW w:w="4829" w:type="dxa"/>
            <w:gridSpan w:val="2"/>
            <w:vAlign w:val="center"/>
          </w:tcPr>
          <w:p>
            <w:pPr>
              <w:spacing w:line="400" w:lineRule="exact"/>
              <w:jc w:val="center"/>
              <w:rPr>
                <w:rFonts w:hint="default" w:ascii="仿宋_GB2312" w:hAnsi="仿宋_GB2312" w:eastAsia="仿宋_GB2312" w:cs="仿宋_GB2312"/>
                <w:b/>
                <w:bCs w:val="0"/>
                <w:color w:val="000000"/>
                <w:sz w:val="28"/>
                <w:szCs w:val="28"/>
                <w:vertAlign w:val="baseline"/>
                <w:lang w:val="en-US" w:eastAsia="zh-CN"/>
              </w:rPr>
            </w:pPr>
            <w:r>
              <w:rPr>
                <w:rFonts w:hint="eastAsia" w:ascii="仿宋_GB2312" w:hAnsi="仿宋_GB2312" w:eastAsia="仿宋_GB2312" w:cs="仿宋_GB2312"/>
                <w:b/>
                <w:bCs w:val="0"/>
                <w:color w:val="000000"/>
                <w:sz w:val="28"/>
                <w:szCs w:val="28"/>
                <w:vertAlign w:val="baseline"/>
                <w:lang w:val="en-US" w:eastAsia="zh-CN"/>
              </w:rPr>
              <w:t>评分标准</w:t>
            </w:r>
          </w:p>
        </w:tc>
        <w:tc>
          <w:tcPr>
            <w:tcW w:w="1567" w:type="dxa"/>
            <w:vAlign w:val="center"/>
          </w:tcPr>
          <w:p>
            <w:pPr>
              <w:spacing w:line="400" w:lineRule="exact"/>
              <w:jc w:val="center"/>
              <w:rPr>
                <w:rFonts w:hint="default" w:ascii="仿宋_GB2312" w:hAnsi="仿宋_GB2312" w:eastAsia="仿宋_GB2312" w:cs="仿宋_GB2312"/>
                <w:b/>
                <w:bCs w:val="0"/>
                <w:color w:val="000000"/>
                <w:sz w:val="28"/>
                <w:szCs w:val="28"/>
                <w:vertAlign w:val="baseline"/>
                <w:lang w:val="en-US" w:eastAsia="zh-CN"/>
              </w:rPr>
            </w:pPr>
            <w:r>
              <w:rPr>
                <w:rFonts w:hint="eastAsia" w:ascii="仿宋_GB2312" w:hAnsi="仿宋_GB2312" w:eastAsia="仿宋_GB2312" w:cs="仿宋_GB2312"/>
                <w:b/>
                <w:bCs w:val="0"/>
                <w:color w:val="000000"/>
                <w:sz w:val="28"/>
                <w:szCs w:val="28"/>
                <w:vertAlign w:val="baseline"/>
                <w:lang w:val="en-US" w:eastAsia="zh-CN"/>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6" w:hRule="atLeast"/>
          <w:jc w:val="center"/>
        </w:trPr>
        <w:tc>
          <w:tcPr>
            <w:tcW w:w="1801" w:type="dxa"/>
            <w:vAlign w:val="center"/>
          </w:tcPr>
          <w:p>
            <w:pPr>
              <w:spacing w:line="240" w:lineRule="auto"/>
              <w:jc w:val="center"/>
              <w:rPr>
                <w:rFonts w:hint="eastAsia"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价格分</w:t>
            </w:r>
          </w:p>
          <w:p>
            <w:pPr>
              <w:spacing w:line="240" w:lineRule="auto"/>
              <w:jc w:val="center"/>
              <w:rPr>
                <w:rFonts w:hint="default"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（48分）</w:t>
            </w:r>
          </w:p>
        </w:tc>
        <w:tc>
          <w:tcPr>
            <w:tcW w:w="4829" w:type="dxa"/>
            <w:gridSpan w:val="2"/>
            <w:vAlign w:val="center"/>
          </w:tcPr>
          <w:p>
            <w:pPr>
              <w:spacing w:line="240" w:lineRule="auto"/>
              <w:jc w:val="both"/>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（1）采用最低价基准分评分法，以进入评标的有效最低报价为48分。</w:t>
            </w:r>
          </w:p>
          <w:p>
            <w:pPr>
              <w:spacing w:line="240" w:lineRule="auto"/>
              <w:jc w:val="both"/>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投标人价格分＝（有效最低报价/投标人价格）×48</w:t>
            </w:r>
          </w:p>
        </w:tc>
        <w:tc>
          <w:tcPr>
            <w:tcW w:w="1567" w:type="dxa"/>
            <w:vAlign w:val="center"/>
          </w:tcPr>
          <w:p>
            <w:pPr>
              <w:spacing w:line="240" w:lineRule="auto"/>
              <w:jc w:val="both"/>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最终有效报价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0" w:hRule="atLeast"/>
          <w:jc w:val="center"/>
        </w:trPr>
        <w:tc>
          <w:tcPr>
            <w:tcW w:w="1801" w:type="dxa"/>
            <w:vMerge w:val="restart"/>
            <w:vAlign w:val="center"/>
          </w:tcPr>
          <w:p>
            <w:pPr>
              <w:spacing w:line="240" w:lineRule="auto"/>
              <w:jc w:val="center"/>
              <w:rPr>
                <w:rFonts w:hint="eastAsia"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技术服务方案分</w:t>
            </w:r>
          </w:p>
          <w:p>
            <w:pPr>
              <w:spacing w:line="240" w:lineRule="auto"/>
              <w:jc w:val="center"/>
              <w:rPr>
                <w:rFonts w:hint="default"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（40分）</w:t>
            </w:r>
          </w:p>
        </w:tc>
        <w:tc>
          <w:tcPr>
            <w:tcW w:w="1387" w:type="dxa"/>
            <w:vAlign w:val="center"/>
          </w:tcPr>
          <w:p>
            <w:pPr>
              <w:spacing w:line="240" w:lineRule="auto"/>
              <w:jc w:val="center"/>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服务方案</w:t>
            </w:r>
          </w:p>
          <w:p>
            <w:pPr>
              <w:spacing w:line="240" w:lineRule="auto"/>
              <w:jc w:val="center"/>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（30分）</w:t>
            </w:r>
          </w:p>
        </w:tc>
        <w:tc>
          <w:tcPr>
            <w:tcW w:w="3442" w:type="dxa"/>
            <w:vAlign w:val="center"/>
          </w:tcPr>
          <w:p>
            <w:pPr>
              <w:spacing w:line="240" w:lineRule="auto"/>
              <w:jc w:val="left"/>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第一档30分</w:t>
            </w:r>
            <w:r>
              <w:rPr>
                <w:rFonts w:hint="eastAsia" w:ascii="仿宋_GB2312" w:hAnsi="仿宋_GB2312" w:eastAsia="仿宋_GB2312" w:cs="仿宋_GB2312"/>
                <w:b w:val="0"/>
                <w:bCs/>
                <w:color w:val="000000"/>
                <w:sz w:val="20"/>
                <w:szCs w:val="20"/>
                <w:vertAlign w:val="baseline"/>
                <w:lang w:val="en-US" w:eastAsia="zh-CN"/>
              </w:rPr>
              <w:t>：</w:t>
            </w:r>
          </w:p>
          <w:p>
            <w:pPr>
              <w:spacing w:line="240" w:lineRule="auto"/>
              <w:jc w:val="left"/>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方案设计科学、人员安排合理、可操作性强，有明确计划安排，覆盖关键领域，方案完全满足项目需求；</w:t>
            </w:r>
          </w:p>
          <w:p>
            <w:pPr>
              <w:spacing w:line="240" w:lineRule="auto"/>
              <w:jc w:val="left"/>
              <w:rPr>
                <w:rFonts w:hint="eastAsia"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第二档20分：</w:t>
            </w:r>
          </w:p>
          <w:p>
            <w:pPr>
              <w:spacing w:line="240" w:lineRule="auto"/>
              <w:jc w:val="left"/>
              <w:rPr>
                <w:rFonts w:hint="eastAsia"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方案设计、人员安排、可操作性一般，计划安排完整，覆盖大部分关键内容，方案基本满足项目需求；</w:t>
            </w:r>
          </w:p>
          <w:p>
            <w:pPr>
              <w:spacing w:line="240" w:lineRule="auto"/>
              <w:jc w:val="left"/>
              <w:rPr>
                <w:rFonts w:hint="eastAsia"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第三档10分：</w:t>
            </w:r>
          </w:p>
          <w:p>
            <w:pPr>
              <w:spacing w:line="240" w:lineRule="auto"/>
              <w:jc w:val="left"/>
              <w:rPr>
                <w:rFonts w:hint="default" w:ascii="仿宋_GB2312" w:hAnsi="仿宋_GB2312" w:eastAsia="仿宋_GB2312" w:cs="仿宋_GB2312"/>
                <w:b/>
                <w:bCs w:val="0"/>
                <w:color w:val="000000"/>
                <w:sz w:val="22"/>
                <w:szCs w:val="22"/>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方案设计、人员安排、可操作性较差，计划简单，关键领域内容缺失，不能保证项目顺利实施需求；</w:t>
            </w:r>
          </w:p>
        </w:tc>
        <w:tc>
          <w:tcPr>
            <w:tcW w:w="1567" w:type="dxa"/>
            <w:vAlign w:val="center"/>
          </w:tcPr>
          <w:p>
            <w:pPr>
              <w:spacing w:line="240" w:lineRule="auto"/>
              <w:jc w:val="center"/>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3" w:hRule="atLeast"/>
          <w:jc w:val="center"/>
        </w:trPr>
        <w:tc>
          <w:tcPr>
            <w:tcW w:w="1801" w:type="dxa"/>
            <w:vMerge w:val="continue"/>
            <w:vAlign w:val="center"/>
          </w:tcPr>
          <w:p>
            <w:pPr>
              <w:spacing w:line="240" w:lineRule="auto"/>
              <w:jc w:val="center"/>
              <w:rPr>
                <w:rFonts w:hint="eastAsia" w:ascii="仿宋_GB2312" w:hAnsi="仿宋_GB2312" w:eastAsia="仿宋_GB2312" w:cs="仿宋_GB2312"/>
                <w:b/>
                <w:bCs w:val="0"/>
                <w:color w:val="000000"/>
                <w:sz w:val="20"/>
                <w:szCs w:val="20"/>
                <w:vertAlign w:val="baseline"/>
                <w:lang w:val="en-US" w:eastAsia="zh-CN"/>
              </w:rPr>
            </w:pPr>
          </w:p>
        </w:tc>
        <w:tc>
          <w:tcPr>
            <w:tcW w:w="1387" w:type="dxa"/>
            <w:vAlign w:val="center"/>
          </w:tcPr>
          <w:p>
            <w:pPr>
              <w:spacing w:line="240" w:lineRule="auto"/>
              <w:jc w:val="center"/>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人员配置分</w:t>
            </w:r>
          </w:p>
          <w:p>
            <w:pPr>
              <w:spacing w:line="240" w:lineRule="auto"/>
              <w:jc w:val="center"/>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（10分）</w:t>
            </w:r>
          </w:p>
        </w:tc>
        <w:tc>
          <w:tcPr>
            <w:tcW w:w="3442" w:type="dxa"/>
            <w:vAlign w:val="center"/>
          </w:tcPr>
          <w:p>
            <w:pPr>
              <w:numPr>
                <w:ilvl w:val="0"/>
                <w:numId w:val="0"/>
              </w:numPr>
              <w:spacing w:line="240" w:lineRule="auto"/>
              <w:jc w:val="left"/>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kern w:val="2"/>
                <w:sz w:val="20"/>
                <w:szCs w:val="20"/>
                <w:vertAlign w:val="baseline"/>
                <w:lang w:val="en-US" w:eastAsia="zh-CN" w:bidi="ar-SA"/>
              </w:rPr>
              <w:t>1.</w:t>
            </w:r>
            <w:r>
              <w:rPr>
                <w:rFonts w:hint="eastAsia" w:ascii="仿宋_GB2312" w:hAnsi="仿宋_GB2312" w:eastAsia="仿宋_GB2312" w:cs="仿宋_GB2312"/>
                <w:b w:val="0"/>
                <w:bCs/>
                <w:color w:val="000000"/>
                <w:sz w:val="20"/>
                <w:szCs w:val="20"/>
                <w:vertAlign w:val="baseline"/>
                <w:lang w:val="en-US" w:eastAsia="zh-CN"/>
              </w:rPr>
              <w:t>至少安排2人对接项目得2分，每增多1人加1分，满分4分；</w:t>
            </w:r>
          </w:p>
          <w:p>
            <w:pPr>
              <w:numPr>
                <w:ilvl w:val="0"/>
                <w:numId w:val="0"/>
              </w:numPr>
              <w:spacing w:line="240" w:lineRule="auto"/>
              <w:jc w:val="left"/>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2.项目团队人员中级及以上职称，每人得2分，满分6分。</w:t>
            </w:r>
          </w:p>
        </w:tc>
        <w:tc>
          <w:tcPr>
            <w:tcW w:w="1567" w:type="dxa"/>
            <w:vAlign w:val="center"/>
          </w:tcPr>
          <w:p>
            <w:pPr>
              <w:spacing w:line="240" w:lineRule="auto"/>
              <w:jc w:val="center"/>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人员配置表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4" w:hRule="atLeast"/>
          <w:jc w:val="center"/>
        </w:trPr>
        <w:tc>
          <w:tcPr>
            <w:tcW w:w="1801" w:type="dxa"/>
            <w:vAlign w:val="center"/>
          </w:tcPr>
          <w:p>
            <w:pPr>
              <w:spacing w:line="240" w:lineRule="auto"/>
              <w:jc w:val="center"/>
              <w:rPr>
                <w:rFonts w:hint="eastAsia"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商务分</w:t>
            </w:r>
          </w:p>
          <w:p>
            <w:pPr>
              <w:spacing w:line="240" w:lineRule="auto"/>
              <w:jc w:val="center"/>
              <w:rPr>
                <w:rFonts w:hint="default" w:ascii="仿宋_GB2312" w:hAnsi="仿宋_GB2312" w:eastAsia="仿宋_GB2312" w:cs="仿宋_GB2312"/>
                <w:b/>
                <w:bCs w:val="0"/>
                <w:color w:val="000000"/>
                <w:sz w:val="20"/>
                <w:szCs w:val="20"/>
                <w:vertAlign w:val="baseline"/>
                <w:lang w:val="en-US" w:eastAsia="zh-CN"/>
              </w:rPr>
            </w:pPr>
            <w:r>
              <w:rPr>
                <w:rFonts w:hint="eastAsia" w:ascii="仿宋_GB2312" w:hAnsi="仿宋_GB2312" w:eastAsia="仿宋_GB2312" w:cs="仿宋_GB2312"/>
                <w:b/>
                <w:bCs w:val="0"/>
                <w:color w:val="000000"/>
                <w:sz w:val="20"/>
                <w:szCs w:val="20"/>
                <w:vertAlign w:val="baseline"/>
                <w:lang w:val="en-US" w:eastAsia="zh-CN"/>
              </w:rPr>
              <w:t>（12分）</w:t>
            </w:r>
          </w:p>
        </w:tc>
        <w:tc>
          <w:tcPr>
            <w:tcW w:w="1387" w:type="dxa"/>
            <w:vAlign w:val="center"/>
          </w:tcPr>
          <w:p>
            <w:pPr>
              <w:spacing w:line="240" w:lineRule="auto"/>
              <w:jc w:val="center"/>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业绩分</w:t>
            </w:r>
          </w:p>
          <w:p>
            <w:pPr>
              <w:spacing w:line="240" w:lineRule="auto"/>
              <w:jc w:val="center"/>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（12分）</w:t>
            </w:r>
          </w:p>
        </w:tc>
        <w:tc>
          <w:tcPr>
            <w:tcW w:w="3442" w:type="dxa"/>
            <w:vAlign w:val="center"/>
          </w:tcPr>
          <w:p>
            <w:pPr>
              <w:spacing w:line="240" w:lineRule="auto"/>
              <w:jc w:val="left"/>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2022年1月1日以来完成同类项目业绩，其中公立医院类业绩每个3分，其他类业绩每个2分，满分12分。</w:t>
            </w:r>
          </w:p>
        </w:tc>
        <w:tc>
          <w:tcPr>
            <w:tcW w:w="1567" w:type="dxa"/>
            <w:vAlign w:val="center"/>
          </w:tcPr>
          <w:p>
            <w:pPr>
              <w:spacing w:line="240" w:lineRule="auto"/>
              <w:jc w:val="center"/>
              <w:rPr>
                <w:rFonts w:hint="eastAsia"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业绩证明材料</w:t>
            </w:r>
          </w:p>
          <w:p>
            <w:pPr>
              <w:spacing w:line="240" w:lineRule="auto"/>
              <w:jc w:val="left"/>
              <w:rPr>
                <w:rFonts w:hint="default" w:ascii="仿宋_GB2312" w:hAnsi="仿宋_GB2312" w:eastAsia="仿宋_GB2312" w:cs="仿宋_GB2312"/>
                <w:b w:val="0"/>
                <w:bCs/>
                <w:color w:val="000000"/>
                <w:sz w:val="20"/>
                <w:szCs w:val="20"/>
                <w:vertAlign w:val="baseline"/>
                <w:lang w:val="en-US" w:eastAsia="zh-CN"/>
              </w:rPr>
            </w:pPr>
            <w:r>
              <w:rPr>
                <w:rFonts w:hint="eastAsia" w:ascii="仿宋_GB2312" w:hAnsi="仿宋_GB2312" w:eastAsia="仿宋_GB2312" w:cs="仿宋_GB2312"/>
                <w:b w:val="0"/>
                <w:bCs/>
                <w:color w:val="000000"/>
                <w:sz w:val="20"/>
                <w:szCs w:val="20"/>
                <w:vertAlign w:val="baseline"/>
                <w:lang w:val="en-US" w:eastAsia="zh-CN"/>
              </w:rPr>
              <w:t>（提供成交合同或通知或其他证明材料）</w:t>
            </w:r>
          </w:p>
        </w:tc>
      </w:tr>
    </w:tbl>
    <w:p>
      <w:pPr>
        <w:spacing w:line="400" w:lineRule="exact"/>
        <w:ind w:firstLine="480" w:firstLineChars="200"/>
        <w:rPr>
          <w:rFonts w:ascii="宋体" w:hAnsi="宋体" w:eastAsia="宋体" w:cs="Times New Roman"/>
          <w:bCs/>
          <w:color w:val="000000"/>
          <w:sz w:val="22"/>
          <w:szCs w:val="22"/>
        </w:rPr>
      </w:pPr>
      <w:r>
        <w:rPr>
          <w:rFonts w:hint="eastAsia" w:ascii="宋体" w:hAnsi="宋体" w:eastAsia="宋体" w:cs="Times New Roman"/>
          <w:bCs/>
          <w:color w:val="000000"/>
          <w:sz w:val="24"/>
          <w:szCs w:val="24"/>
        </w:rPr>
        <w:t>（三）总得分</w:t>
      </w:r>
      <w:r>
        <w:rPr>
          <w:rFonts w:ascii="宋体" w:hAnsi="宋体" w:eastAsia="宋体" w:cs="Times New Roman"/>
          <w:bCs/>
          <w:color w:val="000000"/>
          <w:sz w:val="24"/>
          <w:szCs w:val="24"/>
        </w:rPr>
        <w:t>=1+2+3。</w:t>
      </w:r>
    </w:p>
    <w:p>
      <w:pPr>
        <w:spacing w:line="276" w:lineRule="auto"/>
        <w:ind w:firstLine="440" w:firstLineChars="200"/>
        <w:jc w:val="left"/>
        <w:rPr>
          <w:rFonts w:ascii="宋体" w:hAnsi="宋体" w:eastAsia="宋体"/>
          <w:sz w:val="22"/>
          <w:szCs w:val="22"/>
        </w:rPr>
      </w:pPr>
      <w:r>
        <w:rPr>
          <w:rFonts w:hint="eastAsia" w:ascii="宋体" w:hAnsi="宋体" w:eastAsia="宋体"/>
          <w:sz w:val="22"/>
          <w:szCs w:val="22"/>
        </w:rPr>
        <w:t>四、中标候选人推荐原则</w:t>
      </w:r>
    </w:p>
    <w:p>
      <w:pPr>
        <w:spacing w:line="276" w:lineRule="auto"/>
        <w:ind w:firstLine="440" w:firstLineChars="200"/>
        <w:jc w:val="left"/>
        <w:rPr>
          <w:rFonts w:hint="eastAsia" w:ascii="宋体" w:hAnsi="宋体" w:eastAsia="宋体"/>
          <w:sz w:val="22"/>
          <w:szCs w:val="22"/>
        </w:rPr>
      </w:pPr>
      <w:r>
        <w:rPr>
          <w:rFonts w:hint="eastAsia" w:ascii="宋体" w:hAnsi="宋体" w:eastAsia="宋体"/>
          <w:sz w:val="22"/>
          <w:szCs w:val="22"/>
        </w:rPr>
        <w:t>评标小组将根据得分由高到低排列次序（得分相同时，以投标报价由低到高顺序排列；得分相同且投标报价相同的，按技术指标优劣顺序排列）并推荐不多于三名中标候选供应商。采购</w:t>
      </w:r>
      <w:r>
        <w:rPr>
          <w:rFonts w:hint="eastAsia" w:ascii="宋体" w:hAnsi="宋体" w:eastAsia="宋体"/>
          <w:sz w:val="22"/>
          <w:szCs w:val="22"/>
          <w:lang w:val="en-US" w:eastAsia="zh-CN"/>
        </w:rPr>
        <w:t>人</w:t>
      </w:r>
      <w:r>
        <w:rPr>
          <w:rFonts w:hint="eastAsia" w:ascii="宋体" w:hAnsi="宋体" w:eastAsia="宋体"/>
          <w:sz w:val="22"/>
          <w:szCs w:val="22"/>
        </w:rPr>
        <w:t>应当评审小组推荐排名第一的投标人为中标候选人。排名第一的中标候选人放弃中标或因不可抗力提出不能履行合同，评标小组可以推荐排名第二的投标人为中标候选人，依此类推。</w:t>
      </w:r>
    </w:p>
    <w:p>
      <w:pPr>
        <w:spacing w:line="276" w:lineRule="auto"/>
        <w:ind w:firstLine="440" w:firstLineChars="200"/>
        <w:jc w:val="left"/>
        <w:rPr>
          <w:rFonts w:hint="eastAsia" w:ascii="宋体" w:hAnsi="宋体" w:eastAsia="宋体"/>
          <w:sz w:val="22"/>
          <w:szCs w:val="22"/>
        </w:rPr>
      </w:pPr>
    </w:p>
    <w:p>
      <w:pPr>
        <w:spacing w:line="276" w:lineRule="auto"/>
        <w:ind w:firstLine="440" w:firstLineChars="200"/>
        <w:jc w:val="left"/>
        <w:rPr>
          <w:rFonts w:hint="eastAsia" w:ascii="宋体" w:hAnsi="宋体" w:eastAsia="宋体"/>
          <w:sz w:val="22"/>
          <w:szCs w:val="22"/>
        </w:rPr>
      </w:pPr>
    </w:p>
    <w:p>
      <w:pPr>
        <w:rPr>
          <w:rFonts w:hint="eastAsia" w:ascii="方正粗黑宋简体" w:hAnsi="方正粗黑宋简体" w:eastAsia="方正粗黑宋简体" w:cs="方正粗黑宋简体"/>
          <w:b/>
          <w:color w:val="auto"/>
          <w:sz w:val="44"/>
          <w:szCs w:val="44"/>
          <w:highlight w:val="none"/>
        </w:rPr>
      </w:pPr>
      <w:r>
        <w:rPr>
          <w:rFonts w:hint="eastAsia" w:ascii="方正粗黑宋简体" w:hAnsi="方正粗黑宋简体" w:eastAsia="方正粗黑宋简体" w:cs="方正粗黑宋简体"/>
          <w:b/>
          <w:color w:val="auto"/>
          <w:sz w:val="44"/>
          <w:szCs w:val="44"/>
          <w:highlight w:val="none"/>
        </w:rPr>
        <w:br w:type="page"/>
      </w:r>
    </w:p>
    <w:p>
      <w:pPr>
        <w:keepNext w:val="0"/>
        <w:keepLines w:val="0"/>
        <w:pageBreakBefore w:val="0"/>
        <w:kinsoku/>
        <w:overflowPunct/>
        <w:topLinePunct w:val="0"/>
        <w:bidi w:val="0"/>
        <w:spacing w:line="360" w:lineRule="auto"/>
        <w:jc w:val="center"/>
        <w:textAlignment w:val="auto"/>
        <w:rPr>
          <w:rFonts w:hint="eastAsia" w:ascii="方正粗黑宋简体" w:hAnsi="方正粗黑宋简体" w:eastAsia="方正粗黑宋简体" w:cs="方正粗黑宋简体"/>
          <w:b/>
          <w:color w:val="auto"/>
          <w:sz w:val="44"/>
          <w:szCs w:val="44"/>
          <w:highlight w:val="none"/>
        </w:rPr>
      </w:pPr>
      <w:bookmarkStart w:id="14" w:name="_GoBack"/>
      <w:bookmarkEnd w:id="14"/>
      <w:r>
        <w:rPr>
          <w:rFonts w:hint="eastAsia" w:ascii="方正粗黑宋简体" w:hAnsi="方正粗黑宋简体" w:eastAsia="方正粗黑宋简体" w:cs="方正粗黑宋简体"/>
          <w:b/>
          <w:color w:val="auto"/>
          <w:sz w:val="44"/>
          <w:szCs w:val="44"/>
          <w:highlight w:val="none"/>
        </w:rPr>
        <w:t>报价表</w:t>
      </w:r>
    </w:p>
    <w:p>
      <w:pPr>
        <w:keepNext w:val="0"/>
        <w:keepLines w:val="0"/>
        <w:pageBreakBefore w:val="0"/>
        <w:kinsoku/>
        <w:overflowPunct/>
        <w:topLinePunct w:val="0"/>
        <w:bidi w:val="0"/>
        <w:spacing w:line="360" w:lineRule="auto"/>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kinsoku/>
        <w:overflowPunct/>
        <w:topLinePunct w:val="0"/>
        <w:bidi w:val="0"/>
        <w:spacing w:line="360" w:lineRule="auto"/>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val="en-US" w:eastAsia="zh-CN"/>
        </w:rPr>
        <w:t>项目名称：</w:t>
      </w:r>
      <w:r>
        <w:rPr>
          <w:rFonts w:hint="eastAsia" w:ascii="仿宋_GB2312" w:hAnsi="仿宋_GB2312" w:eastAsia="仿宋_GB2312" w:cs="仿宋_GB2312"/>
          <w:color w:val="auto"/>
          <w:sz w:val="32"/>
          <w:szCs w:val="32"/>
          <w:highlight w:val="none"/>
          <w:u w:val="single"/>
          <w:lang w:val="en-US" w:eastAsia="zh-CN"/>
        </w:rPr>
        <w:t>广西骨伤医院风险评估及内部控制评价服务采购项目</w:t>
      </w:r>
      <w:r>
        <w:rPr>
          <w:rFonts w:hint="eastAsia" w:ascii="仿宋_GB2312" w:hAnsi="仿宋_GB2312" w:eastAsia="仿宋_GB2312" w:cs="仿宋_GB2312"/>
          <w:color w:val="auto"/>
          <w:sz w:val="32"/>
          <w:szCs w:val="32"/>
          <w:highlight w:val="none"/>
          <w:lang w:val="en-US" w:eastAsia="zh-CN"/>
        </w:rPr>
        <w:t xml:space="preserve">  </w:t>
      </w:r>
    </w:p>
    <w:tbl>
      <w:tblPr>
        <w:tblStyle w:val="8"/>
        <w:tblpPr w:leftFromText="180" w:rightFromText="180" w:vertAnchor="text" w:horzAnchor="page" w:tblpX="1508" w:tblpY="195"/>
        <w:tblOverlap w:val="never"/>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2038"/>
        <w:gridCol w:w="680"/>
        <w:gridCol w:w="682"/>
        <w:gridCol w:w="2652"/>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18" w:hRule="atLeast"/>
        </w:trPr>
        <w:tc>
          <w:tcPr>
            <w:tcW w:w="689"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项号</w:t>
            </w:r>
          </w:p>
        </w:tc>
        <w:tc>
          <w:tcPr>
            <w:tcW w:w="2038"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default" w:hAnsi="宋体" w:eastAsia="宋体"/>
                <w:color w:val="auto"/>
                <w:spacing w:val="-20"/>
                <w:sz w:val="21"/>
                <w:szCs w:val="21"/>
                <w:highlight w:val="none"/>
                <w:lang w:val="en-US" w:eastAsia="zh-CN"/>
              </w:rPr>
            </w:pPr>
            <w:r>
              <w:rPr>
                <w:rFonts w:hint="eastAsia" w:hAnsi="宋体"/>
                <w:color w:val="auto"/>
                <w:sz w:val="21"/>
                <w:szCs w:val="21"/>
                <w:highlight w:val="none"/>
                <w:lang w:val="en-US" w:eastAsia="zh-CN"/>
              </w:rPr>
              <w:t>采购内容</w:t>
            </w:r>
          </w:p>
        </w:tc>
        <w:tc>
          <w:tcPr>
            <w:tcW w:w="680"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Ansi="宋体"/>
                <w:color w:val="auto"/>
                <w:spacing w:val="-20"/>
                <w:sz w:val="21"/>
                <w:szCs w:val="21"/>
                <w:highlight w:val="none"/>
              </w:rPr>
            </w:pPr>
            <w:r>
              <w:rPr>
                <w:rFonts w:hint="eastAsia" w:hAnsi="宋体"/>
                <w:color w:val="auto"/>
                <w:sz w:val="21"/>
                <w:szCs w:val="21"/>
                <w:highlight w:val="none"/>
              </w:rPr>
              <w:t>数量</w:t>
            </w:r>
          </w:p>
        </w:tc>
        <w:tc>
          <w:tcPr>
            <w:tcW w:w="68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单位</w:t>
            </w:r>
          </w:p>
        </w:tc>
        <w:tc>
          <w:tcPr>
            <w:tcW w:w="265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报价金额（元）</w:t>
            </w:r>
          </w:p>
        </w:tc>
        <w:tc>
          <w:tcPr>
            <w:tcW w:w="2039"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2" w:hRule="atLeast"/>
        </w:trPr>
        <w:tc>
          <w:tcPr>
            <w:tcW w:w="6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1</w:t>
            </w:r>
          </w:p>
        </w:tc>
        <w:tc>
          <w:tcPr>
            <w:tcW w:w="2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u w:val="single"/>
                <w:lang w:val="en-US" w:eastAsia="zh-CN"/>
              </w:rPr>
              <w:t>风险评估及内部控制评价服务</w:t>
            </w:r>
          </w:p>
        </w:tc>
        <w:tc>
          <w:tcPr>
            <w:tcW w:w="680"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1</w:t>
            </w:r>
          </w:p>
        </w:tc>
        <w:tc>
          <w:tcPr>
            <w:tcW w:w="68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家</w:t>
            </w:r>
          </w:p>
        </w:tc>
        <w:tc>
          <w:tcPr>
            <w:tcW w:w="2652" w:type="dxa"/>
            <w:tcBorders>
              <w:top w:val="single" w:color="auto" w:sz="4" w:space="0"/>
              <w:left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c>
          <w:tcPr>
            <w:tcW w:w="2039" w:type="dxa"/>
            <w:tcBorders>
              <w:top w:val="single" w:color="auto" w:sz="4" w:space="0"/>
              <w:left w:val="single" w:color="auto" w:sz="4" w:space="0"/>
              <w:right w:val="single" w:color="auto" w:sz="4" w:space="0"/>
            </w:tcBorders>
            <w:vAlign w:val="center"/>
          </w:tcPr>
          <w:p>
            <w:pPr>
              <w:pStyle w:val="3"/>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r>
    </w:tbl>
    <w:p>
      <w:pPr>
        <w:keepNext w:val="0"/>
        <w:keepLines w:val="0"/>
        <w:pageBreakBefore w:val="0"/>
        <w:kinsoku/>
        <w:overflowPunct/>
        <w:topLinePunct w:val="0"/>
        <w:bidi w:val="0"/>
        <w:spacing w:line="360" w:lineRule="auto"/>
        <w:ind w:firstLine="405"/>
        <w:textAlignment w:val="auto"/>
        <w:rPr>
          <w:rFonts w:ascii="宋体" w:hAnsi="宋体"/>
          <w:color w:val="auto"/>
          <w:sz w:val="21"/>
          <w:szCs w:val="21"/>
          <w:highlight w:val="none"/>
          <w:u w:val="singl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注：所有价格均用人民币表示，单位为元。</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pStyle w:val="3"/>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3"/>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3"/>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widowControl/>
        <w:kinsoku/>
        <w:overflowPunct/>
        <w:topLinePunct w:val="0"/>
        <w:bidi w:val="0"/>
        <w:spacing w:line="360" w:lineRule="auto"/>
        <w:jc w:val="left"/>
        <w:textAlignment w:val="auto"/>
        <w:rPr>
          <w:rFonts w:hint="eastAsia" w:ascii="宋体" w:hAnsi="宋体" w:eastAsia="宋体"/>
          <w:sz w:val="22"/>
          <w:szCs w:val="22"/>
        </w:rPr>
      </w:pPr>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59264;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thZ//SAAAAAwEAAA8AAAAAAAAA&#10;AQAgAAAAIgAAAGRycy9kb3ducmV2LnhtbFBLAQIUABQAAAAIAIdO4kDHSGgEFwIAABMEAAAOAAAA&#10;AAAAAAEAIAAAACEBAABkcnMvZTJvRG9jLnhtbFBLBQYAAAAABgAGAFkBAACqBQAAAAA=&#10;">
              <v:fill on="f" focussize="0,0"/>
              <v:stroke on="f" weight="0.5pt"/>
              <v:imagedata o:title=""/>
              <o:lock v:ext="edit" aspectratio="f"/>
              <v:textbox inset="0mm,0mm,0mm,0mm">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abstractNum w:abstractNumId="1">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51223"/>
    <w:rsid w:val="00CA32F0"/>
    <w:rsid w:val="00D346A0"/>
    <w:rsid w:val="00DB11EC"/>
    <w:rsid w:val="00DE69C9"/>
    <w:rsid w:val="00E15756"/>
    <w:rsid w:val="00E54185"/>
    <w:rsid w:val="00EC5631"/>
    <w:rsid w:val="00F65C52"/>
    <w:rsid w:val="00FA0D28"/>
    <w:rsid w:val="01856481"/>
    <w:rsid w:val="01F10E73"/>
    <w:rsid w:val="075C1FDF"/>
    <w:rsid w:val="08522889"/>
    <w:rsid w:val="09A165E2"/>
    <w:rsid w:val="09D01A1F"/>
    <w:rsid w:val="09E216CF"/>
    <w:rsid w:val="0A78630C"/>
    <w:rsid w:val="0F4547D5"/>
    <w:rsid w:val="116C53DA"/>
    <w:rsid w:val="1270351E"/>
    <w:rsid w:val="13385187"/>
    <w:rsid w:val="15646297"/>
    <w:rsid w:val="15F5735F"/>
    <w:rsid w:val="16245D2D"/>
    <w:rsid w:val="163B5ED4"/>
    <w:rsid w:val="167B7C85"/>
    <w:rsid w:val="16960ABA"/>
    <w:rsid w:val="16E429B1"/>
    <w:rsid w:val="181977A4"/>
    <w:rsid w:val="183A0746"/>
    <w:rsid w:val="1B827115"/>
    <w:rsid w:val="1C224C26"/>
    <w:rsid w:val="1C911CD4"/>
    <w:rsid w:val="20116292"/>
    <w:rsid w:val="21F941EF"/>
    <w:rsid w:val="226B1834"/>
    <w:rsid w:val="22C5455D"/>
    <w:rsid w:val="23177A13"/>
    <w:rsid w:val="25841CAE"/>
    <w:rsid w:val="26E8081A"/>
    <w:rsid w:val="26F31699"/>
    <w:rsid w:val="2A274666"/>
    <w:rsid w:val="2E5C5811"/>
    <w:rsid w:val="305D4724"/>
    <w:rsid w:val="34804E44"/>
    <w:rsid w:val="35A87AF3"/>
    <w:rsid w:val="387F5BEC"/>
    <w:rsid w:val="3AF2543E"/>
    <w:rsid w:val="3B2220F5"/>
    <w:rsid w:val="3BCC406B"/>
    <w:rsid w:val="3C3744B2"/>
    <w:rsid w:val="3D4211DA"/>
    <w:rsid w:val="3D6B227E"/>
    <w:rsid w:val="3E334D06"/>
    <w:rsid w:val="3FF34E8C"/>
    <w:rsid w:val="403C5C82"/>
    <w:rsid w:val="42F44377"/>
    <w:rsid w:val="4470358F"/>
    <w:rsid w:val="45414AA7"/>
    <w:rsid w:val="45C609AE"/>
    <w:rsid w:val="46B579F4"/>
    <w:rsid w:val="478766CA"/>
    <w:rsid w:val="47BA31C6"/>
    <w:rsid w:val="486E744E"/>
    <w:rsid w:val="495031E8"/>
    <w:rsid w:val="4A28534B"/>
    <w:rsid w:val="4AA30431"/>
    <w:rsid w:val="4DBB0BB6"/>
    <w:rsid w:val="4FA4766E"/>
    <w:rsid w:val="500718F9"/>
    <w:rsid w:val="519E15C9"/>
    <w:rsid w:val="52142CBA"/>
    <w:rsid w:val="53416DC8"/>
    <w:rsid w:val="542227FC"/>
    <w:rsid w:val="550569E7"/>
    <w:rsid w:val="551E5F54"/>
    <w:rsid w:val="554B0932"/>
    <w:rsid w:val="581E7EC3"/>
    <w:rsid w:val="58C46E3D"/>
    <w:rsid w:val="5D761C7E"/>
    <w:rsid w:val="5FAF6675"/>
    <w:rsid w:val="60915A2A"/>
    <w:rsid w:val="633A4A17"/>
    <w:rsid w:val="644D16E1"/>
    <w:rsid w:val="64EB3DB4"/>
    <w:rsid w:val="65A76AD5"/>
    <w:rsid w:val="67304B07"/>
    <w:rsid w:val="69562FB4"/>
    <w:rsid w:val="6A004D62"/>
    <w:rsid w:val="6A4E0CDE"/>
    <w:rsid w:val="6AA22B0C"/>
    <w:rsid w:val="6C532B86"/>
    <w:rsid w:val="6CE83C2A"/>
    <w:rsid w:val="6D2F3546"/>
    <w:rsid w:val="731C766A"/>
    <w:rsid w:val="77764E10"/>
    <w:rsid w:val="78E21FA1"/>
    <w:rsid w:val="7C047E00"/>
    <w:rsid w:val="7CD10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next w:val="2"/>
    <w:qFormat/>
    <w:uiPriority w:val="0"/>
    <w:rPr>
      <w:rFonts w:ascii="宋体" w:hAnsi="Courier New"/>
      <w:szCs w:val="20"/>
    </w:rPr>
  </w:style>
  <w:style w:type="paragraph" w:styleId="4">
    <w:name w:val="Date"/>
    <w:basedOn w:val="1"/>
    <w:next w:val="1"/>
    <w:link w:val="13"/>
    <w:semiHidden/>
    <w:unhideWhenUsed/>
    <w:qFormat/>
    <w:uiPriority w:val="99"/>
    <w:pPr>
      <w:ind w:left="100" w:leftChars="2500"/>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日期 字符"/>
    <w:basedOn w:val="10"/>
    <w:link w:val="4"/>
    <w:semiHidden/>
    <w:qFormat/>
    <w:uiPriority w:val="99"/>
  </w:style>
  <w:style w:type="paragraph" w:customStyle="1" w:styleId="14">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3794</Words>
  <Characters>4026</Characters>
  <Lines>29</Lines>
  <Paragraphs>8</Paragraphs>
  <TotalTime>6</TotalTime>
  <ScaleCrop>false</ScaleCrop>
  <LinksUpToDate>false</LinksUpToDate>
  <CharactersWithSpaces>4098</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Lee</cp:lastModifiedBy>
  <dcterms:modified xsi:type="dcterms:W3CDTF">2025-04-23T01:37:28Z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D4BBB266799A4233A086271BCAF07A03_13</vt:lpwstr>
  </property>
  <property fmtid="{D5CDD505-2E9C-101B-9397-08002B2CF9AE}" pid="4" name="KSOTemplateDocerSaveRecord">
    <vt:lpwstr>eyJoZGlkIjoiMGY5MWQ5ZDBkOGEyMDRhMzU2NmIzYjY1NGMyNWI3YWUiLCJ1c2VySWQiOiI5NTIwNzI0NzkifQ==</vt:lpwstr>
  </property>
</Properties>
</file>