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5ED3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jc w:val="left"/>
        <w:rPr>
          <w:rFonts w:hint="eastAsia" w:ascii="仿宋" w:hAnsi="仿宋" w:eastAsia="仿宋" w:cs="仿宋"/>
          <w:b/>
          <w:bCs/>
          <w:i w:val="0"/>
          <w:caps w:val="0"/>
          <w:color w:val="000000"/>
          <w:spacing w:val="0"/>
          <w:kern w:val="0"/>
          <w:sz w:val="28"/>
          <w:szCs w:val="28"/>
          <w:lang w:val="en-US" w:eastAsia="zh-CN" w:bidi="ar"/>
        </w:rPr>
      </w:pPr>
      <w:r>
        <w:rPr>
          <w:rFonts w:hint="eastAsia" w:ascii="仿宋" w:hAnsi="仿宋" w:eastAsia="仿宋" w:cs="仿宋"/>
          <w:b/>
          <w:bCs/>
          <w:i w:val="0"/>
          <w:caps w:val="0"/>
          <w:color w:val="000000"/>
          <w:spacing w:val="0"/>
          <w:kern w:val="0"/>
          <w:sz w:val="28"/>
          <w:szCs w:val="28"/>
          <w:lang w:val="en-US" w:eastAsia="zh-CN" w:bidi="ar"/>
        </w:rPr>
        <w:t>附件2</w:t>
      </w:r>
    </w:p>
    <w:p w14:paraId="0AAD2225">
      <w:pPr>
        <w:spacing w:line="520" w:lineRule="exact"/>
        <w:jc w:val="center"/>
        <w:rPr>
          <w:rFonts w:ascii="方正小标宋简体" w:hAnsi="方正小标宋简体" w:eastAsia="方正小标宋简体" w:cs="Calibri"/>
          <w:bCs/>
          <w:color w:val="000000"/>
          <w:sz w:val="32"/>
          <w:szCs w:val="32"/>
        </w:rPr>
      </w:pPr>
      <w:bookmarkStart w:id="0" w:name="OLE_LINK7"/>
      <w:r>
        <w:rPr>
          <w:rFonts w:hint="eastAsia" w:ascii="方正小标宋简体" w:hAnsi="方正小标宋简体" w:eastAsia="方正小标宋简体" w:cs="Calibri"/>
          <w:bCs/>
          <w:color w:val="000000"/>
          <w:sz w:val="44"/>
          <w:szCs w:val="44"/>
        </w:rPr>
        <w:t xml:space="preserve"> 报  价  表</w:t>
      </w:r>
      <w:bookmarkEnd w:id="0"/>
    </w:p>
    <w:p w14:paraId="36566DE1">
      <w:pPr>
        <w:spacing w:line="44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32"/>
          <w:szCs w:val="32"/>
        </w:rPr>
        <w:t xml:space="preserve"> </w:t>
      </w:r>
    </w:p>
    <w:p w14:paraId="708EAA8F">
      <w:pPr>
        <w:keepNext w:val="0"/>
        <w:keepLines w:val="0"/>
        <w:pageBreakBefore w:val="0"/>
        <w:widowControl w:val="0"/>
        <w:kinsoku/>
        <w:wordWrap/>
        <w:overflowPunct/>
        <w:topLinePunct w:val="0"/>
        <w:autoSpaceDE/>
        <w:autoSpaceDN/>
        <w:bidi w:val="0"/>
        <w:adjustRightInd/>
        <w:snapToGrid w:val="0"/>
        <w:spacing w:line="440" w:lineRule="exact"/>
        <w:textAlignment w:val="auto"/>
        <w:rPr>
          <w:rFonts w:ascii="仿宋_GB2312" w:hAnsi="Calibri" w:eastAsia="仿宋_GB2312" w:cs="Calibri"/>
          <w:color w:val="000000"/>
          <w:sz w:val="32"/>
          <w:szCs w:val="32"/>
        </w:rPr>
      </w:pPr>
      <w:bookmarkStart w:id="1" w:name="OLE_LINK4"/>
      <w:r>
        <w:rPr>
          <w:rFonts w:hint="eastAsia" w:ascii="仿宋_GB2312" w:hAnsi="Calibri" w:eastAsia="仿宋_GB2312" w:cs="Calibri"/>
          <w:color w:val="000000"/>
          <w:sz w:val="32"/>
          <w:szCs w:val="32"/>
        </w:rPr>
        <w:t>项目名称：</w:t>
      </w:r>
      <w:r>
        <w:rPr>
          <w:rFonts w:hint="eastAsia" w:ascii="仿宋_GB2312" w:hAnsi="Calibri" w:eastAsia="仿宋_GB2312" w:cs="Calibri"/>
          <w:color w:val="000000"/>
          <w:sz w:val="32"/>
          <w:szCs w:val="32"/>
          <w:u w:val="single"/>
        </w:rPr>
        <w:t xml:space="preserve">                </w:t>
      </w:r>
      <w:bookmarkEnd w:id="1"/>
      <w:r>
        <w:rPr>
          <w:rFonts w:hint="eastAsia" w:ascii="仿宋_GB2312" w:hAnsi="Calibri" w:eastAsia="仿宋_GB2312" w:cs="Calibri"/>
          <w:color w:val="000000"/>
          <w:sz w:val="32"/>
          <w:szCs w:val="32"/>
        </w:rPr>
        <w:t>项目</w:t>
      </w:r>
      <w:r>
        <w:rPr>
          <w:rFonts w:hint="eastAsia" w:ascii="仿宋_GB2312" w:hAnsi="Calibri" w:eastAsia="仿宋_GB2312" w:cs="Calibri"/>
          <w:color w:val="000000"/>
          <w:sz w:val="32"/>
          <w:szCs w:val="32"/>
          <w:lang w:val="en-US" w:eastAsia="zh-CN"/>
        </w:rPr>
        <w:t>序号</w:t>
      </w:r>
      <w:r>
        <w:rPr>
          <w:rFonts w:hint="eastAsia" w:ascii="仿宋_GB2312" w:hAnsi="Calibri" w:eastAsia="仿宋_GB2312" w:cs="Calibri"/>
          <w:color w:val="000000"/>
          <w:sz w:val="32"/>
          <w:szCs w:val="32"/>
        </w:rPr>
        <w:t>：</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14:paraId="407FEDC9">
      <w:pPr>
        <w:keepNext w:val="0"/>
        <w:keepLines w:val="0"/>
        <w:pageBreakBefore w:val="0"/>
        <w:widowControl w:val="0"/>
        <w:kinsoku/>
        <w:wordWrap/>
        <w:overflowPunct/>
        <w:topLinePunct w:val="0"/>
        <w:autoSpaceDE/>
        <w:autoSpaceDN/>
        <w:bidi w:val="0"/>
        <w:adjustRightInd/>
        <w:snapToGrid w:val="0"/>
        <w:spacing w:line="440" w:lineRule="exact"/>
        <w:textAlignment w:val="auto"/>
        <w:rPr>
          <w:rFonts w:ascii="仿宋_GB2312" w:hAnsi="Calibri" w:eastAsia="仿宋_GB2312" w:cs="Calibri"/>
          <w:color w:val="000000"/>
          <w:sz w:val="32"/>
          <w:szCs w:val="32"/>
          <w:u w:val="single"/>
        </w:rPr>
      </w:pPr>
    </w:p>
    <w:p w14:paraId="332C6D9F">
      <w:pPr>
        <w:keepNext w:val="0"/>
        <w:keepLines w:val="0"/>
        <w:pageBreakBefore w:val="0"/>
        <w:widowControl w:val="0"/>
        <w:kinsoku/>
        <w:wordWrap/>
        <w:overflowPunct/>
        <w:topLinePunct w:val="0"/>
        <w:autoSpaceDE/>
        <w:autoSpaceDN/>
        <w:bidi w:val="0"/>
        <w:adjustRightInd/>
        <w:snapToGrid w:val="0"/>
        <w:spacing w:line="440" w:lineRule="exact"/>
        <w:textAlignment w:val="auto"/>
        <w:rPr>
          <w:rFonts w:ascii="仿宋_GB2312" w:hAnsi="Calibri" w:eastAsia="仿宋_GB2312" w:cs="Calibri"/>
          <w:color w:val="000000"/>
          <w:sz w:val="32"/>
          <w:szCs w:val="32"/>
        </w:rPr>
      </w:pPr>
      <w:bookmarkStart w:id="2" w:name="OLE_LINK5"/>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bookmarkEnd w:id="2"/>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14:paraId="7E3E1F04">
      <w:pPr>
        <w:keepNext w:val="0"/>
        <w:keepLines w:val="0"/>
        <w:pageBreakBefore w:val="0"/>
        <w:widowControl w:val="0"/>
        <w:kinsoku/>
        <w:wordWrap/>
        <w:overflowPunct/>
        <w:topLinePunct w:val="0"/>
        <w:autoSpaceDE/>
        <w:autoSpaceDN/>
        <w:bidi w:val="0"/>
        <w:adjustRightInd/>
        <w:snapToGrid w:val="0"/>
        <w:spacing w:line="440" w:lineRule="exact"/>
        <w:textAlignment w:val="auto"/>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0FFBADDD">
      <w:pPr>
        <w:keepNext w:val="0"/>
        <w:keepLines w:val="0"/>
        <w:pageBreakBefore w:val="0"/>
        <w:widowControl w:val="0"/>
        <w:kinsoku/>
        <w:wordWrap/>
        <w:overflowPunct/>
        <w:topLinePunct w:val="0"/>
        <w:autoSpaceDE/>
        <w:autoSpaceDN/>
        <w:bidi w:val="0"/>
        <w:adjustRightInd/>
        <w:snapToGrid w:val="0"/>
        <w:spacing w:line="440" w:lineRule="exact"/>
        <w:textAlignment w:val="auto"/>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单位：元</w:t>
      </w:r>
    </w:p>
    <w:tbl>
      <w:tblPr>
        <w:tblStyle w:val="2"/>
        <w:tblpPr w:leftFromText="180" w:rightFromText="180" w:vertAnchor="text" w:horzAnchor="page" w:tblpX="1300" w:tblpY="454"/>
        <w:tblOverlap w:val="never"/>
        <w:tblW w:w="97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9"/>
        <w:gridCol w:w="1578"/>
        <w:gridCol w:w="721"/>
        <w:gridCol w:w="993"/>
        <w:gridCol w:w="1276"/>
        <w:gridCol w:w="1184"/>
        <w:gridCol w:w="1762"/>
      </w:tblGrid>
      <w:tr w14:paraId="1679B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2189" w:type="dxa"/>
            <w:tcBorders>
              <w:top w:val="single" w:color="auto" w:sz="4" w:space="0"/>
              <w:left w:val="single" w:color="auto" w:sz="4" w:space="0"/>
              <w:bottom w:val="single" w:color="auto" w:sz="4" w:space="0"/>
              <w:right w:val="single" w:color="auto" w:sz="4" w:space="0"/>
            </w:tcBorders>
            <w:vAlign w:val="center"/>
          </w:tcPr>
          <w:p w14:paraId="40C771A0">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仿宋_GB2312" w:hAnsi="Calibri" w:eastAsia="仿宋_GB2312" w:cs="Calibri"/>
                <w:b/>
                <w:bCs/>
                <w:color w:val="000000"/>
                <w:sz w:val="28"/>
                <w:szCs w:val="28"/>
              </w:rPr>
            </w:pPr>
            <w:r>
              <w:rPr>
                <w:rFonts w:hint="eastAsia" w:ascii="仿宋_GB2312" w:hAnsi="Calibri" w:eastAsia="仿宋_GB2312" w:cs="Calibri"/>
                <w:b/>
                <w:bCs/>
                <w:color w:val="000000"/>
                <w:sz w:val="28"/>
                <w:szCs w:val="28"/>
              </w:rPr>
              <w:t>产品名称</w:t>
            </w:r>
          </w:p>
        </w:tc>
        <w:tc>
          <w:tcPr>
            <w:tcW w:w="1578" w:type="dxa"/>
            <w:tcBorders>
              <w:top w:val="single" w:color="auto" w:sz="4" w:space="0"/>
              <w:left w:val="nil"/>
              <w:bottom w:val="single" w:color="auto" w:sz="4" w:space="0"/>
              <w:right w:val="single" w:color="auto" w:sz="4" w:space="0"/>
            </w:tcBorders>
            <w:vAlign w:val="center"/>
          </w:tcPr>
          <w:p w14:paraId="2A004978">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仿宋_GB2312" w:hAnsi="Calibri" w:eastAsia="仿宋_GB2312" w:cs="Calibri"/>
                <w:b/>
                <w:bCs/>
                <w:color w:val="000000"/>
                <w:sz w:val="28"/>
                <w:szCs w:val="28"/>
              </w:rPr>
            </w:pPr>
            <w:r>
              <w:rPr>
                <w:rFonts w:hint="eastAsia" w:ascii="仿宋_GB2312" w:hAnsi="Calibri" w:eastAsia="仿宋_GB2312" w:cs="Calibri"/>
                <w:b/>
                <w:bCs/>
                <w:color w:val="000000"/>
                <w:sz w:val="28"/>
                <w:szCs w:val="28"/>
              </w:rPr>
              <w:t>品牌/型号/生产厂家</w:t>
            </w:r>
          </w:p>
        </w:tc>
        <w:tc>
          <w:tcPr>
            <w:tcW w:w="721" w:type="dxa"/>
            <w:tcBorders>
              <w:top w:val="single" w:color="auto" w:sz="4" w:space="0"/>
              <w:left w:val="nil"/>
              <w:bottom w:val="single" w:color="auto" w:sz="4" w:space="0"/>
              <w:right w:val="single" w:color="auto" w:sz="4" w:space="0"/>
            </w:tcBorders>
            <w:vAlign w:val="center"/>
          </w:tcPr>
          <w:p w14:paraId="1DAD1CB7">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仿宋_GB2312" w:hAnsi="Calibri" w:eastAsia="仿宋_GB2312" w:cs="Calibri"/>
                <w:b/>
                <w:bCs/>
                <w:color w:val="000000"/>
                <w:sz w:val="28"/>
                <w:szCs w:val="28"/>
              </w:rPr>
            </w:pPr>
            <w:r>
              <w:rPr>
                <w:rFonts w:hint="eastAsia" w:ascii="仿宋_GB2312" w:hAnsi="Calibri" w:eastAsia="仿宋_GB2312" w:cs="Calibri"/>
                <w:b/>
                <w:bCs/>
                <w:color w:val="000000"/>
                <w:sz w:val="28"/>
                <w:szCs w:val="28"/>
              </w:rPr>
              <w:t>数量</w:t>
            </w:r>
          </w:p>
        </w:tc>
        <w:tc>
          <w:tcPr>
            <w:tcW w:w="993" w:type="dxa"/>
            <w:tcBorders>
              <w:top w:val="single" w:color="auto" w:sz="4" w:space="0"/>
              <w:left w:val="nil"/>
              <w:bottom w:val="single" w:color="auto" w:sz="4" w:space="0"/>
              <w:right w:val="single" w:color="auto" w:sz="4" w:space="0"/>
            </w:tcBorders>
            <w:vAlign w:val="center"/>
          </w:tcPr>
          <w:p w14:paraId="7A5A0B45">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仿宋_GB2312" w:hAnsi="Calibri" w:eastAsia="仿宋_GB2312" w:cs="Calibri"/>
                <w:b/>
                <w:bCs/>
                <w:color w:val="000000"/>
                <w:sz w:val="28"/>
                <w:szCs w:val="28"/>
              </w:rPr>
            </w:pPr>
            <w:r>
              <w:rPr>
                <w:rFonts w:hint="eastAsia" w:ascii="仿宋_GB2312" w:hAnsi="Calibri" w:eastAsia="仿宋_GB2312" w:cs="Calibri"/>
                <w:b/>
                <w:bCs/>
                <w:color w:val="000000"/>
                <w:sz w:val="28"/>
                <w:szCs w:val="28"/>
              </w:rPr>
              <w:t>单位</w:t>
            </w:r>
          </w:p>
        </w:tc>
        <w:tc>
          <w:tcPr>
            <w:tcW w:w="1276" w:type="dxa"/>
            <w:tcBorders>
              <w:top w:val="single" w:color="auto" w:sz="4" w:space="0"/>
              <w:left w:val="nil"/>
              <w:bottom w:val="single" w:color="auto" w:sz="4" w:space="0"/>
              <w:right w:val="single" w:color="auto" w:sz="4" w:space="0"/>
            </w:tcBorders>
            <w:vAlign w:val="center"/>
          </w:tcPr>
          <w:p w14:paraId="61FDD86D">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仿宋_GB2312" w:hAnsi="Calibri" w:eastAsia="仿宋_GB2312" w:cs="Calibri"/>
                <w:b/>
                <w:bCs/>
                <w:color w:val="000000"/>
                <w:sz w:val="28"/>
                <w:szCs w:val="28"/>
              </w:rPr>
            </w:pPr>
            <w:r>
              <w:rPr>
                <w:rFonts w:hint="eastAsia" w:ascii="仿宋_GB2312" w:hAnsi="Calibri" w:eastAsia="仿宋_GB2312" w:cs="Calibri"/>
                <w:b/>
                <w:bCs/>
                <w:color w:val="000000"/>
                <w:sz w:val="28"/>
                <w:szCs w:val="28"/>
              </w:rPr>
              <w:t>单价</w:t>
            </w:r>
          </w:p>
        </w:tc>
        <w:tc>
          <w:tcPr>
            <w:tcW w:w="1184" w:type="dxa"/>
            <w:tcBorders>
              <w:top w:val="single" w:color="auto" w:sz="4" w:space="0"/>
              <w:left w:val="nil"/>
              <w:bottom w:val="single" w:color="auto" w:sz="4" w:space="0"/>
              <w:right w:val="single" w:color="auto" w:sz="4" w:space="0"/>
            </w:tcBorders>
            <w:vAlign w:val="center"/>
          </w:tcPr>
          <w:p w14:paraId="47245DE5">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仿宋_GB2312" w:hAnsi="Calibri" w:eastAsia="仿宋_GB2312" w:cs="Calibri"/>
                <w:b/>
                <w:bCs/>
                <w:color w:val="000000"/>
                <w:sz w:val="28"/>
                <w:szCs w:val="28"/>
              </w:rPr>
            </w:pPr>
            <w:r>
              <w:rPr>
                <w:rFonts w:hint="eastAsia" w:ascii="仿宋_GB2312" w:hAnsi="Calibri" w:eastAsia="仿宋_GB2312" w:cs="Calibri"/>
                <w:b/>
                <w:bCs/>
                <w:color w:val="000000"/>
                <w:sz w:val="28"/>
                <w:szCs w:val="28"/>
              </w:rPr>
              <w:t>总价</w:t>
            </w:r>
          </w:p>
        </w:tc>
        <w:tc>
          <w:tcPr>
            <w:tcW w:w="1762" w:type="dxa"/>
            <w:tcBorders>
              <w:top w:val="single" w:color="auto" w:sz="4" w:space="0"/>
              <w:left w:val="nil"/>
              <w:bottom w:val="single" w:color="auto" w:sz="4" w:space="0"/>
              <w:right w:val="single" w:color="auto" w:sz="4" w:space="0"/>
            </w:tcBorders>
            <w:vAlign w:val="center"/>
          </w:tcPr>
          <w:p w14:paraId="3B757F15">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仿宋_GB2312" w:hAnsi="Calibri" w:eastAsia="仿宋_GB2312" w:cs="Calibri"/>
                <w:b/>
                <w:bCs/>
                <w:color w:val="000000"/>
                <w:sz w:val="28"/>
                <w:szCs w:val="28"/>
                <w:lang w:val="en-US" w:eastAsia="zh-CN"/>
              </w:rPr>
            </w:pPr>
            <w:r>
              <w:rPr>
                <w:rFonts w:hint="eastAsia" w:ascii="仿宋_GB2312" w:hAnsi="Calibri" w:eastAsia="仿宋_GB2312" w:cs="Calibri"/>
                <w:b/>
                <w:bCs/>
                <w:color w:val="000000"/>
                <w:sz w:val="28"/>
                <w:szCs w:val="28"/>
                <w:lang w:val="en-US" w:eastAsia="zh-CN"/>
              </w:rPr>
              <w:t>质保时间</w:t>
            </w:r>
          </w:p>
        </w:tc>
      </w:tr>
      <w:tr w14:paraId="46476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2189" w:type="dxa"/>
            <w:tcBorders>
              <w:top w:val="single" w:color="auto" w:sz="4" w:space="0"/>
              <w:left w:val="single" w:color="auto" w:sz="4" w:space="0"/>
              <w:bottom w:val="single" w:color="auto" w:sz="4" w:space="0"/>
              <w:right w:val="single" w:color="auto" w:sz="4" w:space="0"/>
            </w:tcBorders>
            <w:vAlign w:val="center"/>
          </w:tcPr>
          <w:p w14:paraId="699A16ED">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仿宋_GB2312" w:hAnsi="Calibri" w:eastAsia="仿宋_GB2312" w:cs="Calibri"/>
                <w:color w:val="000000"/>
                <w:sz w:val="24"/>
                <w:szCs w:val="24"/>
              </w:rPr>
            </w:pPr>
          </w:p>
        </w:tc>
        <w:tc>
          <w:tcPr>
            <w:tcW w:w="1578" w:type="dxa"/>
            <w:tcBorders>
              <w:top w:val="single" w:color="auto" w:sz="4" w:space="0"/>
              <w:left w:val="nil"/>
              <w:bottom w:val="single" w:color="auto" w:sz="4" w:space="0"/>
              <w:right w:val="single" w:color="auto" w:sz="4" w:space="0"/>
            </w:tcBorders>
            <w:vAlign w:val="center"/>
          </w:tcPr>
          <w:p w14:paraId="48D48D9D">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仿宋_GB2312" w:hAnsi="Calibri" w:eastAsia="仿宋_GB2312" w:cs="Calibri"/>
                <w:color w:val="000000"/>
                <w:sz w:val="24"/>
                <w:szCs w:val="24"/>
              </w:rPr>
            </w:pPr>
          </w:p>
        </w:tc>
        <w:tc>
          <w:tcPr>
            <w:tcW w:w="721" w:type="dxa"/>
            <w:tcBorders>
              <w:top w:val="single" w:color="auto" w:sz="4" w:space="0"/>
              <w:left w:val="nil"/>
              <w:bottom w:val="single" w:color="auto" w:sz="4" w:space="0"/>
              <w:right w:val="single" w:color="auto" w:sz="4" w:space="0"/>
            </w:tcBorders>
            <w:vAlign w:val="center"/>
          </w:tcPr>
          <w:p w14:paraId="36175B8C">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仿宋_GB2312" w:hAnsi="Calibri" w:eastAsia="仿宋_GB2312" w:cs="Calibri"/>
                <w:color w:val="000000"/>
                <w:sz w:val="24"/>
                <w:szCs w:val="24"/>
              </w:rPr>
            </w:pPr>
          </w:p>
        </w:tc>
        <w:tc>
          <w:tcPr>
            <w:tcW w:w="993" w:type="dxa"/>
            <w:tcBorders>
              <w:top w:val="single" w:color="auto" w:sz="4" w:space="0"/>
              <w:left w:val="nil"/>
              <w:bottom w:val="single" w:color="auto" w:sz="4" w:space="0"/>
              <w:right w:val="single" w:color="auto" w:sz="4" w:space="0"/>
            </w:tcBorders>
          </w:tcPr>
          <w:p w14:paraId="341B4122">
            <w:pPr>
              <w:keepNext w:val="0"/>
              <w:keepLines w:val="0"/>
              <w:pageBreakBefore w:val="0"/>
              <w:widowControl w:val="0"/>
              <w:kinsoku/>
              <w:wordWrap/>
              <w:overflowPunct/>
              <w:topLinePunct w:val="0"/>
              <w:autoSpaceDE/>
              <w:autoSpaceDN/>
              <w:bidi w:val="0"/>
              <w:adjustRightInd/>
              <w:spacing w:line="300" w:lineRule="exact"/>
              <w:textAlignment w:val="auto"/>
              <w:rPr>
                <w:rFonts w:ascii="仿宋_GB2312" w:hAnsi="Calibri" w:eastAsia="仿宋_GB2312" w:cs="Calibri"/>
                <w:color w:val="000000"/>
                <w:sz w:val="24"/>
                <w:szCs w:val="24"/>
              </w:rPr>
            </w:pPr>
          </w:p>
        </w:tc>
        <w:tc>
          <w:tcPr>
            <w:tcW w:w="1276" w:type="dxa"/>
            <w:tcBorders>
              <w:top w:val="single" w:color="auto" w:sz="4" w:space="0"/>
              <w:left w:val="nil"/>
              <w:bottom w:val="single" w:color="auto" w:sz="4" w:space="0"/>
              <w:right w:val="single" w:color="auto" w:sz="4" w:space="0"/>
            </w:tcBorders>
          </w:tcPr>
          <w:p w14:paraId="479FFD9A">
            <w:pPr>
              <w:keepNext w:val="0"/>
              <w:keepLines w:val="0"/>
              <w:pageBreakBefore w:val="0"/>
              <w:widowControl w:val="0"/>
              <w:kinsoku/>
              <w:wordWrap/>
              <w:overflowPunct/>
              <w:topLinePunct w:val="0"/>
              <w:autoSpaceDE/>
              <w:autoSpaceDN/>
              <w:bidi w:val="0"/>
              <w:adjustRightInd/>
              <w:spacing w:line="300" w:lineRule="exact"/>
              <w:textAlignment w:val="auto"/>
              <w:rPr>
                <w:rFonts w:ascii="仿宋_GB2312" w:hAnsi="Calibri" w:eastAsia="仿宋_GB2312" w:cs="Calibri"/>
                <w:color w:val="000000"/>
                <w:sz w:val="24"/>
                <w:szCs w:val="24"/>
              </w:rPr>
            </w:pPr>
          </w:p>
        </w:tc>
        <w:tc>
          <w:tcPr>
            <w:tcW w:w="1184" w:type="dxa"/>
            <w:tcBorders>
              <w:top w:val="single" w:color="auto" w:sz="4" w:space="0"/>
              <w:left w:val="nil"/>
              <w:bottom w:val="single" w:color="auto" w:sz="4" w:space="0"/>
              <w:right w:val="single" w:color="auto" w:sz="4" w:space="0"/>
            </w:tcBorders>
          </w:tcPr>
          <w:p w14:paraId="625B7CCC">
            <w:pPr>
              <w:keepNext w:val="0"/>
              <w:keepLines w:val="0"/>
              <w:pageBreakBefore w:val="0"/>
              <w:widowControl w:val="0"/>
              <w:kinsoku/>
              <w:wordWrap/>
              <w:overflowPunct/>
              <w:topLinePunct w:val="0"/>
              <w:autoSpaceDE/>
              <w:autoSpaceDN/>
              <w:bidi w:val="0"/>
              <w:adjustRightInd/>
              <w:spacing w:line="300" w:lineRule="exact"/>
              <w:textAlignment w:val="auto"/>
              <w:rPr>
                <w:rFonts w:ascii="仿宋_GB2312" w:hAnsi="Calibri" w:eastAsia="仿宋_GB2312" w:cs="Calibri"/>
                <w:color w:val="000000"/>
                <w:sz w:val="24"/>
                <w:szCs w:val="24"/>
              </w:rPr>
            </w:pPr>
          </w:p>
        </w:tc>
        <w:tc>
          <w:tcPr>
            <w:tcW w:w="1762" w:type="dxa"/>
            <w:tcBorders>
              <w:top w:val="single" w:color="auto" w:sz="4" w:space="0"/>
              <w:left w:val="nil"/>
              <w:bottom w:val="single" w:color="auto" w:sz="4" w:space="0"/>
              <w:right w:val="single" w:color="auto" w:sz="4" w:space="0"/>
            </w:tcBorders>
            <w:vAlign w:val="center"/>
          </w:tcPr>
          <w:p w14:paraId="70DEEF26">
            <w:pPr>
              <w:keepNext w:val="0"/>
              <w:keepLines w:val="0"/>
              <w:pageBreakBefore w:val="0"/>
              <w:widowControl w:val="0"/>
              <w:kinsoku/>
              <w:wordWrap/>
              <w:overflowPunct/>
              <w:topLinePunct w:val="0"/>
              <w:autoSpaceDE/>
              <w:autoSpaceDN/>
              <w:bidi w:val="0"/>
              <w:adjustRightInd/>
              <w:spacing w:line="300" w:lineRule="exact"/>
              <w:textAlignment w:val="auto"/>
              <w:rPr>
                <w:rFonts w:ascii="仿宋_GB2312" w:hAnsi="Calibri" w:eastAsia="仿宋_GB2312" w:cs="Calibri"/>
                <w:color w:val="000000"/>
                <w:sz w:val="24"/>
                <w:szCs w:val="24"/>
              </w:rPr>
            </w:pPr>
          </w:p>
        </w:tc>
      </w:tr>
      <w:tr w14:paraId="69168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9703" w:type="dxa"/>
            <w:gridSpan w:val="7"/>
            <w:tcBorders>
              <w:top w:val="single" w:color="auto" w:sz="4" w:space="0"/>
              <w:left w:val="single" w:color="auto" w:sz="4" w:space="0"/>
              <w:bottom w:val="single" w:color="auto" w:sz="4" w:space="0"/>
              <w:right w:val="single" w:color="auto" w:sz="4" w:space="0"/>
            </w:tcBorders>
            <w:vAlign w:val="center"/>
          </w:tcPr>
          <w:p w14:paraId="4683586E">
            <w:pPr>
              <w:keepNext w:val="0"/>
              <w:keepLines w:val="0"/>
              <w:pageBreakBefore w:val="0"/>
              <w:widowControl w:val="0"/>
              <w:kinsoku/>
              <w:wordWrap/>
              <w:overflowPunct/>
              <w:topLinePunct w:val="0"/>
              <w:autoSpaceDE/>
              <w:autoSpaceDN/>
              <w:bidi w:val="0"/>
              <w:adjustRightInd/>
              <w:snapToGrid w:val="0"/>
              <w:spacing w:before="50" w:after="50" w:line="300" w:lineRule="exact"/>
              <w:textAlignment w:val="auto"/>
              <w:rPr>
                <w:rFonts w:ascii="仿宋_GB2312" w:hAnsi="Calibri" w:eastAsia="仿宋_GB2312" w:cs="Calibri"/>
                <w:color w:val="000000"/>
                <w:sz w:val="24"/>
                <w:szCs w:val="24"/>
              </w:rPr>
            </w:pPr>
            <w:r>
              <w:rPr>
                <w:rFonts w:hint="eastAsia" w:ascii="仿宋_GB2312" w:hAnsi="Calibri" w:eastAsia="仿宋_GB2312" w:cs="Calibri"/>
                <w:color w:val="000000"/>
                <w:sz w:val="24"/>
                <w:szCs w:val="24"/>
              </w:rPr>
              <w:t>合计金额大写：人民币</w:t>
            </w:r>
            <w:r>
              <w:rPr>
                <w:rFonts w:hint="eastAsia" w:ascii="仿宋_GB2312" w:hAnsi="Calibri" w:eastAsia="仿宋_GB2312" w:cs="Calibri"/>
                <w:color w:val="000000"/>
                <w:sz w:val="24"/>
                <w:szCs w:val="24"/>
                <w:u w:val="single"/>
              </w:rPr>
              <w:t xml:space="preserve">           </w:t>
            </w:r>
            <w:r>
              <w:rPr>
                <w:rFonts w:hint="eastAsia" w:ascii="仿宋_GB2312" w:hAnsi="Calibri" w:eastAsia="仿宋_GB2312" w:cs="Calibri"/>
                <w:color w:val="000000"/>
                <w:sz w:val="24"/>
                <w:szCs w:val="24"/>
              </w:rPr>
              <w:t>（￥</w:t>
            </w:r>
            <w:r>
              <w:rPr>
                <w:rFonts w:hint="eastAsia" w:ascii="仿宋_GB2312" w:hAnsi="Calibri" w:eastAsia="仿宋_GB2312" w:cs="Calibri"/>
                <w:color w:val="000000"/>
                <w:sz w:val="24"/>
                <w:szCs w:val="24"/>
                <w:u w:val="single"/>
              </w:rPr>
              <w:t xml:space="preserve">           </w:t>
            </w:r>
            <w:r>
              <w:rPr>
                <w:rFonts w:hint="eastAsia" w:ascii="仿宋_GB2312" w:hAnsi="Calibri" w:eastAsia="仿宋_GB2312" w:cs="Calibri"/>
                <w:color w:val="000000"/>
                <w:sz w:val="24"/>
                <w:szCs w:val="24"/>
              </w:rPr>
              <w:t>）</w:t>
            </w:r>
          </w:p>
        </w:tc>
      </w:tr>
    </w:tbl>
    <w:p w14:paraId="22713BF2">
      <w:pPr>
        <w:snapToGrid w:val="0"/>
        <w:spacing w:before="50" w:after="50" w:line="440" w:lineRule="exact"/>
        <w:jc w:val="left"/>
        <w:rPr>
          <w:rFonts w:ascii="仿宋_GB2312" w:hAnsi="Calibri" w:eastAsia="仿宋_GB2312" w:cs="Calibri"/>
          <w:color w:val="000000"/>
          <w:sz w:val="32"/>
          <w:szCs w:val="32"/>
        </w:rPr>
      </w:pPr>
    </w:p>
    <w:p w14:paraId="6996970D">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注: </w:t>
      </w:r>
    </w:p>
    <w:p w14:paraId="7DCF31CC">
      <w:pPr>
        <w:snapToGrid w:val="0"/>
        <w:spacing w:before="50" w:after="50" w:line="440" w:lineRule="exact"/>
        <w:ind w:firstLine="640" w:firstLineChars="200"/>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1.供应商的报价表必须加盖供应商公章并由法定代表人或委托代理人签字，</w:t>
      </w:r>
      <w:r>
        <w:rPr>
          <w:rFonts w:hint="eastAsia" w:ascii="仿宋_GB2312" w:hAnsi="Calibri" w:eastAsia="仿宋_GB2312" w:cs="Calibri"/>
          <w:b/>
          <w:color w:val="000000"/>
          <w:sz w:val="32"/>
          <w:szCs w:val="32"/>
        </w:rPr>
        <w:t>否则其响应文件按无效响应处理</w:t>
      </w:r>
      <w:r>
        <w:rPr>
          <w:rFonts w:hint="eastAsia" w:ascii="仿宋_GB2312" w:hAnsi="Calibri" w:eastAsia="仿宋_GB2312" w:cs="Calibri"/>
          <w:color w:val="000000"/>
          <w:sz w:val="32"/>
          <w:szCs w:val="32"/>
        </w:rPr>
        <w:t>。</w:t>
      </w:r>
    </w:p>
    <w:p w14:paraId="739BA7CC">
      <w:pPr>
        <w:snapToGrid w:val="0"/>
        <w:spacing w:before="50" w:after="50" w:line="440" w:lineRule="exact"/>
        <w:ind w:firstLine="640" w:firstLineChars="200"/>
        <w:jc w:val="left"/>
        <w:rPr>
          <w:rFonts w:ascii="仿宋_GB2312" w:hAnsi="Calibri" w:eastAsia="仿宋_GB2312" w:cs="Calibri"/>
          <w:b/>
          <w:color w:val="000000"/>
          <w:sz w:val="32"/>
          <w:szCs w:val="32"/>
        </w:rPr>
      </w:pPr>
      <w:r>
        <w:rPr>
          <w:rFonts w:hint="eastAsia" w:ascii="仿宋_GB2312" w:hAnsi="Calibri" w:eastAsia="仿宋_GB2312" w:cs="Calibri"/>
          <w:bCs/>
          <w:color w:val="000000"/>
          <w:sz w:val="32"/>
          <w:szCs w:val="32"/>
        </w:rPr>
        <w:t>2.</w:t>
      </w:r>
      <w:r>
        <w:rPr>
          <w:rFonts w:hint="eastAsia" w:ascii="仿宋_GB2312" w:hAnsi="Calibri" w:eastAsia="仿宋_GB2312" w:cs="Calibri"/>
          <w:color w:val="000000"/>
          <w:sz w:val="32"/>
          <w:szCs w:val="32"/>
        </w:rPr>
        <w:t>报价一经涂改，应在涂改处加盖供应商公章或由法定代表人或委托代理人签字或盖章</w:t>
      </w:r>
      <w:r>
        <w:rPr>
          <w:rFonts w:hint="eastAsia" w:ascii="仿宋_GB2312" w:hAnsi="Calibri" w:eastAsia="仿宋_GB2312" w:cs="Calibri"/>
          <w:b/>
          <w:color w:val="000000"/>
          <w:sz w:val="32"/>
          <w:szCs w:val="32"/>
        </w:rPr>
        <w:t>，否则其响应文件按无效响应处理。</w:t>
      </w:r>
    </w:p>
    <w:p w14:paraId="007BD256">
      <w:pPr>
        <w:snapToGrid w:val="0"/>
        <w:spacing w:before="50" w:after="50" w:line="440" w:lineRule="exact"/>
        <w:ind w:right="-817" w:rightChars="-389"/>
        <w:rPr>
          <w:rFonts w:ascii="仿宋_GB2312" w:hAnsi="Calibri" w:eastAsia="仿宋_GB2312" w:cs="Calibri"/>
          <w:color w:val="000000"/>
          <w:sz w:val="32"/>
          <w:szCs w:val="32"/>
        </w:rPr>
      </w:pPr>
    </w:p>
    <w:p w14:paraId="782A5379">
      <w:pPr>
        <w:snapToGrid w:val="0"/>
        <w:spacing w:before="50" w:after="50" w:line="440" w:lineRule="exact"/>
        <w:ind w:right="-817" w:rightChars="-389"/>
        <w:rPr>
          <w:rFonts w:ascii="仿宋_GB2312" w:hAnsi="Calibri" w:eastAsia="仿宋_GB2312" w:cs="Calibri"/>
          <w:color w:val="000000"/>
          <w:sz w:val="32"/>
          <w:szCs w:val="32"/>
        </w:rPr>
      </w:pPr>
    </w:p>
    <w:p w14:paraId="07D59C63">
      <w:pPr>
        <w:snapToGrid w:val="0"/>
        <w:spacing w:before="50" w:after="50" w:line="440" w:lineRule="exact"/>
        <w:ind w:right="-817" w:rightChars="-389"/>
        <w:rPr>
          <w:rFonts w:ascii="仿宋_GB2312" w:hAnsi="Calibri" w:eastAsia="仿宋_GB2312" w:cs="Calibri"/>
          <w:color w:val="000000"/>
          <w:sz w:val="32"/>
          <w:szCs w:val="32"/>
        </w:rPr>
      </w:pPr>
    </w:p>
    <w:p w14:paraId="2DC4B507">
      <w:pPr>
        <w:snapToGrid w:val="0"/>
        <w:spacing w:before="50" w:after="50" w:line="440" w:lineRule="exact"/>
        <w:ind w:right="-817" w:rightChars="-389"/>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14:paraId="3DBC2F5F">
      <w:pPr>
        <w:snapToGrid w:val="0"/>
        <w:spacing w:before="50" w:after="50" w:line="440" w:lineRule="exact"/>
        <w:ind w:right="-817" w:rightChars="-389"/>
        <w:jc w:val="left"/>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14:paraId="4CAC0EB0">
      <w:pPr>
        <w:snapToGrid w:val="0"/>
        <w:spacing w:before="50" w:after="50" w:line="440" w:lineRule="exact"/>
        <w:ind w:right="-817" w:rightChars="-389"/>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lang w:val="en-US" w:eastAsia="zh-CN"/>
        </w:rPr>
        <w:t>联系人及电话：</w:t>
      </w:r>
      <w:r>
        <w:rPr>
          <w:rFonts w:hint="eastAsia" w:ascii="仿宋_GB2312" w:hAnsi="Calibri" w:eastAsia="仿宋_GB2312" w:cs="Calibri"/>
          <w:color w:val="000000"/>
          <w:sz w:val="32"/>
          <w:szCs w:val="32"/>
        </w:rPr>
        <w:t xml:space="preserve">      </w:t>
      </w:r>
    </w:p>
    <w:p w14:paraId="5A9B817D">
      <w:pPr>
        <w:jc w:val="left"/>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日期：   年   月   日</w:t>
      </w:r>
    </w:p>
    <w:p w14:paraId="6B7E0692">
      <w:bookmarkStart w:id="3" w:name="_GoBack"/>
      <w:bookmarkEnd w:id="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DBE6A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2025-04-17T10:30:42Z</dcterms:created>
  <dc:creator>86187</dc:creator>
  <cp:lastModifiedBy>陪伴是最长情的告白。</cp:lastModifiedBy>
  <dcterms:modified xsi:type="dcterms:W3CDTF">2025-04-17T10:30:46Z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eyJoZGlkIjoiYzU4MzkwOTYwNmRhYTJjYWZlMjVhMDIxZjc0MjU2MzIiLCJ1c2VySWQiOiI2OTM2OTM3MTEifQ==</vt:lpwstr>
  </property>
  <property fmtid="{D5CDD505-2E9C-101B-9397-08002B2CF9AE}" pid="4" name="ICV">
    <vt:lpwstr>5A063A1202C74426B2B5E159A3108114_12</vt:lpwstr>
  </property>
</Properties>
</file>