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2791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附件：</w:t>
      </w:r>
    </w:p>
    <w:p w14:paraId="75172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3" w:firstLineChars="200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  <w:lang w:val="en-US" w:eastAsia="zh-CN"/>
        </w:rPr>
        <w:t>人体成分分析仪</w:t>
      </w:r>
    </w:p>
    <w:p w14:paraId="65ABB05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技术参数：</w:t>
      </w:r>
    </w:p>
    <w:p w14:paraId="5BA0D4D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1、工作原理：多频率生物电阻抗测量法（BIA法）；</w:t>
      </w:r>
    </w:p>
    <w:p w14:paraId="57B2FC9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2、测量部位：5个节段测量(右上肢、左上肢、躯干、右下肢、左下肢)；</w:t>
      </w:r>
    </w:p>
    <w:p w14:paraId="0FD5554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3、测量电极：8点接触式电极；</w:t>
      </w:r>
    </w:p>
    <w:p w14:paraId="084FCC8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 xml:space="preserve">4、测量频率：5kHz、50kHz、250kHz； </w:t>
      </w:r>
    </w:p>
    <w:p w14:paraId="35B896E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▲5、测量电流：≤350μA；</w:t>
      </w:r>
    </w:p>
    <w:p w14:paraId="47A9480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6、测量时长：约40秒；</w:t>
      </w:r>
    </w:p>
    <w:p w14:paraId="573921C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▲7、显示屏幕：≥7寸LCD液晶触摸屏，分辨率800*480ppi；</w:t>
      </w:r>
    </w:p>
    <w:p w14:paraId="3A4479D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8、输出指标：总水分、蛋白质、无机盐、体脂肪量、体重、肌肉量、去脂体重、骨骼肌肉量、身体质量指数、体脂肪率、腰臀比、内脏脂肪阶段、体重控制、体型判定、营养评估、 肌肉评估及结果打分等；</w:t>
      </w:r>
    </w:p>
    <w:p w14:paraId="497891D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9、肌肉评估：对上下肢分别进行肌肉平衡和不平衡评估； 对上下肢分别进行肌肉不足、正常和发达评估；</w:t>
      </w:r>
    </w:p>
    <w:p w14:paraId="79A6148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10、肥胖分析：采用体脂肪量、体脂肪率、腰臀比、内脏脂肪阶段四个指标进行肥胖综合评估，并提供正常范围参考值。</w:t>
      </w:r>
    </w:p>
    <w:p w14:paraId="73BF6FD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11、体型判定：隐形肥胖、脂肪过量、肥胖、低体重、标准 体型、超重肌肉型、低脂肪低体重、低脂肪肌肉型、运动员型九种体型判定，并采用坐标轴图示；</w:t>
      </w:r>
    </w:p>
    <w:p w14:paraId="0412AB2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12、支持两种输出报告模式：专用模板报告和通用A4打印纸报告；</w:t>
      </w:r>
    </w:p>
    <w:p w14:paraId="4F864B2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13、运动处方：提供日常、低、中、高四种不同运动量的推荐建议方案；</w:t>
      </w:r>
    </w:p>
    <w:p w14:paraId="2B4073A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14、通信接口：USB, RS-232；</w:t>
      </w:r>
    </w:p>
    <w:p w14:paraId="71B6B35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▲15、阻抗测量范围：20-1200 Ω,误差≤3%，提供检测报告 证明材料；</w:t>
      </w:r>
    </w:p>
    <w:p w14:paraId="6EE6F87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▲16、体重测量范围：5-250kg；</w:t>
      </w:r>
    </w:p>
    <w:p w14:paraId="4C84879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17、身高支持输入范围：90-220cm；</w:t>
      </w:r>
    </w:p>
    <w:p w14:paraId="50A440A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 xml:space="preserve">▲18、年龄支持输入范围：1-99岁； </w:t>
      </w:r>
    </w:p>
    <w:p w14:paraId="592DFCF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19、提供医疗器械注册证；</w:t>
      </w:r>
    </w:p>
    <w:p w14:paraId="5955D86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20、提供电脑管理软件及相应著作权证，便于系统上位机电脑控制和系统对接。</w:t>
      </w:r>
    </w:p>
    <w:p w14:paraId="72CC8D4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</w:p>
    <w:p w14:paraId="723E2E0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ab/>
      </w:r>
    </w:p>
    <w:p w14:paraId="62FDDE1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56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highlight w:val="none"/>
          <w:lang w:val="en-US" w:eastAsia="zh-CN" w:bidi="ar"/>
        </w:rPr>
        <w:t>（备注：1. 带“▲”的技术参数为实质性要求参数，必须达到该条件；2. 部分标注为正偏离的项目，如若达到可作为加分项。）</w:t>
      </w:r>
    </w:p>
    <w:p w14:paraId="20695DF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192781"/>
    <w:rsid w:val="3F19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2025-04-11T04:14:00Z</dcterms:created>
  <dc:creator>WPS_1476157641</dc:creator>
  <cp:lastModifiedBy>WPS_1476157641</cp:lastModifiedBy>
  <dcterms:modified xsi:type="dcterms:W3CDTF">2025-04-11T04:14:57Z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8CEF396104154432B224CD37BE8ABE13_11</vt:lpwstr>
  </property>
  <property fmtid="{D5CDD505-2E9C-101B-9397-08002B2CF9AE}" pid="4" name="KSOTemplateDocerSaveRecord">
    <vt:lpwstr>eyJoZGlkIjoiYzA1MmEwOTE2ZGIyMWI0ZDk3YjdlOTczMjZjNThiOWMiLCJ1c2VySWQiOiIyNDQ2OTAyMTEifQ==</vt:lpwstr>
  </property>
</Properties>
</file>