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74193">
      <w:pPr>
        <w:spacing w:line="560" w:lineRule="exact"/>
        <w:jc w:val="center"/>
        <w:rPr>
          <w:rFonts w:hint="eastAsia" w:ascii="方正小标宋简体" w:hAnsi="宋体" w:eastAsia="方正小标宋简体" w:cs="Times New Roman"/>
          <w:b/>
          <w:color w:val="auto"/>
          <w:sz w:val="44"/>
          <w:szCs w:val="44"/>
          <w:highlight w:val="none"/>
        </w:rPr>
      </w:pPr>
      <w:r>
        <w:rPr>
          <w:rFonts w:hint="eastAsia" w:ascii="方正小标宋简体" w:hAnsi="宋体" w:eastAsia="方正小标宋简体" w:cs="Times New Roman"/>
          <w:b/>
          <w:color w:val="auto"/>
          <w:sz w:val="44"/>
          <w:szCs w:val="44"/>
          <w:highlight w:val="none"/>
        </w:rPr>
        <w:t>广西骨伤医院零星维修服务公司遴选项目</w:t>
      </w:r>
    </w:p>
    <w:p w14:paraId="2A76C4B3">
      <w:pPr>
        <w:spacing w:line="560" w:lineRule="exact"/>
        <w:jc w:val="center"/>
        <w:rPr>
          <w:rFonts w:ascii="方正小标宋简体" w:hAnsi="宋体" w:eastAsia="方正小标宋简体" w:cs="Times New Roman"/>
          <w:b/>
          <w:color w:val="auto"/>
          <w:sz w:val="44"/>
          <w:szCs w:val="44"/>
          <w:highlight w:val="none"/>
        </w:rPr>
      </w:pPr>
      <w:r>
        <w:rPr>
          <w:rFonts w:hint="eastAsia" w:ascii="方正小标宋简体" w:hAnsi="宋体" w:eastAsia="方正小标宋简体" w:cs="Times New Roman"/>
          <w:b/>
          <w:color w:val="auto"/>
          <w:sz w:val="44"/>
          <w:szCs w:val="44"/>
          <w:highlight w:val="none"/>
        </w:rPr>
        <w:t>招标文件</w:t>
      </w:r>
    </w:p>
    <w:p w14:paraId="363AEA4E">
      <w:pPr>
        <w:spacing w:before="312" w:beforeLines="100" w:after="156" w:afterLines="50" w:line="600" w:lineRule="exact"/>
        <w:jc w:val="center"/>
        <w:rPr>
          <w:rFonts w:ascii="方正小标宋简体" w:hAnsi="方正小标宋简体" w:eastAsia="方正小标宋简体" w:cs="方正小标宋简体"/>
          <w:b/>
          <w:color w:val="auto"/>
          <w:sz w:val="44"/>
          <w:szCs w:val="44"/>
          <w:highlight w:val="none"/>
        </w:rPr>
      </w:pPr>
    </w:p>
    <w:p w14:paraId="4C1A2C4E">
      <w:pPr>
        <w:snapToGrid w:val="0"/>
        <w:spacing w:before="156" w:beforeLines="50" w:line="360" w:lineRule="auto"/>
        <w:jc w:val="center"/>
        <w:rPr>
          <w:rFonts w:ascii="仿宋_GB2312" w:hAnsi="宋体" w:eastAsia="仿宋_GB2312" w:cs="Times New Roman"/>
          <w:color w:val="auto"/>
          <w:sz w:val="30"/>
          <w:szCs w:val="72"/>
          <w:highlight w:val="none"/>
        </w:rPr>
      </w:pPr>
    </w:p>
    <w:p w14:paraId="74E1A06E">
      <w:pPr>
        <w:spacing w:line="400" w:lineRule="exact"/>
        <w:rPr>
          <w:rFonts w:ascii="宋体" w:hAnsi="宋体" w:eastAsia="宋体" w:cs="Times New Roman"/>
          <w:b/>
          <w:color w:val="auto"/>
          <w:sz w:val="32"/>
          <w:szCs w:val="32"/>
          <w:highlight w:val="none"/>
        </w:rPr>
      </w:pPr>
    </w:p>
    <w:p w14:paraId="34FC1CF0">
      <w:pPr>
        <w:spacing w:line="400" w:lineRule="exact"/>
        <w:jc w:val="center"/>
        <w:rPr>
          <w:rFonts w:ascii="宋体" w:hAnsi="宋体" w:eastAsia="宋体" w:cs="Times New Roman"/>
          <w:b/>
          <w:color w:val="auto"/>
          <w:sz w:val="32"/>
          <w:szCs w:val="32"/>
          <w:highlight w:val="none"/>
        </w:rPr>
      </w:pPr>
    </w:p>
    <w:p w14:paraId="2D89FE55">
      <w:pPr>
        <w:spacing w:line="400" w:lineRule="exact"/>
        <w:jc w:val="center"/>
        <w:rPr>
          <w:rFonts w:ascii="宋体" w:hAnsi="宋体" w:eastAsia="宋体" w:cs="Times New Roman"/>
          <w:b/>
          <w:color w:val="auto"/>
          <w:sz w:val="32"/>
          <w:szCs w:val="32"/>
          <w:highlight w:val="none"/>
        </w:rPr>
      </w:pPr>
    </w:p>
    <w:p w14:paraId="5FE73B2D">
      <w:pPr>
        <w:spacing w:line="400" w:lineRule="exact"/>
        <w:ind w:firstLine="964" w:firstLineChars="300"/>
        <w:rPr>
          <w:rFonts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项目名称：</w:t>
      </w:r>
      <w:bookmarkStart w:id="0" w:name="_Hlk90536625"/>
      <w:r>
        <w:rPr>
          <w:rFonts w:hint="eastAsia" w:ascii="仿宋_GB2312" w:hAnsi="宋体" w:eastAsia="仿宋_GB2312" w:cs="Times New Roman"/>
          <w:b/>
          <w:color w:val="auto"/>
          <w:sz w:val="32"/>
          <w:szCs w:val="32"/>
          <w:highlight w:val="none"/>
        </w:rPr>
        <w:t>广西骨伤医院零星维修服务公司遴选项目</w:t>
      </w:r>
    </w:p>
    <w:bookmarkEnd w:id="0"/>
    <w:p w14:paraId="6DB85872">
      <w:pPr>
        <w:spacing w:line="400" w:lineRule="exact"/>
        <w:jc w:val="center"/>
        <w:rPr>
          <w:rFonts w:ascii="仿宋_GB2312" w:hAnsi="宋体" w:eastAsia="仿宋_GB2312" w:cs="Times New Roman"/>
          <w:b/>
          <w:color w:val="auto"/>
          <w:sz w:val="32"/>
          <w:szCs w:val="32"/>
          <w:highlight w:val="none"/>
        </w:rPr>
      </w:pPr>
    </w:p>
    <w:p w14:paraId="010ADEBF">
      <w:pPr>
        <w:spacing w:line="400" w:lineRule="exact"/>
        <w:ind w:firstLine="964" w:firstLineChars="300"/>
        <w:rPr>
          <w:rFonts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项目编号：GXGSYY-CGB-BZB-2025-01</w:t>
      </w:r>
    </w:p>
    <w:p w14:paraId="4596127C">
      <w:pPr>
        <w:spacing w:line="400" w:lineRule="exact"/>
        <w:jc w:val="center"/>
        <w:rPr>
          <w:rFonts w:ascii="仿宋_GB2312" w:hAnsi="宋体" w:eastAsia="仿宋_GB2312" w:cs="Times New Roman"/>
          <w:b/>
          <w:color w:val="auto"/>
          <w:sz w:val="32"/>
          <w:szCs w:val="32"/>
          <w:highlight w:val="none"/>
        </w:rPr>
      </w:pPr>
    </w:p>
    <w:p w14:paraId="5083EB08">
      <w:pPr>
        <w:spacing w:line="400" w:lineRule="exact"/>
        <w:ind w:firstLine="964" w:firstLineChars="300"/>
        <w:rPr>
          <w:rFonts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 xml:space="preserve">采 购 人：广西骨伤医院 </w:t>
      </w:r>
    </w:p>
    <w:p w14:paraId="421E7991">
      <w:pPr>
        <w:spacing w:line="400" w:lineRule="exact"/>
        <w:jc w:val="center"/>
        <w:rPr>
          <w:rFonts w:ascii="仿宋_GB2312" w:hAnsi="宋体" w:eastAsia="仿宋_GB2312" w:cs="Times New Roman"/>
          <w:b/>
          <w:color w:val="auto"/>
          <w:sz w:val="32"/>
          <w:szCs w:val="32"/>
          <w:highlight w:val="none"/>
        </w:rPr>
      </w:pPr>
    </w:p>
    <w:p w14:paraId="136ED6B8">
      <w:pPr>
        <w:spacing w:line="400" w:lineRule="exact"/>
        <w:jc w:val="center"/>
        <w:rPr>
          <w:rFonts w:ascii="仿宋_GB2312" w:hAnsi="宋体" w:eastAsia="仿宋_GB2312" w:cs="Times New Roman"/>
          <w:b/>
          <w:color w:val="auto"/>
          <w:sz w:val="32"/>
          <w:szCs w:val="32"/>
          <w:highlight w:val="none"/>
        </w:rPr>
      </w:pPr>
    </w:p>
    <w:p w14:paraId="74458C2C">
      <w:pPr>
        <w:spacing w:line="400" w:lineRule="exact"/>
        <w:jc w:val="center"/>
        <w:rPr>
          <w:rFonts w:ascii="仿宋_GB2312" w:hAnsi="宋体" w:eastAsia="仿宋_GB2312" w:cs="Times New Roman"/>
          <w:b/>
          <w:color w:val="auto"/>
          <w:sz w:val="32"/>
          <w:szCs w:val="32"/>
          <w:highlight w:val="none"/>
        </w:rPr>
      </w:pPr>
    </w:p>
    <w:p w14:paraId="0A2B628B">
      <w:pPr>
        <w:spacing w:line="400" w:lineRule="exact"/>
        <w:jc w:val="center"/>
        <w:rPr>
          <w:rFonts w:ascii="仿宋_GB2312" w:hAnsi="宋体" w:eastAsia="仿宋_GB2312" w:cs="Times New Roman"/>
          <w:b/>
          <w:color w:val="auto"/>
          <w:sz w:val="32"/>
          <w:szCs w:val="32"/>
          <w:highlight w:val="none"/>
        </w:rPr>
      </w:pPr>
    </w:p>
    <w:p w14:paraId="62B24EEA">
      <w:pPr>
        <w:spacing w:line="400" w:lineRule="exact"/>
        <w:jc w:val="center"/>
        <w:rPr>
          <w:rFonts w:ascii="仿宋_GB2312" w:hAnsi="宋体" w:eastAsia="仿宋_GB2312" w:cs="Times New Roman"/>
          <w:b/>
          <w:color w:val="auto"/>
          <w:sz w:val="32"/>
          <w:szCs w:val="32"/>
          <w:highlight w:val="none"/>
        </w:rPr>
      </w:pPr>
    </w:p>
    <w:p w14:paraId="1150AFAA">
      <w:pPr>
        <w:spacing w:line="400" w:lineRule="exact"/>
        <w:jc w:val="center"/>
        <w:rPr>
          <w:rFonts w:ascii="仿宋_GB2312" w:hAnsi="宋体" w:eastAsia="仿宋_GB2312" w:cs="Times New Roman"/>
          <w:b/>
          <w:color w:val="auto"/>
          <w:sz w:val="32"/>
          <w:szCs w:val="32"/>
          <w:highlight w:val="none"/>
        </w:rPr>
      </w:pPr>
    </w:p>
    <w:p w14:paraId="04CA5725">
      <w:pPr>
        <w:spacing w:line="400" w:lineRule="exact"/>
        <w:jc w:val="center"/>
        <w:rPr>
          <w:rFonts w:ascii="仿宋_GB2312" w:hAnsi="宋体" w:eastAsia="仿宋_GB2312" w:cs="Times New Roman"/>
          <w:b/>
          <w:color w:val="auto"/>
          <w:sz w:val="32"/>
          <w:szCs w:val="32"/>
          <w:highlight w:val="none"/>
        </w:rPr>
      </w:pPr>
    </w:p>
    <w:p w14:paraId="61C813DE">
      <w:pPr>
        <w:spacing w:line="400" w:lineRule="exact"/>
        <w:jc w:val="center"/>
        <w:rPr>
          <w:rFonts w:ascii="仿宋_GB2312" w:hAnsi="宋体" w:eastAsia="仿宋_GB2312" w:cs="Times New Roman"/>
          <w:b/>
          <w:color w:val="auto"/>
          <w:sz w:val="32"/>
          <w:szCs w:val="32"/>
          <w:highlight w:val="none"/>
        </w:rPr>
      </w:pPr>
    </w:p>
    <w:p w14:paraId="163DF421">
      <w:pPr>
        <w:spacing w:line="400" w:lineRule="exact"/>
        <w:jc w:val="both"/>
        <w:rPr>
          <w:rFonts w:ascii="仿宋_GB2312" w:hAnsi="宋体" w:eastAsia="仿宋_GB2312" w:cs="Times New Roman"/>
          <w:b/>
          <w:color w:val="auto"/>
          <w:sz w:val="32"/>
          <w:szCs w:val="32"/>
          <w:highlight w:val="none"/>
        </w:rPr>
      </w:pPr>
    </w:p>
    <w:p w14:paraId="5E540D40">
      <w:pPr>
        <w:spacing w:line="400" w:lineRule="exact"/>
        <w:jc w:val="both"/>
        <w:rPr>
          <w:rFonts w:ascii="仿宋_GB2312" w:hAnsi="宋体" w:eastAsia="仿宋_GB2312" w:cs="Times New Roman"/>
          <w:b/>
          <w:color w:val="auto"/>
          <w:sz w:val="32"/>
          <w:szCs w:val="32"/>
          <w:highlight w:val="none"/>
        </w:rPr>
      </w:pPr>
    </w:p>
    <w:p w14:paraId="7825EAE1">
      <w:pPr>
        <w:spacing w:line="400" w:lineRule="exact"/>
        <w:jc w:val="center"/>
        <w:rPr>
          <w:rFonts w:ascii="仿宋_GB2312" w:hAnsi="宋体" w:eastAsia="仿宋_GB2312" w:cs="Times New Roman"/>
          <w:b/>
          <w:color w:val="auto"/>
          <w:sz w:val="32"/>
          <w:szCs w:val="32"/>
          <w:highlight w:val="none"/>
        </w:rPr>
      </w:pPr>
    </w:p>
    <w:p w14:paraId="03DA6690">
      <w:pPr>
        <w:spacing w:line="400" w:lineRule="exact"/>
        <w:jc w:val="center"/>
        <w:rPr>
          <w:rFonts w:ascii="仿宋_GB2312" w:hAnsi="宋体" w:eastAsia="仿宋_GB2312" w:cs="Times New Roman"/>
          <w:b/>
          <w:color w:val="auto"/>
          <w:sz w:val="32"/>
          <w:szCs w:val="32"/>
          <w:highlight w:val="none"/>
        </w:rPr>
      </w:pPr>
    </w:p>
    <w:p w14:paraId="707D91DC">
      <w:pPr>
        <w:spacing w:line="400" w:lineRule="exact"/>
        <w:jc w:val="center"/>
        <w:rPr>
          <w:rFonts w:ascii="仿宋_GB2312" w:hAnsi="宋体" w:eastAsia="仿宋_GB2312" w:cs="Times New Roman"/>
          <w:b/>
          <w:color w:val="auto"/>
          <w:sz w:val="32"/>
          <w:szCs w:val="32"/>
          <w:highlight w:val="none"/>
        </w:rPr>
      </w:pPr>
    </w:p>
    <w:p w14:paraId="4B3DE2E6">
      <w:pPr>
        <w:spacing w:line="400" w:lineRule="exact"/>
        <w:jc w:val="center"/>
        <w:rPr>
          <w:rFonts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202</w:t>
      </w:r>
      <w:r>
        <w:rPr>
          <w:rFonts w:hint="eastAsia" w:ascii="仿宋_GB2312" w:hAnsi="宋体" w:eastAsia="仿宋_GB2312" w:cs="Times New Roman"/>
          <w:b/>
          <w:color w:val="auto"/>
          <w:sz w:val="32"/>
          <w:szCs w:val="32"/>
          <w:highlight w:val="none"/>
          <w:lang w:val="en-US" w:eastAsia="zh-CN"/>
        </w:rPr>
        <w:t>5</w:t>
      </w:r>
      <w:r>
        <w:rPr>
          <w:rFonts w:hint="eastAsia" w:ascii="仿宋_GB2312" w:hAnsi="宋体" w:eastAsia="仿宋_GB2312" w:cs="Times New Roman"/>
          <w:b/>
          <w:color w:val="auto"/>
          <w:sz w:val="32"/>
          <w:szCs w:val="32"/>
          <w:highlight w:val="none"/>
        </w:rPr>
        <w:t>年</w:t>
      </w:r>
      <w:r>
        <w:rPr>
          <w:rFonts w:hint="eastAsia" w:ascii="仿宋_GB2312" w:hAnsi="宋体" w:eastAsia="仿宋_GB2312" w:cs="Times New Roman"/>
          <w:b/>
          <w:color w:val="auto"/>
          <w:sz w:val="32"/>
          <w:szCs w:val="32"/>
          <w:highlight w:val="none"/>
          <w:lang w:val="en-US" w:eastAsia="zh-CN"/>
        </w:rPr>
        <w:t>3</w:t>
      </w:r>
      <w:r>
        <w:rPr>
          <w:rFonts w:hint="eastAsia" w:ascii="仿宋_GB2312" w:hAnsi="宋体" w:eastAsia="仿宋_GB2312" w:cs="Times New Roman"/>
          <w:b/>
          <w:color w:val="auto"/>
          <w:sz w:val="32"/>
          <w:szCs w:val="32"/>
          <w:highlight w:val="none"/>
        </w:rPr>
        <w:t>月</w:t>
      </w:r>
      <w:r>
        <w:rPr>
          <w:rFonts w:hint="eastAsia" w:ascii="仿宋_GB2312" w:hAnsi="宋体" w:eastAsia="仿宋_GB2312" w:cs="Times New Roman"/>
          <w:b/>
          <w:color w:val="auto"/>
          <w:sz w:val="32"/>
          <w:szCs w:val="32"/>
          <w:highlight w:val="none"/>
          <w:lang w:val="en-US" w:eastAsia="zh-CN"/>
        </w:rPr>
        <w:t>6</w:t>
      </w:r>
      <w:r>
        <w:rPr>
          <w:rFonts w:hint="eastAsia" w:ascii="仿宋_GB2312" w:hAnsi="宋体" w:eastAsia="仿宋_GB2312" w:cs="Times New Roman"/>
          <w:b/>
          <w:color w:val="auto"/>
          <w:sz w:val="32"/>
          <w:szCs w:val="32"/>
          <w:highlight w:val="none"/>
        </w:rPr>
        <w:t>日</w:t>
      </w:r>
    </w:p>
    <w:p w14:paraId="26267A2A">
      <w:pPr>
        <w:spacing w:after="360" w:afterLines="150"/>
        <w:jc w:val="center"/>
        <w:rPr>
          <w:rFonts w:hint="eastAsia" w:ascii="黑体" w:hAnsi="黑体" w:eastAsia="黑体" w:cs="黑体"/>
          <w:b w:val="0"/>
          <w:bCs w:val="0"/>
          <w:color w:val="auto"/>
          <w:sz w:val="44"/>
          <w:szCs w:val="44"/>
          <w:highlight w:val="none"/>
          <w:lang w:eastAsia="zh-CN"/>
        </w:rPr>
      </w:pPr>
      <w:r>
        <w:rPr>
          <w:rFonts w:hint="eastAsia" w:ascii="黑体" w:hAnsi="黑体" w:eastAsia="黑体" w:cs="黑体"/>
          <w:b w:val="0"/>
          <w:bCs w:val="0"/>
          <w:color w:val="auto"/>
          <w:sz w:val="44"/>
          <w:szCs w:val="44"/>
          <w:highlight w:val="none"/>
          <w:lang w:val="en-US" w:eastAsia="zh-CN"/>
        </w:rPr>
        <w:t xml:space="preserve">目  录 </w:t>
      </w:r>
    </w:p>
    <w:p w14:paraId="76EC3EDE">
      <w:pPr>
        <w:spacing w:after="360" w:afterLines="150"/>
        <w:jc w:val="both"/>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 xml:space="preserve">第一章 招标公告 </w:t>
      </w:r>
    </w:p>
    <w:p w14:paraId="436B492B">
      <w:pPr>
        <w:spacing w:after="360" w:afterLines="150"/>
        <w:jc w:val="both"/>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 xml:space="preserve">第二章 采购需求 </w:t>
      </w:r>
    </w:p>
    <w:p w14:paraId="151FB322">
      <w:pPr>
        <w:spacing w:after="360" w:afterLines="150"/>
        <w:jc w:val="both"/>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第三章 评标方法及评标标准</w:t>
      </w:r>
    </w:p>
    <w:p w14:paraId="1B589D4E">
      <w:pPr>
        <w:spacing w:after="360" w:afterLines="15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 xml:space="preserve">第四章 投标文件要求及格式 </w:t>
      </w:r>
    </w:p>
    <w:p w14:paraId="59299224">
      <w:pPr>
        <w:spacing w:after="360" w:afterLines="150"/>
        <w:jc w:val="center"/>
        <w:rPr>
          <w:rFonts w:hint="eastAsia" w:ascii="宋体" w:hAnsi="宋体" w:eastAsia="宋体" w:cs="宋体"/>
          <w:b/>
          <w:bCs/>
          <w:color w:val="auto"/>
          <w:sz w:val="28"/>
          <w:szCs w:val="28"/>
          <w:highlight w:val="none"/>
          <w:lang w:eastAsia="zh-CN"/>
        </w:rPr>
      </w:pPr>
    </w:p>
    <w:p w14:paraId="2CE3CB39">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38D3039E">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25FD01BA">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362D0811">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3A3ABB90">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4CC8BB94">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75231B28">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7E9284E7">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5C4246A0">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434B0985">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09AABB6D">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4F079AE3">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3" w:firstLineChars="147"/>
        <w:textAlignment w:val="auto"/>
        <w:rPr>
          <w:rFonts w:hint="eastAsia" w:ascii="宋体" w:hAnsi="宋体" w:eastAsia="宋体" w:cs="宋体"/>
          <w:b/>
          <w:bCs/>
          <w:color w:val="auto"/>
          <w:sz w:val="28"/>
          <w:szCs w:val="28"/>
          <w:highlight w:val="none"/>
          <w:lang w:eastAsia="zh-CN"/>
        </w:rPr>
      </w:pPr>
    </w:p>
    <w:p w14:paraId="733D834D">
      <w:pPr>
        <w:pStyle w:val="2"/>
        <w:keepNext w:val="0"/>
        <w:keepLines w:val="0"/>
        <w:pageBreakBefore w:val="0"/>
        <w:widowControl/>
        <w:kinsoku/>
        <w:wordWrap/>
        <w:overflowPunct/>
        <w:topLinePunct w:val="0"/>
        <w:autoSpaceDE/>
        <w:autoSpaceDN/>
        <w:bidi w:val="0"/>
        <w:adjustRightInd/>
        <w:snapToGrid/>
        <w:spacing w:line="560" w:lineRule="exact"/>
        <w:ind w:left="163" w:leftChars="68" w:firstLine="411" w:firstLineChars="147"/>
        <w:jc w:val="center"/>
        <w:textAlignment w:val="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第一章 招标公告</w:t>
      </w:r>
    </w:p>
    <w:p w14:paraId="516BAB6D">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left"/>
        <w:textAlignment w:val="auto"/>
        <w:rPr>
          <w:color w:val="auto"/>
          <w:sz w:val="28"/>
          <w:szCs w:val="28"/>
          <w:highlight w:val="none"/>
        </w:rPr>
      </w:pPr>
      <w:r>
        <w:rPr>
          <w:rFonts w:ascii="黑体" w:hAnsi="宋体" w:eastAsia="黑体" w:cs="黑体"/>
          <w:b/>
          <w:bCs/>
          <w:color w:val="auto"/>
          <w:kern w:val="0"/>
          <w:sz w:val="28"/>
          <w:szCs w:val="28"/>
          <w:highlight w:val="none"/>
          <w:lang w:val="en-US" w:eastAsia="zh-CN" w:bidi="ar"/>
        </w:rPr>
        <w:t>一、项目基本情况</w:t>
      </w:r>
    </w:p>
    <w:p w14:paraId="5038DBAE">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bCs/>
          <w:color w:val="auto"/>
          <w:sz w:val="28"/>
          <w:szCs w:val="28"/>
          <w:highlight w:val="none"/>
          <w:lang w:val="en-US" w:eastAsia="zh-CN"/>
        </w:rPr>
        <w:t>1.项目编号</w:t>
      </w:r>
      <w:r>
        <w:rPr>
          <w:rFonts w:hint="eastAsia" w:ascii="仿宋_GB2312" w:hAnsi="仿宋_GB2312" w:eastAsia="仿宋_GB2312" w:cs="仿宋_GB2312"/>
          <w:b w:val="0"/>
          <w:bCs w:val="0"/>
          <w:color w:val="auto"/>
          <w:sz w:val="28"/>
          <w:szCs w:val="28"/>
          <w:highlight w:val="none"/>
          <w:lang w:val="en-US" w:eastAsia="zh-CN"/>
        </w:rPr>
        <w:t>：</w:t>
      </w:r>
      <w:r>
        <w:rPr>
          <w:rFonts w:hint="eastAsia" w:ascii="仿宋_GB2312" w:hAnsi="宋体" w:eastAsia="仿宋_GB2312" w:cs="Times New Roman"/>
          <w:b/>
          <w:color w:val="auto"/>
          <w:sz w:val="32"/>
          <w:szCs w:val="32"/>
          <w:highlight w:val="none"/>
        </w:rPr>
        <w:t>GXGSYY-CGB-BZB-2025-01</w:t>
      </w:r>
      <w:r>
        <w:rPr>
          <w:rFonts w:hint="eastAsia" w:ascii="仿宋_GB2312" w:hAnsi="仿宋_GB2312" w:eastAsia="仿宋_GB2312" w:cs="仿宋_GB2312"/>
          <w:b w:val="0"/>
          <w:bCs w:val="0"/>
          <w:color w:val="auto"/>
          <w:sz w:val="28"/>
          <w:szCs w:val="28"/>
          <w:highlight w:val="none"/>
          <w:lang w:val="en-US" w:eastAsia="zh-CN"/>
        </w:rPr>
        <w:t xml:space="preserve"> </w:t>
      </w:r>
    </w:p>
    <w:p w14:paraId="06B1272D">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bCs/>
          <w:color w:val="auto"/>
          <w:sz w:val="28"/>
          <w:szCs w:val="28"/>
          <w:highlight w:val="none"/>
          <w:lang w:val="en-US" w:eastAsia="zh-CN"/>
        </w:rPr>
        <w:t>2.项目名称</w:t>
      </w:r>
      <w:r>
        <w:rPr>
          <w:rFonts w:hint="eastAsia" w:ascii="仿宋_GB2312" w:hAnsi="仿宋_GB2312" w:eastAsia="仿宋_GB2312" w:cs="仿宋_GB2312"/>
          <w:b w:val="0"/>
          <w:bCs w:val="0"/>
          <w:color w:val="auto"/>
          <w:sz w:val="28"/>
          <w:szCs w:val="28"/>
          <w:highlight w:val="none"/>
          <w:lang w:val="en-US" w:eastAsia="zh-CN"/>
        </w:rPr>
        <w:t xml:space="preserve">：广西骨伤医院零星维修服务公司遴选项目 </w:t>
      </w:r>
    </w:p>
    <w:p w14:paraId="3D343836">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3.遴选内容</w:t>
      </w:r>
      <w:r>
        <w:rPr>
          <w:rFonts w:hint="eastAsia" w:ascii="仿宋_GB2312" w:hAnsi="仿宋_GB2312" w:eastAsia="仿宋_GB2312" w:cs="仿宋_GB2312"/>
          <w:b w:val="0"/>
          <w:bCs w:val="0"/>
          <w:color w:val="auto"/>
          <w:sz w:val="28"/>
          <w:szCs w:val="28"/>
          <w:highlight w:val="none"/>
          <w:lang w:val="en-US" w:eastAsia="zh-CN"/>
        </w:rPr>
        <w:t>：通过公开招标遴选1家零星维修服务公司，承包预算金额5万元以下（不含5万元）的医院（含两个社区卫生服务中心、</w:t>
      </w:r>
      <w:r>
        <w:rPr>
          <w:rFonts w:hint="eastAsia" w:ascii="仿宋_GB2312" w:hAnsi="仿宋_GB2312" w:eastAsia="仿宋_GB2312" w:cs="仿宋_GB2312"/>
          <w:b w:val="0"/>
          <w:bCs w:val="0"/>
          <w:color w:val="auto"/>
          <w:sz w:val="28"/>
          <w:szCs w:val="28"/>
          <w:highlight w:val="none"/>
          <w:lang w:val="en-US" w:eastAsia="zh-CN"/>
        </w:rPr>
        <w:t>民生路门诊</w:t>
      </w:r>
      <w:r>
        <w:rPr>
          <w:rFonts w:hint="eastAsia" w:ascii="仿宋_GB2312" w:hAnsi="仿宋_GB2312" w:eastAsia="仿宋_GB2312" w:cs="仿宋_GB2312"/>
          <w:b w:val="0"/>
          <w:bCs w:val="0"/>
          <w:color w:val="auto"/>
          <w:sz w:val="28"/>
          <w:szCs w:val="28"/>
          <w:highlight w:val="none"/>
          <w:lang w:val="en-US" w:eastAsia="zh-CN"/>
        </w:rPr>
        <w:t>）零星装（维）修工程、小型修缮工程项目、日常零星维修任务。</w:t>
      </w:r>
      <w:r>
        <w:rPr>
          <w:rFonts w:hint="eastAsia" w:ascii="仿宋_GB2312" w:hAnsi="仿宋_GB2312" w:eastAsia="仿宋_GB2312" w:cs="仿宋_GB2312"/>
          <w:b/>
          <w:bCs/>
          <w:color w:val="auto"/>
          <w:sz w:val="28"/>
          <w:szCs w:val="28"/>
          <w:highlight w:val="none"/>
          <w:lang w:val="en-US" w:eastAsia="zh-CN"/>
        </w:rPr>
        <w:t>承包方式</w:t>
      </w:r>
      <w:r>
        <w:rPr>
          <w:rFonts w:hint="eastAsia" w:ascii="仿宋_GB2312" w:hAnsi="仿宋_GB2312" w:eastAsia="仿宋_GB2312" w:cs="仿宋_GB2312"/>
          <w:b w:val="0"/>
          <w:bCs w:val="0"/>
          <w:color w:val="auto"/>
          <w:sz w:val="28"/>
          <w:szCs w:val="28"/>
          <w:highlight w:val="none"/>
          <w:lang w:val="en-US" w:eastAsia="zh-CN"/>
        </w:rPr>
        <w:t>：包工包料，即承包人负责施工及采购工程所需的全部主材、辅材。</w:t>
      </w:r>
    </w:p>
    <w:p w14:paraId="6BD1745D">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4.预算金额</w:t>
      </w:r>
      <w:r>
        <w:rPr>
          <w:rFonts w:hint="eastAsia" w:ascii="仿宋_GB2312" w:hAnsi="仿宋_GB2312" w:eastAsia="仿宋_GB2312" w:cs="仿宋_GB2312"/>
          <w:b w:val="0"/>
          <w:bCs w:val="0"/>
          <w:color w:val="auto"/>
          <w:sz w:val="28"/>
          <w:szCs w:val="28"/>
          <w:highlight w:val="none"/>
          <w:lang w:val="en-US" w:eastAsia="zh-CN"/>
        </w:rPr>
        <w:t>：以实际产生工程量为准。</w:t>
      </w:r>
    </w:p>
    <w:p w14:paraId="7D2BB9AF">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5.服务期限</w:t>
      </w:r>
      <w:r>
        <w:rPr>
          <w:rFonts w:hint="eastAsia" w:ascii="仿宋_GB2312" w:hAnsi="仿宋_GB2312" w:eastAsia="仿宋_GB2312" w:cs="仿宋_GB2312"/>
          <w:b w:val="0"/>
          <w:bCs w:val="0"/>
          <w:color w:val="auto"/>
          <w:sz w:val="28"/>
          <w:szCs w:val="28"/>
          <w:highlight w:val="none"/>
          <w:lang w:val="en-US" w:eastAsia="zh-CN"/>
        </w:rPr>
        <w:t>：自合同签订之日起2年（</w:t>
      </w:r>
      <w:r>
        <w:rPr>
          <w:rFonts w:hint="eastAsia" w:ascii="仿宋_GB2312" w:hAnsi="仿宋_GB2312" w:eastAsia="仿宋_GB2312" w:cs="仿宋_GB2312"/>
          <w:bCs/>
          <w:color w:val="auto"/>
          <w:sz w:val="28"/>
          <w:szCs w:val="28"/>
          <w:highlight w:val="none"/>
          <w:lang w:val="en-US" w:eastAsia="zh-CN"/>
        </w:rPr>
        <w:t>合同每年一签，考评合格后续签第二年合同</w:t>
      </w:r>
      <w:r>
        <w:rPr>
          <w:rFonts w:hint="eastAsia" w:ascii="仿宋_GB2312" w:hAnsi="仿宋_GB2312" w:eastAsia="仿宋_GB2312" w:cs="仿宋_GB2312"/>
          <w:b w:val="0"/>
          <w:bCs w:val="0"/>
          <w:color w:val="auto"/>
          <w:sz w:val="28"/>
          <w:szCs w:val="28"/>
          <w:highlight w:val="none"/>
          <w:lang w:val="en-US" w:eastAsia="zh-CN"/>
        </w:rPr>
        <w:t>）。</w:t>
      </w:r>
    </w:p>
    <w:p w14:paraId="262F5EBA">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6.工程地址</w:t>
      </w:r>
      <w:r>
        <w:rPr>
          <w:rFonts w:hint="eastAsia" w:ascii="宋体" w:hAnsi="宋体" w:eastAsia="宋体" w:cs="宋体"/>
          <w:b/>
          <w:bCs/>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bidi="ar-SA"/>
        </w:rPr>
        <w:t>广西骨伤医院新民院区（南宁市新民路32号）；方园社区卫生服务中心（南宁市长园路26号）；长虹社区卫生服务中心（南宁市青秀区长虹路5号）；</w:t>
      </w:r>
      <w:r>
        <w:rPr>
          <w:rFonts w:hint="eastAsia" w:ascii="仿宋_GB2312" w:hAnsi="仿宋_GB2312" w:eastAsia="仿宋_GB2312" w:cs="仿宋_GB2312"/>
          <w:b w:val="0"/>
          <w:bCs w:val="0"/>
          <w:color w:val="auto"/>
          <w:sz w:val="28"/>
          <w:szCs w:val="28"/>
          <w:highlight w:val="none"/>
          <w:lang w:val="en-US" w:eastAsia="zh-CN" w:bidi="ar-SA"/>
        </w:rPr>
        <w:t>广西骨伤医院民生路门诊（民生路14号）</w:t>
      </w:r>
      <w:r>
        <w:rPr>
          <w:rFonts w:hint="eastAsia" w:ascii="仿宋_GB2312" w:hAnsi="仿宋_GB2312" w:eastAsia="仿宋_GB2312" w:cs="仿宋_GB2312"/>
          <w:b w:val="0"/>
          <w:bCs w:val="0"/>
          <w:color w:val="auto"/>
          <w:sz w:val="28"/>
          <w:szCs w:val="28"/>
          <w:highlight w:val="none"/>
          <w:lang w:val="en-US" w:eastAsia="zh-CN" w:bidi="ar-SA"/>
        </w:rPr>
        <w:t>。</w:t>
      </w:r>
    </w:p>
    <w:p w14:paraId="5370B5F2">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7.采购需求：</w:t>
      </w:r>
      <w:r>
        <w:rPr>
          <w:rFonts w:hint="eastAsia" w:ascii="仿宋_GB2312" w:hAnsi="仿宋_GB2312" w:eastAsia="仿宋_GB2312" w:cs="仿宋_GB2312"/>
          <w:b w:val="0"/>
          <w:bCs w:val="0"/>
          <w:color w:val="auto"/>
          <w:sz w:val="28"/>
          <w:szCs w:val="28"/>
          <w:highlight w:val="none"/>
          <w:lang w:val="en-US" w:eastAsia="zh-CN" w:bidi="ar-SA"/>
        </w:rPr>
        <w:t>详见招标文件</w:t>
      </w:r>
      <w:r>
        <w:rPr>
          <w:rFonts w:hint="eastAsia" w:ascii="仿宋_GB2312" w:hAnsi="仿宋_GB2312" w:eastAsia="仿宋_GB2312" w:cs="仿宋_GB2312"/>
          <w:b/>
          <w:bCs/>
          <w:color w:val="auto"/>
          <w:sz w:val="28"/>
          <w:szCs w:val="28"/>
          <w:highlight w:val="none"/>
          <w:lang w:val="en-US" w:eastAsia="zh-CN" w:bidi="ar-SA"/>
        </w:rPr>
        <w:t>“第二章 采购需求”。</w:t>
      </w:r>
    </w:p>
    <w:p w14:paraId="5D7D295A">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8.本项目不接受联合体投标。</w:t>
      </w:r>
    </w:p>
    <w:p w14:paraId="3A80E9D9">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left"/>
        <w:textAlignment w:val="auto"/>
        <w:rPr>
          <w:rFonts w:ascii="黑体" w:hAnsi="宋体" w:eastAsia="黑体" w:cs="黑体"/>
          <w:b/>
          <w:bCs/>
          <w:color w:val="auto"/>
          <w:kern w:val="0"/>
          <w:sz w:val="28"/>
          <w:szCs w:val="28"/>
          <w:highlight w:val="none"/>
          <w:lang w:val="en-US" w:eastAsia="zh-CN" w:bidi="ar"/>
        </w:rPr>
      </w:pPr>
      <w:r>
        <w:rPr>
          <w:rFonts w:ascii="黑体" w:hAnsi="宋体" w:eastAsia="黑体" w:cs="黑体"/>
          <w:b/>
          <w:bCs/>
          <w:color w:val="auto"/>
          <w:kern w:val="0"/>
          <w:sz w:val="28"/>
          <w:szCs w:val="28"/>
          <w:highlight w:val="none"/>
          <w:lang w:val="en-US" w:eastAsia="zh-CN" w:bidi="ar"/>
        </w:rPr>
        <w:t>二、</w:t>
      </w:r>
      <w:r>
        <w:rPr>
          <w:rFonts w:hint="eastAsia" w:ascii="黑体" w:hAnsi="宋体" w:eastAsia="黑体" w:cs="黑体"/>
          <w:b/>
          <w:bCs/>
          <w:color w:val="auto"/>
          <w:kern w:val="0"/>
          <w:sz w:val="28"/>
          <w:szCs w:val="28"/>
          <w:highlight w:val="none"/>
          <w:lang w:val="en-US" w:eastAsia="zh-CN" w:bidi="ar"/>
        </w:rPr>
        <w:t>潜在投标</w:t>
      </w:r>
      <w:r>
        <w:rPr>
          <w:rFonts w:ascii="黑体" w:hAnsi="宋体" w:eastAsia="黑体" w:cs="黑体"/>
          <w:b/>
          <w:bCs/>
          <w:color w:val="auto"/>
          <w:kern w:val="0"/>
          <w:sz w:val="28"/>
          <w:szCs w:val="28"/>
          <w:highlight w:val="none"/>
          <w:lang w:val="en-US" w:eastAsia="zh-CN" w:bidi="ar"/>
        </w:rPr>
        <w:t>人的资格要求：</w:t>
      </w:r>
    </w:p>
    <w:p w14:paraId="7FF6674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default" w:ascii="仿宋_GB2312" w:hAnsi="仿宋_GB2312" w:eastAsia="仿宋_GB2312" w:cs="仿宋_GB2312"/>
          <w:b w:val="0"/>
          <w:bCs w:val="0"/>
          <w:color w:val="auto"/>
          <w:sz w:val="28"/>
          <w:szCs w:val="28"/>
          <w:highlight w:val="none"/>
          <w:lang w:val="en-US" w:eastAsia="zh-CN" w:bidi="ar-SA"/>
        </w:rPr>
        <w:t>1</w:t>
      </w:r>
      <w:r>
        <w:rPr>
          <w:rFonts w:hint="eastAsia" w:ascii="仿宋_GB2312" w:hAnsi="仿宋_GB2312" w:eastAsia="仿宋_GB2312" w:cs="仿宋_GB2312"/>
          <w:b w:val="0"/>
          <w:bCs w:val="0"/>
          <w:color w:val="auto"/>
          <w:sz w:val="28"/>
          <w:szCs w:val="28"/>
          <w:highlight w:val="none"/>
          <w:lang w:val="en-US" w:eastAsia="zh-CN" w:bidi="ar-SA"/>
        </w:rPr>
        <w:t>.</w:t>
      </w:r>
      <w:r>
        <w:rPr>
          <w:rFonts w:hint="default" w:ascii="仿宋_GB2312" w:hAnsi="仿宋_GB2312" w:eastAsia="仿宋_GB2312" w:cs="仿宋_GB2312"/>
          <w:b w:val="0"/>
          <w:bCs w:val="0"/>
          <w:color w:val="auto"/>
          <w:sz w:val="28"/>
          <w:szCs w:val="28"/>
          <w:highlight w:val="none"/>
          <w:lang w:val="en-US" w:eastAsia="zh-CN" w:bidi="ar-SA"/>
        </w:rPr>
        <w:t xml:space="preserve">满足《中华人民共和国政府采购法》第二十二条规定； </w:t>
      </w:r>
    </w:p>
    <w:p w14:paraId="37A1009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default" w:ascii="仿宋_GB2312" w:hAnsi="仿宋_GB2312" w:eastAsia="仿宋_GB2312" w:cs="仿宋_GB2312"/>
          <w:b w:val="0"/>
          <w:bCs w:val="0"/>
          <w:color w:val="auto"/>
          <w:sz w:val="28"/>
          <w:szCs w:val="28"/>
          <w:highlight w:val="none"/>
          <w:lang w:val="en-US" w:eastAsia="zh-CN" w:bidi="ar-SA"/>
        </w:rPr>
        <w:t>2</w:t>
      </w:r>
      <w:r>
        <w:rPr>
          <w:rFonts w:hint="eastAsia" w:ascii="仿宋_GB2312" w:hAnsi="仿宋_GB2312" w:eastAsia="仿宋_GB2312" w:cs="仿宋_GB2312"/>
          <w:b w:val="0"/>
          <w:bCs w:val="0"/>
          <w:color w:val="auto"/>
          <w:sz w:val="28"/>
          <w:szCs w:val="28"/>
          <w:highlight w:val="none"/>
          <w:lang w:val="en-US" w:eastAsia="zh-CN" w:bidi="ar-SA"/>
        </w:rPr>
        <w:t>.</w:t>
      </w:r>
      <w:r>
        <w:rPr>
          <w:rFonts w:hint="default" w:ascii="仿宋_GB2312" w:hAnsi="仿宋_GB2312" w:eastAsia="仿宋_GB2312" w:cs="仿宋_GB2312"/>
          <w:b w:val="0"/>
          <w:bCs w:val="0"/>
          <w:color w:val="auto"/>
          <w:sz w:val="28"/>
          <w:szCs w:val="28"/>
          <w:highlight w:val="none"/>
          <w:lang w:val="en-US" w:eastAsia="zh-CN" w:bidi="ar-SA"/>
        </w:rPr>
        <w:t>落实政府采购政策需满足的资格要求：本项目面向中小微企业</w:t>
      </w:r>
      <w:r>
        <w:rPr>
          <w:rFonts w:hint="eastAsia" w:ascii="仿宋_GB2312" w:hAnsi="仿宋_GB2312" w:eastAsia="仿宋_GB2312" w:cs="仿宋_GB2312"/>
          <w:b w:val="0"/>
          <w:bCs w:val="0"/>
          <w:color w:val="auto"/>
          <w:sz w:val="28"/>
          <w:szCs w:val="28"/>
          <w:highlight w:val="none"/>
          <w:lang w:val="en-US" w:eastAsia="zh-CN" w:bidi="ar-SA"/>
        </w:rPr>
        <w:t>预留100%份额</w:t>
      </w:r>
      <w:r>
        <w:rPr>
          <w:rFonts w:hint="default" w:ascii="仿宋_GB2312" w:hAnsi="仿宋_GB2312" w:eastAsia="仿宋_GB2312" w:cs="仿宋_GB2312"/>
          <w:b w:val="0"/>
          <w:bCs w:val="0"/>
          <w:color w:val="auto"/>
          <w:sz w:val="28"/>
          <w:szCs w:val="28"/>
          <w:highlight w:val="none"/>
          <w:lang w:val="en-US" w:eastAsia="zh-CN" w:bidi="ar-SA"/>
        </w:rPr>
        <w:t xml:space="preserve">。 </w:t>
      </w:r>
    </w:p>
    <w:p w14:paraId="2A676BC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default" w:ascii="仿宋_GB2312" w:hAnsi="仿宋_GB2312" w:eastAsia="仿宋_GB2312" w:cs="仿宋_GB2312"/>
          <w:b w:val="0"/>
          <w:bCs w:val="0"/>
          <w:color w:val="auto"/>
          <w:sz w:val="28"/>
          <w:szCs w:val="28"/>
          <w:highlight w:val="none"/>
          <w:lang w:val="en-US" w:eastAsia="zh-CN" w:bidi="ar-SA"/>
        </w:rPr>
        <w:t>3</w:t>
      </w:r>
      <w:r>
        <w:rPr>
          <w:rFonts w:hint="eastAsia" w:ascii="仿宋_GB2312" w:hAnsi="仿宋_GB2312" w:eastAsia="仿宋_GB2312" w:cs="仿宋_GB2312"/>
          <w:b w:val="0"/>
          <w:bCs w:val="0"/>
          <w:color w:val="auto"/>
          <w:sz w:val="28"/>
          <w:szCs w:val="28"/>
          <w:highlight w:val="none"/>
          <w:lang w:val="en-US" w:eastAsia="zh-CN" w:bidi="ar-SA"/>
        </w:rPr>
        <w:t>.</w:t>
      </w:r>
      <w:r>
        <w:rPr>
          <w:rFonts w:hint="default" w:ascii="仿宋_GB2312" w:hAnsi="仿宋_GB2312" w:eastAsia="仿宋_GB2312" w:cs="仿宋_GB2312"/>
          <w:b w:val="0"/>
          <w:bCs w:val="0"/>
          <w:color w:val="auto"/>
          <w:sz w:val="28"/>
          <w:szCs w:val="28"/>
          <w:highlight w:val="none"/>
          <w:lang w:val="en-US" w:eastAsia="zh-CN" w:bidi="ar-SA"/>
        </w:rPr>
        <w:t>本项目的特定资格要求：</w:t>
      </w:r>
    </w:p>
    <w:p w14:paraId="09324D5D">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default" w:ascii="仿宋_GB2312" w:hAnsi="仿宋_GB2312" w:eastAsia="仿宋_GB2312" w:cs="仿宋_GB2312"/>
          <w:b w:val="0"/>
          <w:bCs w:val="0"/>
          <w:color w:val="auto"/>
          <w:sz w:val="28"/>
          <w:szCs w:val="28"/>
          <w:highlight w:val="none"/>
          <w:lang w:val="en-US" w:eastAsia="zh-CN" w:bidi="ar-SA"/>
        </w:rPr>
        <w:t>（1）投标人必须是中华人民共和国境内经建设行政主管部门审批具备独立法人，建筑工程施工总承包叁级及以上或建筑装饰装修工程贰级及以上资质，并具备消防设施工程专业承包企业资质贰级及其以上资质；</w:t>
      </w:r>
    </w:p>
    <w:p w14:paraId="4BD65F4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（2）</w:t>
      </w:r>
      <w:r>
        <w:rPr>
          <w:rFonts w:hint="default" w:ascii="仿宋_GB2312" w:hAnsi="仿宋_GB2312" w:eastAsia="仿宋_GB2312" w:cs="仿宋_GB2312"/>
          <w:b w:val="0"/>
          <w:bCs w:val="0"/>
          <w:color w:val="auto"/>
          <w:sz w:val="28"/>
          <w:szCs w:val="28"/>
          <w:highlight w:val="none"/>
          <w:lang w:val="en-US" w:eastAsia="zh-CN" w:bidi="ar-SA"/>
        </w:rPr>
        <w:t>三年以来在政府采购及建设系统的招标投标活动中没有因串通投标等不良行为而禁止在本市投标的投标申请人。涉嫌串通投标并正在接受主管部门调查的投标申请人不被接受；</w:t>
      </w:r>
    </w:p>
    <w:p w14:paraId="3414BDF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（3）</w:t>
      </w:r>
      <w:r>
        <w:rPr>
          <w:rFonts w:hint="default" w:ascii="仿宋_GB2312" w:hAnsi="仿宋_GB2312" w:eastAsia="仿宋_GB2312" w:cs="仿宋_GB2312"/>
          <w:b w:val="0"/>
          <w:bCs w:val="0"/>
          <w:color w:val="auto"/>
          <w:sz w:val="28"/>
          <w:szCs w:val="28"/>
          <w:highlight w:val="none"/>
          <w:lang w:val="en-US" w:eastAsia="zh-CN" w:bidi="ar-SA"/>
        </w:rPr>
        <w:t>受到建设行政主管部门红色警示的施工企业或项目经理在暂停承接政府及国有企事业单位投资工程期间，不得参与本次遴选项目的投标；</w:t>
      </w:r>
    </w:p>
    <w:p w14:paraId="0586C8C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（4）</w:t>
      </w:r>
      <w:r>
        <w:rPr>
          <w:rFonts w:hint="default" w:ascii="仿宋_GB2312" w:hAnsi="仿宋_GB2312" w:eastAsia="仿宋_GB2312" w:cs="仿宋_GB2312"/>
          <w:b w:val="0"/>
          <w:bCs w:val="0"/>
          <w:color w:val="auto"/>
          <w:sz w:val="28"/>
          <w:szCs w:val="28"/>
          <w:highlight w:val="none"/>
          <w:lang w:val="en-US" w:eastAsia="zh-CN" w:bidi="ar-SA"/>
        </w:rPr>
        <w:t>具有良好的商业信誉和健全的财务会计制度；</w:t>
      </w:r>
    </w:p>
    <w:p w14:paraId="661EACE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（5）</w:t>
      </w:r>
      <w:r>
        <w:rPr>
          <w:rFonts w:hint="default" w:ascii="仿宋_GB2312" w:hAnsi="仿宋_GB2312" w:eastAsia="仿宋_GB2312" w:cs="仿宋_GB2312"/>
          <w:b w:val="0"/>
          <w:bCs w:val="0"/>
          <w:color w:val="auto"/>
          <w:sz w:val="28"/>
          <w:szCs w:val="28"/>
          <w:highlight w:val="none"/>
          <w:lang w:val="en-US" w:eastAsia="zh-CN" w:bidi="ar-SA"/>
        </w:rPr>
        <w:t>具有履行合同所必需的设备和专业技术能力；</w:t>
      </w:r>
    </w:p>
    <w:p w14:paraId="03E383D5">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（6）</w:t>
      </w:r>
      <w:r>
        <w:rPr>
          <w:rFonts w:hint="default" w:ascii="仿宋_GB2312" w:hAnsi="仿宋_GB2312" w:eastAsia="仿宋_GB2312" w:cs="仿宋_GB2312"/>
          <w:b w:val="0"/>
          <w:bCs w:val="0"/>
          <w:color w:val="auto"/>
          <w:sz w:val="28"/>
          <w:szCs w:val="28"/>
          <w:highlight w:val="none"/>
          <w:lang w:val="en-US" w:eastAsia="zh-CN" w:bidi="ar-SA"/>
        </w:rPr>
        <w:t>有依法缴纳税收和社会保障资金的良好记录；</w:t>
      </w:r>
    </w:p>
    <w:p w14:paraId="482C7B2A">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left"/>
        <w:textAlignment w:val="auto"/>
        <w:rPr>
          <w:rFonts w:ascii="黑体" w:hAnsi="宋体" w:eastAsia="黑体" w:cs="黑体"/>
          <w:b/>
          <w:bCs/>
          <w:color w:val="auto"/>
          <w:kern w:val="0"/>
          <w:sz w:val="28"/>
          <w:szCs w:val="28"/>
          <w:highlight w:val="none"/>
          <w:lang w:val="en-US" w:eastAsia="zh-CN" w:bidi="ar"/>
        </w:rPr>
      </w:pPr>
      <w:r>
        <w:rPr>
          <w:rFonts w:ascii="黑体" w:hAnsi="宋体" w:eastAsia="黑体" w:cs="黑体"/>
          <w:b/>
          <w:bCs/>
          <w:color w:val="auto"/>
          <w:kern w:val="0"/>
          <w:sz w:val="28"/>
          <w:szCs w:val="28"/>
          <w:highlight w:val="none"/>
          <w:lang w:val="en-US" w:eastAsia="zh-CN" w:bidi="ar"/>
        </w:rPr>
        <w:t xml:space="preserve">三、获取招标文件 </w:t>
      </w:r>
    </w:p>
    <w:p w14:paraId="3F19CA08">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default" w:ascii="黑体" w:hAnsi="宋体" w:eastAsia="黑体" w:cs="黑体"/>
          <w:b/>
          <w:bCs/>
          <w:color w:val="auto"/>
          <w:kern w:val="0"/>
          <w:sz w:val="28"/>
          <w:szCs w:val="28"/>
          <w:highlight w:val="none"/>
          <w:lang w:val="en-US" w:eastAsia="zh-CN" w:bidi="ar"/>
        </w:rPr>
      </w:pPr>
      <w:r>
        <w:rPr>
          <w:rFonts w:hint="eastAsia" w:ascii="仿宋_GB2312" w:hAnsi="仿宋_GB2312" w:eastAsia="仿宋_GB2312" w:cs="仿宋_GB2312"/>
          <w:b w:val="0"/>
          <w:bCs w:val="0"/>
          <w:color w:val="auto"/>
          <w:sz w:val="28"/>
          <w:szCs w:val="28"/>
          <w:highlight w:val="none"/>
          <w:lang w:val="en-US" w:eastAsia="zh-CN" w:bidi="ar-SA"/>
        </w:rPr>
        <w:t>自公告发布之日起，投标人通过广西骨伤医院官网“院务公开”专栏，招标公告信息处下载。</w:t>
      </w:r>
    </w:p>
    <w:p w14:paraId="68DAABB5">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left"/>
        <w:textAlignment w:val="auto"/>
        <w:rPr>
          <w:rFonts w:ascii="黑体" w:hAnsi="宋体" w:eastAsia="黑体" w:cs="黑体"/>
          <w:b/>
          <w:bCs/>
          <w:color w:val="auto"/>
          <w:kern w:val="0"/>
          <w:sz w:val="28"/>
          <w:szCs w:val="28"/>
          <w:highlight w:val="none"/>
          <w:lang w:val="en-US" w:eastAsia="zh-CN" w:bidi="ar"/>
        </w:rPr>
      </w:pPr>
      <w:r>
        <w:rPr>
          <w:rFonts w:ascii="黑体" w:hAnsi="宋体" w:eastAsia="黑体" w:cs="黑体"/>
          <w:b/>
          <w:bCs/>
          <w:color w:val="auto"/>
          <w:kern w:val="0"/>
          <w:sz w:val="28"/>
          <w:szCs w:val="28"/>
          <w:highlight w:val="none"/>
          <w:lang w:val="en-US" w:eastAsia="zh-CN" w:bidi="ar"/>
        </w:rPr>
        <w:t xml:space="preserve">四、提交投标文件时间、开标时间和地点 </w:t>
      </w:r>
    </w:p>
    <w:p w14:paraId="713B1888">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1.</w:t>
      </w:r>
      <w:r>
        <w:rPr>
          <w:rFonts w:hint="eastAsia" w:ascii="仿宋_GB2312" w:hAnsi="仿宋_GB2312" w:eastAsia="仿宋_GB2312" w:cs="仿宋_GB2312"/>
          <w:b w:val="0"/>
          <w:bCs w:val="0"/>
          <w:color w:val="auto"/>
          <w:sz w:val="28"/>
          <w:szCs w:val="28"/>
          <w:highlight w:val="none"/>
          <w:lang w:val="en-US" w:eastAsia="zh-CN" w:bidi="ar-SA"/>
        </w:rPr>
        <w:t>提交投标文件</w:t>
      </w:r>
      <w:r>
        <w:rPr>
          <w:rFonts w:hint="eastAsia" w:ascii="仿宋_GB2312" w:hAnsi="仿宋_GB2312" w:eastAsia="仿宋_GB2312" w:cs="仿宋_GB2312"/>
          <w:b w:val="0"/>
          <w:bCs w:val="0"/>
          <w:color w:val="auto"/>
          <w:sz w:val="28"/>
          <w:szCs w:val="28"/>
          <w:highlight w:val="none"/>
          <w:lang w:val="en-US" w:eastAsia="zh-CN" w:bidi="ar-SA"/>
        </w:rPr>
        <w:t>时间：自本公告发布之日起至</w:t>
      </w:r>
      <w:r>
        <w:rPr>
          <w:rFonts w:hint="eastAsia" w:ascii="仿宋_GB2312" w:hAnsi="仿宋_GB2312" w:eastAsia="仿宋_GB2312" w:cs="仿宋_GB2312"/>
          <w:b w:val="0"/>
          <w:bCs w:val="0"/>
          <w:color w:val="auto"/>
          <w:sz w:val="28"/>
          <w:szCs w:val="28"/>
          <w:highlight w:val="none"/>
          <w:lang w:val="en-US" w:eastAsia="zh-CN" w:bidi="ar-SA"/>
        </w:rPr>
        <w:t>2025年3月13日18时00分（北京时间）</w:t>
      </w:r>
      <w:r>
        <w:rPr>
          <w:rFonts w:hint="eastAsia" w:ascii="仿宋_GB2312" w:hAnsi="仿宋_GB2312" w:eastAsia="仿宋_GB2312" w:cs="仿宋_GB2312"/>
          <w:b w:val="0"/>
          <w:bCs w:val="0"/>
          <w:color w:val="auto"/>
          <w:sz w:val="28"/>
          <w:szCs w:val="28"/>
          <w:highlight w:val="none"/>
          <w:lang w:val="en-US" w:eastAsia="zh-CN" w:bidi="ar-SA"/>
        </w:rPr>
        <w:t xml:space="preserve"> </w:t>
      </w:r>
      <w:bookmarkStart w:id="1" w:name="_GoBack"/>
      <w:bookmarkEnd w:id="1"/>
    </w:p>
    <w:p w14:paraId="09831260">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 xml:space="preserve">2.开标时间和地点：另行通知 </w:t>
      </w:r>
    </w:p>
    <w:p w14:paraId="512FDD30">
      <w:pPr>
        <w:keepNext w:val="0"/>
        <w:keepLines w:val="0"/>
        <w:pageBreakBefore w:val="0"/>
        <w:widowControl/>
        <w:suppressLineNumbers w:val="0"/>
        <w:kinsoku/>
        <w:wordWrap/>
        <w:overflowPunct/>
        <w:topLinePunct w:val="0"/>
        <w:autoSpaceDE/>
        <w:autoSpaceDN/>
        <w:bidi w:val="0"/>
        <w:adjustRightInd/>
        <w:snapToGrid/>
        <w:spacing w:line="520" w:lineRule="exact"/>
        <w:ind w:firstLine="562" w:firstLineChars="200"/>
        <w:jc w:val="left"/>
        <w:textAlignment w:val="auto"/>
        <w:rPr>
          <w:rFonts w:ascii="黑体" w:hAnsi="宋体" w:eastAsia="黑体" w:cs="黑体"/>
          <w:b/>
          <w:bCs/>
          <w:color w:val="auto"/>
          <w:kern w:val="0"/>
          <w:sz w:val="28"/>
          <w:szCs w:val="28"/>
          <w:highlight w:val="none"/>
          <w:lang w:val="en-US" w:eastAsia="zh-CN" w:bidi="ar"/>
        </w:rPr>
      </w:pPr>
      <w:r>
        <w:rPr>
          <w:rFonts w:hint="eastAsia" w:ascii="黑体" w:hAnsi="宋体" w:eastAsia="黑体" w:cs="黑体"/>
          <w:b/>
          <w:bCs/>
          <w:color w:val="auto"/>
          <w:kern w:val="0"/>
          <w:sz w:val="28"/>
          <w:szCs w:val="28"/>
          <w:highlight w:val="none"/>
          <w:lang w:val="en-US" w:eastAsia="zh-CN" w:bidi="ar"/>
        </w:rPr>
        <w:t xml:space="preserve">五、公告期限 </w:t>
      </w:r>
    </w:p>
    <w:p w14:paraId="1FEC0A7D">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自本公告发布之日起5个工作日</w:t>
      </w:r>
    </w:p>
    <w:p w14:paraId="0BBD668F">
      <w:pPr>
        <w:spacing w:line="560" w:lineRule="exact"/>
        <w:ind w:firstLine="562" w:firstLineChars="200"/>
        <w:rPr>
          <w:rFonts w:hint="eastAsia" w:ascii="黑体" w:hAnsi="宋体" w:eastAsia="黑体" w:cs="黑体"/>
          <w:b/>
          <w:bCs/>
          <w:color w:val="auto"/>
          <w:kern w:val="0"/>
          <w:sz w:val="28"/>
          <w:szCs w:val="28"/>
          <w:highlight w:val="none"/>
          <w:lang w:val="zh-CN" w:eastAsia="zh-CN" w:bidi="ar"/>
        </w:rPr>
      </w:pPr>
      <w:r>
        <w:rPr>
          <w:rFonts w:hint="eastAsia" w:ascii="黑体" w:hAnsi="宋体" w:eastAsia="黑体" w:cs="黑体"/>
          <w:b/>
          <w:bCs/>
          <w:color w:val="auto"/>
          <w:kern w:val="0"/>
          <w:sz w:val="28"/>
          <w:szCs w:val="28"/>
          <w:highlight w:val="none"/>
          <w:lang w:val="en-US" w:eastAsia="zh-CN" w:bidi="ar"/>
        </w:rPr>
        <w:t>六、投标</w:t>
      </w:r>
      <w:r>
        <w:rPr>
          <w:rFonts w:hint="eastAsia" w:ascii="黑体" w:hAnsi="宋体" w:eastAsia="黑体" w:cs="黑体"/>
          <w:b/>
          <w:bCs/>
          <w:color w:val="auto"/>
          <w:kern w:val="0"/>
          <w:sz w:val="28"/>
          <w:szCs w:val="28"/>
          <w:highlight w:val="none"/>
          <w:lang w:val="zh-CN" w:eastAsia="zh-CN" w:bidi="ar"/>
        </w:rPr>
        <w:t>文件</w:t>
      </w:r>
      <w:r>
        <w:rPr>
          <w:rFonts w:hint="eastAsia" w:ascii="黑体" w:hAnsi="宋体" w:eastAsia="黑体" w:cs="黑体"/>
          <w:b/>
          <w:bCs/>
          <w:color w:val="auto"/>
          <w:kern w:val="0"/>
          <w:sz w:val="28"/>
          <w:szCs w:val="28"/>
          <w:highlight w:val="none"/>
          <w:lang w:val="en-US" w:eastAsia="zh-CN" w:bidi="ar"/>
        </w:rPr>
        <w:t>要求</w:t>
      </w:r>
    </w:p>
    <w:p w14:paraId="2D89231C">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1、各投标人应将投标文件装袋密封，在标书的封面上标明“正本、副本”字样，其中正本壹份，副本肆份；</w:t>
      </w:r>
    </w:p>
    <w:p w14:paraId="605E0A68">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2、所有封袋上都写明招标单位名称、工程名称、投标单位名称及联系方式；封袋必须用封签密封，并在封签骑缝处加盖投标单位公章或法定代表人印鉴；</w:t>
      </w:r>
    </w:p>
    <w:p w14:paraId="029F2631">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3、投标文件未按要求装订或按要求密封，其投标文件将被拒收；</w:t>
      </w:r>
    </w:p>
    <w:p w14:paraId="2DA60993">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4、投标文件正、副本不一致时以正本为准。</w:t>
      </w:r>
    </w:p>
    <w:p w14:paraId="09ED82C1">
      <w:pPr>
        <w:spacing w:line="560" w:lineRule="exact"/>
        <w:ind w:firstLine="562" w:firstLineChars="200"/>
        <w:rPr>
          <w:rFonts w:hint="eastAsia" w:ascii="黑体" w:hAnsi="宋体" w:eastAsia="黑体" w:cs="黑体"/>
          <w:b/>
          <w:bCs/>
          <w:color w:val="auto"/>
          <w:kern w:val="0"/>
          <w:sz w:val="28"/>
          <w:szCs w:val="28"/>
          <w:highlight w:val="none"/>
          <w:lang w:val="zh-CN" w:eastAsia="zh-CN" w:bidi="ar"/>
        </w:rPr>
      </w:pPr>
      <w:r>
        <w:rPr>
          <w:rFonts w:hint="eastAsia" w:ascii="黑体" w:hAnsi="宋体" w:eastAsia="黑体" w:cs="黑体"/>
          <w:b/>
          <w:bCs/>
          <w:color w:val="auto"/>
          <w:kern w:val="0"/>
          <w:sz w:val="28"/>
          <w:szCs w:val="28"/>
          <w:highlight w:val="none"/>
          <w:lang w:val="en-US" w:eastAsia="zh-CN" w:bidi="ar"/>
        </w:rPr>
        <w:t>七、对本次招标提出询问，请按以下方式联系。</w:t>
      </w:r>
    </w:p>
    <w:p w14:paraId="3FAD6A1D">
      <w:pPr>
        <w:spacing w:line="560" w:lineRule="exact"/>
        <w:ind w:firstLine="560" w:firstLineChars="20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联系人：广西骨伤医院采购办</w:t>
      </w:r>
    </w:p>
    <w:p w14:paraId="13E6D1D4">
      <w:pPr>
        <w:spacing w:line="560" w:lineRule="exact"/>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联系电话：18977085520</w:t>
      </w:r>
    </w:p>
    <w:p w14:paraId="23D49522">
      <w:pPr>
        <w:spacing w:line="560" w:lineRule="exact"/>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地址：南宁市东葛路1号锦华附楼401</w:t>
      </w:r>
    </w:p>
    <w:p w14:paraId="2C1DB5F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6A2EF46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5EE5EB9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3DB8F798">
      <w:pPr>
        <w:keepNext w:val="0"/>
        <w:keepLines w:val="0"/>
        <w:pageBreakBefore w:val="0"/>
        <w:widowControl/>
        <w:kinsoku/>
        <w:wordWrap w:val="0"/>
        <w:overflowPunct/>
        <w:topLinePunct w:val="0"/>
        <w:autoSpaceDE/>
        <w:autoSpaceDN/>
        <w:bidi w:val="0"/>
        <w:adjustRightInd/>
        <w:snapToGrid/>
        <w:spacing w:line="520" w:lineRule="exact"/>
        <w:ind w:firstLine="560" w:firstLineChars="200"/>
        <w:jc w:val="right"/>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 xml:space="preserve">广西骨伤医院     </w:t>
      </w:r>
    </w:p>
    <w:p w14:paraId="687AC97D">
      <w:pPr>
        <w:keepNext w:val="0"/>
        <w:keepLines w:val="0"/>
        <w:pageBreakBefore w:val="0"/>
        <w:widowControl/>
        <w:kinsoku/>
        <w:wordWrap w:val="0"/>
        <w:overflowPunct/>
        <w:topLinePunct w:val="0"/>
        <w:autoSpaceDE/>
        <w:autoSpaceDN/>
        <w:bidi w:val="0"/>
        <w:adjustRightInd/>
        <w:snapToGrid/>
        <w:spacing w:line="520" w:lineRule="exact"/>
        <w:ind w:firstLine="560" w:firstLineChars="200"/>
        <w:jc w:val="right"/>
        <w:textAlignment w:val="auto"/>
        <w:rPr>
          <w:rFonts w:hint="default"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 xml:space="preserve">2025年3月6日 </w:t>
      </w:r>
      <w:r>
        <w:rPr>
          <w:rFonts w:hint="eastAsia" w:ascii="仿宋_GB2312" w:hAnsi="仿宋_GB2312" w:eastAsia="仿宋_GB2312" w:cs="仿宋_GB2312"/>
          <w:b w:val="0"/>
          <w:bCs w:val="0"/>
          <w:color w:val="auto"/>
          <w:sz w:val="28"/>
          <w:szCs w:val="28"/>
          <w:highlight w:val="none"/>
          <w:lang w:val="en-US" w:eastAsia="zh-CN" w:bidi="ar-SA"/>
        </w:rPr>
        <w:t xml:space="preserve">  </w:t>
      </w:r>
    </w:p>
    <w:p w14:paraId="518FFDC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72392A7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77699BF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34E335A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3E51285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142C09D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1C33D90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SA"/>
        </w:rPr>
      </w:pPr>
    </w:p>
    <w:p w14:paraId="06158719">
      <w:pPr>
        <w:keepNext w:val="0"/>
        <w:keepLines w:val="0"/>
        <w:pageBreakBefore w:val="0"/>
        <w:widowControl/>
        <w:kinsoku/>
        <w:wordWrap/>
        <w:overflowPunct/>
        <w:topLinePunct w:val="0"/>
        <w:autoSpaceDE/>
        <w:autoSpaceDN/>
        <w:bidi w:val="0"/>
        <w:adjustRightInd/>
        <w:snapToGrid/>
        <w:spacing w:line="520" w:lineRule="exact"/>
        <w:ind w:firstLine="562" w:firstLineChars="20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rPr>
        <w:t>第二章 采购需求</w:t>
      </w:r>
    </w:p>
    <w:p w14:paraId="54147B07">
      <w:pPr>
        <w:keepNext w:val="0"/>
        <w:keepLines w:val="0"/>
        <w:widowControl/>
        <w:suppressLineNumbers w:val="0"/>
        <w:jc w:val="left"/>
        <w:rPr>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说明： </w:t>
      </w:r>
    </w:p>
    <w:p w14:paraId="5E8C9E6D">
      <w:pPr>
        <w:keepNext w:val="0"/>
        <w:keepLines w:val="0"/>
        <w:widowControl/>
        <w:suppressLineNumbers w:val="0"/>
        <w:jc w:val="both"/>
        <w:rPr>
          <w:color w:val="auto"/>
          <w:sz w:val="21"/>
          <w:szCs w:val="21"/>
          <w:highlight w:val="none"/>
        </w:rPr>
      </w:pPr>
      <w:r>
        <w:rPr>
          <w:rFonts w:hint="eastAsia" w:ascii="宋体" w:hAnsi="宋体" w:eastAsia="宋体" w:cs="宋体"/>
          <w:color w:val="auto"/>
          <w:kern w:val="0"/>
          <w:sz w:val="21"/>
          <w:szCs w:val="21"/>
          <w:highlight w:val="none"/>
          <w:lang w:val="en-US" w:eastAsia="zh-CN" w:bidi="ar"/>
        </w:rPr>
        <w:t>1.采购需求中如出现品牌、型号或者生产厂家等均仅起参考作用，不属于指定品牌、型号或者生产厂家的情形，投标人可参照或者选用其他相当</w:t>
      </w:r>
      <w:r>
        <w:rPr>
          <w:rFonts w:hint="eastAsia" w:ascii="宋体" w:hAnsi="宋体" w:eastAsia="宋体" w:cs="宋体"/>
          <w:color w:val="auto"/>
          <w:kern w:val="0"/>
          <w:sz w:val="21"/>
          <w:szCs w:val="21"/>
          <w:highlight w:val="none"/>
          <w:lang w:val="en-US" w:eastAsia="zh-CN" w:bidi="ar"/>
        </w:rPr>
        <w:t>及以上</w:t>
      </w:r>
      <w:r>
        <w:rPr>
          <w:rFonts w:hint="eastAsia" w:ascii="宋体" w:hAnsi="宋体" w:eastAsia="宋体" w:cs="宋体"/>
          <w:color w:val="auto"/>
          <w:kern w:val="0"/>
          <w:sz w:val="21"/>
          <w:szCs w:val="21"/>
          <w:highlight w:val="none"/>
          <w:lang w:val="en-US" w:eastAsia="zh-CN" w:bidi="ar"/>
        </w:rPr>
        <w:t xml:space="preserve">的品牌、型号或者生产供应商替代。但投标人的产品实质上应相当于或优于本需求中的技术要求。 </w:t>
      </w:r>
    </w:p>
    <w:p w14:paraId="2E6CCA20">
      <w:pPr>
        <w:keepNext w:val="0"/>
        <w:keepLines w:val="0"/>
        <w:widowControl/>
        <w:suppressLineNumbers w:val="0"/>
        <w:jc w:val="both"/>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2.根据《财政部 发展改革委 生态环境部 市场监管总局关于调整优化节能产品、环境标志产品政府采购执行机制的通知》（财库〔2019〕9 号）和《关于印发节能产品政府采购品目清单的通知》（财库〔2019〕19 号）的规定，采购需求中如有货物产品，且货物产品属于节能产品政府采购品目清单内标注“★”的，投标人的投标货物必须使用政府强制采购的节能产品，否则投标文件作无效处理。 </w:t>
      </w:r>
    </w:p>
    <w:p w14:paraId="2A629891">
      <w:pPr>
        <w:keepNext w:val="0"/>
        <w:keepLines w:val="0"/>
        <w:widowControl/>
        <w:suppressLineNumbers w:val="0"/>
        <w:jc w:val="both"/>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3.如投标人投标产品存在侵犯他人的知识产权或者专利成果行为的，由投标人自行承担相应法律责任。 </w:t>
      </w:r>
    </w:p>
    <w:p w14:paraId="7C7404FE">
      <w:pPr>
        <w:keepNext w:val="0"/>
        <w:keepLines w:val="0"/>
        <w:widowControl/>
        <w:suppressLineNumbers w:val="0"/>
        <w:jc w:val="both"/>
        <w:rPr>
          <w:color w:val="auto"/>
          <w:sz w:val="21"/>
          <w:szCs w:val="21"/>
          <w:highlight w:val="none"/>
        </w:rPr>
      </w:pPr>
      <w:r>
        <w:rPr>
          <w:rFonts w:hint="eastAsia" w:ascii="宋体" w:hAnsi="宋体" w:eastAsia="宋体" w:cs="宋体"/>
          <w:color w:val="auto"/>
          <w:kern w:val="0"/>
          <w:sz w:val="21"/>
          <w:szCs w:val="21"/>
          <w:highlight w:val="none"/>
          <w:lang w:val="en-US" w:eastAsia="zh-CN" w:bidi="ar"/>
        </w:rPr>
        <w:t>4.“实质性要求”是指招标文件中已经指明不满足则投标无效的条款，或者不能负偏离的条款，</w:t>
      </w:r>
      <w:r>
        <w:rPr>
          <w:rFonts w:hint="eastAsia" w:ascii="宋体" w:hAnsi="宋体" w:eastAsia="宋体" w:cs="宋体"/>
          <w:b/>
          <w:bCs/>
          <w:color w:val="auto"/>
          <w:kern w:val="0"/>
          <w:sz w:val="21"/>
          <w:szCs w:val="21"/>
          <w:highlight w:val="none"/>
          <w:lang w:val="en-US" w:eastAsia="zh-CN" w:bidi="ar"/>
        </w:rPr>
        <w:t>本项目采购需求中所有条款均为实质性要求。</w:t>
      </w:r>
    </w:p>
    <w:p w14:paraId="6BE165F6">
      <w:pPr>
        <w:spacing w:line="560" w:lineRule="exact"/>
        <w:ind w:firstLine="562" w:firstLineChars="200"/>
        <w:rPr>
          <w:rFonts w:hint="eastAsia" w:ascii="黑体" w:hAnsi="宋体" w:eastAsia="黑体" w:cs="黑体"/>
          <w:b/>
          <w:bCs/>
          <w:color w:val="auto"/>
          <w:kern w:val="0"/>
          <w:sz w:val="28"/>
          <w:szCs w:val="28"/>
          <w:highlight w:val="none"/>
          <w:lang w:val="en-US" w:eastAsia="zh-CN" w:bidi="ar"/>
        </w:rPr>
      </w:pPr>
      <w:r>
        <w:rPr>
          <w:rFonts w:hint="eastAsia" w:ascii="黑体" w:hAnsi="宋体" w:eastAsia="黑体" w:cs="黑体"/>
          <w:b/>
          <w:bCs/>
          <w:color w:val="auto"/>
          <w:kern w:val="0"/>
          <w:sz w:val="28"/>
          <w:szCs w:val="28"/>
          <w:highlight w:val="none"/>
          <w:lang w:val="en-US" w:eastAsia="zh-CN" w:bidi="ar"/>
        </w:rPr>
        <w:t>一、技术及服务要求</w:t>
      </w:r>
    </w:p>
    <w:p w14:paraId="3FDEBB24">
      <w:pPr>
        <w:pStyle w:val="2"/>
        <w:keepNext w:val="0"/>
        <w:keepLines w:val="0"/>
        <w:pageBreakBefore w:val="0"/>
        <w:widowControl/>
        <w:kinsoku/>
        <w:wordWrap/>
        <w:overflowPunct/>
        <w:topLinePunct w:val="0"/>
        <w:autoSpaceDE/>
        <w:autoSpaceDN/>
        <w:bidi w:val="0"/>
        <w:adjustRightInd/>
        <w:snapToGrid/>
        <w:spacing w:line="520" w:lineRule="exact"/>
        <w:ind w:left="163" w:leftChars="68" w:firstLine="413" w:firstLineChars="147"/>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一</w:t>
      </w:r>
      <w:r>
        <w:rPr>
          <w:rFonts w:hint="eastAsia" w:ascii="仿宋_GB2312" w:hAnsi="仿宋_GB2312" w:eastAsia="仿宋_GB2312" w:cs="仿宋_GB2312"/>
          <w:b/>
          <w:bCs/>
          <w:color w:val="auto"/>
          <w:sz w:val="28"/>
          <w:szCs w:val="28"/>
          <w:highlight w:val="none"/>
          <w:lang w:eastAsia="zh-CN"/>
        </w:rPr>
        <w:t>）工程类型：</w:t>
      </w:r>
      <w:r>
        <w:rPr>
          <w:rFonts w:hint="eastAsia" w:ascii="仿宋_GB2312" w:hAnsi="仿宋_GB2312" w:eastAsia="仿宋_GB2312" w:cs="仿宋_GB2312"/>
          <w:color w:val="auto"/>
          <w:sz w:val="28"/>
          <w:szCs w:val="28"/>
          <w:highlight w:val="none"/>
          <w:lang w:eastAsia="zh-CN"/>
        </w:rPr>
        <w:t>预算金额5万元以下（不含5万元）的医院零星装（维）修工程、小型修缮工程项目、日常零星维修任务。承包方式：包工包料，即承包人负责施工及采购工程所需的全部主材、辅材。</w:t>
      </w:r>
    </w:p>
    <w:p w14:paraId="1F3E998F">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color w:val="auto"/>
          <w:sz w:val="28"/>
          <w:szCs w:val="28"/>
          <w:highlight w:val="none"/>
          <w:shd w:val="clear" w:color="auto" w:fill="FFFFFF"/>
          <w:lang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二</w:t>
      </w:r>
      <w:r>
        <w:rPr>
          <w:rFonts w:hint="eastAsia" w:ascii="仿宋_GB2312" w:hAnsi="仿宋_GB2312" w:eastAsia="仿宋_GB2312" w:cs="仿宋_GB2312"/>
          <w:b/>
          <w:bCs/>
          <w:color w:val="auto"/>
          <w:sz w:val="28"/>
          <w:szCs w:val="28"/>
          <w:highlight w:val="none"/>
          <w:lang w:eastAsia="zh-CN"/>
        </w:rPr>
        <w:t>）工程地址：</w:t>
      </w:r>
      <w:r>
        <w:rPr>
          <w:rFonts w:hint="eastAsia" w:ascii="仿宋_GB2312" w:hAnsi="仿宋_GB2312" w:eastAsia="仿宋_GB2312" w:cs="仿宋_GB2312"/>
          <w:b w:val="0"/>
          <w:bCs w:val="0"/>
          <w:color w:val="auto"/>
          <w:sz w:val="28"/>
          <w:szCs w:val="28"/>
          <w:highlight w:val="none"/>
          <w:lang w:val="en-US" w:eastAsia="zh-CN" w:bidi="ar-SA"/>
        </w:rPr>
        <w:t>广西骨伤医院新民院区（南宁市新民路32号）；方园社区卫生服务中心（南宁市长园路26号）；长虹社区卫生服务中心（南宁市青秀区长虹路5号）；</w:t>
      </w:r>
      <w:r>
        <w:rPr>
          <w:rFonts w:hint="eastAsia" w:ascii="仿宋_GB2312" w:hAnsi="仿宋_GB2312" w:eastAsia="仿宋_GB2312" w:cs="仿宋_GB2312"/>
          <w:b w:val="0"/>
          <w:bCs w:val="0"/>
          <w:color w:val="auto"/>
          <w:sz w:val="28"/>
          <w:szCs w:val="28"/>
          <w:highlight w:val="none"/>
          <w:lang w:val="en-US" w:eastAsia="zh-CN" w:bidi="ar-SA"/>
        </w:rPr>
        <w:t>广西骨伤医院民生路门诊（民生路14号）</w:t>
      </w:r>
      <w:r>
        <w:rPr>
          <w:rFonts w:hint="eastAsia" w:ascii="仿宋_GB2312" w:hAnsi="仿宋_GB2312" w:eastAsia="仿宋_GB2312" w:cs="仿宋_GB2312"/>
          <w:color w:val="auto"/>
          <w:sz w:val="28"/>
          <w:szCs w:val="28"/>
          <w:highlight w:val="none"/>
          <w:shd w:val="clear" w:color="auto" w:fill="FFFFFF"/>
          <w:lang w:eastAsia="zh-CN"/>
        </w:rPr>
        <w:t>。</w:t>
      </w:r>
    </w:p>
    <w:p w14:paraId="17A8F51E">
      <w:pPr>
        <w:keepNext w:val="0"/>
        <w:keepLines w:val="0"/>
        <w:pageBreakBefore w:val="0"/>
        <w:widowControl/>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三</w:t>
      </w:r>
      <w:r>
        <w:rPr>
          <w:rFonts w:hint="eastAsia" w:ascii="仿宋_GB2312" w:hAnsi="仿宋_GB2312" w:eastAsia="仿宋_GB2312" w:cs="仿宋_GB2312"/>
          <w:b/>
          <w:bCs/>
          <w:color w:val="auto"/>
          <w:sz w:val="28"/>
          <w:szCs w:val="28"/>
          <w:highlight w:val="none"/>
          <w:lang w:eastAsia="zh-CN"/>
        </w:rPr>
        <w:t>）服务内容</w:t>
      </w:r>
      <w:r>
        <w:rPr>
          <w:rFonts w:hint="eastAsia" w:ascii="仿宋_GB2312" w:hAnsi="仿宋_GB2312" w:eastAsia="仿宋_GB2312" w:cs="仿宋_GB2312"/>
          <w:color w:val="auto"/>
          <w:sz w:val="28"/>
          <w:szCs w:val="28"/>
          <w:highlight w:val="none"/>
          <w:lang w:eastAsia="zh-CN"/>
        </w:rPr>
        <w:t>：</w:t>
      </w:r>
    </w:p>
    <w:p w14:paraId="343DCFF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内容包括但不限于：</w:t>
      </w:r>
    </w:p>
    <w:p w14:paraId="186AB97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1.临时性任务：按业主要求完成如搬运物品、挂横幅、搭建临时帐篷、协助有关科室拉网线和电话线等临时性任务。</w:t>
      </w:r>
    </w:p>
    <w:p w14:paraId="0BBADA5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2.家具易损件维修：维修和更换各类门锁和窗锁、急开锁及撬锁、修柜门、维修科室凳子及医院候诊椅，维修科室的床帘及窗帘、柜体制作、焊接防盗、门窗安装等。</w:t>
      </w:r>
    </w:p>
    <w:p w14:paraId="2D2825B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室内外装（维）修项目：钻孔、打洞、钉挂钩、隔墙、拆墙、砌砖墙、批灰、木地板铺设、地砖铺设、地板胶的铺设及维修、石膏角线安装、吊顶装饰、扣板安装、腻子乳胶漆施工、线槽配线、塑料线管、管内穿线、道路施工（含混凝土、沥青路面敷设）、挖土方、排水管排污管更换或安装、高空更换幕墙玻璃、卫生洁具安装、防水补漏工程、管道（卫厕）疏通、爬吊顶拉线，检查漏水点、扶手安装、不锈钢制作与安装等各类装饰装修工程、焊接工程、安装工程等零星维修项目。</w:t>
      </w:r>
    </w:p>
    <w:p w14:paraId="17EDA124">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四</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服务要求</w:t>
      </w:r>
    </w:p>
    <w:p w14:paraId="5CA9F161">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技术要求：</w:t>
      </w:r>
    </w:p>
    <w:p w14:paraId="536CBAA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维（装）修施工单位须具备完成工程建设所需要的技术、人力资源，有一定的资金实力、信誉度较好，派驻现场的施工队负责本院维（装）修工作，需配备：管理人员、预算员、各类任务的现场施工员、技术员，保证及时完成有关工作。</w:t>
      </w:r>
    </w:p>
    <w:p w14:paraId="7FAD948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2.施工队在维（装）修工程中制定的工程材料费、施工设施费、人工费等项目工程预算须符合施工期间当期的南宁市信息价，并进行计价。</w:t>
      </w:r>
    </w:p>
    <w:p w14:paraId="2633F37B">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3.中标人须加强施工队的组织管理，必须严格遵守医院规章制度和疫情防控要求。</w:t>
      </w:r>
    </w:p>
    <w:p w14:paraId="5DA73BF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遵守文明安全施工的有关规章制度，持证上岗，在施工过程中按规定佩戴好安全帽、系好安全绳等。施工时不得影响医院的正常医疗秩序，并尽量减小对患者及医务人员工作、休息的影响；做好成品保护，若有损坏照价赔偿并承担其他带来的后果；设立围挡并合理堆放材料、机器，划分出施工区域做好警示标识；及时清运垃圾并清理干净现场，做好防尘、控制噪音、不给科室带来不便的措施。</w:t>
      </w:r>
    </w:p>
    <w:p w14:paraId="4EE35A35">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遵守消防安全管理条例，在电线改造、使用器械施工等易产生明火的过程中，必须操作得当，并配备相应的灭火器材，施工工程中以及特殊天气施工时要及时排除安全隐患，施工过程中出现的各类安全事故由中标人承担</w:t>
      </w:r>
    </w:p>
    <w:p w14:paraId="1D6DFFA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6.除管理人员外，中午，晚上，节假日（包括春节）各施工队至少有一人值班，且该人需具备开锁等必备技能。常驻院区施工队的工种需配备齐全，至少需要配备：防水工、水电工、木工，油漆工，电焊工、杂工等工种。</w:t>
      </w:r>
    </w:p>
    <w:p w14:paraId="32A3422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7.零星维修工程任务急、时间紧、琐碎而繁杂，因此要求施工单位全年必须随叫随到（在接到业主通知后2小时之内进行维修现场处理，被业主告知是紧急情况时需要在15分钟内到现场处理；单项工程需在和业主商定的时间内完成。若因特殊原因超时需和业主做好沟通工作，若因自身原因导致工程超时则按规定处理），全天24小时无论何时发生紧急情况，施工方都需调配足够人手进行抢修，服从招标人安排和管理。中标单位必须对采购人提出的施工需求及时响应，按时完成设计、预算、维修施工（安装）等零星施工需求，不得以数量少、工作难做、人手少等理由拒绝或拖延，应该在接到招标人维修施工通知后迅速组织施工，并及时完成。</w:t>
      </w:r>
    </w:p>
    <w:p w14:paraId="1469E4E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8.工程质量标准应达到国家有关施工质量验收规范和标准要求。施工材料品牌必须等于或优于业主要求品牌，材料质量良好，材料未出现损坏或没达到正常使用条件的情况，不偷工减料，保质保量，验收能一次性通过。不会因施工工艺不当等原因导致施工工程中产生质量问题、工期延误问题。</w:t>
      </w:r>
    </w:p>
    <w:p w14:paraId="0334658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9.管理人员、工人服务态度良好、语气温和，使用文明用语，不得辱骂医务人员，不得有偷盗行为，积极配合业主按时、高效完成各项工作，及时向业主反馈施工进度、完成情况，下科室施工时及时和科室做好解释工作和做好施工准备工作，无被科室投诉的情况发生；</w:t>
      </w:r>
    </w:p>
    <w:p w14:paraId="1AE395D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10.工人无磨洋工情况、不配合业主和科室的情况。</w:t>
      </w:r>
    </w:p>
    <w:p w14:paraId="1D0C277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11.中标公司需遵守医院相关规定并接受“工程考评标准”。</w:t>
      </w:r>
    </w:p>
    <w:p w14:paraId="353D4D3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以上要求必须遵守，如果有任何一条或多条同时出现3次问题，经警告或者批评教育后仍不纠正，则暂停合同履行，并列入我院招标黑名单。（以上要求必须遵守，如果有任何一条或多条同时视为违约。违约第一次，甲方给予警告处理；违约累计二次，甲方有权处违约金5000元；违约累计三次，甲方有权处违约金10000元，并有权终止合同。乙方违约造成甲方损失的，应按有关规定赔偿因违约给甲方造成的损失。）</w:t>
      </w:r>
    </w:p>
    <w:p w14:paraId="7A04B8FD">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bidi="ar-SA"/>
        </w:rPr>
        <w:t>12.</w:t>
      </w:r>
      <w:r>
        <w:rPr>
          <w:rFonts w:hint="eastAsia" w:ascii="仿宋_GB2312" w:hAnsi="仿宋_GB2312" w:eastAsia="仿宋_GB2312" w:cs="仿宋_GB2312"/>
          <w:color w:val="auto"/>
          <w:sz w:val="28"/>
          <w:szCs w:val="28"/>
          <w:highlight w:val="none"/>
          <w:lang w:eastAsia="zh-CN"/>
        </w:rPr>
        <w:t>中标公司在</w:t>
      </w:r>
      <w:r>
        <w:rPr>
          <w:rFonts w:hint="eastAsia" w:ascii="仿宋_GB2312" w:hAnsi="仿宋_GB2312" w:eastAsia="仿宋_GB2312" w:cs="仿宋_GB2312"/>
          <w:color w:val="auto"/>
          <w:sz w:val="28"/>
          <w:szCs w:val="28"/>
          <w:highlight w:val="none"/>
          <w:lang w:val="en-US" w:eastAsia="zh-CN"/>
        </w:rPr>
        <w:t>维修、施工作业</w:t>
      </w:r>
      <w:r>
        <w:rPr>
          <w:rFonts w:hint="eastAsia" w:ascii="仿宋_GB2312" w:hAnsi="仿宋_GB2312" w:eastAsia="仿宋_GB2312" w:cs="仿宋_GB2312"/>
          <w:color w:val="auto"/>
          <w:sz w:val="28"/>
          <w:szCs w:val="28"/>
          <w:highlight w:val="none"/>
          <w:lang w:eastAsia="zh-CN"/>
        </w:rPr>
        <w:t>期间，负责培训所有工作人员合规操作各项设施、设备，并做好安全保障工作，做好相应各种紧急事件的预案制度。在</w:t>
      </w:r>
      <w:r>
        <w:rPr>
          <w:rFonts w:hint="eastAsia" w:ascii="仿宋_GB2312" w:hAnsi="仿宋_GB2312" w:eastAsia="仿宋_GB2312" w:cs="仿宋_GB2312"/>
          <w:color w:val="auto"/>
          <w:sz w:val="28"/>
          <w:szCs w:val="28"/>
          <w:highlight w:val="none"/>
          <w:lang w:val="en-US" w:eastAsia="zh-CN"/>
        </w:rPr>
        <w:t>维修、施工作业</w:t>
      </w:r>
      <w:r>
        <w:rPr>
          <w:rFonts w:hint="eastAsia" w:ascii="仿宋_GB2312" w:hAnsi="仿宋_GB2312" w:eastAsia="仿宋_GB2312" w:cs="仿宋_GB2312"/>
          <w:color w:val="auto"/>
          <w:sz w:val="28"/>
          <w:szCs w:val="28"/>
          <w:highlight w:val="none"/>
          <w:lang w:eastAsia="zh-CN"/>
        </w:rPr>
        <w:t>期间，确保安全生产，对人身、财产安全做好指导、监督、管理工作，避免对相关人员、财产造成任何损害。如造成任何人身、财产损害的，由乙方承担一切法律责任。</w:t>
      </w:r>
    </w:p>
    <w:p w14:paraId="03196ACE">
      <w:pPr>
        <w:keepNext w:val="0"/>
        <w:keepLines w:val="0"/>
        <w:pageBreakBefore w:val="0"/>
        <w:widowControl/>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color w:val="auto"/>
          <w:sz w:val="28"/>
          <w:szCs w:val="28"/>
          <w:highlight w:val="none"/>
          <w:lang w:val="en-US" w:eastAsia="zh-CN"/>
        </w:rPr>
      </w:pPr>
    </w:p>
    <w:p w14:paraId="7C092514">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服务响应时间要求：</w:t>
      </w:r>
    </w:p>
    <w:p w14:paraId="0358A92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承包人必须按工程开工令规定的时间竣工，若不能按工程开工令规定的时间竣工，应向发包人支付误期赔偿费（每天赔偿金额为单项工程合同金额的千分之一），误期时间从工程开工令规定的竣工日期起到发包人对承包人申请竣工验收函签章日期之间的天数，若发包人组织验收时工程质量不合格需整改至工程质量合格的，则承包人整改天数抵扣提前完工天数的差额累计入误期时间（扣除发包人批准顺延的工期），误期赔偿费极限为单项工程合同金额的5%。违约金的总额在结算时抵减工程造价款。违约金的支付不能抵消承包人应完成的工程责任。当承包人不按工程开工令规定的时间竣工，误期赔偿费达到合同价款的5%时，发包人有权终止本施工合同，所造成的损失由承包人承担。</w:t>
      </w:r>
    </w:p>
    <w:p w14:paraId="239B0C7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工程未能一次性通过竣工验收的，承包人应按照发包人的要求在指定时间内进行整改，由此增加的费用和延误的工期由承包人承担。如承包人整改后的工程仍验收不合格的，承包人应当向发包人支付合同总价款5%的违约金。如承包人拒绝整改发包人有权解除本合同，不予支付剩余合同价款，并要求承包人以</w:t>
      </w:r>
      <w:r>
        <w:rPr>
          <w:rFonts w:hint="eastAsia" w:ascii="仿宋_GB2312" w:hAnsi="仿宋_GB2312" w:eastAsia="仿宋_GB2312" w:cs="仿宋_GB2312"/>
          <w:bCs/>
          <w:color w:val="auto"/>
          <w:sz w:val="28"/>
          <w:szCs w:val="28"/>
          <w:highlight w:val="none"/>
          <w:lang w:eastAsia="zh-CN"/>
        </w:rPr>
        <w:t>履约质保金</w:t>
      </w:r>
      <w:r>
        <w:rPr>
          <w:rFonts w:hint="eastAsia" w:ascii="仿宋_GB2312" w:hAnsi="仿宋_GB2312" w:eastAsia="仿宋_GB2312" w:cs="仿宋_GB2312"/>
          <w:color w:val="auto"/>
          <w:sz w:val="28"/>
          <w:szCs w:val="28"/>
          <w:highlight w:val="none"/>
          <w:lang w:eastAsia="zh-CN"/>
        </w:rPr>
        <w:t>弥补发包人损失的，承包人还应负责赔偿。</w:t>
      </w:r>
    </w:p>
    <w:p w14:paraId="49E39CB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3.承包人对报送发包人竣工资料的真实性、完整性负责，竣工资料如与实际不符，每发现一处承包人应向发包人支付违约金1000元。</w:t>
      </w:r>
    </w:p>
    <w:p w14:paraId="044A51A3">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4.承包人擅自停工或明确表示或以其行为表明不履行合同主要义务的，发包人有权解除合同，并要求承包人以</w:t>
      </w:r>
      <w:r>
        <w:rPr>
          <w:rFonts w:hint="eastAsia" w:ascii="仿宋_GB2312" w:hAnsi="仿宋_GB2312" w:eastAsia="仿宋_GB2312" w:cs="仿宋_GB2312"/>
          <w:bCs/>
          <w:color w:val="auto"/>
          <w:sz w:val="28"/>
          <w:szCs w:val="28"/>
          <w:highlight w:val="none"/>
          <w:lang w:eastAsia="zh-CN"/>
        </w:rPr>
        <w:t>履约质保金</w:t>
      </w:r>
      <w:r>
        <w:rPr>
          <w:rFonts w:hint="eastAsia" w:ascii="仿宋_GB2312" w:hAnsi="仿宋_GB2312" w:eastAsia="仿宋_GB2312" w:cs="仿宋_GB2312"/>
          <w:color w:val="auto"/>
          <w:sz w:val="28"/>
          <w:szCs w:val="28"/>
          <w:highlight w:val="none"/>
          <w:lang w:eastAsia="zh-CN"/>
        </w:rPr>
        <w:t>弥补发包人损失的，承包人还应负责赔偿。</w:t>
      </w:r>
    </w:p>
    <w:p w14:paraId="133B8A6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属于保修范围、内容的项目，承包人应当在接到保修通知之日起3天内派人保修。承包人不在约定期限内派人保修的，发包人可以委托他人修理，修理费用从质量保修金或者履约保证金内扣除。</w:t>
      </w:r>
    </w:p>
    <w:p w14:paraId="04F94991">
      <w:pPr>
        <w:pStyle w:val="7"/>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 xml:space="preserve">    6.同一问题经3次维修仍未能修复的或者承包人连续3次以上拒绝维修的，发包人可以不通知承包人直接委托他人修理，所需费用由承包人全部承担，费用从质量保修金或者履约保证金内扣除。</w:t>
      </w:r>
    </w:p>
    <w:p w14:paraId="2C7835DD">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7</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发生紧急事故需抢修的，承包人在接到事故通知后，应当立即到达事故现场抢修。</w:t>
      </w:r>
    </w:p>
    <w:p w14:paraId="17297A73">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8</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对于涉及结构安全的质量问题，应当按照《建设工程质量管理条例》的规定，立即向有关部门报告，采取安全防范措施，并由原设计人或者具有相应资质等级的设计人提出保修方案，承包人实施保修，因承包人原因致使工程在合理使用期限内造成人身和财产损害的，承包人应承担损害赔偿责任。</w:t>
      </w:r>
    </w:p>
    <w:p w14:paraId="324633A4">
      <w:pPr>
        <w:pStyle w:val="7"/>
        <w:keepNext w:val="0"/>
        <w:keepLines w:val="0"/>
        <w:pageBreakBefore w:val="0"/>
        <w:widowControl/>
        <w:kinsoku/>
        <w:wordWrap/>
        <w:overflowPunct/>
        <w:topLinePunct w:val="0"/>
        <w:autoSpaceDE/>
        <w:autoSpaceDN/>
        <w:bidi w:val="0"/>
        <w:adjustRightInd/>
        <w:snapToGrid/>
        <w:spacing w:line="520" w:lineRule="exact"/>
        <w:ind w:firstLine="561"/>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9.保修期内，因工程缺陷、损坏或承包人未按约定履行保修义务造成房屋所有人、使用人或第三方人身、财产损害的，承包人应承担赔偿责任。若发包人因此被追责、索赔的，发包人有权向承包人追偿包括但不限于诉讼费、仲裁费、保全费、律师费等全部费用。</w:t>
      </w:r>
    </w:p>
    <w:p w14:paraId="199C9C5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10</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质保期内，若承包人拒不履行质量保修义务的，视为承包人违约，发包人有权解除合同、扣除全部履约保证金及质量保证金。</w:t>
      </w:r>
    </w:p>
    <w:p w14:paraId="228F56E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11.质量保修完成后，由发包人组织验收。</w:t>
      </w:r>
    </w:p>
    <w:p w14:paraId="19C0A1B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w:t>
      </w:r>
      <w:r>
        <w:rPr>
          <w:rFonts w:hint="eastAsia" w:ascii="仿宋_GB2312" w:hAnsi="仿宋_GB2312" w:eastAsia="仿宋_GB2312" w:cs="仿宋_GB2312"/>
          <w:color w:val="auto"/>
          <w:sz w:val="28"/>
          <w:szCs w:val="28"/>
          <w:highlight w:val="none"/>
          <w:lang w:val="en-US" w:eastAsia="zh-CN"/>
        </w:rPr>
        <w:t>医院通过书面或微信提交零星维修工程需求后，公司超过72小时未响应的，医院有权对该维修工程另行招标完成维修工作</w:t>
      </w:r>
      <w:r>
        <w:rPr>
          <w:rFonts w:hint="eastAsia" w:ascii="仿宋_GB2312" w:hAnsi="仿宋_GB2312" w:eastAsia="仿宋_GB2312" w:cs="仿宋_GB2312"/>
          <w:color w:val="auto"/>
          <w:sz w:val="28"/>
          <w:szCs w:val="28"/>
          <w:highlight w:val="none"/>
          <w:lang w:val="en-US" w:eastAsia="zh-CN"/>
        </w:rPr>
        <w:t>。</w:t>
      </w:r>
    </w:p>
    <w:p w14:paraId="7D034B13">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其他条款：</w:t>
      </w:r>
    </w:p>
    <w:p w14:paraId="54C0955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发包人向承包人提供水、电、路三通，水电费由承包人承担。若供电部门的原因造成停电，承包人必须自行解决施工用电，费用自理。工程水电费金额按工程审计结算书中的水电消耗量和政府主管部门颁布的水电费单价计算，工程审计结算完成支付至工程结算总价97%工程款前，承包人应向发包人足额交纳工程水电费。</w:t>
      </w:r>
    </w:p>
    <w:p w14:paraId="09AE2935">
      <w:pPr>
        <w:pStyle w:val="7"/>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2.因施工导致人员伤亡和财产损失以及运至施工场地用于施工的材料和待安装的设备的损害，由承包人承担赔偿责任。</w:t>
      </w:r>
    </w:p>
    <w:p w14:paraId="191AD58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3.发包人不提供办公场所、工人生活场所及施工物资设备存放场所，由中标零星施工队自行解决。</w:t>
      </w:r>
    </w:p>
    <w:p w14:paraId="26B7C009">
      <w:pPr>
        <w:keepNext w:val="0"/>
        <w:keepLines w:val="0"/>
        <w:pageBreakBefore w:val="0"/>
        <w:widowControl/>
        <w:kinsoku/>
        <w:wordWrap/>
        <w:overflowPunct/>
        <w:topLinePunct w:val="0"/>
        <w:autoSpaceDE/>
        <w:autoSpaceDN/>
        <w:bidi w:val="0"/>
        <w:adjustRightInd/>
        <w:snapToGrid/>
        <w:spacing w:line="520" w:lineRule="exact"/>
        <w:ind w:firstLine="570" w:firstLineChars="200"/>
        <w:jc w:val="both"/>
        <w:textAlignment w:val="auto"/>
        <w:rPr>
          <w:rFonts w:hint="default" w:ascii="仿宋_GB2312" w:hAnsi="仿宋_GB2312" w:eastAsia="仿宋_GB2312" w:cs="仿宋_GB2312"/>
          <w:b/>
          <w:bCs w:val="0"/>
          <w:color w:val="auto"/>
          <w:spacing w:val="2"/>
          <w:sz w:val="28"/>
          <w:szCs w:val="28"/>
          <w:highlight w:val="none"/>
          <w:lang w:val="en-US" w:eastAsia="zh-CN"/>
        </w:rPr>
      </w:pPr>
      <w:r>
        <w:rPr>
          <w:rFonts w:hint="eastAsia" w:ascii="仿宋_GB2312" w:hAnsi="仿宋_GB2312" w:eastAsia="仿宋_GB2312" w:cs="仿宋_GB2312"/>
          <w:b/>
          <w:bCs w:val="0"/>
          <w:color w:val="auto"/>
          <w:spacing w:val="2"/>
          <w:sz w:val="28"/>
          <w:szCs w:val="28"/>
          <w:highlight w:val="none"/>
          <w:lang w:eastAsia="zh-CN"/>
        </w:rPr>
        <w:t>（</w:t>
      </w:r>
      <w:r>
        <w:rPr>
          <w:rFonts w:hint="eastAsia" w:ascii="仿宋_GB2312" w:hAnsi="仿宋_GB2312" w:eastAsia="仿宋_GB2312" w:cs="仿宋_GB2312"/>
          <w:b/>
          <w:bCs w:val="0"/>
          <w:color w:val="auto"/>
          <w:spacing w:val="2"/>
          <w:sz w:val="28"/>
          <w:szCs w:val="28"/>
          <w:highlight w:val="none"/>
          <w:lang w:val="en-US" w:eastAsia="zh-CN"/>
        </w:rPr>
        <w:t>五</w:t>
      </w:r>
      <w:r>
        <w:rPr>
          <w:rFonts w:hint="eastAsia" w:ascii="仿宋_GB2312" w:hAnsi="仿宋_GB2312" w:eastAsia="仿宋_GB2312" w:cs="仿宋_GB2312"/>
          <w:b/>
          <w:bCs w:val="0"/>
          <w:color w:val="auto"/>
          <w:spacing w:val="2"/>
          <w:sz w:val="28"/>
          <w:szCs w:val="28"/>
          <w:highlight w:val="none"/>
          <w:lang w:eastAsia="zh-CN"/>
        </w:rPr>
        <w:t>）</w:t>
      </w:r>
      <w:r>
        <w:rPr>
          <w:rFonts w:hint="eastAsia" w:ascii="仿宋_GB2312" w:hAnsi="仿宋_GB2312" w:eastAsia="仿宋_GB2312" w:cs="仿宋_GB2312"/>
          <w:b/>
          <w:bCs w:val="0"/>
          <w:color w:val="auto"/>
          <w:spacing w:val="2"/>
          <w:sz w:val="28"/>
          <w:szCs w:val="28"/>
          <w:highlight w:val="none"/>
          <w:lang w:val="en-US" w:eastAsia="zh-CN"/>
        </w:rPr>
        <w:t>商务要求：</w:t>
      </w:r>
    </w:p>
    <w:p w14:paraId="4857C24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1.服务期限：服务期限为2年，合同每年一签，考评合格后续签第二年合同。具体以合同签订之日开始计算。</w:t>
      </w:r>
    </w:p>
    <w:p w14:paraId="4E8F2A8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val="en-US" w:eastAsia="zh-CN"/>
        </w:rPr>
        <w:t>2.服务地点：采购人指定地点。</w:t>
      </w:r>
    </w:p>
    <w:p w14:paraId="0230AE87">
      <w:pPr>
        <w:keepNext w:val="0"/>
        <w:keepLines w:val="0"/>
        <w:pageBreakBefore w:val="0"/>
        <w:widowControl/>
        <w:kinsoku/>
        <w:wordWrap/>
        <w:overflowPunct/>
        <w:topLinePunct w:val="0"/>
        <w:autoSpaceDE/>
        <w:autoSpaceDN/>
        <w:bidi w:val="0"/>
        <w:adjustRightInd/>
        <w:snapToGrid/>
        <w:spacing w:line="520" w:lineRule="exact"/>
        <w:ind w:firstLine="568" w:firstLineChars="200"/>
        <w:jc w:val="both"/>
        <w:textAlignment w:val="auto"/>
        <w:rPr>
          <w:rFonts w:hint="eastAsia" w:ascii="仿宋_GB2312" w:hAnsi="仿宋_GB2312" w:eastAsia="仿宋_GB2312" w:cs="仿宋_GB2312"/>
          <w:b/>
          <w:bCs w:val="0"/>
          <w:color w:val="auto"/>
          <w:sz w:val="28"/>
          <w:szCs w:val="28"/>
          <w:highlight w:val="none"/>
          <w:lang w:eastAsia="zh-CN"/>
        </w:rPr>
      </w:pPr>
      <w:r>
        <w:rPr>
          <w:rFonts w:hint="eastAsia" w:ascii="仿宋_GB2312" w:hAnsi="仿宋_GB2312" w:eastAsia="仿宋_GB2312" w:cs="仿宋_GB2312"/>
          <w:b w:val="0"/>
          <w:bCs/>
          <w:color w:val="auto"/>
          <w:spacing w:val="2"/>
          <w:sz w:val="28"/>
          <w:szCs w:val="28"/>
          <w:highlight w:val="none"/>
          <w:lang w:val="en-US" w:eastAsia="zh-CN"/>
        </w:rPr>
        <w:t>3.</w:t>
      </w:r>
      <w:r>
        <w:rPr>
          <w:rFonts w:hint="eastAsia" w:ascii="仿宋_GB2312" w:hAnsi="仿宋_GB2312" w:eastAsia="仿宋_GB2312" w:cs="仿宋_GB2312"/>
          <w:b w:val="0"/>
          <w:bCs/>
          <w:color w:val="auto"/>
          <w:spacing w:val="2"/>
          <w:sz w:val="28"/>
          <w:szCs w:val="28"/>
          <w:highlight w:val="none"/>
          <w:lang w:eastAsia="zh-CN"/>
        </w:rPr>
        <w:t>履</w:t>
      </w:r>
      <w:r>
        <w:rPr>
          <w:rFonts w:hint="eastAsia" w:ascii="仿宋_GB2312" w:hAnsi="仿宋_GB2312" w:eastAsia="仿宋_GB2312" w:cs="仿宋_GB2312"/>
          <w:b w:val="0"/>
          <w:bCs/>
          <w:color w:val="auto"/>
          <w:sz w:val="28"/>
          <w:szCs w:val="28"/>
          <w:highlight w:val="none"/>
          <w:lang w:eastAsia="zh-CN"/>
        </w:rPr>
        <w:t>约</w:t>
      </w:r>
      <w:r>
        <w:rPr>
          <w:rFonts w:hint="eastAsia" w:ascii="仿宋_GB2312" w:hAnsi="仿宋_GB2312" w:eastAsia="仿宋_GB2312" w:cs="仿宋_GB2312"/>
          <w:b w:val="0"/>
          <w:bCs/>
          <w:color w:val="auto"/>
          <w:spacing w:val="2"/>
          <w:sz w:val="28"/>
          <w:szCs w:val="28"/>
          <w:highlight w:val="none"/>
          <w:lang w:eastAsia="zh-CN"/>
        </w:rPr>
        <w:t>保</w:t>
      </w:r>
      <w:r>
        <w:rPr>
          <w:rFonts w:hint="eastAsia" w:ascii="仿宋_GB2312" w:hAnsi="仿宋_GB2312" w:eastAsia="仿宋_GB2312" w:cs="仿宋_GB2312"/>
          <w:b w:val="0"/>
          <w:bCs/>
          <w:color w:val="auto"/>
          <w:sz w:val="28"/>
          <w:szCs w:val="28"/>
          <w:highlight w:val="none"/>
          <w:lang w:eastAsia="zh-CN"/>
        </w:rPr>
        <w:t>证金：</w:t>
      </w:r>
    </w:p>
    <w:p w14:paraId="3AB5C82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lang w:eastAsia="zh-CN"/>
        </w:rPr>
        <w:t>）履约质保金：按人民币</w:t>
      </w:r>
      <w:r>
        <w:rPr>
          <w:rFonts w:hint="eastAsia" w:ascii="仿宋_GB2312" w:hAnsi="仿宋_GB2312" w:eastAsia="仿宋_GB2312" w:cs="仿宋_GB2312"/>
          <w:bCs/>
          <w:color w:val="auto"/>
          <w:sz w:val="28"/>
          <w:szCs w:val="28"/>
          <w:highlight w:val="none"/>
          <w:lang w:val="en-US" w:eastAsia="zh-CN"/>
        </w:rPr>
        <w:t>贰万</w:t>
      </w:r>
      <w:r>
        <w:rPr>
          <w:rFonts w:hint="eastAsia" w:ascii="仿宋_GB2312" w:hAnsi="仿宋_GB2312" w:eastAsia="仿宋_GB2312" w:cs="仿宋_GB2312"/>
          <w:bCs/>
          <w:color w:val="auto"/>
          <w:sz w:val="28"/>
          <w:szCs w:val="28"/>
          <w:highlight w:val="none"/>
          <w:lang w:eastAsia="zh-CN"/>
        </w:rPr>
        <w:t>元整（￥</w:t>
      </w:r>
      <w:r>
        <w:rPr>
          <w:rFonts w:hint="eastAsia" w:ascii="仿宋_GB2312" w:hAnsi="仿宋_GB2312" w:eastAsia="仿宋_GB2312" w:cs="仿宋_GB2312"/>
          <w:bCs/>
          <w:color w:val="auto"/>
          <w:sz w:val="28"/>
          <w:szCs w:val="28"/>
          <w:highlight w:val="none"/>
          <w:lang w:val="en-US" w:eastAsia="zh-CN"/>
        </w:rPr>
        <w:t>20000</w:t>
      </w:r>
      <w:r>
        <w:rPr>
          <w:rFonts w:hint="eastAsia" w:ascii="仿宋_GB2312" w:hAnsi="仿宋_GB2312" w:eastAsia="仿宋_GB2312" w:cs="仿宋_GB2312"/>
          <w:bCs/>
          <w:color w:val="auto"/>
          <w:sz w:val="28"/>
          <w:szCs w:val="28"/>
          <w:highlight w:val="none"/>
          <w:lang w:eastAsia="zh-CN"/>
        </w:rPr>
        <w:t>.00）。</w:t>
      </w:r>
    </w:p>
    <w:p w14:paraId="6682EE2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lang w:eastAsia="zh-CN"/>
        </w:rPr>
        <w:t>）在合同签订之前，施工单位需把履约保证金足额交到发包人指定账户。未提交履约保证金的，不予签订本合同。</w:t>
      </w:r>
    </w:p>
    <w:p w14:paraId="23E292E5">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lang w:eastAsia="zh-CN"/>
        </w:rPr>
        <w:t>）履约保证金的退还：由发包人负责办理。在合同期满后20个工作日内承包人提出书面申请，发包人在扣除承包人赔偿金或其他应从承包人扣回的款项后，一次性向承包人返还剩余部分的履约保证金（无息）。</w:t>
      </w:r>
    </w:p>
    <w:p w14:paraId="7465A888">
      <w:pPr>
        <w:keepNext w:val="0"/>
        <w:keepLines w:val="0"/>
        <w:pageBreakBefore w:val="0"/>
        <w:widowControl/>
        <w:kinsoku/>
        <w:wordWrap/>
        <w:overflowPunct/>
        <w:topLinePunct w:val="0"/>
        <w:autoSpaceDE/>
        <w:autoSpaceDN/>
        <w:bidi w:val="0"/>
        <w:adjustRightInd/>
        <w:snapToGrid/>
        <w:spacing w:line="520" w:lineRule="exact"/>
        <w:ind w:firstLine="568" w:firstLineChars="200"/>
        <w:jc w:val="both"/>
        <w:textAlignment w:val="auto"/>
        <w:rPr>
          <w:rFonts w:hint="eastAsia" w:ascii="仿宋_GB2312" w:hAnsi="仿宋_GB2312" w:eastAsia="仿宋_GB2312" w:cs="仿宋_GB2312"/>
          <w:b w:val="0"/>
          <w:bCs/>
          <w:color w:val="auto"/>
          <w:spacing w:val="2"/>
          <w:sz w:val="28"/>
          <w:szCs w:val="28"/>
          <w:highlight w:val="none"/>
          <w:lang w:eastAsia="zh-CN"/>
        </w:rPr>
      </w:pPr>
      <w:r>
        <w:rPr>
          <w:rFonts w:hint="eastAsia" w:ascii="仿宋_GB2312" w:hAnsi="仿宋_GB2312" w:eastAsia="仿宋_GB2312" w:cs="仿宋_GB2312"/>
          <w:b w:val="0"/>
          <w:bCs/>
          <w:color w:val="auto"/>
          <w:spacing w:val="2"/>
          <w:sz w:val="28"/>
          <w:szCs w:val="28"/>
          <w:highlight w:val="none"/>
          <w:lang w:val="en-US" w:eastAsia="zh-CN"/>
        </w:rPr>
        <w:t>4.</w:t>
      </w:r>
      <w:r>
        <w:rPr>
          <w:rFonts w:hint="eastAsia" w:ascii="仿宋_GB2312" w:hAnsi="仿宋_GB2312" w:eastAsia="仿宋_GB2312" w:cs="仿宋_GB2312"/>
          <w:b w:val="0"/>
          <w:bCs/>
          <w:color w:val="auto"/>
          <w:spacing w:val="2"/>
          <w:sz w:val="28"/>
          <w:szCs w:val="28"/>
          <w:highlight w:val="none"/>
          <w:lang w:eastAsia="zh-CN"/>
        </w:rPr>
        <w:t>结算方式：</w:t>
      </w:r>
    </w:p>
    <w:p w14:paraId="5FE8D8BA">
      <w:pPr>
        <w:pStyle w:val="7"/>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）零星派工：按月为一期工程计量，对每期的派工单进行计量及相关依据进行结算按月统计，</w:t>
      </w:r>
      <w:r>
        <w:rPr>
          <w:rFonts w:hint="eastAsia" w:ascii="仿宋_GB2312" w:hAnsi="仿宋_GB2312" w:eastAsia="仿宋_GB2312" w:cs="仿宋_GB2312"/>
          <w:color w:val="auto"/>
          <w:sz w:val="28"/>
          <w:szCs w:val="28"/>
          <w:highlight w:val="none"/>
          <w:lang w:val="en-US" w:eastAsia="zh-CN"/>
        </w:rPr>
        <w:t>计价方式为</w:t>
      </w:r>
      <w:r>
        <w:rPr>
          <w:rFonts w:hint="eastAsia" w:ascii="仿宋_GB2312" w:hAnsi="仿宋_GB2312" w:eastAsia="仿宋_GB2312" w:cs="仿宋_GB2312"/>
          <w:color w:val="auto"/>
          <w:sz w:val="28"/>
          <w:szCs w:val="28"/>
          <w:highlight w:val="none"/>
          <w:lang w:val="en-US" w:eastAsia="zh-CN"/>
        </w:rPr>
        <w:t>以</w:t>
      </w:r>
      <w:r>
        <w:rPr>
          <w:rFonts w:hint="eastAsia" w:ascii="仿宋_GB2312" w:hAnsi="仿宋_GB2312" w:eastAsia="仿宋_GB2312" w:cs="仿宋_GB2312"/>
          <w:color w:val="auto"/>
          <w:sz w:val="28"/>
          <w:szCs w:val="28"/>
          <w:highlight w:val="none"/>
          <w:lang w:val="en-US" w:eastAsia="zh-CN"/>
        </w:rPr>
        <w:t>国家发改委规定的工程</w:t>
      </w:r>
      <w:r>
        <w:rPr>
          <w:rFonts w:hint="eastAsia" w:ascii="仿宋_GB2312" w:hAnsi="仿宋_GB2312" w:eastAsia="仿宋_GB2312" w:cs="仿宋_GB2312"/>
          <w:color w:val="auto"/>
          <w:sz w:val="28"/>
          <w:szCs w:val="28"/>
          <w:highlight w:val="none"/>
          <w:lang w:eastAsia="zh-CN"/>
        </w:rPr>
        <w:t>定额与施工当期南宁市</w:t>
      </w:r>
      <w:r>
        <w:rPr>
          <w:rFonts w:hint="eastAsia" w:ascii="仿宋_GB2312" w:hAnsi="仿宋_GB2312" w:eastAsia="仿宋_GB2312" w:cs="仿宋_GB2312"/>
          <w:color w:val="auto"/>
          <w:sz w:val="28"/>
          <w:szCs w:val="28"/>
          <w:highlight w:val="none"/>
          <w:lang w:val="en-US" w:eastAsia="zh-CN"/>
        </w:rPr>
        <w:t>住建部门公布的工程</w:t>
      </w:r>
      <w:r>
        <w:rPr>
          <w:rFonts w:hint="eastAsia" w:ascii="仿宋_GB2312" w:hAnsi="仿宋_GB2312" w:eastAsia="仿宋_GB2312" w:cs="仿宋_GB2312"/>
          <w:color w:val="auto"/>
          <w:sz w:val="28"/>
          <w:szCs w:val="28"/>
          <w:highlight w:val="none"/>
          <w:lang w:eastAsia="zh-CN"/>
        </w:rPr>
        <w:t>信息价格</w:t>
      </w:r>
      <w:r>
        <w:rPr>
          <w:rFonts w:hint="eastAsia" w:ascii="仿宋_GB2312" w:hAnsi="仿宋_GB2312" w:eastAsia="仿宋_GB2312" w:cs="仿宋_GB2312"/>
          <w:color w:val="auto"/>
          <w:sz w:val="28"/>
          <w:szCs w:val="28"/>
          <w:highlight w:val="none"/>
          <w:lang w:val="en-US" w:eastAsia="zh-CN"/>
        </w:rPr>
        <w:t>为基准，</w:t>
      </w:r>
      <w:r>
        <w:rPr>
          <w:rFonts w:hint="eastAsia" w:ascii="仿宋_GB2312" w:hAnsi="仿宋_GB2312" w:eastAsia="仿宋_GB2312" w:cs="仿宋_GB2312"/>
          <w:color w:val="auto"/>
          <w:sz w:val="28"/>
          <w:szCs w:val="28"/>
          <w:highlight w:val="none"/>
          <w:lang w:val="en-US" w:eastAsia="zh-CN"/>
        </w:rPr>
        <w:t>按中标下浮率扣除下浮部分后的价格计算</w:t>
      </w:r>
      <w:r>
        <w:rPr>
          <w:rFonts w:hint="eastAsia" w:ascii="仿宋_GB2312" w:hAnsi="仿宋_GB2312" w:eastAsia="仿宋_GB2312" w:cs="仿宋_GB2312"/>
          <w:color w:val="auto"/>
          <w:sz w:val="28"/>
          <w:szCs w:val="28"/>
          <w:highlight w:val="none"/>
          <w:lang w:eastAsia="zh-CN"/>
        </w:rPr>
        <w:t>。</w:t>
      </w:r>
    </w:p>
    <w:p w14:paraId="44D5E961">
      <w:pPr>
        <w:pStyle w:val="7"/>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）零星维修单项工程：采取固定综合单价计价方式，按实际完成工程量结算。</w:t>
      </w:r>
      <w:r>
        <w:rPr>
          <w:rFonts w:hint="eastAsia" w:ascii="仿宋_GB2312" w:hAnsi="仿宋_GB2312" w:eastAsia="仿宋_GB2312" w:cs="仿宋_GB2312"/>
          <w:color w:val="auto"/>
          <w:sz w:val="28"/>
          <w:szCs w:val="28"/>
          <w:highlight w:val="none"/>
          <w:lang w:eastAsia="zh-CN"/>
        </w:rPr>
        <w:t>中标单位需在完工后提供对应的图纸、结算书（注明工程使用材料的品牌、规格、型号、数量）等资料进行审核和结算。</w:t>
      </w:r>
    </w:p>
    <w:p w14:paraId="28BB19D5">
      <w:pPr>
        <w:pStyle w:val="7"/>
        <w:spacing w:line="520" w:lineRule="exact"/>
        <w:ind w:firstLine="560" w:firstLineChars="200"/>
        <w:jc w:val="both"/>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none"/>
          <w:lang w:val="en-US" w:eastAsia="zh-CN"/>
        </w:rPr>
        <w:t>“所有零星维修及改造工程均为先施工后结算，即医院审计科不再审核施工队根据设计图纸及工程量清单出具的工程预算，也不再为零星及单项工程改造项目出具控制价，仅审核最终的结算价。零星及单项工程改造项目的预算价由工程主管部门进行审核。施工队须根据院方的要求出具工程预算书、图纸。工程完工并验收合格后，必须出具工程结算书，由医院审计科按实际工程量进行审核结算。”</w:t>
      </w:r>
    </w:p>
    <w:p w14:paraId="26CEA86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b w:val="0"/>
          <w:bCs w:val="0"/>
          <w:color w:val="auto"/>
          <w:sz w:val="28"/>
          <w:szCs w:val="28"/>
          <w:highlight w:val="none"/>
          <w:lang w:eastAsia="zh-CN"/>
        </w:rPr>
        <w:t>付款方式</w:t>
      </w:r>
    </w:p>
    <w:p w14:paraId="4EB1B52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无预付款，零星派工及另行维修单项工程竣工结算审核通过后支付至审计核定总价100%。</w:t>
      </w:r>
    </w:p>
    <w:p w14:paraId="4757345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6.保修期：质量保修期自工程竣工验收合格之日起计算。根据《建设工程质量管理条例》及有关规定，工程的质量保修期如下：</w:t>
      </w:r>
    </w:p>
    <w:p w14:paraId="4A6F491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（1）地基基础工程和主体结构工程为设计文件规定的该工程合理使用年限；</w:t>
      </w:r>
    </w:p>
    <w:p w14:paraId="6D2E599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（2）屋面防水工程、有防水要求的卫生间、房间和外墙面的防渗漏为五年；</w:t>
      </w:r>
    </w:p>
    <w:p w14:paraId="0D9B8B7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（3）装修工程为二年；</w:t>
      </w:r>
    </w:p>
    <w:p w14:paraId="405160F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（4）电气管线、给排水管道、设备安装工程[含电气（电器）、通风、照明、消防、防雷、电梯等设备为二年；</w:t>
      </w:r>
    </w:p>
    <w:p w14:paraId="7AE7B93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（5）供热与供冷系统为两个采暖期、供冷期；</w:t>
      </w:r>
    </w:p>
    <w:p w14:paraId="79E3E24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（6）住宅小区内的给排水设施、道路等配套工程为二年；</w:t>
      </w:r>
    </w:p>
    <w:p w14:paraId="22F83F3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（7）其他项目保修期限约定如下：一年。</w:t>
      </w:r>
    </w:p>
    <w:p w14:paraId="0BD34B0B">
      <w:pPr>
        <w:keepNext w:val="0"/>
        <w:keepLines w:val="0"/>
        <w:pageBreakBefore w:val="0"/>
        <w:widowControl/>
        <w:kinsoku/>
        <w:wordWrap/>
        <w:overflowPunct/>
        <w:topLinePunct w:val="0"/>
        <w:autoSpaceDE/>
        <w:autoSpaceDN/>
        <w:bidi w:val="0"/>
        <w:adjustRightInd/>
        <w:snapToGrid/>
        <w:spacing w:line="520" w:lineRule="exact"/>
        <w:ind w:firstLine="562" w:firstLineChars="200"/>
        <w:textAlignment w:val="auto"/>
        <w:rPr>
          <w:rFonts w:hint="eastAsia" w:ascii="黑体" w:hAnsi="黑体" w:eastAsia="黑体" w:cs="黑体"/>
          <w:color w:val="auto"/>
          <w:sz w:val="28"/>
          <w:szCs w:val="28"/>
          <w:highlight w:val="none"/>
          <w:lang w:eastAsia="zh-CN"/>
        </w:rPr>
      </w:pPr>
      <w:r>
        <w:rPr>
          <w:rFonts w:hint="eastAsia" w:ascii="黑体" w:hAnsi="黑体" w:eastAsia="黑体" w:cs="黑体"/>
          <w:b/>
          <w:bCs/>
          <w:color w:val="auto"/>
          <w:sz w:val="28"/>
          <w:szCs w:val="28"/>
          <w:highlight w:val="none"/>
          <w:lang w:val="en-US" w:eastAsia="zh-CN"/>
        </w:rPr>
        <w:t>二、</w:t>
      </w:r>
      <w:r>
        <w:rPr>
          <w:rFonts w:hint="eastAsia" w:ascii="黑体" w:hAnsi="黑体" w:eastAsia="黑体" w:cs="黑体"/>
          <w:b/>
          <w:bCs/>
          <w:color w:val="auto"/>
          <w:sz w:val="28"/>
          <w:szCs w:val="28"/>
          <w:highlight w:val="none"/>
          <w:lang w:eastAsia="zh-CN"/>
        </w:rPr>
        <w:t>投标人资质要求</w:t>
      </w:r>
    </w:p>
    <w:p w14:paraId="1532064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1.投标人必须是中华人民共和国境内经建设行政主管部门审批具备独立法人，建筑工程施工总承包叁级及以上或建筑装饰装修工程贰级及以上资质，并具备消防设施工程专业承包企业资质贰级及其以上资质；</w:t>
      </w:r>
    </w:p>
    <w:p w14:paraId="0EC8BFB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2.三年以来在政府采购及建设系统的招标投标活动中没有因串通投标等不良行为而禁止在本市投标的投标申请人。涉嫌串通投标并正在接受主管部门调查的投标申请人不被接受；</w:t>
      </w:r>
    </w:p>
    <w:p w14:paraId="0A72DBB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3.受到建设行政主管部门红色警示的施工企业或项目经理在暂停承接政府及国有企事业单位投资工程期间，不得参与本次遴选项目的投标；</w:t>
      </w:r>
    </w:p>
    <w:p w14:paraId="107C2F0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4.具有良好的商业信誉和健全的财务会计制度；</w:t>
      </w:r>
    </w:p>
    <w:p w14:paraId="0AC45A5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5.具有履行合同所必需的设备和专业技术能力；</w:t>
      </w:r>
    </w:p>
    <w:p w14:paraId="5416F5C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6.有依法缴纳税收和社会保障资金的良好记录；</w:t>
      </w:r>
    </w:p>
    <w:p w14:paraId="45053BBD">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32"/>
          <w:szCs w:val="32"/>
          <w:highlight w:val="none"/>
          <w:lang w:val="en-US" w:eastAsia="zh-CN"/>
        </w:rPr>
        <w:t>第三章 评标方法及评标标准</w:t>
      </w:r>
    </w:p>
    <w:p w14:paraId="1CCD8CF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bCs/>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一、评标办法：</w:t>
      </w:r>
    </w:p>
    <w:p w14:paraId="18E5B813">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本次竞标采用综合评分法进行评标定标</w:t>
      </w:r>
    </w:p>
    <w:p w14:paraId="6D71653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 xml:space="preserve">二、评标原则 </w:t>
      </w:r>
    </w:p>
    <w:p w14:paraId="4427A08B">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（一）评委构成：评标小组由采购人随机抽取院内评审专家组成，成员人数应当为</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人以上单数</w:t>
      </w:r>
    </w:p>
    <w:p w14:paraId="6FD9851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（二）评标依据：评委将以招投标文件为评标依据，对投标人的投标报价、技术、信誉业绩、售后服务等方面内容打分。</w:t>
      </w:r>
    </w:p>
    <w:p w14:paraId="2B063273">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（三）评审程序：</w:t>
      </w:r>
    </w:p>
    <w:p w14:paraId="0E78C21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1.符合性审查 </w:t>
      </w:r>
    </w:p>
    <w:p w14:paraId="3099158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评标小组应当对符合资格的投标人的投标文件进行投标报价、商务、技术等实质性内容符合性审查，以确定其是否满足招标文件的实质性要求。投标人的投标文件中存在对招标文件的任何实质性要求和条件的负偏离，将被视为投标无效。满足3家及以上通过资质审查的方可进入下一步评标。</w:t>
      </w:r>
    </w:p>
    <w:p w14:paraId="16E427C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2.澄清补正 </w:t>
      </w:r>
    </w:p>
    <w:p w14:paraId="444C1BD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对投标文件中含义不明确、同类问题表述不一致或者有明显文字和计算错误的内容，评标小组以电子澄清函形式要求投标人在规定时间内作出必要的澄清、说明或者纠正。投标人的澄清、说明或者补正必须采用电子回函形式，并加盖投标人公章，或者由法定代表人或者其授权的代表签字。投标人的澄清、说明或者补正不得超出投标文件的范围或者改变投标文件的实质性内容。</w:t>
      </w:r>
    </w:p>
    <w:p w14:paraId="44986B5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3.比较与评价 </w:t>
      </w:r>
    </w:p>
    <w:p w14:paraId="1DE70B5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（1）评标小组按照招标文件中规定的评标方法及评标标准，对符合性审查合格的投标文件进行商务和技术评估，综合比较与评价。 </w:t>
      </w:r>
    </w:p>
    <w:p w14:paraId="1604A0AA">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（2）评标小组对每个投标人的投标文件进行评价，并汇总每个投标人的得分。 </w:t>
      </w:r>
    </w:p>
    <w:p w14:paraId="1A9394F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评标小组认为投标人的报价明显低于其他通过符合性审查投标人的报价，有可能影响产品质量或者不能诚信履约的，应当要求其在评标现场合理的时间内提供书面说明，必要时提交相关证明材料；</w:t>
      </w:r>
      <w:r>
        <w:rPr>
          <w:rFonts w:hint="eastAsia" w:ascii="仿宋_GB2312" w:hAnsi="仿宋_GB2312" w:eastAsia="仿宋_GB2312" w:cs="仿宋_GB2312"/>
          <w:b/>
          <w:bCs/>
          <w:color w:val="auto"/>
          <w:sz w:val="28"/>
          <w:szCs w:val="28"/>
          <w:highlight w:val="none"/>
          <w:lang w:val="en-US" w:eastAsia="zh-CN"/>
        </w:rPr>
        <w:t>投标人不能证明其报价合理性的，评标小组将其作为无效投标处理。</w:t>
      </w:r>
      <w:r>
        <w:rPr>
          <w:rFonts w:hint="eastAsia" w:ascii="仿宋_GB2312" w:hAnsi="仿宋_GB2312" w:eastAsia="仿宋_GB2312" w:cs="仿宋_GB2312"/>
          <w:color w:val="auto"/>
          <w:sz w:val="28"/>
          <w:szCs w:val="28"/>
          <w:highlight w:val="none"/>
          <w:lang w:val="en-US" w:eastAsia="zh-CN"/>
        </w:rPr>
        <w:t xml:space="preserve"> </w:t>
      </w:r>
    </w:p>
    <w:p w14:paraId="0A63159F">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（3）评标小组按照招标文件中规定的评标方法和标准计算各投标人的报价得分。在计算过程中，不得去掉最高报价或者最低报价。 </w:t>
      </w:r>
    </w:p>
    <w:p w14:paraId="1A2FE34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（4）各投标人的得分为所有评委的有效评分的算术平均数。 </w:t>
      </w:r>
    </w:p>
    <w:p w14:paraId="0E9C49F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（5）评标小组按照招标文件中的规定推荐中标候选人。 </w:t>
      </w:r>
    </w:p>
    <w:p w14:paraId="74E48E95">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起草并签署评标报告。评标小组根据评标小组成员签字的原始评标记录和评标结果编写评标报告。评标小组成员均应当在评标报告上签字，对自己的评标意见承担法律责任。对评标过程中需要共同认定的事项存在争议的，应当按照少数服从多数的原则做出结论。持不同意见的评标小组成员应当在评标报告上签署不同意见及理由，否则视为同意评标报告。</w:t>
      </w:r>
    </w:p>
    <w:p w14:paraId="2719837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三、评定方法</w:t>
      </w:r>
      <w:r>
        <w:rPr>
          <w:rFonts w:hint="eastAsia" w:ascii="仿宋_GB2312" w:hAnsi="仿宋_GB2312" w:eastAsia="仿宋_GB2312" w:cs="仿宋_GB2312"/>
          <w:color w:val="auto"/>
          <w:sz w:val="28"/>
          <w:szCs w:val="28"/>
          <w:highlight w:val="none"/>
          <w:lang w:val="en-US" w:eastAsia="zh-CN"/>
        </w:rPr>
        <w:t xml:space="preserve"> </w:t>
      </w:r>
    </w:p>
    <w:p w14:paraId="52279AC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（一）对进入详评的，采用百分制综合评分法。 </w:t>
      </w:r>
    </w:p>
    <w:p w14:paraId="7A05641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（二）计分办法（按四舍五入取至百分位）：</w:t>
      </w:r>
    </w:p>
    <w:p w14:paraId="4E5F5C11">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p>
    <w:p w14:paraId="412EA01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185"/>
        <w:gridCol w:w="1530"/>
        <w:gridCol w:w="5946"/>
      </w:tblGrid>
      <w:tr w14:paraId="2D8E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201CB59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序号</w:t>
            </w:r>
          </w:p>
        </w:tc>
        <w:tc>
          <w:tcPr>
            <w:tcW w:w="1185" w:type="dxa"/>
          </w:tcPr>
          <w:p w14:paraId="0CED62D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分项</w:t>
            </w:r>
          </w:p>
        </w:tc>
        <w:tc>
          <w:tcPr>
            <w:tcW w:w="1530" w:type="dxa"/>
          </w:tcPr>
          <w:p w14:paraId="471ABD0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评审要素</w:t>
            </w:r>
          </w:p>
        </w:tc>
        <w:tc>
          <w:tcPr>
            <w:tcW w:w="5946" w:type="dxa"/>
          </w:tcPr>
          <w:p w14:paraId="3E0D584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评分标准</w:t>
            </w:r>
          </w:p>
        </w:tc>
      </w:tr>
      <w:tr w14:paraId="2AFA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734" w:type="dxa"/>
            <w:vAlign w:val="center"/>
          </w:tcPr>
          <w:p w14:paraId="2235D399">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1</w:t>
            </w:r>
          </w:p>
        </w:tc>
        <w:tc>
          <w:tcPr>
            <w:tcW w:w="1185" w:type="dxa"/>
            <w:vAlign w:val="center"/>
          </w:tcPr>
          <w:p w14:paraId="415274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价格分（25）</w:t>
            </w:r>
          </w:p>
        </w:tc>
        <w:tc>
          <w:tcPr>
            <w:tcW w:w="1530" w:type="dxa"/>
            <w:vAlign w:val="center"/>
          </w:tcPr>
          <w:p w14:paraId="1E98BF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投标最终</w:t>
            </w:r>
          </w:p>
          <w:p w14:paraId="24AC0A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有效报价（满分25分） </w:t>
            </w:r>
          </w:p>
        </w:tc>
        <w:tc>
          <w:tcPr>
            <w:tcW w:w="5946" w:type="dxa"/>
            <w:vAlign w:val="center"/>
          </w:tcPr>
          <w:p w14:paraId="2A9D460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价格分计算公式：以本次有效投标最大下浮系数为基准项（分母） </w:t>
            </w:r>
          </w:p>
          <w:p w14:paraId="21EA416C">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价格分=某投标人的下浮系数／最大的有效投标下浮系数×25 分</w:t>
            </w:r>
          </w:p>
          <w:p w14:paraId="3BC46DF9">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7AF7928E">
            <w:pPr>
              <w:keepNext w:val="0"/>
              <w:keepLines w:val="0"/>
              <w:widowControl/>
              <w:suppressLineNumbers w:val="0"/>
              <w:jc w:val="left"/>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在评标过程中，评审专家发现投标人的报价明显低于其他投标报价，有可能影响施工或服务质量或若不能诚信履约的，应当要求该投标人做出书面说明并提供相关证明资料。投标人不能合理说明或者不能提供相关证明资料的，由评审专家认定该投标人以低于成本价竞标，并否决该投标）</w:t>
            </w:r>
          </w:p>
        </w:tc>
      </w:tr>
      <w:tr w14:paraId="741C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6" w:hRule="atLeast"/>
        </w:trPr>
        <w:tc>
          <w:tcPr>
            <w:tcW w:w="734" w:type="dxa"/>
            <w:vMerge w:val="restart"/>
            <w:vAlign w:val="center"/>
          </w:tcPr>
          <w:p w14:paraId="514EFC0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w:t>
            </w:r>
          </w:p>
        </w:tc>
        <w:tc>
          <w:tcPr>
            <w:tcW w:w="1185" w:type="dxa"/>
            <w:vMerge w:val="restart"/>
            <w:vAlign w:val="center"/>
          </w:tcPr>
          <w:p w14:paraId="49A78C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技术</w:t>
            </w:r>
          </w:p>
          <w:p w14:paraId="534F00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方案分（45）</w:t>
            </w:r>
          </w:p>
        </w:tc>
        <w:tc>
          <w:tcPr>
            <w:tcW w:w="1530" w:type="dxa"/>
            <w:vAlign w:val="center"/>
          </w:tcPr>
          <w:p w14:paraId="278B19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项目管理方案分（满分15分）</w:t>
            </w:r>
          </w:p>
        </w:tc>
        <w:tc>
          <w:tcPr>
            <w:tcW w:w="5946" w:type="dxa"/>
            <w:vAlign w:val="center"/>
          </w:tcPr>
          <w:p w14:paraId="7869336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一档（3分）：仅提供有简单的项目管理方案，方案符合本项目实际情况。 </w:t>
            </w:r>
          </w:p>
          <w:p w14:paraId="3F28D49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二档（7分）：提供有项目管理组织架构，管理方案包含简单的沟通机制、质量管理与控制机制、安全管理机制，有可行性，可以基本满足日常维修施工管理要求的。 </w:t>
            </w:r>
          </w:p>
          <w:p w14:paraId="460E9AF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三档（11分）：在满足一档的前提下，组织架构职责明确、分工合理；沟通机制流程顺畅，有定期服务协调机制；质量管理与控制机制、安全管理机制内容全面详细，有具体管理措施，有对隐蔽工程重点检查方案、施工质量巡检方案、成品保护方案等，可执行性强。 </w:t>
            </w:r>
          </w:p>
          <w:p w14:paraId="0ABC2CB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四档（15分）：在满足三档的前提下，项目管理方案及措施有针对性，可以体现采购单位行业特点，能有效保障采购单位日常工作次序的。</w:t>
            </w:r>
          </w:p>
        </w:tc>
      </w:tr>
      <w:tr w14:paraId="5669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vMerge w:val="continue"/>
            <w:vAlign w:val="center"/>
          </w:tcPr>
          <w:p w14:paraId="685C099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185" w:type="dxa"/>
            <w:vMerge w:val="continue"/>
            <w:vAlign w:val="center"/>
          </w:tcPr>
          <w:p w14:paraId="07F147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530" w:type="dxa"/>
            <w:vAlign w:val="center"/>
          </w:tcPr>
          <w:p w14:paraId="624C1C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应急预案及措施（满分15分）</w:t>
            </w:r>
          </w:p>
          <w:p w14:paraId="3C13B6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5946" w:type="dxa"/>
            <w:vAlign w:val="center"/>
          </w:tcPr>
          <w:p w14:paraId="5B0F3E0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一档（4分）：提供有简单的应急预案，应急预案或应急措施 </w:t>
            </w:r>
          </w:p>
          <w:p w14:paraId="7AB3802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能应对大部分常见风险和突发情况（如火灾、触电、中毒、物 </w:t>
            </w:r>
          </w:p>
          <w:p w14:paraId="0B528E8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体打击等突发事件的应对措施）。 </w:t>
            </w:r>
          </w:p>
          <w:p w14:paraId="70633DA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二档（7分）：提供有应急管理组织架构及应急管理制度，职 </w:t>
            </w:r>
          </w:p>
          <w:p w14:paraId="743DB10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责明确分工合理；应急预案内容全面详细，有具体的应急现场 </w:t>
            </w:r>
          </w:p>
          <w:p w14:paraId="141C233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处置措施，可执行性强，有各种紧急情况下的现场具体处置措 </w:t>
            </w:r>
          </w:p>
          <w:p w14:paraId="35E751C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施。 </w:t>
            </w:r>
          </w:p>
          <w:p w14:paraId="5D1891E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三档（10分）：在满足三档的前提下，应急预案及措施有针对 </w:t>
            </w:r>
          </w:p>
          <w:p w14:paraId="15C81B7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性，可以体现采购单位行业特点，能有效保障采购单位日常工 </w:t>
            </w:r>
          </w:p>
          <w:p w14:paraId="6EAA819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作次序的。 </w:t>
            </w:r>
          </w:p>
        </w:tc>
      </w:tr>
      <w:tr w14:paraId="18CB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trPr>
        <w:tc>
          <w:tcPr>
            <w:tcW w:w="734" w:type="dxa"/>
            <w:vMerge w:val="continue"/>
            <w:vAlign w:val="center"/>
          </w:tcPr>
          <w:p w14:paraId="0C8B48A5">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185" w:type="dxa"/>
            <w:vMerge w:val="continue"/>
            <w:vAlign w:val="center"/>
          </w:tcPr>
          <w:p w14:paraId="12DA0F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530" w:type="dxa"/>
            <w:vAlign w:val="center"/>
          </w:tcPr>
          <w:p w14:paraId="30A341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安全文明施工保证措及方案（满分5分）</w:t>
            </w:r>
          </w:p>
          <w:p w14:paraId="30121F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5946" w:type="dxa"/>
            <w:vAlign w:val="center"/>
          </w:tcPr>
          <w:p w14:paraId="6677AB9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一档（1分）：提供有简单的安全施工保障方案，能满足项目实施的基本安全要求 </w:t>
            </w:r>
          </w:p>
          <w:p w14:paraId="552AB90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二档（3分）：安全施工保障措施及方案详细、有针对服务内容的具体安全保障措施（临时性任务、家具易损件维修、室内外装（维）修项目），有用火、用电、化学用品的操作规范，</w:t>
            </w:r>
          </w:p>
          <w:p w14:paraId="290A1E1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有施工现场安全监督机制，方案有可执行性。</w:t>
            </w:r>
          </w:p>
          <w:p w14:paraId="67953AD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三档（5分）：在满足二挡的基础上，有定期或不定期安全检 </w:t>
            </w:r>
          </w:p>
          <w:p w14:paraId="3C609E2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查机制、施工人员安全教育培训机制。</w:t>
            </w:r>
          </w:p>
        </w:tc>
      </w:tr>
      <w:tr w14:paraId="553A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1" w:hRule="atLeast"/>
        </w:trPr>
        <w:tc>
          <w:tcPr>
            <w:tcW w:w="734" w:type="dxa"/>
            <w:vMerge w:val="continue"/>
            <w:vAlign w:val="center"/>
          </w:tcPr>
          <w:p w14:paraId="06D6624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185" w:type="dxa"/>
            <w:vMerge w:val="continue"/>
            <w:vAlign w:val="center"/>
          </w:tcPr>
          <w:p w14:paraId="37958E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530" w:type="dxa"/>
            <w:vAlign w:val="center"/>
          </w:tcPr>
          <w:p w14:paraId="3C18CD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文明施工保证措施及方案</w:t>
            </w:r>
          </w:p>
          <w:p w14:paraId="11D975A4">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auto"/>
                <w:highlight w:val="none"/>
              </w:rPr>
            </w:pPr>
            <w:r>
              <w:rPr>
                <w:rFonts w:hint="eastAsia" w:ascii="仿宋_GB2312" w:hAnsi="仿宋_GB2312" w:eastAsia="仿宋_GB2312" w:cs="仿宋_GB2312"/>
                <w:color w:val="auto"/>
                <w:sz w:val="21"/>
                <w:szCs w:val="21"/>
                <w:highlight w:val="none"/>
                <w:vertAlign w:val="baseline"/>
                <w:lang w:val="en-US" w:eastAsia="zh-CN"/>
              </w:rPr>
              <w:t>（满分10）</w:t>
            </w:r>
          </w:p>
          <w:p w14:paraId="0E0226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5946" w:type="dxa"/>
            <w:vAlign w:val="center"/>
          </w:tcPr>
          <w:p w14:paraId="723D4D1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一档（3分）：提供有简单的文明施工保证措施及方案，没有具体实施措施的，方案符合本项目实际情况，可以满足基本的文明施工要求。 </w:t>
            </w:r>
          </w:p>
          <w:p w14:paraId="48573D1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二档（7分）：文明施工保证措施及方案内容详细、全面，包括施工围蔽与临时设施管理、材料堆放与垃圾处理、环境保护与节能减排、劳动保护与职业健康、噪音与污染管理等具体措施，措施及方案合理，有可执行性。</w:t>
            </w:r>
          </w:p>
          <w:p w14:paraId="585DAD4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三档（10分）：在满足二挡档的前提下，措施及方案有针对性，可以体现采购单位行业特点，能有效保障减少维修施工对采购单位正常运营和患者就诊的影响，确保医院患者的安全和舒适。 </w:t>
            </w:r>
          </w:p>
        </w:tc>
      </w:tr>
      <w:tr w14:paraId="24C9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6" w:hRule="atLeast"/>
        </w:trPr>
        <w:tc>
          <w:tcPr>
            <w:tcW w:w="734" w:type="dxa"/>
            <w:vAlign w:val="center"/>
          </w:tcPr>
          <w:p w14:paraId="3522FD6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3</w:t>
            </w:r>
          </w:p>
        </w:tc>
        <w:tc>
          <w:tcPr>
            <w:tcW w:w="1185" w:type="dxa"/>
            <w:vAlign w:val="center"/>
          </w:tcPr>
          <w:p w14:paraId="51C1FD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服务承诺分（10）</w:t>
            </w:r>
          </w:p>
        </w:tc>
        <w:tc>
          <w:tcPr>
            <w:tcW w:w="1530" w:type="dxa"/>
            <w:vAlign w:val="center"/>
          </w:tcPr>
          <w:p w14:paraId="2A3883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服务承诺</w:t>
            </w:r>
          </w:p>
          <w:p w14:paraId="1331DB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（满分10分）</w:t>
            </w:r>
          </w:p>
        </w:tc>
        <w:tc>
          <w:tcPr>
            <w:tcW w:w="5946" w:type="dxa"/>
            <w:vAlign w:val="center"/>
          </w:tcPr>
          <w:p w14:paraId="239741D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一档（1分）：仅满足招标文件最低要求。 </w:t>
            </w:r>
          </w:p>
          <w:p w14:paraId="5564535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二档（4分）：服务承诺满足招标文件要求，并提供有简单的保证措施及应急预案措施，提供质保期内响应服务的联系人和联系电话等方面的情况。售后服务明确响应时间、到达现场时间及一般问题排除时间。 </w:t>
            </w:r>
          </w:p>
          <w:p w14:paraId="6ED9E0A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三档（7分）：服务承诺表达充分，完全满足招标文件要求， </w:t>
            </w:r>
          </w:p>
          <w:p w14:paraId="402CBAD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并提供有保证措施及应急预案措施，提供质保期内响应服务的 </w:t>
            </w:r>
          </w:p>
          <w:p w14:paraId="2F6F174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联系人和联系电话等方面的情况。售后服务明确</w:t>
            </w:r>
            <w:r>
              <w:rPr>
                <w:rFonts w:hint="eastAsia" w:ascii="仿宋_GB2312" w:hAnsi="仿宋_GB2312" w:eastAsia="仿宋_GB2312" w:cs="仿宋_GB2312"/>
                <w:b/>
                <w:bCs/>
                <w:color w:val="auto"/>
                <w:sz w:val="21"/>
                <w:szCs w:val="21"/>
                <w:highlight w:val="none"/>
                <w:vertAlign w:val="baseline"/>
                <w:lang w:val="en-US" w:eastAsia="zh-CN"/>
              </w:rPr>
              <w:t>响应时间</w:t>
            </w:r>
            <w:r>
              <w:rPr>
                <w:rFonts w:hint="eastAsia" w:ascii="仿宋_GB2312" w:hAnsi="仿宋_GB2312" w:eastAsia="仿宋_GB2312" w:cs="仿宋_GB2312"/>
                <w:color w:val="auto"/>
                <w:sz w:val="21"/>
                <w:szCs w:val="21"/>
                <w:highlight w:val="none"/>
                <w:vertAlign w:val="baseline"/>
                <w:lang w:val="en-US" w:eastAsia="zh-CN"/>
              </w:rPr>
              <w:t xml:space="preserve">、达 </w:t>
            </w:r>
          </w:p>
          <w:p w14:paraId="6B81D50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到现场时间及一般问题排除时间且提供免费保修期外维修或服 </w:t>
            </w:r>
          </w:p>
          <w:p w14:paraId="4044DC99">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务方案其他应急预案。 </w:t>
            </w:r>
          </w:p>
          <w:p w14:paraId="0F12DB2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四档（10分）：服务承诺详细，表达充分，完全满足招标文件要求，并提供有详细科学的保证措施及应急预案措施，提供质保期内响应服务的联系人和联系电话等方面的情况。售后服务明确响应时间、达到现场时间及一般问题排除时间且提供免费保修期外维修或服务方案其他应急预案优于招标文件要求等其他优惠条件的。</w:t>
            </w:r>
          </w:p>
        </w:tc>
      </w:tr>
      <w:tr w14:paraId="394A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734" w:type="dxa"/>
            <w:vMerge w:val="restart"/>
            <w:vAlign w:val="center"/>
          </w:tcPr>
          <w:p w14:paraId="6828BB8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4</w:t>
            </w:r>
          </w:p>
        </w:tc>
        <w:tc>
          <w:tcPr>
            <w:tcW w:w="1185" w:type="dxa"/>
            <w:vMerge w:val="restart"/>
            <w:vAlign w:val="center"/>
          </w:tcPr>
          <w:p w14:paraId="0EF257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履约能</w:t>
            </w:r>
          </w:p>
          <w:p w14:paraId="05766A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力分</w:t>
            </w:r>
          </w:p>
          <w:p w14:paraId="745E03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（20分）</w:t>
            </w:r>
          </w:p>
        </w:tc>
        <w:tc>
          <w:tcPr>
            <w:tcW w:w="1530" w:type="dxa"/>
            <w:vAlign w:val="center"/>
          </w:tcPr>
          <w:p w14:paraId="28EE16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业绩分</w:t>
            </w:r>
          </w:p>
          <w:p w14:paraId="4B565C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（15分）</w:t>
            </w:r>
          </w:p>
        </w:tc>
        <w:tc>
          <w:tcPr>
            <w:tcW w:w="5946" w:type="dxa"/>
            <w:vAlign w:val="center"/>
          </w:tcPr>
          <w:p w14:paraId="22BE69A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投标人自2022年以来同类项目业绩分（提供合同复印件），每提供一个合同复印件得3分，满分15分。（由评委在打分前根据投标人提供的材料集体讨论确定后，并由评委在相应打分）</w:t>
            </w:r>
          </w:p>
        </w:tc>
      </w:tr>
      <w:tr w14:paraId="03BF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734" w:type="dxa"/>
            <w:vMerge w:val="continue"/>
            <w:vAlign w:val="center"/>
          </w:tcPr>
          <w:p w14:paraId="26057EC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185" w:type="dxa"/>
            <w:vMerge w:val="continue"/>
            <w:vAlign w:val="center"/>
          </w:tcPr>
          <w:p w14:paraId="7CEA217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530" w:type="dxa"/>
            <w:vAlign w:val="center"/>
          </w:tcPr>
          <w:p w14:paraId="281FE4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拟投入人员管理及配置分 </w:t>
            </w:r>
          </w:p>
          <w:p w14:paraId="7A8495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（5分）</w:t>
            </w:r>
          </w:p>
        </w:tc>
        <w:tc>
          <w:tcPr>
            <w:tcW w:w="5946" w:type="dxa"/>
            <w:vAlign w:val="center"/>
          </w:tcPr>
          <w:p w14:paraId="15DD3D6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一档（1分）：有简单的拟投入人员管理、配置方案，人员安排、作息时间计划基本合理，方案符合本项目实际情况，基本 </w:t>
            </w:r>
          </w:p>
          <w:p w14:paraId="777A332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满足项目的实施要求。</w:t>
            </w:r>
          </w:p>
          <w:p w14:paraId="599D3BD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二档（3分）：满足一档的前提下，拟投入人员管理、配置方拟投入人员管理案内容全面详细，提供有管理架构，职责明确，分工合理，有及配置分考勤管理方案、有工种配置方案、驻派及机动人员配置方案，紧急抢修任务的人员调配方案，方案内容能充分满足采购要求的。</w:t>
            </w:r>
          </w:p>
          <w:p w14:paraId="0D6F4379">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三档（5分）：在满足二挡的基础上，管理人员（项目经理、项目主管或其他管理人员）至少有1名具有工程类中级及以上职称的。</w:t>
            </w:r>
          </w:p>
        </w:tc>
      </w:tr>
      <w:tr w14:paraId="0CF6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395" w:type="dxa"/>
            <w:gridSpan w:val="4"/>
            <w:vAlign w:val="center"/>
          </w:tcPr>
          <w:p w14:paraId="3F706C3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总得分：1+2+3+4</w:t>
            </w:r>
          </w:p>
        </w:tc>
      </w:tr>
    </w:tbl>
    <w:p w14:paraId="4027A5E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各项指标的计算四舍五入，取至小数点后第二位。</w:t>
      </w:r>
    </w:p>
    <w:p w14:paraId="7BEE4223">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四、中标候选人推荐原则</w:t>
      </w:r>
    </w:p>
    <w:p w14:paraId="357D548E">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经院内招标评审小组审查符合招标条件的投标单位，由院内招标小组按确定的评标综合得分由高至低排名，推荐排名第一名为中标候选人。如出现第一名投标人综合得分相等时，以投标报价得分从高到低排名，如投标报价得分亦相等，则以业绩情况得分从高到低排名。</w:t>
      </w:r>
    </w:p>
    <w:p w14:paraId="4221585C">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 xml:space="preserve">五、其他说明 </w:t>
      </w:r>
    </w:p>
    <w:p w14:paraId="1017E2DB">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1、投标人应在投标文件中附上以上涉及的有关证书、文件、合同等的复印件。因投标人资料不全或不清楚影响到最终得分的责任由投标人自负。 </w:t>
      </w:r>
    </w:p>
    <w:p w14:paraId="67E3054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2、投标人一旦被发现有虚假响应情况，将被取消投标或中标资格。 </w:t>
      </w:r>
    </w:p>
    <w:p w14:paraId="484B3F7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3、中标候选人放弃中标、因不可抗力提出不能履行合同，采购单位则可以从投标单位中按总得分从高到低的排名依次递补中标候选人。</w:t>
      </w:r>
    </w:p>
    <w:p w14:paraId="2EF61589">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p>
    <w:p w14:paraId="106EC338">
      <w:pPr>
        <w:keepNext w:val="0"/>
        <w:keepLines w:val="0"/>
        <w:pageBreakBefore w:val="0"/>
        <w:widowControl/>
        <w:kinsoku/>
        <w:wordWrap/>
        <w:overflowPunct/>
        <w:topLinePunct w:val="0"/>
        <w:autoSpaceDE/>
        <w:autoSpaceDN/>
        <w:bidi w:val="0"/>
        <w:adjustRightInd/>
        <w:snapToGrid/>
        <w:spacing w:line="520" w:lineRule="exact"/>
        <w:ind w:firstLine="560" w:firstLineChars="200"/>
        <w:jc w:val="center"/>
        <w:textAlignment w:val="auto"/>
        <w:rPr>
          <w:rFonts w:hint="eastAsia" w:ascii="黑体" w:hAnsi="黑体" w:eastAsia="黑体" w:cs="黑体"/>
          <w:b w:val="0"/>
          <w:bCs w:val="0"/>
          <w:color w:val="auto"/>
          <w:sz w:val="28"/>
          <w:szCs w:val="28"/>
          <w:highlight w:val="none"/>
          <w:lang w:val="en-US" w:eastAsia="zh-CN"/>
        </w:rPr>
      </w:pPr>
    </w:p>
    <w:p w14:paraId="4A076092">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360073E4">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7789C409">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0A40CA52">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1A87F66E">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20F7115F">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74690E51">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14:paraId="7E7F0542">
      <w:pPr>
        <w:keepNext w:val="0"/>
        <w:keepLines w:val="0"/>
        <w:pageBreakBefore w:val="0"/>
        <w:widowControl/>
        <w:kinsoku/>
        <w:wordWrap/>
        <w:overflowPunct/>
        <w:topLinePunct w:val="0"/>
        <w:autoSpaceDE/>
        <w:autoSpaceDN/>
        <w:bidi w:val="0"/>
        <w:adjustRightInd/>
        <w:snapToGrid/>
        <w:spacing w:line="520" w:lineRule="exact"/>
        <w:ind w:firstLine="640" w:firstLineChars="200"/>
        <w:jc w:val="center"/>
        <w:textAlignment w:val="auto"/>
        <w:rPr>
          <w:rFonts w:hint="eastAsia" w:ascii="宋体" w:hAnsi="宋体" w:eastAsia="宋体" w:cs="宋体"/>
          <w:b/>
          <w:bCs/>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第四章 投标文件要求及格式</w:t>
      </w:r>
    </w:p>
    <w:p w14:paraId="099E29FA">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一、投标文件组成</w:t>
      </w:r>
    </w:p>
    <w:p w14:paraId="468809F6">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1.投标函（格式后附）</w:t>
      </w:r>
    </w:p>
    <w:p w14:paraId="0C268228">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2.报价单（格式后附）</w:t>
      </w:r>
    </w:p>
    <w:p w14:paraId="1660278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（1）采用下浮系数报价法，投标人有效报价费率（按百分比）应参照国家发改委取费标准，由投标人自行报价，即服务商报小数点后两位下浮系数：0.00-1.00，最终结算公式为：（1-下浮系数）×施工当期</w:t>
      </w:r>
      <w:r>
        <w:rPr>
          <w:rFonts w:hint="eastAsia" w:ascii="仿宋_GB2312" w:hAnsi="仿宋_GB2312" w:eastAsia="仿宋_GB2312" w:cs="仿宋_GB2312"/>
          <w:color w:val="auto"/>
          <w:sz w:val="28"/>
          <w:szCs w:val="28"/>
          <w:highlight w:val="none"/>
          <w:lang w:eastAsia="zh-CN"/>
        </w:rPr>
        <w:t>南宁市</w:t>
      </w:r>
      <w:r>
        <w:rPr>
          <w:rFonts w:hint="eastAsia" w:ascii="仿宋_GB2312" w:hAnsi="仿宋_GB2312" w:eastAsia="仿宋_GB2312" w:cs="仿宋_GB2312"/>
          <w:color w:val="auto"/>
          <w:sz w:val="28"/>
          <w:szCs w:val="28"/>
          <w:highlight w:val="none"/>
          <w:lang w:val="en-US" w:eastAsia="zh-CN"/>
        </w:rPr>
        <w:t>住建部门公布的工程</w:t>
      </w:r>
      <w:r>
        <w:rPr>
          <w:rFonts w:hint="eastAsia" w:ascii="仿宋_GB2312" w:hAnsi="仿宋_GB2312" w:eastAsia="仿宋_GB2312" w:cs="仿宋_GB2312"/>
          <w:color w:val="auto"/>
          <w:sz w:val="28"/>
          <w:szCs w:val="28"/>
          <w:highlight w:val="none"/>
          <w:lang w:eastAsia="zh-CN"/>
        </w:rPr>
        <w:t>信息价格</w:t>
      </w:r>
      <w:r>
        <w:rPr>
          <w:rFonts w:hint="eastAsia" w:ascii="仿宋_GB2312" w:hAnsi="仿宋_GB2312" w:eastAsia="仿宋_GB2312" w:cs="仿宋_GB2312"/>
          <w:color w:val="auto"/>
          <w:sz w:val="28"/>
          <w:szCs w:val="28"/>
          <w:highlight w:val="none"/>
          <w:lang w:val="en-US" w:eastAsia="zh-CN"/>
        </w:rPr>
        <w:t>。</w:t>
      </w:r>
    </w:p>
    <w:p w14:paraId="5DF33A2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投标人的报价已包括了实施和完成本项目全部施工工作所需的劳务费、技术服务费、检测、测量、交通、通讯、办公场地、保险、税费和利润等与业务有关的一切费用和政策性文件规定及合同包含的所有风险、责任等各项应有的费用；除非上述费用在合同中另有说明。</w:t>
      </w:r>
    </w:p>
    <w:p w14:paraId="775DC90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（3）投标货币：本工程投标报价采用的币种为人民币。</w:t>
      </w:r>
    </w:p>
    <w:p w14:paraId="5E38C782">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3.法定代表人身份证复印件（加盖公章）；</w:t>
      </w:r>
    </w:p>
    <w:p w14:paraId="7DD192D0">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4.如授权委托应标，提供被授权委托人身份证复印件及法定代表人委托授权书（加盖公章）；</w:t>
      </w:r>
    </w:p>
    <w:p w14:paraId="299F9D57">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5.资质证明材料（按招标文件中“投标人资质要求”提供证明材料）；</w:t>
      </w:r>
    </w:p>
    <w:p w14:paraId="31432F5B">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6.业绩材料：投标人自2022年以来同类项目业绩分（提供合同复印件）</w:t>
      </w:r>
    </w:p>
    <w:p w14:paraId="3B0C5A86">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7.拟投入的主要管理人员和技术人员资历表及证明材料（格式后附）；</w:t>
      </w:r>
    </w:p>
    <w:p w14:paraId="3F4FD53C">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8.采购需求响应偏离表；</w:t>
      </w:r>
    </w:p>
    <w:p w14:paraId="17C0F427">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9.本项目技术实施方案，参照评分标准中的技术方案分编制，应包含：项目管理方案、应急预案及措施、安全及文明施工保证措施及方案，格式自拟。</w:t>
      </w:r>
    </w:p>
    <w:p w14:paraId="52686754">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10.根据采购需求提供售后服务承诺方案，格式自拟。</w:t>
      </w:r>
    </w:p>
    <w:p w14:paraId="4826BFCB">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p>
    <w:p w14:paraId="27730523">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6DAE9868">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12345B41">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1D9037FA">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64B2599E">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4EACC55E">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0AF249A5">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39FDB7B3">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0F7C0748">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45F69FDF">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7E6644E4">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2FDE9DFB">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68FD76F8">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4D9D97E6">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552E0DF8">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79AA560B">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color w:val="auto"/>
          <w:sz w:val="28"/>
          <w:szCs w:val="28"/>
          <w:highlight w:val="none"/>
          <w:lang w:eastAsia="zh-CN"/>
        </w:rPr>
      </w:pPr>
    </w:p>
    <w:p w14:paraId="1335AA0C">
      <w:pPr>
        <w:keepNext w:val="0"/>
        <w:keepLines w:val="0"/>
        <w:pageBreakBefore w:val="0"/>
        <w:widowControl/>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bCs/>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二、投标文件格式</w:t>
      </w:r>
    </w:p>
    <w:p w14:paraId="6AA81DDE">
      <w:pPr>
        <w:keepNext w:val="0"/>
        <w:keepLines w:val="0"/>
        <w:widowControl/>
        <w:suppressLineNumbers w:val="0"/>
        <w:jc w:val="center"/>
        <w:rPr>
          <w:color w:val="auto"/>
          <w:highlight w:val="none"/>
        </w:rPr>
      </w:pPr>
      <w:r>
        <w:rPr>
          <w:rFonts w:ascii="方正小标宋简体" w:hAnsi="方正小标宋简体" w:eastAsia="方正小标宋简体" w:cs="方正小标宋简体"/>
          <w:color w:val="auto"/>
          <w:kern w:val="0"/>
          <w:sz w:val="43"/>
          <w:szCs w:val="43"/>
          <w:highlight w:val="none"/>
          <w:lang w:val="en-US" w:eastAsia="zh-CN" w:bidi="ar"/>
        </w:rPr>
        <w:t>投 标 函</w:t>
      </w:r>
    </w:p>
    <w:p w14:paraId="485D99AB">
      <w:pPr>
        <w:pStyle w:val="3"/>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2"/>
          <w:sz w:val="28"/>
          <w:szCs w:val="28"/>
          <w:highlight w:val="none"/>
        </w:rPr>
        <w:t>致：</w:t>
      </w:r>
      <w:r>
        <w:rPr>
          <w:rFonts w:hint="eastAsia" w:ascii="仿宋_GB2312" w:hAnsi="仿宋_GB2312" w:eastAsia="仿宋_GB2312" w:cs="仿宋_GB2312"/>
          <w:color w:val="auto"/>
          <w:spacing w:val="-2"/>
          <w:sz w:val="28"/>
          <w:szCs w:val="28"/>
          <w:highlight w:val="none"/>
          <w:u w:val="single" w:color="auto"/>
        </w:rPr>
        <w:t>采购人名称</w:t>
      </w:r>
    </w:p>
    <w:p w14:paraId="08F82C11">
      <w:pPr>
        <w:pStyle w:val="3"/>
        <w:keepNext w:val="0"/>
        <w:keepLines w:val="0"/>
        <w:pageBreakBefore w:val="0"/>
        <w:widowControl/>
        <w:kinsoku/>
        <w:wordWrap/>
        <w:overflowPunct/>
        <w:topLinePunct w:val="0"/>
        <w:autoSpaceDE/>
        <w:autoSpaceDN/>
        <w:bidi w:val="0"/>
        <w:adjustRightInd/>
        <w:snapToGrid/>
        <w:spacing w:line="240" w:lineRule="auto"/>
        <w:ind w:left="0" w:right="0" w:firstLine="478"/>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3"/>
          <w:sz w:val="28"/>
          <w:szCs w:val="28"/>
          <w:highlight w:val="none"/>
        </w:rPr>
        <w:t>根据贵方</w:t>
      </w:r>
      <w:r>
        <w:rPr>
          <w:rFonts w:hint="eastAsia" w:ascii="仿宋_GB2312" w:hAnsi="仿宋_GB2312" w:eastAsia="仿宋_GB2312" w:cs="仿宋_GB2312"/>
          <w:color w:val="auto"/>
          <w:spacing w:val="-3"/>
          <w:sz w:val="28"/>
          <w:szCs w:val="28"/>
          <w:highlight w:val="none"/>
          <w:u w:val="single" w:color="auto"/>
        </w:rPr>
        <w:t xml:space="preserve"> 项目名称</w:t>
      </w:r>
      <w:r>
        <w:rPr>
          <w:rFonts w:hint="eastAsia" w:ascii="仿宋_GB2312" w:hAnsi="仿宋_GB2312" w:eastAsia="仿宋_GB2312" w:cs="仿宋_GB2312"/>
          <w:color w:val="auto"/>
          <w:spacing w:val="-3"/>
          <w:sz w:val="28"/>
          <w:szCs w:val="28"/>
          <w:highlight w:val="none"/>
        </w:rPr>
        <w:t>（项目编号</w:t>
      </w:r>
      <w:r>
        <w:rPr>
          <w:rFonts w:hint="eastAsia" w:ascii="仿宋_GB2312" w:hAnsi="仿宋_GB2312" w:eastAsia="仿宋_GB2312" w:cs="仿宋_GB2312"/>
          <w:color w:val="auto"/>
          <w:spacing w:val="-16"/>
          <w:sz w:val="28"/>
          <w:szCs w:val="28"/>
          <w:highlight w:val="none"/>
        </w:rPr>
        <w:t>：</w:t>
      </w:r>
      <w:r>
        <w:rPr>
          <w:rFonts w:hint="eastAsia" w:ascii="仿宋_GB2312" w:hAnsi="仿宋_GB2312" w:eastAsia="仿宋_GB2312" w:cs="仿宋_GB2312"/>
          <w:color w:val="auto"/>
          <w:spacing w:val="17"/>
          <w:sz w:val="28"/>
          <w:szCs w:val="28"/>
          <w:highlight w:val="none"/>
          <w:u w:val="single" w:color="auto"/>
        </w:rPr>
        <w:t xml:space="preserve">       </w:t>
      </w:r>
      <w:r>
        <w:rPr>
          <w:rFonts w:hint="eastAsia" w:ascii="仿宋_GB2312" w:hAnsi="仿宋_GB2312" w:eastAsia="仿宋_GB2312" w:cs="仿宋_GB2312"/>
          <w:color w:val="auto"/>
          <w:spacing w:val="-16"/>
          <w:sz w:val="28"/>
          <w:szCs w:val="28"/>
          <w:highlight w:val="none"/>
        </w:rPr>
        <w:t>）</w:t>
      </w:r>
      <w:r>
        <w:rPr>
          <w:rFonts w:hint="eastAsia" w:ascii="仿宋_GB2312" w:hAnsi="仿宋_GB2312" w:eastAsia="仿宋_GB2312" w:cs="仿宋_GB2312"/>
          <w:color w:val="auto"/>
          <w:spacing w:val="-3"/>
          <w:sz w:val="28"/>
          <w:szCs w:val="28"/>
          <w:highlight w:val="none"/>
        </w:rPr>
        <w:t>的招标公告，签字代表</w:t>
      </w:r>
      <w:r>
        <w:rPr>
          <w:rFonts w:hint="eastAsia" w:ascii="仿宋_GB2312" w:hAnsi="仿宋_GB2312" w:eastAsia="仿宋_GB2312" w:cs="仿宋_GB2312"/>
          <w:color w:val="auto"/>
          <w:spacing w:val="-3"/>
          <w:sz w:val="28"/>
          <w:szCs w:val="28"/>
          <w:highlight w:val="none"/>
          <w:u w:val="single" w:color="auto"/>
        </w:rPr>
        <w:t xml:space="preserve"> </w:t>
      </w:r>
      <w:r>
        <w:rPr>
          <w:rFonts w:hint="eastAsia" w:ascii="仿宋_GB2312" w:hAnsi="仿宋_GB2312" w:eastAsia="仿宋_GB2312" w:cs="仿宋_GB2312"/>
          <w:color w:val="auto"/>
          <w:spacing w:val="-3"/>
          <w:sz w:val="28"/>
          <w:szCs w:val="28"/>
          <w:highlight w:val="none"/>
          <w:u w:val="single" w:color="auto"/>
          <w:lang w:val="en-US" w:eastAsia="zh-CN"/>
        </w:rPr>
        <w:t xml:space="preserve">    </w:t>
      </w:r>
      <w:r>
        <w:rPr>
          <w:rFonts w:hint="eastAsia" w:ascii="仿宋_GB2312" w:hAnsi="仿宋_GB2312" w:eastAsia="仿宋_GB2312" w:cs="仿宋_GB2312"/>
          <w:color w:val="auto"/>
          <w:spacing w:val="-3"/>
          <w:sz w:val="28"/>
          <w:szCs w:val="28"/>
          <w:highlight w:val="none"/>
          <w:u w:val="single"/>
        </w:rPr>
        <w:t>（姓名）</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经正式授权并代表投标人</w:t>
      </w:r>
      <w:r>
        <w:rPr>
          <w:rFonts w:hint="eastAsia" w:ascii="仿宋_GB2312" w:hAnsi="仿宋_GB2312" w:eastAsia="仿宋_GB2312" w:cs="仿宋_GB2312"/>
          <w:color w:val="auto"/>
          <w:sz w:val="28"/>
          <w:szCs w:val="28"/>
          <w:highlight w:val="none"/>
          <w:u w:val="single"/>
        </w:rPr>
        <w:t>（</w:t>
      </w:r>
      <w:r>
        <w:rPr>
          <w:rFonts w:hint="eastAsia" w:ascii="仿宋_GB2312" w:hAnsi="仿宋_GB2312" w:eastAsia="仿宋_GB2312" w:cs="仿宋_GB2312"/>
          <w:color w:val="auto"/>
          <w:spacing w:val="-1"/>
          <w:sz w:val="28"/>
          <w:szCs w:val="28"/>
          <w:highlight w:val="none"/>
          <w:u w:val="single"/>
        </w:rPr>
        <w:t>投标人名称）</w:t>
      </w:r>
      <w:r>
        <w:rPr>
          <w:rFonts w:hint="eastAsia" w:ascii="仿宋_GB2312" w:hAnsi="仿宋_GB2312" w:eastAsia="仿宋_GB2312" w:cs="仿宋_GB2312"/>
          <w:color w:val="auto"/>
          <w:spacing w:val="-1"/>
          <w:sz w:val="28"/>
          <w:szCs w:val="28"/>
          <w:highlight w:val="none"/>
        </w:rPr>
        <w:t>提交投标文件。</w:t>
      </w:r>
    </w:p>
    <w:p w14:paraId="435AA678">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1"/>
          <w:sz w:val="28"/>
          <w:szCs w:val="28"/>
          <w:highlight w:val="none"/>
        </w:rPr>
        <w:t>据此函，我方宣布同意如下：</w:t>
      </w:r>
    </w:p>
    <w:p w14:paraId="500C0B1B">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1"/>
          <w:sz w:val="28"/>
          <w:szCs w:val="28"/>
          <w:highlight w:val="none"/>
        </w:rPr>
        <w:t>1.我方已详细审查全部“招标文件</w:t>
      </w:r>
      <w:r>
        <w:rPr>
          <w:rFonts w:hint="eastAsia" w:ascii="仿宋_GB2312" w:hAnsi="仿宋_GB2312" w:eastAsia="仿宋_GB2312" w:cs="仿宋_GB2312"/>
          <w:color w:val="auto"/>
          <w:spacing w:val="-71"/>
          <w:sz w:val="28"/>
          <w:szCs w:val="28"/>
          <w:highlight w:val="none"/>
        </w:rPr>
        <w:t xml:space="preserve"> </w:t>
      </w:r>
      <w:r>
        <w:rPr>
          <w:rFonts w:hint="eastAsia" w:ascii="仿宋_GB2312" w:hAnsi="仿宋_GB2312" w:eastAsia="仿宋_GB2312" w:cs="仿宋_GB2312"/>
          <w:color w:val="auto"/>
          <w:spacing w:val="-1"/>
          <w:sz w:val="28"/>
          <w:szCs w:val="28"/>
          <w:highlight w:val="none"/>
        </w:rPr>
        <w:t>”，包括修改文件（如有的话）以及全部参考资料和</w:t>
      </w:r>
      <w:r>
        <w:rPr>
          <w:rFonts w:hint="eastAsia" w:ascii="仿宋_GB2312" w:hAnsi="仿宋_GB2312" w:eastAsia="仿宋_GB2312" w:cs="仿宋_GB2312"/>
          <w:color w:val="auto"/>
          <w:spacing w:val="1"/>
          <w:sz w:val="28"/>
          <w:szCs w:val="28"/>
          <w:highlight w:val="none"/>
        </w:rPr>
        <w:t>有关附件，已经了解我方对于招标文件、采购过程、采购结</w:t>
      </w:r>
      <w:r>
        <w:rPr>
          <w:rFonts w:hint="eastAsia" w:ascii="仿宋_GB2312" w:hAnsi="仿宋_GB2312" w:eastAsia="仿宋_GB2312" w:cs="仿宋_GB2312"/>
          <w:color w:val="auto"/>
          <w:sz w:val="28"/>
          <w:szCs w:val="28"/>
          <w:highlight w:val="none"/>
        </w:rPr>
        <w:t xml:space="preserve">果有依法进行询问、质疑、投诉 </w:t>
      </w:r>
      <w:r>
        <w:rPr>
          <w:rFonts w:hint="eastAsia" w:ascii="仿宋_GB2312" w:hAnsi="仿宋_GB2312" w:eastAsia="仿宋_GB2312" w:cs="仿宋_GB2312"/>
          <w:color w:val="auto"/>
          <w:spacing w:val="-1"/>
          <w:sz w:val="28"/>
          <w:szCs w:val="28"/>
          <w:highlight w:val="none"/>
        </w:rPr>
        <w:t>的权利及相关渠道和要求。</w:t>
      </w:r>
    </w:p>
    <w:p w14:paraId="3DC803D8">
      <w:pPr>
        <w:pStyle w:val="3"/>
        <w:keepNext w:val="0"/>
        <w:keepLines w:val="0"/>
        <w:pageBreakBefore w:val="0"/>
        <w:widowControl/>
        <w:kinsoku/>
        <w:wordWrap/>
        <w:overflowPunct/>
        <w:topLinePunct w:val="0"/>
        <w:autoSpaceDE/>
        <w:autoSpaceDN/>
        <w:bidi w:val="0"/>
        <w:adjustRightInd/>
        <w:snapToGrid/>
        <w:spacing w:line="240" w:lineRule="auto"/>
        <w:ind w:left="0" w:right="0" w:firstLine="564"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1"/>
          <w:sz w:val="28"/>
          <w:szCs w:val="28"/>
          <w:highlight w:val="none"/>
        </w:rPr>
        <w:t>2.我方在投标之前已经完全理解并接受招标文件的各项</w:t>
      </w:r>
      <w:r>
        <w:rPr>
          <w:rFonts w:hint="eastAsia" w:ascii="仿宋_GB2312" w:hAnsi="仿宋_GB2312" w:eastAsia="仿宋_GB2312" w:cs="仿宋_GB2312"/>
          <w:color w:val="auto"/>
          <w:sz w:val="28"/>
          <w:szCs w:val="28"/>
          <w:highlight w:val="none"/>
        </w:rPr>
        <w:t>规定和要求，对招标文件的合理</w:t>
      </w:r>
      <w:r>
        <w:rPr>
          <w:rFonts w:hint="eastAsia" w:ascii="仿宋_GB2312" w:hAnsi="仿宋_GB2312" w:eastAsia="仿宋_GB2312" w:cs="仿宋_GB2312"/>
          <w:color w:val="auto"/>
          <w:spacing w:val="-2"/>
          <w:sz w:val="28"/>
          <w:szCs w:val="28"/>
          <w:highlight w:val="none"/>
        </w:rPr>
        <w:t>性、合法性不再有异议。</w:t>
      </w:r>
    </w:p>
    <w:p w14:paraId="2E98C87C">
      <w:pPr>
        <w:pStyle w:val="3"/>
        <w:keepNext w:val="0"/>
        <w:keepLines w:val="0"/>
        <w:pageBreakBefore w:val="0"/>
        <w:widowControl/>
        <w:kinsoku/>
        <w:wordWrap/>
        <w:overflowPunct/>
        <w:topLinePunct w:val="0"/>
        <w:autoSpaceDE/>
        <w:autoSpaceDN/>
        <w:bidi w:val="0"/>
        <w:adjustRightInd/>
        <w:snapToGrid/>
        <w:spacing w:line="240" w:lineRule="auto"/>
        <w:ind w:left="0" w:right="0" w:firstLine="548"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3"/>
          <w:sz w:val="28"/>
          <w:szCs w:val="28"/>
          <w:highlight w:val="none"/>
        </w:rPr>
        <w:t>3.本投标有效期自投标截止之日起</w:t>
      </w:r>
      <w:r>
        <w:rPr>
          <w:rFonts w:hint="eastAsia" w:ascii="仿宋_GB2312" w:hAnsi="仿宋_GB2312" w:eastAsia="仿宋_GB2312" w:cs="仿宋_GB2312"/>
          <w:color w:val="auto"/>
          <w:spacing w:val="-3"/>
          <w:sz w:val="28"/>
          <w:szCs w:val="28"/>
          <w:highlight w:val="none"/>
          <w:u w:val="single" w:color="auto"/>
        </w:rPr>
        <w:t xml:space="preserve">    </w:t>
      </w:r>
      <w:r>
        <w:rPr>
          <w:rFonts w:hint="eastAsia" w:ascii="仿宋_GB2312" w:hAnsi="仿宋_GB2312" w:eastAsia="仿宋_GB2312" w:cs="仿宋_GB2312"/>
          <w:color w:val="auto"/>
          <w:spacing w:val="-3"/>
          <w:sz w:val="28"/>
          <w:szCs w:val="28"/>
          <w:highlight w:val="none"/>
        </w:rPr>
        <w:t>日。</w:t>
      </w:r>
    </w:p>
    <w:p w14:paraId="490E99F9">
      <w:pPr>
        <w:pStyle w:val="3"/>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4.如中标，本投标文件至本项目合同履行完毕止均保持有效，我方将按“招标文</w:t>
      </w:r>
      <w:r>
        <w:rPr>
          <w:rFonts w:hint="eastAsia" w:ascii="仿宋_GB2312" w:hAnsi="仿宋_GB2312" w:eastAsia="仿宋_GB2312" w:cs="仿宋_GB2312"/>
          <w:color w:val="auto"/>
          <w:spacing w:val="-1"/>
          <w:sz w:val="28"/>
          <w:szCs w:val="28"/>
          <w:highlight w:val="none"/>
        </w:rPr>
        <w:t>件</w:t>
      </w:r>
      <w:r>
        <w:rPr>
          <w:rFonts w:hint="eastAsia" w:ascii="仿宋_GB2312" w:hAnsi="仿宋_GB2312" w:eastAsia="仿宋_GB2312" w:cs="仿宋_GB2312"/>
          <w:color w:val="auto"/>
          <w:spacing w:val="-89"/>
          <w:sz w:val="28"/>
          <w:szCs w:val="28"/>
          <w:highlight w:val="none"/>
        </w:rPr>
        <w:t xml:space="preserve"> </w:t>
      </w:r>
      <w:r>
        <w:rPr>
          <w:rFonts w:hint="eastAsia" w:ascii="仿宋_GB2312" w:hAnsi="仿宋_GB2312" w:eastAsia="仿宋_GB2312" w:cs="仿宋_GB2312"/>
          <w:color w:val="auto"/>
          <w:spacing w:val="-1"/>
          <w:sz w:val="28"/>
          <w:szCs w:val="28"/>
          <w:highlight w:val="none"/>
        </w:rPr>
        <w:t>”及政府采购法律、法规的规定履行合同责任和义务。</w:t>
      </w:r>
    </w:p>
    <w:p w14:paraId="66A73C9E">
      <w:pPr>
        <w:pStyle w:val="3"/>
        <w:keepNext w:val="0"/>
        <w:keepLines w:val="0"/>
        <w:pageBreakBefore w:val="0"/>
        <w:widowControl/>
        <w:kinsoku/>
        <w:wordWrap/>
        <w:overflowPunct/>
        <w:topLinePunct w:val="0"/>
        <w:autoSpaceDE/>
        <w:autoSpaceDN/>
        <w:bidi w:val="0"/>
        <w:adjustRightInd/>
        <w:snapToGrid/>
        <w:spacing w:line="240" w:lineRule="auto"/>
        <w:ind w:left="0" w:right="0" w:rightChars="0" w:firstLine="552" w:firstLineChars="200"/>
        <w:jc w:val="both"/>
        <w:textAlignment w:val="auto"/>
        <w:rPr>
          <w:rFonts w:hint="eastAsia" w:ascii="仿宋_GB2312" w:hAnsi="仿宋_GB2312" w:eastAsia="仿宋_GB2312" w:cs="仿宋_GB2312"/>
          <w:color w:val="auto"/>
          <w:spacing w:val="3"/>
          <w:sz w:val="28"/>
          <w:szCs w:val="28"/>
          <w:highlight w:val="none"/>
        </w:rPr>
      </w:pPr>
      <w:r>
        <w:rPr>
          <w:rFonts w:hint="eastAsia" w:ascii="仿宋_GB2312" w:hAnsi="仿宋_GB2312" w:eastAsia="仿宋_GB2312" w:cs="仿宋_GB2312"/>
          <w:color w:val="auto"/>
          <w:spacing w:val="-2"/>
          <w:sz w:val="28"/>
          <w:szCs w:val="28"/>
          <w:highlight w:val="none"/>
        </w:rPr>
        <w:t>5.我方同意按照贵方要求提供与投标有关的一切数据</w:t>
      </w:r>
      <w:r>
        <w:rPr>
          <w:rFonts w:hint="eastAsia" w:ascii="仿宋_GB2312" w:hAnsi="仿宋_GB2312" w:eastAsia="仿宋_GB2312" w:cs="仿宋_GB2312"/>
          <w:color w:val="auto"/>
          <w:spacing w:val="-2"/>
          <w:sz w:val="28"/>
          <w:szCs w:val="28"/>
          <w:highlight w:val="none"/>
          <w:lang w:val="en-US" w:eastAsia="zh-CN"/>
        </w:rPr>
        <w:t>资料</w:t>
      </w:r>
      <w:r>
        <w:rPr>
          <w:rFonts w:hint="eastAsia" w:ascii="仿宋_GB2312" w:hAnsi="仿宋_GB2312" w:eastAsia="仿宋_GB2312" w:cs="仿宋_GB2312"/>
          <w:color w:val="auto"/>
          <w:spacing w:val="-2"/>
          <w:sz w:val="28"/>
          <w:szCs w:val="28"/>
          <w:highlight w:val="none"/>
        </w:rPr>
        <w:t>。</w:t>
      </w:r>
      <w:r>
        <w:rPr>
          <w:rFonts w:hint="eastAsia" w:ascii="仿宋_GB2312" w:hAnsi="仿宋_GB2312" w:eastAsia="仿宋_GB2312" w:cs="仿宋_GB2312"/>
          <w:color w:val="auto"/>
          <w:spacing w:val="3"/>
          <w:sz w:val="28"/>
          <w:szCs w:val="28"/>
          <w:highlight w:val="none"/>
        </w:rPr>
        <w:t xml:space="preserve"> </w:t>
      </w:r>
    </w:p>
    <w:p w14:paraId="148083C6">
      <w:pPr>
        <w:pStyle w:val="3"/>
        <w:keepNext w:val="0"/>
        <w:keepLines w:val="0"/>
        <w:pageBreakBefore w:val="0"/>
        <w:widowControl/>
        <w:tabs>
          <w:tab w:val="left" w:pos="6720"/>
          <w:tab w:val="left" w:pos="9120"/>
        </w:tabs>
        <w:kinsoku/>
        <w:wordWrap/>
        <w:overflowPunct/>
        <w:topLinePunct w:val="0"/>
        <w:autoSpaceDE/>
        <w:autoSpaceDN/>
        <w:bidi w:val="0"/>
        <w:adjustRightInd/>
        <w:snapToGrid/>
        <w:spacing w:line="240" w:lineRule="auto"/>
        <w:ind w:left="0" w:right="0" w:rightChars="0" w:firstLine="552"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2"/>
          <w:sz w:val="28"/>
          <w:szCs w:val="28"/>
          <w:highlight w:val="none"/>
        </w:rPr>
        <w:t>6.我方向贵方提交的所有投标文件、资料都是准确的和真实的。</w:t>
      </w:r>
    </w:p>
    <w:p w14:paraId="6AD84316">
      <w:pPr>
        <w:pStyle w:val="3"/>
        <w:keepNext w:val="0"/>
        <w:keepLines w:val="0"/>
        <w:pageBreakBefore w:val="0"/>
        <w:widowControl/>
        <w:kinsoku/>
        <w:wordWrap/>
        <w:overflowPunct/>
        <w:topLinePunct w:val="0"/>
        <w:autoSpaceDE/>
        <w:autoSpaceDN/>
        <w:bidi w:val="0"/>
        <w:adjustRightInd/>
        <w:snapToGrid/>
        <w:spacing w:line="240" w:lineRule="auto"/>
        <w:ind w:left="0" w:right="0" w:firstLine="564"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1"/>
          <w:sz w:val="28"/>
          <w:szCs w:val="28"/>
          <w:highlight w:val="none"/>
        </w:rPr>
        <w:t>7.以上事项如有虚假或者隐瞒，我方愿意承担一</w:t>
      </w:r>
      <w:r>
        <w:rPr>
          <w:rFonts w:hint="eastAsia" w:ascii="仿宋_GB2312" w:hAnsi="仿宋_GB2312" w:eastAsia="仿宋_GB2312" w:cs="仿宋_GB2312"/>
          <w:color w:val="auto"/>
          <w:sz w:val="28"/>
          <w:szCs w:val="28"/>
          <w:highlight w:val="none"/>
        </w:rPr>
        <w:t>切后果，并不再寻求任何旨在减轻或者</w:t>
      </w:r>
      <w:r>
        <w:rPr>
          <w:rFonts w:hint="eastAsia" w:ascii="仿宋_GB2312" w:hAnsi="仿宋_GB2312" w:eastAsia="仿宋_GB2312" w:cs="仿宋_GB2312"/>
          <w:color w:val="auto"/>
          <w:spacing w:val="-2"/>
          <w:sz w:val="28"/>
          <w:szCs w:val="28"/>
          <w:highlight w:val="none"/>
        </w:rPr>
        <w:t>免除法律责任的辩解。</w:t>
      </w:r>
    </w:p>
    <w:p w14:paraId="2D5799BF">
      <w:pPr>
        <w:pStyle w:val="3"/>
        <w:keepNext w:val="0"/>
        <w:keepLines w:val="0"/>
        <w:pageBreakBefore w:val="0"/>
        <w:widowControl/>
        <w:kinsoku/>
        <w:wordWrap/>
        <w:overflowPunct/>
        <w:topLinePunct w:val="0"/>
        <w:autoSpaceDE/>
        <w:autoSpaceDN/>
        <w:bidi w:val="0"/>
        <w:adjustRightInd/>
        <w:snapToGrid/>
        <w:spacing w:line="240" w:lineRule="auto"/>
        <w:ind w:left="0" w:right="0" w:firstLine="544"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4"/>
          <w:sz w:val="28"/>
          <w:szCs w:val="28"/>
          <w:highlight w:val="none"/>
        </w:rPr>
        <w:t>8.根据《中华人民共和国政府采购法实施条例》第五十条要求对政府采购合同进行公告，</w:t>
      </w:r>
      <w:r>
        <w:rPr>
          <w:rFonts w:hint="eastAsia" w:ascii="仿宋_GB2312" w:hAnsi="仿宋_GB2312" w:eastAsia="仿宋_GB2312" w:cs="仿宋_GB2312"/>
          <w:color w:val="auto"/>
          <w:spacing w:val="1"/>
          <w:sz w:val="28"/>
          <w:szCs w:val="28"/>
          <w:highlight w:val="none"/>
        </w:rPr>
        <w:t>但政府采购合同中涉及国家秘密、商业秘密的内容除外。我方就对</w:t>
      </w:r>
      <w:r>
        <w:rPr>
          <w:rFonts w:hint="eastAsia" w:ascii="仿宋_GB2312" w:hAnsi="仿宋_GB2312" w:eastAsia="仿宋_GB2312" w:cs="仿宋_GB2312"/>
          <w:color w:val="auto"/>
          <w:sz w:val="28"/>
          <w:szCs w:val="28"/>
          <w:highlight w:val="none"/>
        </w:rPr>
        <w:t>本次投标文件进行注明如</w:t>
      </w:r>
      <w:r>
        <w:rPr>
          <w:rFonts w:hint="eastAsia" w:ascii="仿宋_GB2312" w:hAnsi="仿宋_GB2312" w:eastAsia="仿宋_GB2312" w:cs="仿宋_GB2312"/>
          <w:color w:val="auto"/>
          <w:spacing w:val="4"/>
          <w:sz w:val="28"/>
          <w:szCs w:val="28"/>
          <w:highlight w:val="none"/>
        </w:rPr>
        <w:t>下</w:t>
      </w:r>
      <w:r>
        <w:rPr>
          <w:rFonts w:hint="eastAsia" w:ascii="仿宋_GB2312" w:hAnsi="仿宋_GB2312" w:eastAsia="仿宋_GB2312" w:cs="仿宋_GB2312"/>
          <w:color w:val="auto"/>
          <w:spacing w:val="-31"/>
          <w:sz w:val="28"/>
          <w:szCs w:val="28"/>
          <w:highlight w:val="none"/>
        </w:rPr>
        <w:t>：（</w:t>
      </w:r>
      <w:r>
        <w:rPr>
          <w:rFonts w:hint="eastAsia" w:ascii="仿宋_GB2312" w:hAnsi="仿宋_GB2312" w:eastAsia="仿宋_GB2312" w:cs="仿宋_GB2312"/>
          <w:color w:val="auto"/>
          <w:spacing w:val="4"/>
          <w:sz w:val="28"/>
          <w:szCs w:val="28"/>
          <w:highlight w:val="none"/>
        </w:rPr>
        <w:t>两项内容中必须选择一项）</w:t>
      </w:r>
    </w:p>
    <w:p w14:paraId="1D5C0DA7">
      <w:pPr>
        <w:pStyle w:val="3"/>
        <w:keepNext w:val="0"/>
        <w:keepLines w:val="0"/>
        <w:pageBreakBefore w:val="0"/>
        <w:widowControl/>
        <w:kinsoku/>
        <w:wordWrap/>
        <w:overflowPunct/>
        <w:topLinePunct w:val="0"/>
        <w:autoSpaceDE/>
        <w:autoSpaceDN/>
        <w:bidi w:val="0"/>
        <w:adjustRightInd/>
        <w:snapToGrid/>
        <w:spacing w:line="240" w:lineRule="auto"/>
        <w:ind w:left="0" w:right="0" w:firstLine="552"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2"/>
          <w:sz w:val="28"/>
          <w:szCs w:val="28"/>
          <w:highlight w:val="none"/>
        </w:rPr>
        <w:t>□我方本次投标文件内容中未涉及商业秘密；</w:t>
      </w:r>
    </w:p>
    <w:p w14:paraId="33034E6C">
      <w:pPr>
        <w:pStyle w:val="3"/>
        <w:keepNext w:val="0"/>
        <w:keepLines w:val="0"/>
        <w:pageBreakBefore w:val="0"/>
        <w:widowControl/>
        <w:kinsoku/>
        <w:wordWrap/>
        <w:overflowPunct/>
        <w:topLinePunct w:val="0"/>
        <w:autoSpaceDE/>
        <w:autoSpaceDN/>
        <w:bidi w:val="0"/>
        <w:adjustRightInd/>
        <w:snapToGrid/>
        <w:spacing w:line="240" w:lineRule="auto"/>
        <w:ind w:right="0" w:firstLine="552" w:firstLineChars="200"/>
        <w:jc w:val="both"/>
        <w:textAlignment w:val="auto"/>
        <w:rPr>
          <w:rFonts w:hint="eastAsia" w:ascii="仿宋_GB2312" w:hAnsi="仿宋_GB2312" w:eastAsia="仿宋_GB2312" w:cs="仿宋_GB2312"/>
          <w:color w:val="auto"/>
          <w:spacing w:val="1"/>
          <w:sz w:val="28"/>
          <w:szCs w:val="28"/>
          <w:highlight w:val="none"/>
        </w:rPr>
      </w:pPr>
      <w:r>
        <w:rPr>
          <w:rFonts w:hint="eastAsia" w:ascii="仿宋_GB2312" w:hAnsi="仿宋_GB2312" w:eastAsia="仿宋_GB2312" w:cs="仿宋_GB2312"/>
          <w:color w:val="auto"/>
          <w:spacing w:val="-2"/>
          <w:sz w:val="28"/>
          <w:szCs w:val="28"/>
          <w:highlight w:val="none"/>
          <w:lang w:eastAsia="zh-CN"/>
        </w:rPr>
        <w:t>□</w:t>
      </w:r>
      <w:r>
        <w:rPr>
          <w:rFonts w:hint="eastAsia" w:ascii="仿宋_GB2312" w:hAnsi="仿宋_GB2312" w:eastAsia="仿宋_GB2312" w:cs="仿宋_GB2312"/>
          <w:color w:val="auto"/>
          <w:spacing w:val="-2"/>
          <w:sz w:val="28"/>
          <w:szCs w:val="28"/>
          <w:highlight w:val="none"/>
        </w:rPr>
        <w:t>我方本次投标文件涉及商业秘密的内容有</w:t>
      </w:r>
      <w:r>
        <w:rPr>
          <w:rFonts w:hint="eastAsia" w:ascii="仿宋_GB2312" w:hAnsi="仿宋_GB2312" w:eastAsia="仿宋_GB2312" w:cs="仿宋_GB2312"/>
          <w:color w:val="auto"/>
          <w:spacing w:val="-30"/>
          <w:sz w:val="28"/>
          <w:szCs w:val="28"/>
          <w:highlight w:val="none"/>
        </w:rPr>
        <w:t>：</w:t>
      </w:r>
      <w:r>
        <w:rPr>
          <w:rFonts w:hint="eastAsia" w:ascii="仿宋_GB2312" w:hAnsi="仿宋_GB2312" w:eastAsia="仿宋_GB2312" w:cs="仿宋_GB2312"/>
          <w:color w:val="auto"/>
          <w:sz w:val="28"/>
          <w:szCs w:val="28"/>
          <w:highlight w:val="none"/>
          <w:u w:val="single" w:color="auto"/>
        </w:rPr>
        <w:t xml:space="preserve">                    </w:t>
      </w:r>
      <w:r>
        <w:rPr>
          <w:rFonts w:hint="eastAsia" w:ascii="仿宋_GB2312" w:hAnsi="仿宋_GB2312" w:eastAsia="仿宋_GB2312" w:cs="仿宋_GB2312"/>
          <w:color w:val="auto"/>
          <w:spacing w:val="-30"/>
          <w:sz w:val="28"/>
          <w:szCs w:val="28"/>
          <w:highlight w:val="none"/>
        </w:rPr>
        <w:t>；</w:t>
      </w:r>
      <w:r>
        <w:rPr>
          <w:rFonts w:hint="eastAsia" w:ascii="仿宋_GB2312" w:hAnsi="仿宋_GB2312" w:eastAsia="仿宋_GB2312" w:cs="仿宋_GB2312"/>
          <w:color w:val="auto"/>
          <w:spacing w:val="1"/>
          <w:sz w:val="28"/>
          <w:szCs w:val="28"/>
          <w:highlight w:val="none"/>
        </w:rPr>
        <w:t xml:space="preserve"> </w:t>
      </w:r>
    </w:p>
    <w:p w14:paraId="5CD03DCC">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1"/>
          <w:sz w:val="28"/>
          <w:szCs w:val="28"/>
          <w:highlight w:val="none"/>
        </w:rPr>
        <w:t>9.与本投标有关的一切正式往来信函请寄：</w:t>
      </w:r>
    </w:p>
    <w:p w14:paraId="2E4C248F">
      <w:pPr>
        <w:pStyle w:val="3"/>
        <w:keepNext w:val="0"/>
        <w:keepLines w:val="0"/>
        <w:pageBreakBefore w:val="0"/>
        <w:widowControl/>
        <w:kinsoku/>
        <w:wordWrap/>
        <w:overflowPunct/>
        <w:topLinePunct w:val="0"/>
        <w:autoSpaceDE/>
        <w:autoSpaceDN/>
        <w:bidi w:val="0"/>
        <w:adjustRightInd/>
        <w:snapToGrid/>
        <w:spacing w:line="240" w:lineRule="auto"/>
        <w:ind w:left="0" w:right="0" w:firstLine="532"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7"/>
          <w:sz w:val="28"/>
          <w:szCs w:val="28"/>
          <w:highlight w:val="none"/>
        </w:rPr>
        <w:t>地址：</w:t>
      </w:r>
      <w:r>
        <w:rPr>
          <w:rFonts w:hint="eastAsia" w:ascii="仿宋_GB2312" w:hAnsi="仿宋_GB2312" w:eastAsia="仿宋_GB2312" w:cs="仿宋_GB2312"/>
          <w:color w:val="auto"/>
          <w:sz w:val="28"/>
          <w:szCs w:val="28"/>
          <w:highlight w:val="none"/>
          <w:u w:val="single" w:color="auto"/>
        </w:rPr>
        <w:t xml:space="preserve">          </w:t>
      </w:r>
      <w:r>
        <w:rPr>
          <w:rFonts w:hint="eastAsia" w:ascii="仿宋_GB2312" w:hAnsi="仿宋_GB2312" w:eastAsia="仿宋_GB2312" w:cs="仿宋_GB2312"/>
          <w:color w:val="auto"/>
          <w:spacing w:val="-90"/>
          <w:sz w:val="28"/>
          <w:szCs w:val="28"/>
          <w:highlight w:val="none"/>
        </w:rPr>
        <w:t xml:space="preserve"> </w:t>
      </w:r>
      <w:r>
        <w:rPr>
          <w:rFonts w:hint="eastAsia" w:ascii="仿宋_GB2312" w:hAnsi="仿宋_GB2312" w:eastAsia="仿宋_GB2312" w:cs="仿宋_GB2312"/>
          <w:color w:val="auto"/>
          <w:spacing w:val="-7"/>
          <w:sz w:val="28"/>
          <w:szCs w:val="28"/>
          <w:highlight w:val="none"/>
        </w:rPr>
        <w:t>邮编：</w:t>
      </w:r>
      <w:r>
        <w:rPr>
          <w:rFonts w:hint="eastAsia" w:ascii="仿宋_GB2312" w:hAnsi="仿宋_GB2312" w:eastAsia="仿宋_GB2312" w:cs="仿宋_GB2312"/>
          <w:color w:val="auto"/>
          <w:sz w:val="28"/>
          <w:szCs w:val="28"/>
          <w:highlight w:val="none"/>
          <w:u w:val="single" w:color="auto"/>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pacing w:val="-8"/>
          <w:sz w:val="28"/>
          <w:szCs w:val="28"/>
          <w:highlight w:val="none"/>
        </w:rPr>
        <w:t>电话：</w:t>
      </w:r>
      <w:r>
        <w:rPr>
          <w:rFonts w:hint="eastAsia" w:ascii="仿宋_GB2312" w:hAnsi="仿宋_GB2312" w:eastAsia="仿宋_GB2312" w:cs="仿宋_GB2312"/>
          <w:color w:val="auto"/>
          <w:sz w:val="28"/>
          <w:szCs w:val="28"/>
          <w:highlight w:val="none"/>
          <w:u w:val="single" w:color="auto"/>
        </w:rPr>
        <w:t xml:space="preserve">        </w:t>
      </w:r>
      <w:r>
        <w:rPr>
          <w:rFonts w:hint="eastAsia" w:ascii="仿宋_GB2312" w:hAnsi="仿宋_GB2312" w:eastAsia="仿宋_GB2312" w:cs="仿宋_GB2312"/>
          <w:color w:val="auto"/>
          <w:spacing w:val="-112"/>
          <w:sz w:val="28"/>
          <w:szCs w:val="28"/>
          <w:highlight w:val="none"/>
        </w:rPr>
        <w:t xml:space="preserve"> </w:t>
      </w:r>
      <w:r>
        <w:rPr>
          <w:rFonts w:hint="eastAsia" w:ascii="仿宋_GB2312" w:hAnsi="仿宋_GB2312" w:eastAsia="仿宋_GB2312" w:cs="仿宋_GB2312"/>
          <w:color w:val="auto"/>
          <w:spacing w:val="-8"/>
          <w:sz w:val="28"/>
          <w:szCs w:val="28"/>
          <w:highlight w:val="none"/>
        </w:rPr>
        <w:t>传真：</w:t>
      </w:r>
      <w:r>
        <w:rPr>
          <w:rFonts w:hint="eastAsia" w:ascii="仿宋_GB2312" w:hAnsi="仿宋_GB2312" w:eastAsia="仿宋_GB2312" w:cs="仿宋_GB2312"/>
          <w:color w:val="auto"/>
          <w:sz w:val="28"/>
          <w:szCs w:val="28"/>
          <w:highlight w:val="none"/>
          <w:u w:val="single" w:color="auto"/>
        </w:rPr>
        <w:t xml:space="preserve">          </w:t>
      </w:r>
    </w:p>
    <w:p w14:paraId="48586F14">
      <w:pPr>
        <w:pStyle w:val="3"/>
        <w:keepNext w:val="0"/>
        <w:keepLines w:val="0"/>
        <w:pageBreakBefore w:val="0"/>
        <w:widowControl/>
        <w:kinsoku/>
        <w:wordWrap/>
        <w:overflowPunct/>
        <w:topLinePunct w:val="0"/>
        <w:autoSpaceDE/>
        <w:autoSpaceDN/>
        <w:bidi w:val="0"/>
        <w:adjustRightInd/>
        <w:snapToGrid/>
        <w:spacing w:line="240" w:lineRule="auto"/>
        <w:ind w:left="0" w:right="0" w:firstLine="548" w:firstLineChars="200"/>
        <w:jc w:val="both"/>
        <w:textAlignment w:val="auto"/>
        <w:rPr>
          <w:rFonts w:hint="eastAsia" w:ascii="仿宋_GB2312" w:hAnsi="仿宋_GB2312" w:eastAsia="仿宋_GB2312" w:cs="仿宋_GB2312"/>
          <w:color w:val="auto"/>
          <w:spacing w:val="-3"/>
          <w:sz w:val="28"/>
          <w:szCs w:val="28"/>
          <w:highlight w:val="none"/>
          <w:u w:val="single"/>
          <w:lang w:eastAsia="zh-CN"/>
        </w:rPr>
      </w:pPr>
      <w:r>
        <w:rPr>
          <w:rFonts w:hint="eastAsia" w:ascii="仿宋_GB2312" w:hAnsi="仿宋_GB2312" w:eastAsia="仿宋_GB2312" w:cs="仿宋_GB2312"/>
          <w:color w:val="auto"/>
          <w:spacing w:val="-3"/>
          <w:sz w:val="28"/>
          <w:szCs w:val="28"/>
          <w:highlight w:val="none"/>
        </w:rPr>
        <w:t>投标人名称：</w:t>
      </w:r>
      <w:r>
        <w:rPr>
          <w:rFonts w:hint="eastAsia" w:ascii="仿宋_GB2312" w:hAnsi="仿宋_GB2312" w:eastAsia="仿宋_GB2312" w:cs="仿宋_GB2312"/>
          <w:color w:val="auto"/>
          <w:spacing w:val="-3"/>
          <w:sz w:val="28"/>
          <w:szCs w:val="28"/>
          <w:highlight w:val="none"/>
          <w:u w:val="single"/>
          <w:lang w:eastAsia="zh-CN"/>
        </w:rPr>
        <w:t>（</w:t>
      </w:r>
      <w:r>
        <w:rPr>
          <w:rFonts w:hint="eastAsia" w:ascii="仿宋_GB2312" w:hAnsi="仿宋_GB2312" w:eastAsia="仿宋_GB2312" w:cs="仿宋_GB2312"/>
          <w:color w:val="auto"/>
          <w:spacing w:val="-3"/>
          <w:sz w:val="28"/>
          <w:szCs w:val="28"/>
          <w:highlight w:val="none"/>
          <w:u w:val="single"/>
          <w:lang w:val="en-US" w:eastAsia="zh-CN"/>
        </w:rPr>
        <w:t>公司名称</w:t>
      </w:r>
      <w:r>
        <w:rPr>
          <w:rFonts w:hint="eastAsia" w:ascii="仿宋_GB2312" w:hAnsi="仿宋_GB2312" w:eastAsia="仿宋_GB2312" w:cs="仿宋_GB2312"/>
          <w:color w:val="auto"/>
          <w:spacing w:val="-3"/>
          <w:sz w:val="28"/>
          <w:szCs w:val="28"/>
          <w:highlight w:val="none"/>
          <w:u w:val="single"/>
          <w:lang w:eastAsia="zh-CN"/>
        </w:rPr>
        <w:t>）</w:t>
      </w:r>
    </w:p>
    <w:p w14:paraId="6BE86E56">
      <w:pPr>
        <w:pStyle w:val="3"/>
        <w:keepNext w:val="0"/>
        <w:keepLines w:val="0"/>
        <w:pageBreakBefore w:val="0"/>
        <w:widowControl/>
        <w:kinsoku/>
        <w:wordWrap/>
        <w:overflowPunct/>
        <w:topLinePunct w:val="0"/>
        <w:autoSpaceDE/>
        <w:autoSpaceDN/>
        <w:bidi w:val="0"/>
        <w:adjustRightInd/>
        <w:snapToGrid/>
        <w:spacing w:line="240" w:lineRule="auto"/>
        <w:ind w:left="0" w:right="0" w:firstLine="552" w:firstLineChars="200"/>
        <w:jc w:val="both"/>
        <w:textAlignment w:val="auto"/>
        <w:rPr>
          <w:rFonts w:hint="default" w:ascii="仿宋_GB2312" w:hAnsi="仿宋_GB2312" w:eastAsia="仿宋_GB2312" w:cs="仿宋_GB2312"/>
          <w:color w:val="auto"/>
          <w:spacing w:val="-2"/>
          <w:sz w:val="28"/>
          <w:szCs w:val="28"/>
          <w:highlight w:val="none"/>
          <w:u w:val="single"/>
          <w:lang w:val="en-US" w:eastAsia="zh-CN"/>
        </w:rPr>
      </w:pPr>
      <w:r>
        <w:rPr>
          <w:rFonts w:hint="eastAsia" w:ascii="仿宋_GB2312" w:hAnsi="仿宋_GB2312" w:eastAsia="仿宋_GB2312" w:cs="仿宋_GB2312"/>
          <w:color w:val="auto"/>
          <w:spacing w:val="-2"/>
          <w:sz w:val="28"/>
          <w:szCs w:val="28"/>
          <w:highlight w:val="none"/>
        </w:rPr>
        <w:t>开户银行：</w:t>
      </w:r>
      <w:r>
        <w:rPr>
          <w:rFonts w:hint="eastAsia" w:ascii="仿宋_GB2312" w:hAnsi="仿宋_GB2312" w:eastAsia="仿宋_GB2312" w:cs="仿宋_GB2312"/>
          <w:color w:val="auto"/>
          <w:spacing w:val="-2"/>
          <w:sz w:val="28"/>
          <w:szCs w:val="28"/>
          <w:highlight w:val="none"/>
          <w:u w:val="single" w:color="auto"/>
        </w:rPr>
        <w:t xml:space="preserve"> </w:t>
      </w:r>
      <w:r>
        <w:rPr>
          <w:rFonts w:hint="eastAsia" w:ascii="仿宋_GB2312" w:hAnsi="仿宋_GB2312" w:eastAsia="仿宋_GB2312" w:cs="仿宋_GB2312"/>
          <w:color w:val="auto"/>
          <w:spacing w:val="-2"/>
          <w:sz w:val="28"/>
          <w:szCs w:val="28"/>
          <w:highlight w:val="none"/>
          <w:u w:val="single" w:color="auto"/>
          <w:lang w:val="en-US" w:eastAsia="zh-CN"/>
        </w:rPr>
        <w:t xml:space="preserve">             </w:t>
      </w:r>
      <w:r>
        <w:rPr>
          <w:rFonts w:hint="eastAsia" w:ascii="仿宋_GB2312" w:hAnsi="仿宋_GB2312" w:eastAsia="仿宋_GB2312" w:cs="仿宋_GB2312"/>
          <w:color w:val="auto"/>
          <w:spacing w:val="-2"/>
          <w:sz w:val="28"/>
          <w:szCs w:val="28"/>
          <w:highlight w:val="none"/>
        </w:rPr>
        <w:t>银行账号：</w:t>
      </w:r>
      <w:r>
        <w:rPr>
          <w:rFonts w:hint="eastAsia" w:ascii="仿宋_GB2312" w:hAnsi="仿宋_GB2312" w:eastAsia="仿宋_GB2312" w:cs="仿宋_GB2312"/>
          <w:color w:val="auto"/>
          <w:spacing w:val="-2"/>
          <w:sz w:val="28"/>
          <w:szCs w:val="28"/>
          <w:highlight w:val="none"/>
          <w:u w:val="single"/>
          <w:lang w:eastAsia="zh-CN"/>
        </w:rPr>
        <w:t>（</w:t>
      </w:r>
      <w:r>
        <w:rPr>
          <w:rFonts w:hint="eastAsia" w:ascii="仿宋_GB2312" w:hAnsi="仿宋_GB2312" w:eastAsia="仿宋_GB2312" w:cs="仿宋_GB2312"/>
          <w:color w:val="auto"/>
          <w:spacing w:val="-2"/>
          <w:sz w:val="28"/>
          <w:szCs w:val="28"/>
          <w:highlight w:val="none"/>
          <w:u w:val="single"/>
          <w:lang w:val="en-US" w:eastAsia="zh-CN"/>
        </w:rPr>
        <w:t>账号</w:t>
      </w:r>
      <w:r>
        <w:rPr>
          <w:rFonts w:hint="eastAsia" w:ascii="仿宋_GB2312" w:hAnsi="仿宋_GB2312" w:eastAsia="仿宋_GB2312" w:cs="仿宋_GB2312"/>
          <w:color w:val="auto"/>
          <w:spacing w:val="-2"/>
          <w:sz w:val="28"/>
          <w:szCs w:val="28"/>
          <w:highlight w:val="none"/>
          <w:u w:val="single"/>
          <w:lang w:eastAsia="zh-CN"/>
        </w:rPr>
        <w:t>）</w:t>
      </w:r>
      <w:r>
        <w:rPr>
          <w:rFonts w:hint="eastAsia" w:ascii="仿宋_GB2312" w:hAnsi="仿宋_GB2312" w:eastAsia="仿宋_GB2312" w:cs="仿宋_GB2312"/>
          <w:color w:val="auto"/>
          <w:spacing w:val="-2"/>
          <w:sz w:val="28"/>
          <w:szCs w:val="28"/>
          <w:highlight w:val="none"/>
          <w:u w:val="single"/>
          <w:lang w:val="en-US" w:eastAsia="zh-CN"/>
        </w:rPr>
        <w:t xml:space="preserve">  </w:t>
      </w:r>
    </w:p>
    <w:p w14:paraId="7402F6D6">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z w:val="28"/>
          <w:szCs w:val="28"/>
          <w:highlight w:val="none"/>
          <w:u w:val="single" w:color="auto"/>
          <w:lang w:val="en-US" w:eastAsia="zh-CN"/>
        </w:rPr>
      </w:pPr>
      <w:r>
        <w:rPr>
          <w:rFonts w:hint="eastAsia" w:ascii="仿宋_GB2312" w:hAnsi="仿宋_GB2312" w:eastAsia="仿宋_GB2312" w:cs="仿宋_GB2312"/>
          <w:color w:val="auto"/>
          <w:spacing w:val="-1"/>
          <w:sz w:val="28"/>
          <w:szCs w:val="28"/>
          <w:highlight w:val="none"/>
        </w:rPr>
        <w:t>法定代表人或者委托代理人签字：</w:t>
      </w:r>
      <w:r>
        <w:rPr>
          <w:rFonts w:hint="eastAsia" w:ascii="仿宋_GB2312" w:hAnsi="仿宋_GB2312" w:eastAsia="仿宋_GB2312" w:cs="仿宋_GB2312"/>
          <w:color w:val="auto"/>
          <w:spacing w:val="-1"/>
          <w:sz w:val="28"/>
          <w:szCs w:val="28"/>
          <w:highlight w:val="none"/>
          <w:u w:val="single"/>
          <w:lang w:val="en-US" w:eastAsia="zh-CN"/>
        </w:rPr>
        <w:t xml:space="preserve">                    </w:t>
      </w:r>
    </w:p>
    <w:p w14:paraId="4BF6F538">
      <w:pPr>
        <w:pStyle w:val="3"/>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single" w:color="auto"/>
        </w:rPr>
        <w:t xml:space="preserve">          </w:t>
      </w:r>
    </w:p>
    <w:p w14:paraId="166FC1AC">
      <w:pPr>
        <w:pStyle w:val="3"/>
        <w:keepNext w:val="0"/>
        <w:keepLines w:val="0"/>
        <w:pageBreakBefore w:val="0"/>
        <w:widowControl/>
        <w:kinsoku/>
        <w:wordWrap/>
        <w:overflowPunct/>
        <w:topLinePunct w:val="0"/>
        <w:autoSpaceDE/>
        <w:autoSpaceDN/>
        <w:bidi w:val="0"/>
        <w:adjustRightInd/>
        <w:snapToGrid/>
        <w:spacing w:line="240" w:lineRule="auto"/>
        <w:ind w:left="0" w:right="0" w:firstLine="5244" w:firstLineChars="19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2"/>
          <w:sz w:val="28"/>
          <w:szCs w:val="28"/>
          <w:highlight w:val="none"/>
        </w:rPr>
        <w:t>投标人（盖公章</w:t>
      </w:r>
      <w:r>
        <w:rPr>
          <w:rFonts w:hint="eastAsia" w:ascii="仿宋_GB2312" w:hAnsi="仿宋_GB2312" w:eastAsia="仿宋_GB2312" w:cs="仿宋_GB2312"/>
          <w:color w:val="auto"/>
          <w:sz w:val="28"/>
          <w:szCs w:val="28"/>
          <w:highlight w:val="none"/>
        </w:rPr>
        <w:t>）：</w:t>
      </w:r>
    </w:p>
    <w:p w14:paraId="6D3FAEAC">
      <w:pPr>
        <w:pStyle w:val="3"/>
        <w:keepNext w:val="0"/>
        <w:keepLines w:val="0"/>
        <w:pageBreakBefore w:val="0"/>
        <w:widowControl/>
        <w:kinsoku/>
        <w:wordWrap/>
        <w:overflowPunct/>
        <w:topLinePunct w:val="0"/>
        <w:autoSpaceDE/>
        <w:autoSpaceDN/>
        <w:bidi w:val="0"/>
        <w:adjustRightInd/>
        <w:snapToGrid/>
        <w:spacing w:line="240" w:lineRule="auto"/>
        <w:ind w:left="0" w:right="0" w:firstLine="5282" w:firstLineChars="1900"/>
        <w:jc w:val="both"/>
        <w:textAlignment w:val="auto"/>
        <w:rPr>
          <w:rFonts w:hint="eastAsia" w:ascii="仿宋_GB2312" w:hAnsi="仿宋_GB2312" w:eastAsia="仿宋_GB2312" w:cs="仿宋_GB2312"/>
          <w:color w:val="auto"/>
          <w:spacing w:val="-1"/>
          <w:sz w:val="28"/>
          <w:szCs w:val="28"/>
          <w:highlight w:val="none"/>
        </w:rPr>
      </w:pPr>
      <w:r>
        <w:rPr>
          <w:rFonts w:hint="eastAsia" w:ascii="仿宋_GB2312" w:hAnsi="仿宋_GB2312" w:eastAsia="仿宋_GB2312" w:cs="仿宋_GB2312"/>
          <w:color w:val="auto"/>
          <w:spacing w:val="-1"/>
          <w:sz w:val="28"/>
          <w:szCs w:val="28"/>
          <w:highlight w:val="none"/>
          <w:lang w:val="en-US" w:eastAsia="zh-CN"/>
        </w:rPr>
        <w:t xml:space="preserve">2025年  </w:t>
      </w:r>
      <w:r>
        <w:rPr>
          <w:rFonts w:hint="eastAsia" w:ascii="仿宋_GB2312" w:hAnsi="仿宋_GB2312" w:eastAsia="仿宋_GB2312" w:cs="仿宋_GB2312"/>
          <w:color w:val="auto"/>
          <w:spacing w:val="-1"/>
          <w:sz w:val="28"/>
          <w:szCs w:val="28"/>
          <w:highlight w:val="none"/>
        </w:rPr>
        <w:t xml:space="preserve"> 月 </w:t>
      </w:r>
      <w:r>
        <w:rPr>
          <w:rFonts w:hint="eastAsia" w:ascii="仿宋_GB2312" w:hAnsi="仿宋_GB2312" w:eastAsia="仿宋_GB2312" w:cs="仿宋_GB2312"/>
          <w:color w:val="auto"/>
          <w:spacing w:val="-1"/>
          <w:sz w:val="28"/>
          <w:szCs w:val="28"/>
          <w:highlight w:val="none"/>
          <w:lang w:val="en-US" w:eastAsia="zh-CN"/>
        </w:rPr>
        <w:t xml:space="preserve"> </w:t>
      </w:r>
      <w:r>
        <w:rPr>
          <w:rFonts w:hint="eastAsia" w:ascii="仿宋_GB2312" w:hAnsi="仿宋_GB2312" w:eastAsia="仿宋_GB2312" w:cs="仿宋_GB2312"/>
          <w:color w:val="auto"/>
          <w:spacing w:val="-1"/>
          <w:sz w:val="28"/>
          <w:szCs w:val="28"/>
          <w:highlight w:val="none"/>
        </w:rPr>
        <w:t>日</w:t>
      </w:r>
    </w:p>
    <w:p w14:paraId="2FA6D9D9">
      <w:pPr>
        <w:keepNext w:val="0"/>
        <w:keepLines w:val="0"/>
        <w:widowControl/>
        <w:suppressLineNumbers w:val="0"/>
        <w:jc w:val="center"/>
        <w:rPr>
          <w:rFonts w:hint="eastAsia" w:ascii="方正小标宋简体" w:hAnsi="方正小标宋简体" w:eastAsia="方正小标宋简体" w:cs="方正小标宋简体"/>
          <w:color w:val="auto"/>
          <w:kern w:val="0"/>
          <w:sz w:val="43"/>
          <w:szCs w:val="43"/>
          <w:highlight w:val="none"/>
          <w:lang w:val="en-US" w:eastAsia="zh-CN" w:bidi="ar"/>
        </w:rPr>
      </w:pPr>
      <w:r>
        <w:rPr>
          <w:rFonts w:hint="eastAsia" w:ascii="方正小标宋简体" w:hAnsi="方正小标宋简体" w:eastAsia="方正小标宋简体" w:cs="方正小标宋简体"/>
          <w:color w:val="auto"/>
          <w:kern w:val="0"/>
          <w:sz w:val="43"/>
          <w:szCs w:val="43"/>
          <w:highlight w:val="none"/>
          <w:lang w:val="en-US" w:eastAsia="zh-CN" w:bidi="ar"/>
        </w:rPr>
        <w:t>报价单</w:t>
      </w:r>
    </w:p>
    <w:p w14:paraId="01FD9FD4">
      <w:pPr>
        <w:pStyle w:val="3"/>
        <w:spacing w:before="78" w:line="219" w:lineRule="auto"/>
        <w:ind w:left="512"/>
        <w:rPr>
          <w:color w:val="auto"/>
          <w:highlight w:val="none"/>
        </w:rPr>
      </w:pPr>
      <w:r>
        <w:rPr>
          <w:color w:val="auto"/>
          <w:spacing w:val="-1"/>
          <w:highlight w:val="none"/>
        </w:rPr>
        <w:t>项目名称：</w:t>
      </w:r>
      <w:r>
        <w:rPr>
          <w:color w:val="auto"/>
          <w:spacing w:val="-1"/>
          <w:highlight w:val="none"/>
          <w:u w:val="single" w:color="auto"/>
        </w:rPr>
        <w:t xml:space="preserve">           </w:t>
      </w:r>
      <w:r>
        <w:rPr>
          <w:color w:val="auto"/>
          <w:spacing w:val="-1"/>
          <w:highlight w:val="none"/>
          <w:u w:val="single"/>
        </w:rPr>
        <w:t xml:space="preserve">       </w:t>
      </w:r>
      <w:r>
        <w:rPr>
          <w:color w:val="auto"/>
          <w:spacing w:val="-1"/>
          <w:highlight w:val="none"/>
        </w:rPr>
        <w:t xml:space="preserve">  项目编号：</w:t>
      </w:r>
      <w:r>
        <w:rPr>
          <w:color w:val="auto"/>
          <w:highlight w:val="none"/>
          <w:u w:val="single" w:color="auto"/>
        </w:rPr>
        <w:t xml:space="preserve">            </w:t>
      </w:r>
      <w:r>
        <w:rPr>
          <w:color w:val="auto"/>
          <w:spacing w:val="2"/>
          <w:highlight w:val="none"/>
          <w:u w:val="single"/>
        </w:rPr>
        <w:t xml:space="preserve">       </w:t>
      </w:r>
      <w:r>
        <w:rPr>
          <w:color w:val="auto"/>
          <w:spacing w:val="2"/>
          <w:highlight w:val="none"/>
        </w:rPr>
        <w:t xml:space="preserve">  </w:t>
      </w:r>
      <w:r>
        <w:rPr>
          <w:color w:val="auto"/>
          <w:spacing w:val="-1"/>
          <w:highlight w:val="none"/>
        </w:rPr>
        <w:t>：</w:t>
      </w:r>
      <w:r>
        <w:rPr>
          <w:color w:val="auto"/>
          <w:highlight w:val="none"/>
          <w:u w:val="single" w:color="auto"/>
        </w:rPr>
        <w:t xml:space="preserve">       </w:t>
      </w:r>
    </w:p>
    <w:p w14:paraId="0716FBA8">
      <w:pPr>
        <w:pStyle w:val="3"/>
        <w:spacing w:before="230" w:line="220" w:lineRule="auto"/>
        <w:ind w:left="511"/>
        <w:rPr>
          <w:color w:val="auto"/>
          <w:highlight w:val="none"/>
        </w:rPr>
      </w:pPr>
      <w:r>
        <w:rPr>
          <w:color w:val="auto"/>
          <w:spacing w:val="-3"/>
          <w:highlight w:val="none"/>
        </w:rPr>
        <w:t>投标人名称：</w:t>
      </w:r>
      <w:r>
        <w:rPr>
          <w:color w:val="auto"/>
          <w:highlight w:val="none"/>
          <w:u w:val="single" w:color="auto"/>
        </w:rPr>
        <w:t xml:space="preserve">                 </w:t>
      </w:r>
    </w:p>
    <w:p w14:paraId="4E7229EB">
      <w:pPr>
        <w:spacing w:line="195" w:lineRule="exact"/>
        <w:rPr>
          <w:color w:val="auto"/>
          <w:highlight w:val="none"/>
        </w:rPr>
      </w:pPr>
    </w:p>
    <w:tbl>
      <w:tblPr>
        <w:tblStyle w:val="23"/>
        <w:tblW w:w="9554" w:type="dxa"/>
        <w:tblInd w:w="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2482"/>
        <w:gridCol w:w="2792"/>
        <w:gridCol w:w="3469"/>
      </w:tblGrid>
      <w:tr w14:paraId="1920B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11" w:type="dxa"/>
            <w:vAlign w:val="top"/>
          </w:tcPr>
          <w:p w14:paraId="7620671C">
            <w:pPr>
              <w:spacing w:before="316" w:line="221" w:lineRule="auto"/>
              <w:ind w:left="11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序号</w:t>
            </w:r>
          </w:p>
        </w:tc>
        <w:tc>
          <w:tcPr>
            <w:tcW w:w="2482" w:type="dxa"/>
            <w:vAlign w:val="top"/>
          </w:tcPr>
          <w:p w14:paraId="57329FCE">
            <w:pPr>
              <w:spacing w:before="317" w:line="220" w:lineRule="auto"/>
              <w:ind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标的的名称</w:t>
            </w:r>
          </w:p>
        </w:tc>
        <w:tc>
          <w:tcPr>
            <w:tcW w:w="2792" w:type="dxa"/>
            <w:vAlign w:val="center"/>
          </w:tcPr>
          <w:p w14:paraId="6E67D5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下浮系数</w:t>
            </w:r>
          </w:p>
          <w:p w14:paraId="1A40E3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（0.00--1.00）</w:t>
            </w:r>
          </w:p>
        </w:tc>
        <w:tc>
          <w:tcPr>
            <w:tcW w:w="3469" w:type="dxa"/>
            <w:vAlign w:val="center"/>
          </w:tcPr>
          <w:p w14:paraId="2DC67081">
            <w:pPr>
              <w:keepNext w:val="0"/>
              <w:keepLines w:val="0"/>
              <w:pageBreakBefore w:val="0"/>
              <w:widowControl/>
              <w:kinsoku/>
              <w:wordWrap/>
              <w:overflowPunct/>
              <w:topLinePunct w:val="0"/>
              <w:autoSpaceDE/>
              <w:autoSpaceDN/>
              <w:bidi w:val="0"/>
              <w:adjustRightInd/>
              <w:snapToGrid/>
              <w:spacing w:line="221" w:lineRule="auto"/>
              <w:jc w:val="center"/>
              <w:textAlignment w:val="auto"/>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备注</w:t>
            </w:r>
          </w:p>
        </w:tc>
      </w:tr>
      <w:tr w14:paraId="5D692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811" w:type="dxa"/>
            <w:vAlign w:val="center"/>
          </w:tcPr>
          <w:p w14:paraId="11E5CA7A">
            <w:pPr>
              <w:spacing w:before="225" w:line="184"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2482" w:type="dxa"/>
            <w:vAlign w:val="center"/>
          </w:tcPr>
          <w:p w14:paraId="6427AAB5">
            <w:pPr>
              <w:jc w:val="center"/>
              <w:rPr>
                <w:rFonts w:hint="default" w:ascii="Arial" w:eastAsiaTheme="minorEastAsia"/>
                <w:color w:val="auto"/>
                <w:sz w:val="21"/>
                <w:highlight w:val="none"/>
                <w:lang w:val="en-US" w:eastAsia="zh-CN"/>
              </w:rPr>
            </w:pPr>
            <w:r>
              <w:rPr>
                <w:rFonts w:hint="eastAsia" w:ascii="Arial"/>
                <w:color w:val="auto"/>
                <w:sz w:val="21"/>
                <w:highlight w:val="none"/>
                <w:lang w:val="en-US" w:eastAsia="zh-CN"/>
              </w:rPr>
              <w:t>广西骨伤医院零星维修项目服务报价</w:t>
            </w:r>
          </w:p>
        </w:tc>
        <w:tc>
          <w:tcPr>
            <w:tcW w:w="2792" w:type="dxa"/>
            <w:vAlign w:val="center"/>
          </w:tcPr>
          <w:p w14:paraId="4E84DAF0">
            <w:pPr>
              <w:jc w:val="center"/>
              <w:rPr>
                <w:rFonts w:ascii="Arial"/>
                <w:color w:val="auto"/>
                <w:sz w:val="21"/>
                <w:highlight w:val="none"/>
              </w:rPr>
            </w:pPr>
          </w:p>
        </w:tc>
        <w:tc>
          <w:tcPr>
            <w:tcW w:w="3469" w:type="dxa"/>
            <w:vAlign w:val="center"/>
          </w:tcPr>
          <w:p w14:paraId="35F5BD21">
            <w:pPr>
              <w:jc w:val="center"/>
              <w:rPr>
                <w:rFonts w:ascii="Arial"/>
                <w:color w:val="auto"/>
                <w:sz w:val="21"/>
                <w:highlight w:val="none"/>
              </w:rPr>
            </w:pPr>
            <w:r>
              <w:rPr>
                <w:rFonts w:hint="eastAsia" w:ascii="宋体" w:hAnsi="宋体" w:eastAsia="宋体" w:cs="宋体"/>
                <w:color w:val="auto"/>
                <w:spacing w:val="-2"/>
                <w:sz w:val="21"/>
                <w:szCs w:val="21"/>
                <w:highlight w:val="none"/>
                <w:lang w:val="en-US" w:eastAsia="zh-CN"/>
              </w:rPr>
              <w:t>基准价按施工当期南宁市住建部门公布的工程信息价格</w:t>
            </w:r>
          </w:p>
        </w:tc>
      </w:tr>
      <w:tr w14:paraId="4768E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9554" w:type="dxa"/>
            <w:gridSpan w:val="4"/>
            <w:vAlign w:val="top"/>
          </w:tcPr>
          <w:p w14:paraId="1E83C6F3">
            <w:pPr>
              <w:spacing w:line="347" w:lineRule="auto"/>
              <w:rPr>
                <w:rFonts w:ascii="Arial"/>
                <w:color w:val="auto"/>
                <w:sz w:val="21"/>
                <w:highlight w:val="none"/>
              </w:rPr>
            </w:pPr>
          </w:p>
          <w:p w14:paraId="4313613D">
            <w:pPr>
              <w:spacing w:before="78" w:line="219" w:lineRule="auto"/>
              <w:ind w:left="597"/>
              <w:rPr>
                <w:rFonts w:hint="default"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服务期限：</w:t>
            </w:r>
            <w:r>
              <w:rPr>
                <w:rFonts w:hint="eastAsia" w:ascii="宋体" w:hAnsi="宋体" w:eastAsia="宋体" w:cs="宋体"/>
                <w:color w:val="auto"/>
                <w:spacing w:val="-2"/>
                <w:sz w:val="24"/>
                <w:szCs w:val="24"/>
                <w:highlight w:val="none"/>
                <w:u w:val="single"/>
                <w:lang w:val="en-US" w:eastAsia="zh-CN"/>
              </w:rPr>
              <w:t xml:space="preserve">  2  </w:t>
            </w:r>
            <w:r>
              <w:rPr>
                <w:rFonts w:hint="eastAsia" w:ascii="宋体" w:hAnsi="宋体" w:eastAsia="宋体" w:cs="宋体"/>
                <w:color w:val="auto"/>
                <w:spacing w:val="-2"/>
                <w:sz w:val="24"/>
                <w:szCs w:val="24"/>
                <w:highlight w:val="none"/>
                <w:lang w:val="en-US" w:eastAsia="zh-CN"/>
              </w:rPr>
              <w:t>年</w:t>
            </w:r>
          </w:p>
        </w:tc>
      </w:tr>
    </w:tbl>
    <w:p w14:paraId="18A53659">
      <w:pPr>
        <w:spacing w:line="260" w:lineRule="auto"/>
        <w:rPr>
          <w:rFonts w:ascii="Arial"/>
          <w:color w:val="auto"/>
          <w:sz w:val="21"/>
          <w:highlight w:val="none"/>
        </w:rPr>
      </w:pPr>
    </w:p>
    <w:p w14:paraId="46E3320C">
      <w:pPr>
        <w:pStyle w:val="3"/>
        <w:spacing w:before="79" w:line="240" w:lineRule="auto"/>
        <w:ind w:left="508"/>
        <w:rPr>
          <w:color w:val="auto"/>
          <w:spacing w:val="-5"/>
          <w:highlight w:val="none"/>
        </w:rPr>
      </w:pPr>
      <w:r>
        <w:rPr>
          <w:color w:val="auto"/>
          <w:spacing w:val="-5"/>
          <w:highlight w:val="none"/>
        </w:rPr>
        <w:t>注：</w:t>
      </w:r>
    </w:p>
    <w:p w14:paraId="7F19848F">
      <w:pPr>
        <w:pStyle w:val="3"/>
        <w:keepNext w:val="0"/>
        <w:keepLines w:val="0"/>
        <w:pageBreakBefore w:val="0"/>
        <w:widowControl/>
        <w:kinsoku/>
        <w:wordWrap/>
        <w:overflowPunct/>
        <w:topLinePunct w:val="0"/>
        <w:autoSpaceDE/>
        <w:autoSpaceDN/>
        <w:bidi w:val="0"/>
        <w:adjustRightInd/>
        <w:snapToGrid/>
        <w:spacing w:line="240" w:lineRule="auto"/>
        <w:ind w:left="0" w:firstLine="416" w:firstLineChars="200"/>
        <w:jc w:val="both"/>
        <w:textAlignment w:val="auto"/>
        <w:rPr>
          <w:rFonts w:hint="eastAsia" w:ascii="黑体" w:hAnsi="黑体" w:eastAsia="黑体" w:cs="黑体"/>
          <w:color w:val="auto"/>
          <w:sz w:val="21"/>
          <w:szCs w:val="21"/>
          <w:highlight w:val="none"/>
        </w:rPr>
      </w:pPr>
      <w:r>
        <w:rPr>
          <w:rFonts w:hint="eastAsia" w:ascii="黑体" w:hAnsi="黑体" w:eastAsia="黑体" w:cs="黑体"/>
          <w:color w:val="auto"/>
          <w:spacing w:val="-1"/>
          <w:sz w:val="21"/>
          <w:szCs w:val="21"/>
          <w:highlight w:val="none"/>
        </w:rPr>
        <w:t>1.投标人的</w:t>
      </w:r>
      <w:r>
        <w:rPr>
          <w:rFonts w:hint="eastAsia" w:ascii="黑体" w:hAnsi="黑体" w:eastAsia="黑体" w:cs="黑体"/>
          <w:color w:val="auto"/>
          <w:spacing w:val="-1"/>
          <w:sz w:val="21"/>
          <w:szCs w:val="21"/>
          <w:highlight w:val="none"/>
          <w:lang w:val="en-US" w:eastAsia="zh-CN"/>
        </w:rPr>
        <w:t>报价单</w:t>
      </w:r>
      <w:r>
        <w:rPr>
          <w:rFonts w:hint="eastAsia" w:ascii="黑体" w:hAnsi="黑体" w:eastAsia="黑体" w:cs="黑体"/>
          <w:color w:val="auto"/>
          <w:spacing w:val="-1"/>
          <w:sz w:val="21"/>
          <w:szCs w:val="21"/>
          <w:highlight w:val="none"/>
        </w:rPr>
        <w:t>必须加盖投标人公章并由法定代表人或者委托代理人签字，</w:t>
      </w:r>
      <w:r>
        <w:rPr>
          <w:rFonts w:hint="eastAsia" w:ascii="黑体" w:hAnsi="黑体" w:eastAsia="黑体" w:cs="黑体"/>
          <w:b/>
          <w:bCs/>
          <w:color w:val="auto"/>
          <w:spacing w:val="-1"/>
          <w:sz w:val="21"/>
          <w:szCs w:val="21"/>
          <w:highlight w:val="none"/>
        </w:rPr>
        <w:t>否则</w:t>
      </w:r>
      <w:r>
        <w:rPr>
          <w:rFonts w:hint="eastAsia" w:ascii="黑体" w:hAnsi="黑体" w:eastAsia="黑体" w:cs="黑体"/>
          <w:b/>
          <w:bCs/>
          <w:color w:val="auto"/>
          <w:spacing w:val="-3"/>
          <w:sz w:val="21"/>
          <w:szCs w:val="21"/>
          <w:highlight w:val="none"/>
        </w:rPr>
        <w:t>其投标作无效标处理</w:t>
      </w:r>
      <w:r>
        <w:rPr>
          <w:rFonts w:hint="eastAsia" w:ascii="黑体" w:hAnsi="黑体" w:eastAsia="黑体" w:cs="黑体"/>
          <w:color w:val="auto"/>
          <w:spacing w:val="-3"/>
          <w:sz w:val="21"/>
          <w:szCs w:val="21"/>
          <w:highlight w:val="none"/>
        </w:rPr>
        <w:t>。</w:t>
      </w:r>
    </w:p>
    <w:p w14:paraId="034FE5E6">
      <w:pPr>
        <w:pStyle w:val="3"/>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2.报价一经涂改，应在涂改处加盖投标人公章或者由法</w:t>
      </w:r>
      <w:r>
        <w:rPr>
          <w:rFonts w:hint="eastAsia" w:ascii="黑体" w:hAnsi="黑体" w:eastAsia="黑体" w:cs="黑体"/>
          <w:color w:val="auto"/>
          <w:spacing w:val="-1"/>
          <w:sz w:val="21"/>
          <w:szCs w:val="21"/>
          <w:highlight w:val="none"/>
        </w:rPr>
        <w:t>定代表人或者委托代理人签字或</w:t>
      </w:r>
      <w:r>
        <w:rPr>
          <w:rFonts w:hint="eastAsia" w:ascii="黑体" w:hAnsi="黑体" w:eastAsia="黑体" w:cs="黑体"/>
          <w:color w:val="auto"/>
          <w:spacing w:val="-3"/>
          <w:sz w:val="21"/>
          <w:szCs w:val="21"/>
          <w:highlight w:val="none"/>
        </w:rPr>
        <w:t>者盖章</w:t>
      </w:r>
      <w:r>
        <w:rPr>
          <w:rFonts w:hint="eastAsia" w:ascii="黑体" w:hAnsi="黑体" w:eastAsia="黑体" w:cs="黑体"/>
          <w:b/>
          <w:bCs/>
          <w:color w:val="auto"/>
          <w:spacing w:val="-3"/>
          <w:sz w:val="21"/>
          <w:szCs w:val="21"/>
          <w:highlight w:val="none"/>
        </w:rPr>
        <w:t>，否则其投标作无效标处理。</w:t>
      </w:r>
    </w:p>
    <w:p w14:paraId="6E0E9D79">
      <w:pPr>
        <w:keepNext w:val="0"/>
        <w:keepLines w:val="0"/>
        <w:pageBreakBefore w:val="0"/>
        <w:widowControl/>
        <w:kinsoku/>
        <w:wordWrap/>
        <w:overflowPunct/>
        <w:topLinePunct w:val="0"/>
        <w:autoSpaceDE/>
        <w:autoSpaceDN/>
        <w:bidi w:val="0"/>
        <w:adjustRightInd/>
        <w:snapToGrid/>
        <w:spacing w:line="473" w:lineRule="auto"/>
        <w:ind w:left="0" w:firstLine="420" w:firstLineChars="200"/>
        <w:textAlignment w:val="auto"/>
        <w:rPr>
          <w:rFonts w:ascii="Arial"/>
          <w:color w:val="auto"/>
          <w:sz w:val="21"/>
          <w:highlight w:val="none"/>
        </w:rPr>
      </w:pPr>
    </w:p>
    <w:p w14:paraId="67DE764E">
      <w:pPr>
        <w:spacing w:line="473" w:lineRule="auto"/>
        <w:rPr>
          <w:rFonts w:ascii="Arial"/>
          <w:color w:val="auto"/>
          <w:sz w:val="21"/>
          <w:highlight w:val="none"/>
        </w:rPr>
      </w:pPr>
    </w:p>
    <w:p w14:paraId="28FF7A12">
      <w:pPr>
        <w:spacing w:line="473" w:lineRule="auto"/>
        <w:rPr>
          <w:rFonts w:ascii="Arial"/>
          <w:color w:val="auto"/>
          <w:sz w:val="21"/>
          <w:highlight w:val="none"/>
        </w:rPr>
      </w:pPr>
    </w:p>
    <w:p w14:paraId="55696E7A">
      <w:pPr>
        <w:pStyle w:val="3"/>
        <w:spacing w:before="78" w:line="219" w:lineRule="auto"/>
        <w:rPr>
          <w:color w:val="auto"/>
          <w:highlight w:val="none"/>
        </w:rPr>
      </w:pPr>
      <w:r>
        <w:rPr>
          <w:color w:val="auto"/>
          <w:spacing w:val="-1"/>
          <w:highlight w:val="none"/>
        </w:rPr>
        <w:t>法定代表人或者委托代理人（签字</w:t>
      </w:r>
      <w:r>
        <w:rPr>
          <w:color w:val="auto"/>
          <w:spacing w:val="1"/>
          <w:highlight w:val="none"/>
        </w:rPr>
        <w:t>）：</w:t>
      </w:r>
    </w:p>
    <w:p w14:paraId="1C83E852">
      <w:pPr>
        <w:pStyle w:val="3"/>
        <w:spacing w:before="233" w:line="219" w:lineRule="auto"/>
        <w:rPr>
          <w:color w:val="auto"/>
          <w:highlight w:val="none"/>
        </w:rPr>
      </w:pPr>
      <w:r>
        <w:rPr>
          <w:color w:val="auto"/>
          <w:spacing w:val="-5"/>
          <w:highlight w:val="none"/>
        </w:rPr>
        <w:t>投标人（盖公章</w:t>
      </w:r>
      <w:r>
        <w:rPr>
          <w:color w:val="auto"/>
          <w:spacing w:val="3"/>
          <w:highlight w:val="none"/>
        </w:rPr>
        <w:t>）：</w:t>
      </w:r>
      <w:r>
        <w:rPr>
          <w:color w:val="auto"/>
          <w:spacing w:val="1"/>
          <w:highlight w:val="none"/>
        </w:rPr>
        <w:t xml:space="preserve">                                 </w:t>
      </w:r>
      <w:r>
        <w:rPr>
          <w:color w:val="auto"/>
          <w:spacing w:val="-5"/>
          <w:highlight w:val="none"/>
        </w:rPr>
        <w:t>日期：    年</w:t>
      </w:r>
      <w:r>
        <w:rPr>
          <w:color w:val="auto"/>
          <w:spacing w:val="10"/>
          <w:highlight w:val="none"/>
        </w:rPr>
        <w:t xml:space="preserve">   </w:t>
      </w:r>
      <w:r>
        <w:rPr>
          <w:color w:val="auto"/>
          <w:spacing w:val="-5"/>
          <w:highlight w:val="none"/>
        </w:rPr>
        <w:t>月</w:t>
      </w:r>
      <w:r>
        <w:rPr>
          <w:color w:val="auto"/>
          <w:spacing w:val="17"/>
          <w:highlight w:val="none"/>
        </w:rPr>
        <w:t xml:space="preserve">   </w:t>
      </w:r>
      <w:r>
        <w:rPr>
          <w:color w:val="auto"/>
          <w:spacing w:val="-5"/>
          <w:highlight w:val="none"/>
        </w:rPr>
        <w:t>日</w:t>
      </w:r>
    </w:p>
    <w:p w14:paraId="2BBEE3D1">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5262F1BC">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304546A2">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6E565092">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644205B8">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66DD8277">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2E04DF3F">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33DB961B">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1405A2C9">
      <w:pPr>
        <w:pStyle w:val="3"/>
        <w:spacing w:before="78" w:line="219" w:lineRule="auto"/>
        <w:outlineLvl w:val="0"/>
        <w:rPr>
          <w:b/>
          <w:bCs/>
          <w:color w:val="auto"/>
          <w:spacing w:val="-2"/>
          <w:highlight w:val="none"/>
        </w:rPr>
      </w:pPr>
    </w:p>
    <w:p w14:paraId="409A0903">
      <w:pPr>
        <w:pStyle w:val="3"/>
        <w:spacing w:before="78" w:line="219" w:lineRule="auto"/>
        <w:outlineLvl w:val="0"/>
        <w:rPr>
          <w:color w:val="auto"/>
          <w:highlight w:val="none"/>
        </w:rPr>
      </w:pPr>
      <w:r>
        <w:rPr>
          <w:b/>
          <w:bCs/>
          <w:color w:val="auto"/>
          <w:spacing w:val="-2"/>
          <w:highlight w:val="none"/>
        </w:rPr>
        <w:t>商务要求偏离表格式（注：按项目需求表具体</w:t>
      </w:r>
      <w:r>
        <w:rPr>
          <w:b/>
          <w:bCs/>
          <w:color w:val="auto"/>
          <w:spacing w:val="-3"/>
          <w:highlight w:val="none"/>
        </w:rPr>
        <w:t>项目修改）</w:t>
      </w:r>
    </w:p>
    <w:p w14:paraId="7234ED8D">
      <w:pPr>
        <w:spacing w:line="307" w:lineRule="auto"/>
        <w:rPr>
          <w:rFonts w:ascii="Arial"/>
          <w:color w:val="auto"/>
          <w:sz w:val="21"/>
          <w:highlight w:val="none"/>
        </w:rPr>
      </w:pPr>
    </w:p>
    <w:p w14:paraId="54046A74">
      <w:pPr>
        <w:keepNext w:val="0"/>
        <w:keepLines w:val="0"/>
        <w:widowControl/>
        <w:suppressLineNumbers w:val="0"/>
        <w:jc w:val="center"/>
        <w:rPr>
          <w:rFonts w:hint="eastAsia" w:ascii="方正小标宋简体" w:hAnsi="方正小标宋简体" w:eastAsia="方正小标宋简体" w:cs="方正小标宋简体"/>
          <w:color w:val="auto"/>
          <w:kern w:val="0"/>
          <w:sz w:val="43"/>
          <w:szCs w:val="43"/>
          <w:highlight w:val="none"/>
          <w:lang w:val="en-US" w:eastAsia="zh-CN" w:bidi="ar"/>
        </w:rPr>
      </w:pPr>
      <w:r>
        <w:rPr>
          <w:rFonts w:hint="eastAsia" w:ascii="方正小标宋简体" w:hAnsi="方正小标宋简体" w:eastAsia="方正小标宋简体" w:cs="方正小标宋简体"/>
          <w:color w:val="auto"/>
          <w:kern w:val="0"/>
          <w:sz w:val="43"/>
          <w:szCs w:val="43"/>
          <w:highlight w:val="none"/>
          <w:lang w:val="en-US" w:eastAsia="zh-CN" w:bidi="ar"/>
        </w:rPr>
        <w:t>商务要求偏离表</w:t>
      </w:r>
    </w:p>
    <w:p w14:paraId="552A2FA7">
      <w:pPr>
        <w:spacing w:before="109"/>
        <w:rPr>
          <w:color w:val="auto"/>
          <w:highlight w:val="none"/>
        </w:rPr>
      </w:pPr>
    </w:p>
    <w:tbl>
      <w:tblPr>
        <w:tblStyle w:val="23"/>
        <w:tblW w:w="86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4"/>
        <w:gridCol w:w="3334"/>
        <w:gridCol w:w="1759"/>
        <w:gridCol w:w="2038"/>
      </w:tblGrid>
      <w:tr w14:paraId="6AEC7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514" w:type="dxa"/>
            <w:vAlign w:val="top"/>
          </w:tcPr>
          <w:p w14:paraId="5606311B">
            <w:pPr>
              <w:pStyle w:val="24"/>
              <w:spacing w:before="161" w:line="220" w:lineRule="auto"/>
              <w:jc w:val="center"/>
              <w:rPr>
                <w:rFonts w:hint="eastAsia" w:ascii="黑体" w:hAnsi="黑体" w:eastAsia="黑体" w:cs="黑体"/>
                <w:color w:val="auto"/>
                <w:highlight w:val="none"/>
              </w:rPr>
            </w:pPr>
            <w:r>
              <w:rPr>
                <w:rFonts w:hint="eastAsia" w:ascii="黑体" w:hAnsi="黑体" w:eastAsia="黑体" w:cs="黑体"/>
                <w:color w:val="auto"/>
                <w:spacing w:val="-7"/>
                <w:highlight w:val="none"/>
              </w:rPr>
              <w:t>项目</w:t>
            </w:r>
          </w:p>
        </w:tc>
        <w:tc>
          <w:tcPr>
            <w:tcW w:w="3334" w:type="dxa"/>
            <w:vAlign w:val="top"/>
          </w:tcPr>
          <w:p w14:paraId="21926BC2">
            <w:pPr>
              <w:pStyle w:val="24"/>
              <w:spacing w:before="162" w:line="219" w:lineRule="auto"/>
              <w:jc w:val="center"/>
              <w:rPr>
                <w:rFonts w:hint="eastAsia" w:ascii="黑体" w:hAnsi="黑体" w:eastAsia="黑体" w:cs="黑体"/>
                <w:color w:val="auto"/>
                <w:highlight w:val="none"/>
              </w:rPr>
            </w:pPr>
            <w:r>
              <w:rPr>
                <w:rFonts w:hint="eastAsia" w:ascii="黑体" w:hAnsi="黑体" w:eastAsia="黑体" w:cs="黑体"/>
                <w:color w:val="auto"/>
                <w:spacing w:val="-2"/>
                <w:highlight w:val="none"/>
              </w:rPr>
              <w:t>招标文件商务要求</w:t>
            </w:r>
          </w:p>
        </w:tc>
        <w:tc>
          <w:tcPr>
            <w:tcW w:w="1759" w:type="dxa"/>
            <w:vAlign w:val="top"/>
          </w:tcPr>
          <w:p w14:paraId="52523D55">
            <w:pPr>
              <w:pStyle w:val="24"/>
              <w:spacing w:before="162" w:line="223" w:lineRule="auto"/>
              <w:ind w:right="156"/>
              <w:jc w:val="center"/>
              <w:rPr>
                <w:rFonts w:hint="eastAsia" w:ascii="黑体" w:hAnsi="黑体" w:eastAsia="黑体" w:cs="黑体"/>
                <w:color w:val="auto"/>
                <w:highlight w:val="none"/>
              </w:rPr>
            </w:pPr>
            <w:r>
              <w:rPr>
                <w:rFonts w:hint="eastAsia" w:ascii="黑体" w:hAnsi="黑体" w:eastAsia="黑体" w:cs="黑体"/>
                <w:color w:val="auto"/>
                <w:spacing w:val="-4"/>
                <w:highlight w:val="none"/>
              </w:rPr>
              <w:t>投标人的</w:t>
            </w:r>
            <w:r>
              <w:rPr>
                <w:rFonts w:hint="eastAsia" w:ascii="黑体" w:hAnsi="黑体" w:eastAsia="黑体" w:cs="黑体"/>
                <w:color w:val="auto"/>
                <w:spacing w:val="-5"/>
                <w:highlight w:val="none"/>
              </w:rPr>
              <w:t>承诺</w:t>
            </w:r>
          </w:p>
        </w:tc>
        <w:tc>
          <w:tcPr>
            <w:tcW w:w="2038" w:type="dxa"/>
            <w:vAlign w:val="top"/>
          </w:tcPr>
          <w:p w14:paraId="1A6564DD">
            <w:pPr>
              <w:pStyle w:val="24"/>
              <w:spacing w:before="162" w:line="219" w:lineRule="auto"/>
              <w:jc w:val="center"/>
              <w:rPr>
                <w:rFonts w:hint="eastAsia" w:ascii="黑体" w:hAnsi="黑体" w:eastAsia="黑体" w:cs="黑体"/>
                <w:color w:val="auto"/>
                <w:highlight w:val="none"/>
              </w:rPr>
            </w:pPr>
            <w:r>
              <w:rPr>
                <w:rFonts w:hint="eastAsia" w:ascii="黑体" w:hAnsi="黑体" w:eastAsia="黑体" w:cs="黑体"/>
                <w:color w:val="auto"/>
                <w:spacing w:val="-3"/>
                <w:highlight w:val="none"/>
              </w:rPr>
              <w:t>偏离说明</w:t>
            </w:r>
          </w:p>
        </w:tc>
      </w:tr>
      <w:tr w14:paraId="0C916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1514" w:type="dxa"/>
            <w:vAlign w:val="top"/>
          </w:tcPr>
          <w:p w14:paraId="729E689F">
            <w:pPr>
              <w:pStyle w:val="24"/>
              <w:spacing w:before="36" w:line="235" w:lineRule="auto"/>
              <w:ind w:right="8"/>
              <w:rPr>
                <w:color w:val="auto"/>
                <w:highlight w:val="none"/>
              </w:rPr>
            </w:pPr>
            <w:r>
              <w:rPr>
                <w:color w:val="auto"/>
                <w:spacing w:val="-8"/>
                <w:highlight w:val="none"/>
              </w:rPr>
              <w:t>交付</w:t>
            </w:r>
            <w:r>
              <w:rPr>
                <w:color w:val="auto"/>
                <w:spacing w:val="5"/>
                <w:highlight w:val="none"/>
              </w:rPr>
              <w:t>（实施）的</w:t>
            </w:r>
            <w:r>
              <w:rPr>
                <w:color w:val="auto"/>
                <w:spacing w:val="-12"/>
                <w:highlight w:val="none"/>
              </w:rPr>
              <w:t>时间（期限）</w:t>
            </w:r>
            <w:r>
              <w:rPr>
                <w:color w:val="auto"/>
                <w:spacing w:val="3"/>
                <w:highlight w:val="none"/>
              </w:rPr>
              <w:t xml:space="preserve"> </w:t>
            </w:r>
            <w:r>
              <w:rPr>
                <w:color w:val="auto"/>
                <w:spacing w:val="5"/>
                <w:highlight w:val="none"/>
              </w:rPr>
              <w:t>和地点（范</w:t>
            </w:r>
            <w:r>
              <w:rPr>
                <w:color w:val="auto"/>
                <w:spacing w:val="-16"/>
                <w:highlight w:val="none"/>
              </w:rPr>
              <w:t>围）</w:t>
            </w:r>
          </w:p>
        </w:tc>
        <w:tc>
          <w:tcPr>
            <w:tcW w:w="3334" w:type="dxa"/>
            <w:vAlign w:val="top"/>
          </w:tcPr>
          <w:p w14:paraId="7689E4B5">
            <w:pPr>
              <w:rPr>
                <w:rFonts w:ascii="Arial"/>
                <w:color w:val="auto"/>
                <w:sz w:val="21"/>
                <w:highlight w:val="none"/>
              </w:rPr>
            </w:pPr>
          </w:p>
        </w:tc>
        <w:tc>
          <w:tcPr>
            <w:tcW w:w="1759" w:type="dxa"/>
            <w:vAlign w:val="top"/>
          </w:tcPr>
          <w:p w14:paraId="6F1324F1">
            <w:pPr>
              <w:rPr>
                <w:rFonts w:ascii="Arial"/>
                <w:color w:val="auto"/>
                <w:sz w:val="21"/>
                <w:highlight w:val="none"/>
              </w:rPr>
            </w:pPr>
          </w:p>
        </w:tc>
        <w:tc>
          <w:tcPr>
            <w:tcW w:w="2038" w:type="dxa"/>
            <w:vAlign w:val="top"/>
          </w:tcPr>
          <w:p w14:paraId="19831C38">
            <w:pPr>
              <w:rPr>
                <w:rFonts w:ascii="Arial"/>
                <w:color w:val="auto"/>
                <w:sz w:val="21"/>
                <w:highlight w:val="none"/>
              </w:rPr>
            </w:pPr>
          </w:p>
        </w:tc>
      </w:tr>
      <w:tr w14:paraId="60D92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514" w:type="dxa"/>
            <w:vAlign w:val="top"/>
          </w:tcPr>
          <w:p w14:paraId="6AEEBB80">
            <w:pPr>
              <w:pStyle w:val="24"/>
              <w:spacing w:before="194" w:line="231" w:lineRule="auto"/>
              <w:ind w:right="153"/>
              <w:rPr>
                <w:color w:val="auto"/>
                <w:highlight w:val="none"/>
              </w:rPr>
            </w:pPr>
            <w:r>
              <w:rPr>
                <w:color w:val="auto"/>
                <w:spacing w:val="-4"/>
                <w:highlight w:val="none"/>
              </w:rPr>
              <w:t>合同签</w:t>
            </w:r>
            <w:r>
              <w:rPr>
                <w:color w:val="auto"/>
                <w:spacing w:val="-5"/>
                <w:highlight w:val="none"/>
              </w:rPr>
              <w:t>订时间</w:t>
            </w:r>
          </w:p>
        </w:tc>
        <w:tc>
          <w:tcPr>
            <w:tcW w:w="3334" w:type="dxa"/>
            <w:vAlign w:val="top"/>
          </w:tcPr>
          <w:p w14:paraId="5E6BA67F">
            <w:pPr>
              <w:rPr>
                <w:rFonts w:ascii="Arial"/>
                <w:color w:val="auto"/>
                <w:sz w:val="21"/>
                <w:highlight w:val="none"/>
              </w:rPr>
            </w:pPr>
          </w:p>
        </w:tc>
        <w:tc>
          <w:tcPr>
            <w:tcW w:w="1759" w:type="dxa"/>
            <w:vAlign w:val="top"/>
          </w:tcPr>
          <w:p w14:paraId="183C5698">
            <w:pPr>
              <w:rPr>
                <w:rFonts w:ascii="Arial"/>
                <w:color w:val="auto"/>
                <w:sz w:val="21"/>
                <w:highlight w:val="none"/>
              </w:rPr>
            </w:pPr>
          </w:p>
        </w:tc>
        <w:tc>
          <w:tcPr>
            <w:tcW w:w="2038" w:type="dxa"/>
            <w:vAlign w:val="top"/>
          </w:tcPr>
          <w:p w14:paraId="09F40B6F">
            <w:pPr>
              <w:rPr>
                <w:rFonts w:ascii="Arial"/>
                <w:color w:val="auto"/>
                <w:sz w:val="21"/>
                <w:highlight w:val="none"/>
              </w:rPr>
            </w:pPr>
          </w:p>
        </w:tc>
      </w:tr>
      <w:tr w14:paraId="5256D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514" w:type="dxa"/>
            <w:vAlign w:val="top"/>
          </w:tcPr>
          <w:p w14:paraId="74AA1BCD">
            <w:pPr>
              <w:pStyle w:val="24"/>
              <w:spacing w:before="160" w:line="207" w:lineRule="auto"/>
              <w:ind w:left="899"/>
              <w:rPr>
                <w:color w:val="auto"/>
                <w:highlight w:val="none"/>
              </w:rPr>
            </w:pPr>
            <w:r>
              <w:rPr>
                <w:color w:val="auto"/>
                <w:highlight w:val="none"/>
              </w:rPr>
              <w:t>…</w:t>
            </w:r>
          </w:p>
        </w:tc>
        <w:tc>
          <w:tcPr>
            <w:tcW w:w="3334" w:type="dxa"/>
            <w:vAlign w:val="top"/>
          </w:tcPr>
          <w:p w14:paraId="26E493EF">
            <w:pPr>
              <w:rPr>
                <w:rFonts w:ascii="Arial"/>
                <w:color w:val="auto"/>
                <w:sz w:val="21"/>
                <w:highlight w:val="none"/>
              </w:rPr>
            </w:pPr>
          </w:p>
        </w:tc>
        <w:tc>
          <w:tcPr>
            <w:tcW w:w="1759" w:type="dxa"/>
            <w:vAlign w:val="top"/>
          </w:tcPr>
          <w:p w14:paraId="0C60EC5B">
            <w:pPr>
              <w:rPr>
                <w:rFonts w:ascii="Arial"/>
                <w:color w:val="auto"/>
                <w:sz w:val="21"/>
                <w:highlight w:val="none"/>
              </w:rPr>
            </w:pPr>
          </w:p>
        </w:tc>
        <w:tc>
          <w:tcPr>
            <w:tcW w:w="2038" w:type="dxa"/>
            <w:vAlign w:val="top"/>
          </w:tcPr>
          <w:p w14:paraId="68EF276D">
            <w:pPr>
              <w:rPr>
                <w:rFonts w:ascii="Arial"/>
                <w:color w:val="auto"/>
                <w:sz w:val="21"/>
                <w:highlight w:val="none"/>
              </w:rPr>
            </w:pPr>
          </w:p>
        </w:tc>
      </w:tr>
    </w:tbl>
    <w:p w14:paraId="367FEE3E">
      <w:pPr>
        <w:pStyle w:val="3"/>
        <w:keepNext w:val="0"/>
        <w:keepLines w:val="0"/>
        <w:pageBreakBefore w:val="0"/>
        <w:widowControl/>
        <w:kinsoku/>
        <w:wordWrap/>
        <w:overflowPunct/>
        <w:topLinePunct w:val="0"/>
        <w:autoSpaceDE/>
        <w:autoSpaceDN/>
        <w:bidi w:val="0"/>
        <w:adjustRightInd/>
        <w:snapToGrid/>
        <w:spacing w:line="240" w:lineRule="auto"/>
        <w:ind w:left="0" w:right="0" w:firstLine="390" w:firstLineChars="200"/>
        <w:jc w:val="both"/>
        <w:textAlignment w:val="auto"/>
        <w:rPr>
          <w:b/>
          <w:bCs/>
          <w:color w:val="auto"/>
          <w:spacing w:val="-8"/>
          <w:sz w:val="21"/>
          <w:szCs w:val="21"/>
          <w:highlight w:val="none"/>
        </w:rPr>
      </w:pPr>
    </w:p>
    <w:p w14:paraId="7E13088B">
      <w:pPr>
        <w:pStyle w:val="3"/>
        <w:keepNext w:val="0"/>
        <w:keepLines w:val="0"/>
        <w:pageBreakBefore w:val="0"/>
        <w:widowControl/>
        <w:kinsoku/>
        <w:wordWrap/>
        <w:overflowPunct/>
        <w:topLinePunct w:val="0"/>
        <w:autoSpaceDE/>
        <w:autoSpaceDN/>
        <w:bidi w:val="0"/>
        <w:adjustRightInd/>
        <w:snapToGrid/>
        <w:spacing w:line="240" w:lineRule="auto"/>
        <w:ind w:left="0" w:right="0" w:firstLine="390" w:firstLineChars="200"/>
        <w:jc w:val="both"/>
        <w:textAlignment w:val="auto"/>
        <w:rPr>
          <w:color w:val="auto"/>
          <w:sz w:val="21"/>
          <w:szCs w:val="21"/>
          <w:highlight w:val="none"/>
        </w:rPr>
      </w:pPr>
      <w:r>
        <w:rPr>
          <w:b/>
          <w:bCs/>
          <w:color w:val="auto"/>
          <w:spacing w:val="-8"/>
          <w:sz w:val="21"/>
          <w:szCs w:val="21"/>
          <w:highlight w:val="none"/>
        </w:rPr>
        <w:t>注：</w:t>
      </w:r>
    </w:p>
    <w:p w14:paraId="72403179">
      <w:pPr>
        <w:pStyle w:val="3"/>
        <w:keepNext w:val="0"/>
        <w:keepLines w:val="0"/>
        <w:pageBreakBefore w:val="0"/>
        <w:widowControl/>
        <w:kinsoku/>
        <w:wordWrap/>
        <w:overflowPunct/>
        <w:topLinePunct w:val="0"/>
        <w:autoSpaceDE/>
        <w:autoSpaceDN/>
        <w:bidi w:val="0"/>
        <w:adjustRightInd/>
        <w:snapToGrid/>
        <w:spacing w:line="240" w:lineRule="auto"/>
        <w:ind w:left="0" w:right="0" w:firstLine="424" w:firstLineChars="200"/>
        <w:jc w:val="both"/>
        <w:textAlignment w:val="auto"/>
        <w:rPr>
          <w:color w:val="auto"/>
          <w:sz w:val="21"/>
          <w:szCs w:val="21"/>
          <w:highlight w:val="none"/>
        </w:rPr>
      </w:pPr>
      <w:r>
        <w:rPr>
          <w:color w:val="auto"/>
          <w:spacing w:val="1"/>
          <w:sz w:val="21"/>
          <w:szCs w:val="21"/>
          <w:highlight w:val="none"/>
        </w:rPr>
        <w:t>1.说明：应对照招标文件“第二章 采购需求</w:t>
      </w:r>
      <w:r>
        <w:rPr>
          <w:color w:val="auto"/>
          <w:spacing w:val="-85"/>
          <w:sz w:val="21"/>
          <w:szCs w:val="21"/>
          <w:highlight w:val="none"/>
        </w:rPr>
        <w:t xml:space="preserve"> </w:t>
      </w:r>
      <w:r>
        <w:rPr>
          <w:color w:val="auto"/>
          <w:spacing w:val="1"/>
          <w:sz w:val="21"/>
          <w:szCs w:val="21"/>
          <w:highlight w:val="none"/>
        </w:rPr>
        <w:t>”中的商务要求逐条作明确</w:t>
      </w:r>
      <w:r>
        <w:rPr>
          <w:color w:val="auto"/>
          <w:sz w:val="21"/>
          <w:szCs w:val="21"/>
          <w:highlight w:val="none"/>
        </w:rPr>
        <w:t>的投</w:t>
      </w:r>
      <w:r>
        <w:rPr>
          <w:color w:val="auto"/>
          <w:spacing w:val="-1"/>
          <w:sz w:val="21"/>
          <w:szCs w:val="21"/>
          <w:highlight w:val="none"/>
        </w:rPr>
        <w:t>标响应，并作出偏离说明。</w:t>
      </w:r>
    </w:p>
    <w:p w14:paraId="1756CA15">
      <w:pPr>
        <w:pStyle w:val="3"/>
        <w:keepNext w:val="0"/>
        <w:keepLines w:val="0"/>
        <w:pageBreakBefore w:val="0"/>
        <w:widowControl/>
        <w:kinsoku/>
        <w:wordWrap/>
        <w:overflowPunct/>
        <w:topLinePunct w:val="0"/>
        <w:autoSpaceDE/>
        <w:autoSpaceDN/>
        <w:bidi w:val="0"/>
        <w:adjustRightInd/>
        <w:snapToGrid/>
        <w:spacing w:line="240" w:lineRule="auto"/>
        <w:ind w:left="0" w:right="0" w:firstLine="404" w:firstLineChars="200"/>
        <w:jc w:val="both"/>
        <w:textAlignment w:val="auto"/>
        <w:rPr>
          <w:color w:val="auto"/>
          <w:sz w:val="21"/>
          <w:szCs w:val="21"/>
          <w:highlight w:val="none"/>
        </w:rPr>
      </w:pPr>
      <w:r>
        <w:rPr>
          <w:color w:val="auto"/>
          <w:spacing w:val="-4"/>
          <w:sz w:val="21"/>
          <w:szCs w:val="21"/>
          <w:highlight w:val="none"/>
        </w:rPr>
        <w:t>2.投标人应根据自身的承诺，对照招标文件要求在“偏离说明</w:t>
      </w:r>
      <w:r>
        <w:rPr>
          <w:color w:val="auto"/>
          <w:spacing w:val="-89"/>
          <w:sz w:val="21"/>
          <w:szCs w:val="21"/>
          <w:highlight w:val="none"/>
        </w:rPr>
        <w:t xml:space="preserve"> </w:t>
      </w:r>
      <w:r>
        <w:rPr>
          <w:color w:val="auto"/>
          <w:spacing w:val="-4"/>
          <w:sz w:val="21"/>
          <w:szCs w:val="21"/>
          <w:highlight w:val="none"/>
        </w:rPr>
        <w:t>”中注明“</w:t>
      </w:r>
      <w:r>
        <w:rPr>
          <w:b/>
          <w:bCs/>
          <w:color w:val="auto"/>
          <w:spacing w:val="-4"/>
          <w:sz w:val="21"/>
          <w:szCs w:val="21"/>
          <w:highlight w:val="none"/>
        </w:rPr>
        <w:t>正</w:t>
      </w:r>
      <w:r>
        <w:rPr>
          <w:color w:val="auto"/>
          <w:sz w:val="21"/>
          <w:szCs w:val="21"/>
          <w:highlight w:val="none"/>
        </w:rPr>
        <w:t xml:space="preserve">  </w:t>
      </w:r>
      <w:r>
        <w:rPr>
          <w:b/>
          <w:bCs/>
          <w:color w:val="auto"/>
          <w:spacing w:val="-2"/>
          <w:sz w:val="21"/>
          <w:szCs w:val="21"/>
          <w:highlight w:val="none"/>
        </w:rPr>
        <w:t>偏离</w:t>
      </w:r>
      <w:r>
        <w:rPr>
          <w:color w:val="auto"/>
          <w:spacing w:val="-88"/>
          <w:sz w:val="21"/>
          <w:szCs w:val="21"/>
          <w:highlight w:val="none"/>
        </w:rPr>
        <w:t xml:space="preserve"> </w:t>
      </w:r>
      <w:r>
        <w:rPr>
          <w:color w:val="auto"/>
          <w:spacing w:val="-2"/>
          <w:sz w:val="21"/>
          <w:szCs w:val="21"/>
          <w:highlight w:val="none"/>
        </w:rPr>
        <w:t>”、“</w:t>
      </w:r>
      <w:r>
        <w:rPr>
          <w:b/>
          <w:bCs/>
          <w:color w:val="auto"/>
          <w:spacing w:val="-2"/>
          <w:sz w:val="21"/>
          <w:szCs w:val="21"/>
          <w:highlight w:val="none"/>
        </w:rPr>
        <w:t>负偏离</w:t>
      </w:r>
      <w:r>
        <w:rPr>
          <w:color w:val="auto"/>
          <w:spacing w:val="-88"/>
          <w:sz w:val="21"/>
          <w:szCs w:val="21"/>
          <w:highlight w:val="none"/>
        </w:rPr>
        <w:t xml:space="preserve"> </w:t>
      </w:r>
      <w:r>
        <w:rPr>
          <w:color w:val="auto"/>
          <w:spacing w:val="-2"/>
          <w:sz w:val="21"/>
          <w:szCs w:val="21"/>
          <w:highlight w:val="none"/>
        </w:rPr>
        <w:t>”或者“</w:t>
      </w:r>
      <w:r>
        <w:rPr>
          <w:b/>
          <w:bCs/>
          <w:color w:val="auto"/>
          <w:spacing w:val="-2"/>
          <w:sz w:val="21"/>
          <w:szCs w:val="21"/>
          <w:highlight w:val="none"/>
        </w:rPr>
        <w:t>无偏离</w:t>
      </w:r>
      <w:r>
        <w:rPr>
          <w:color w:val="auto"/>
          <w:spacing w:val="-86"/>
          <w:sz w:val="21"/>
          <w:szCs w:val="21"/>
          <w:highlight w:val="none"/>
        </w:rPr>
        <w:t xml:space="preserve"> </w:t>
      </w:r>
      <w:r>
        <w:rPr>
          <w:color w:val="auto"/>
          <w:spacing w:val="-2"/>
          <w:sz w:val="21"/>
          <w:szCs w:val="21"/>
          <w:highlight w:val="none"/>
        </w:rPr>
        <w:t>”。既不属于“</w:t>
      </w:r>
      <w:r>
        <w:rPr>
          <w:b/>
          <w:bCs/>
          <w:color w:val="auto"/>
          <w:spacing w:val="-2"/>
          <w:sz w:val="21"/>
          <w:szCs w:val="21"/>
          <w:highlight w:val="none"/>
        </w:rPr>
        <w:t>正偏</w:t>
      </w:r>
      <w:r>
        <w:rPr>
          <w:b/>
          <w:bCs/>
          <w:color w:val="auto"/>
          <w:spacing w:val="-3"/>
          <w:sz w:val="21"/>
          <w:szCs w:val="21"/>
          <w:highlight w:val="none"/>
        </w:rPr>
        <w:t>离</w:t>
      </w:r>
      <w:r>
        <w:rPr>
          <w:color w:val="auto"/>
          <w:spacing w:val="-88"/>
          <w:sz w:val="21"/>
          <w:szCs w:val="21"/>
          <w:highlight w:val="none"/>
        </w:rPr>
        <w:t xml:space="preserve"> </w:t>
      </w:r>
      <w:r>
        <w:rPr>
          <w:color w:val="auto"/>
          <w:spacing w:val="-3"/>
          <w:sz w:val="21"/>
          <w:szCs w:val="21"/>
          <w:highlight w:val="none"/>
        </w:rPr>
        <w:t>”也不属于“</w:t>
      </w:r>
      <w:r>
        <w:rPr>
          <w:b/>
          <w:bCs/>
          <w:color w:val="auto"/>
          <w:spacing w:val="-3"/>
          <w:sz w:val="21"/>
          <w:szCs w:val="21"/>
          <w:highlight w:val="none"/>
        </w:rPr>
        <w:t>负偏离</w:t>
      </w:r>
      <w:r>
        <w:rPr>
          <w:color w:val="auto"/>
          <w:spacing w:val="-88"/>
          <w:sz w:val="21"/>
          <w:szCs w:val="21"/>
          <w:highlight w:val="none"/>
        </w:rPr>
        <w:t xml:space="preserve"> </w:t>
      </w:r>
      <w:r>
        <w:rPr>
          <w:color w:val="auto"/>
          <w:spacing w:val="-3"/>
          <w:sz w:val="21"/>
          <w:szCs w:val="21"/>
          <w:highlight w:val="none"/>
        </w:rPr>
        <w:t>”</w:t>
      </w:r>
      <w:r>
        <w:rPr>
          <w:color w:val="auto"/>
          <w:sz w:val="21"/>
          <w:szCs w:val="21"/>
          <w:highlight w:val="none"/>
        </w:rPr>
        <w:t xml:space="preserve"> </w:t>
      </w:r>
      <w:r>
        <w:rPr>
          <w:color w:val="auto"/>
          <w:spacing w:val="-2"/>
          <w:sz w:val="21"/>
          <w:szCs w:val="21"/>
          <w:highlight w:val="none"/>
        </w:rPr>
        <w:t>即为“</w:t>
      </w:r>
      <w:r>
        <w:rPr>
          <w:b/>
          <w:bCs/>
          <w:color w:val="auto"/>
          <w:spacing w:val="-2"/>
          <w:sz w:val="21"/>
          <w:szCs w:val="21"/>
          <w:highlight w:val="none"/>
        </w:rPr>
        <w:t>无偏离</w:t>
      </w:r>
      <w:r>
        <w:rPr>
          <w:color w:val="auto"/>
          <w:spacing w:val="-87"/>
          <w:sz w:val="21"/>
          <w:szCs w:val="21"/>
          <w:highlight w:val="none"/>
        </w:rPr>
        <w:t xml:space="preserve"> </w:t>
      </w:r>
      <w:r>
        <w:rPr>
          <w:color w:val="auto"/>
          <w:spacing w:val="-2"/>
          <w:sz w:val="21"/>
          <w:szCs w:val="21"/>
          <w:highlight w:val="none"/>
        </w:rPr>
        <w:t>”。</w:t>
      </w:r>
    </w:p>
    <w:p w14:paraId="2B30A524">
      <w:pPr>
        <w:pStyle w:val="3"/>
        <w:spacing w:before="284" w:line="319" w:lineRule="auto"/>
        <w:ind w:left="803" w:right="2488" w:hanging="81"/>
        <w:rPr>
          <w:color w:val="auto"/>
          <w:spacing w:val="1"/>
          <w:highlight w:val="none"/>
        </w:rPr>
      </w:pPr>
    </w:p>
    <w:p w14:paraId="5EC25DDC">
      <w:pPr>
        <w:pStyle w:val="3"/>
        <w:spacing w:before="284" w:line="319" w:lineRule="auto"/>
        <w:ind w:left="803" w:right="2488" w:hanging="81"/>
        <w:rPr>
          <w:color w:val="auto"/>
          <w:spacing w:val="1"/>
          <w:highlight w:val="none"/>
        </w:rPr>
      </w:pPr>
    </w:p>
    <w:p w14:paraId="1FFE9381">
      <w:pPr>
        <w:pStyle w:val="3"/>
        <w:keepNext w:val="0"/>
        <w:keepLines w:val="0"/>
        <w:pageBreakBefore w:val="0"/>
        <w:widowControl/>
        <w:kinsoku/>
        <w:wordWrap/>
        <w:overflowPunct/>
        <w:topLinePunct w:val="0"/>
        <w:autoSpaceDE/>
        <w:autoSpaceDN/>
        <w:bidi w:val="0"/>
        <w:adjustRightInd/>
        <w:snapToGrid/>
        <w:spacing w:line="240" w:lineRule="auto"/>
        <w:ind w:left="0" w:right="0" w:hanging="81"/>
        <w:jc w:val="center"/>
        <w:textAlignment w:val="auto"/>
        <w:rPr>
          <w:color w:val="auto"/>
          <w:highlight w:val="none"/>
        </w:rPr>
      </w:pPr>
      <w:r>
        <w:rPr>
          <w:rFonts w:hint="eastAsia"/>
          <w:color w:val="auto"/>
          <w:spacing w:val="1"/>
          <w:highlight w:val="none"/>
          <w:lang w:val="en-US" w:eastAsia="zh-CN"/>
        </w:rPr>
        <w:t xml:space="preserve">           </w:t>
      </w:r>
      <w:r>
        <w:rPr>
          <w:color w:val="auto"/>
          <w:spacing w:val="1"/>
          <w:highlight w:val="none"/>
        </w:rPr>
        <w:t>法定代表人或者委托代理人（签</w:t>
      </w:r>
      <w:r>
        <w:rPr>
          <w:color w:val="auto"/>
          <w:spacing w:val="-70"/>
          <w:highlight w:val="none"/>
        </w:rPr>
        <w:t xml:space="preserve"> </w:t>
      </w:r>
      <w:r>
        <w:rPr>
          <w:color w:val="auto"/>
          <w:spacing w:val="1"/>
          <w:highlight w:val="none"/>
        </w:rPr>
        <w:t>字</w:t>
      </w:r>
      <w:r>
        <w:rPr>
          <w:color w:val="auto"/>
          <w:spacing w:val="-45"/>
          <w:highlight w:val="none"/>
        </w:rPr>
        <w:t xml:space="preserve"> </w:t>
      </w:r>
      <w:r>
        <w:rPr>
          <w:color w:val="auto"/>
          <w:spacing w:val="-31"/>
          <w:highlight w:val="none"/>
        </w:rPr>
        <w:t>）</w:t>
      </w:r>
      <w:r>
        <w:rPr>
          <w:color w:val="auto"/>
          <w:spacing w:val="-49"/>
          <w:highlight w:val="none"/>
        </w:rPr>
        <w:t xml:space="preserve"> </w:t>
      </w:r>
      <w:r>
        <w:rPr>
          <w:color w:val="auto"/>
          <w:spacing w:val="-31"/>
          <w:highlight w:val="none"/>
        </w:rPr>
        <w:t>：</w:t>
      </w:r>
      <w:r>
        <w:rPr>
          <w:color w:val="auto"/>
          <w:spacing w:val="-82"/>
          <w:highlight w:val="none"/>
        </w:rPr>
        <w:t xml:space="preserve"> </w:t>
      </w:r>
      <w:r>
        <w:rPr>
          <w:color w:val="auto"/>
          <w:spacing w:val="8"/>
          <w:highlight w:val="none"/>
          <w:u w:val="single" w:color="auto"/>
        </w:rPr>
        <w:t xml:space="preserve">          </w:t>
      </w:r>
      <w:r>
        <w:rPr>
          <w:color w:val="auto"/>
          <w:highlight w:val="none"/>
        </w:rPr>
        <w:t xml:space="preserve"> </w:t>
      </w:r>
    </w:p>
    <w:p w14:paraId="498011E6">
      <w:pPr>
        <w:pStyle w:val="3"/>
        <w:keepNext w:val="0"/>
        <w:keepLines w:val="0"/>
        <w:pageBreakBefore w:val="0"/>
        <w:widowControl/>
        <w:kinsoku/>
        <w:wordWrap/>
        <w:overflowPunct/>
        <w:topLinePunct w:val="0"/>
        <w:autoSpaceDE/>
        <w:autoSpaceDN/>
        <w:bidi w:val="0"/>
        <w:adjustRightInd/>
        <w:snapToGrid/>
        <w:spacing w:line="240" w:lineRule="auto"/>
        <w:ind w:left="0" w:right="0" w:hanging="81"/>
        <w:jc w:val="center"/>
        <w:textAlignment w:val="auto"/>
        <w:rPr>
          <w:color w:val="auto"/>
          <w:highlight w:val="none"/>
        </w:rPr>
      </w:pPr>
      <w:r>
        <w:rPr>
          <w:rFonts w:hint="eastAsia"/>
          <w:color w:val="auto"/>
          <w:spacing w:val="26"/>
          <w:highlight w:val="none"/>
          <w:lang w:val="en-US" w:eastAsia="zh-CN"/>
        </w:rPr>
        <w:t xml:space="preserve">                          </w:t>
      </w:r>
      <w:r>
        <w:rPr>
          <w:color w:val="auto"/>
          <w:spacing w:val="26"/>
          <w:highlight w:val="none"/>
        </w:rPr>
        <w:t>投标人盖公章：</w:t>
      </w:r>
      <w:r>
        <w:rPr>
          <w:color w:val="auto"/>
          <w:spacing w:val="-36"/>
          <w:highlight w:val="none"/>
        </w:rPr>
        <w:t xml:space="preserve"> </w:t>
      </w:r>
      <w:r>
        <w:rPr>
          <w:color w:val="auto"/>
          <w:highlight w:val="none"/>
          <w:u w:val="single" w:color="auto"/>
        </w:rPr>
        <w:t xml:space="preserve">                </w:t>
      </w:r>
    </w:p>
    <w:p w14:paraId="50697A2E">
      <w:pPr>
        <w:pStyle w:val="3"/>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color w:val="auto"/>
          <w:highlight w:val="none"/>
        </w:rPr>
      </w:pPr>
      <w:r>
        <w:rPr>
          <w:rFonts w:hint="eastAsia"/>
          <w:color w:val="auto"/>
          <w:spacing w:val="-31"/>
          <w:highlight w:val="none"/>
          <w:lang w:val="en-US" w:eastAsia="zh-CN"/>
        </w:rPr>
        <w:t xml:space="preserve">                                                  </w:t>
      </w:r>
      <w:r>
        <w:rPr>
          <w:color w:val="auto"/>
          <w:spacing w:val="-31"/>
          <w:highlight w:val="none"/>
        </w:rPr>
        <w:t>日</w:t>
      </w:r>
      <w:r>
        <w:rPr>
          <w:color w:val="auto"/>
          <w:spacing w:val="4"/>
          <w:highlight w:val="none"/>
        </w:rPr>
        <w:t xml:space="preserve">   </w:t>
      </w:r>
      <w:r>
        <w:rPr>
          <w:color w:val="auto"/>
          <w:spacing w:val="-31"/>
          <w:highlight w:val="none"/>
        </w:rPr>
        <w:t>期</w:t>
      </w:r>
      <w:r>
        <w:rPr>
          <w:color w:val="auto"/>
          <w:spacing w:val="-50"/>
          <w:highlight w:val="none"/>
        </w:rPr>
        <w:t xml:space="preserve"> </w:t>
      </w:r>
      <w:r>
        <w:rPr>
          <w:color w:val="auto"/>
          <w:spacing w:val="-31"/>
          <w:highlight w:val="none"/>
        </w:rPr>
        <w:t>：</w:t>
      </w:r>
      <w:r>
        <w:rPr>
          <w:color w:val="auto"/>
          <w:spacing w:val="-82"/>
          <w:highlight w:val="none"/>
        </w:rPr>
        <w:t xml:space="preserve"> </w:t>
      </w:r>
      <w:r>
        <w:rPr>
          <w:color w:val="auto"/>
          <w:highlight w:val="none"/>
          <w:u w:val="single" w:color="auto"/>
        </w:rPr>
        <w:t xml:space="preserve">            </w:t>
      </w:r>
    </w:p>
    <w:p w14:paraId="465959D7">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6AA0A660">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45D3629E">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7AF3D31E">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350F0E0B">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14734153">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p w14:paraId="065C027B">
      <w:pPr>
        <w:spacing w:before="47" w:line="219" w:lineRule="auto"/>
        <w:ind w:left="2917"/>
        <w:outlineLvl w:val="0"/>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拟投入的主要管理人员和技术人员资历表</w:t>
      </w:r>
    </w:p>
    <w:p w14:paraId="3CC4D7E4">
      <w:pPr>
        <w:spacing w:line="69" w:lineRule="exact"/>
        <w:rPr>
          <w:color w:val="auto"/>
          <w:highlight w:val="none"/>
        </w:rPr>
      </w:pPr>
    </w:p>
    <w:tbl>
      <w:tblPr>
        <w:tblStyle w:val="23"/>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9"/>
        <w:gridCol w:w="1154"/>
        <w:gridCol w:w="1154"/>
        <w:gridCol w:w="1154"/>
        <w:gridCol w:w="4456"/>
      </w:tblGrid>
      <w:tr w14:paraId="76D62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49" w:type="dxa"/>
            <w:vAlign w:val="top"/>
          </w:tcPr>
          <w:p w14:paraId="3004B265">
            <w:pPr>
              <w:spacing w:before="151" w:line="228" w:lineRule="auto"/>
              <w:jc w:val="center"/>
              <w:rPr>
                <w:rFonts w:hint="eastAsia" w:ascii="黑体" w:hAnsi="黑体" w:eastAsia="黑体" w:cs="黑体"/>
                <w:color w:val="auto"/>
                <w:sz w:val="19"/>
                <w:szCs w:val="19"/>
                <w:highlight w:val="none"/>
              </w:rPr>
            </w:pPr>
            <w:r>
              <w:rPr>
                <w:rFonts w:hint="eastAsia" w:ascii="黑体" w:hAnsi="黑体" w:eastAsia="黑体" w:cs="黑体"/>
                <w:color w:val="auto"/>
                <w:spacing w:val="4"/>
                <w:sz w:val="19"/>
                <w:szCs w:val="19"/>
                <w:highlight w:val="none"/>
              </w:rPr>
              <w:t>职务</w:t>
            </w:r>
          </w:p>
        </w:tc>
        <w:tc>
          <w:tcPr>
            <w:tcW w:w="1154" w:type="dxa"/>
            <w:vAlign w:val="top"/>
          </w:tcPr>
          <w:p w14:paraId="64205D75">
            <w:pPr>
              <w:spacing w:before="151" w:line="228" w:lineRule="auto"/>
              <w:jc w:val="center"/>
              <w:rPr>
                <w:rFonts w:hint="eastAsia" w:ascii="黑体" w:hAnsi="黑体" w:eastAsia="黑体" w:cs="黑体"/>
                <w:color w:val="auto"/>
                <w:sz w:val="19"/>
                <w:szCs w:val="19"/>
                <w:highlight w:val="none"/>
              </w:rPr>
            </w:pPr>
            <w:r>
              <w:rPr>
                <w:rFonts w:hint="eastAsia" w:ascii="黑体" w:hAnsi="黑体" w:eastAsia="黑体" w:cs="黑体"/>
                <w:color w:val="auto"/>
                <w:spacing w:val="5"/>
                <w:sz w:val="19"/>
                <w:szCs w:val="19"/>
                <w:highlight w:val="none"/>
              </w:rPr>
              <w:t>姓名</w:t>
            </w:r>
          </w:p>
        </w:tc>
        <w:tc>
          <w:tcPr>
            <w:tcW w:w="1154" w:type="dxa"/>
            <w:vAlign w:val="top"/>
          </w:tcPr>
          <w:p w14:paraId="4B441556">
            <w:pPr>
              <w:spacing w:before="151" w:line="228" w:lineRule="auto"/>
              <w:jc w:val="center"/>
              <w:rPr>
                <w:rFonts w:hint="eastAsia" w:ascii="黑体" w:hAnsi="黑体" w:eastAsia="黑体" w:cs="黑体"/>
                <w:color w:val="auto"/>
                <w:sz w:val="19"/>
                <w:szCs w:val="19"/>
                <w:highlight w:val="none"/>
              </w:rPr>
            </w:pPr>
            <w:r>
              <w:rPr>
                <w:rFonts w:hint="eastAsia" w:ascii="黑体" w:hAnsi="黑体" w:eastAsia="黑体" w:cs="黑体"/>
                <w:color w:val="auto"/>
                <w:spacing w:val="4"/>
                <w:sz w:val="19"/>
                <w:szCs w:val="19"/>
                <w:highlight w:val="none"/>
              </w:rPr>
              <w:t>职务</w:t>
            </w:r>
          </w:p>
        </w:tc>
        <w:tc>
          <w:tcPr>
            <w:tcW w:w="1154" w:type="dxa"/>
            <w:vAlign w:val="top"/>
          </w:tcPr>
          <w:p w14:paraId="651DEE93">
            <w:pPr>
              <w:spacing w:before="151" w:line="230" w:lineRule="auto"/>
              <w:jc w:val="center"/>
              <w:rPr>
                <w:rFonts w:hint="eastAsia" w:ascii="黑体" w:hAnsi="黑体" w:eastAsia="黑体" w:cs="黑体"/>
                <w:color w:val="auto"/>
                <w:sz w:val="19"/>
                <w:szCs w:val="19"/>
                <w:highlight w:val="none"/>
              </w:rPr>
            </w:pPr>
            <w:r>
              <w:rPr>
                <w:rFonts w:hint="eastAsia" w:ascii="黑体" w:hAnsi="黑体" w:eastAsia="黑体" w:cs="黑体"/>
                <w:color w:val="auto"/>
                <w:spacing w:val="4"/>
                <w:sz w:val="19"/>
                <w:szCs w:val="19"/>
                <w:highlight w:val="none"/>
              </w:rPr>
              <w:t>职称</w:t>
            </w:r>
          </w:p>
        </w:tc>
        <w:tc>
          <w:tcPr>
            <w:tcW w:w="4456" w:type="dxa"/>
            <w:vAlign w:val="top"/>
          </w:tcPr>
          <w:p w14:paraId="1EB87362">
            <w:pPr>
              <w:spacing w:before="151" w:line="228" w:lineRule="auto"/>
              <w:jc w:val="center"/>
              <w:rPr>
                <w:rFonts w:hint="eastAsia" w:ascii="黑体" w:hAnsi="黑体" w:eastAsia="黑体" w:cs="黑体"/>
                <w:color w:val="auto"/>
                <w:sz w:val="19"/>
                <w:szCs w:val="19"/>
                <w:highlight w:val="none"/>
              </w:rPr>
            </w:pPr>
            <w:r>
              <w:rPr>
                <w:rFonts w:hint="eastAsia" w:ascii="黑体" w:hAnsi="黑体" w:eastAsia="黑体" w:cs="黑体"/>
                <w:color w:val="auto"/>
                <w:spacing w:val="8"/>
                <w:sz w:val="19"/>
                <w:szCs w:val="19"/>
                <w:highlight w:val="none"/>
              </w:rPr>
              <w:t>现任职务及资格经历</w:t>
            </w:r>
          </w:p>
        </w:tc>
      </w:tr>
      <w:tr w14:paraId="28E9D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2400C137">
            <w:pPr>
              <w:spacing w:before="146" w:line="228" w:lineRule="auto"/>
              <w:ind w:left="519"/>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一</w:t>
            </w:r>
            <w:r>
              <w:rPr>
                <w:rFonts w:ascii="宋体" w:hAnsi="宋体" w:eastAsia="宋体" w:cs="宋体"/>
                <w:color w:val="auto"/>
                <w:spacing w:val="-71"/>
                <w:sz w:val="19"/>
                <w:szCs w:val="19"/>
                <w:highlight w:val="none"/>
              </w:rPr>
              <w:t xml:space="preserve"> </w:t>
            </w:r>
            <w:r>
              <w:rPr>
                <w:rFonts w:ascii="宋体" w:hAnsi="宋体" w:eastAsia="宋体" w:cs="宋体"/>
                <w:color w:val="auto"/>
                <w:spacing w:val="-7"/>
                <w:sz w:val="19"/>
                <w:szCs w:val="19"/>
                <w:highlight w:val="none"/>
              </w:rPr>
              <w:t>、</w:t>
            </w:r>
            <w:r>
              <w:rPr>
                <w:rFonts w:ascii="宋体" w:hAnsi="宋体" w:eastAsia="宋体" w:cs="宋体"/>
                <w:color w:val="auto"/>
                <w:spacing w:val="-74"/>
                <w:sz w:val="19"/>
                <w:szCs w:val="19"/>
                <w:highlight w:val="none"/>
              </w:rPr>
              <w:t xml:space="preserve"> </w:t>
            </w:r>
            <w:r>
              <w:rPr>
                <w:rFonts w:ascii="宋体" w:hAnsi="宋体" w:eastAsia="宋体" w:cs="宋体"/>
                <w:color w:val="auto"/>
                <w:spacing w:val="-7"/>
                <w:sz w:val="19"/>
                <w:szCs w:val="19"/>
                <w:highlight w:val="none"/>
              </w:rPr>
              <w:t>总</w:t>
            </w:r>
            <w:r>
              <w:rPr>
                <w:rFonts w:ascii="宋体" w:hAnsi="宋体" w:eastAsia="宋体" w:cs="宋体"/>
                <w:color w:val="auto"/>
                <w:spacing w:val="8"/>
                <w:sz w:val="19"/>
                <w:szCs w:val="19"/>
                <w:highlight w:val="none"/>
              </w:rPr>
              <w:t xml:space="preserve">   </w:t>
            </w:r>
            <w:r>
              <w:rPr>
                <w:rFonts w:ascii="宋体" w:hAnsi="宋体" w:eastAsia="宋体" w:cs="宋体"/>
                <w:color w:val="auto"/>
                <w:spacing w:val="-7"/>
                <w:sz w:val="19"/>
                <w:szCs w:val="19"/>
                <w:highlight w:val="none"/>
              </w:rPr>
              <w:t>部</w:t>
            </w:r>
          </w:p>
        </w:tc>
        <w:tc>
          <w:tcPr>
            <w:tcW w:w="1154" w:type="dxa"/>
            <w:vAlign w:val="top"/>
          </w:tcPr>
          <w:p w14:paraId="166F804E">
            <w:pPr>
              <w:pStyle w:val="24"/>
              <w:rPr>
                <w:color w:val="auto"/>
                <w:highlight w:val="none"/>
              </w:rPr>
            </w:pPr>
          </w:p>
        </w:tc>
        <w:tc>
          <w:tcPr>
            <w:tcW w:w="1154" w:type="dxa"/>
            <w:vAlign w:val="top"/>
          </w:tcPr>
          <w:p w14:paraId="4ADCD46D">
            <w:pPr>
              <w:pStyle w:val="24"/>
              <w:rPr>
                <w:color w:val="auto"/>
                <w:highlight w:val="none"/>
              </w:rPr>
            </w:pPr>
          </w:p>
        </w:tc>
        <w:tc>
          <w:tcPr>
            <w:tcW w:w="1154" w:type="dxa"/>
            <w:vAlign w:val="top"/>
          </w:tcPr>
          <w:p w14:paraId="539AC72C">
            <w:pPr>
              <w:pStyle w:val="24"/>
              <w:rPr>
                <w:color w:val="auto"/>
                <w:highlight w:val="none"/>
              </w:rPr>
            </w:pPr>
          </w:p>
        </w:tc>
        <w:tc>
          <w:tcPr>
            <w:tcW w:w="4456" w:type="dxa"/>
            <w:vAlign w:val="top"/>
          </w:tcPr>
          <w:p w14:paraId="0BC20255">
            <w:pPr>
              <w:pStyle w:val="24"/>
              <w:rPr>
                <w:color w:val="auto"/>
                <w:highlight w:val="none"/>
              </w:rPr>
            </w:pPr>
          </w:p>
        </w:tc>
      </w:tr>
      <w:tr w14:paraId="1DEE0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14BBA5CB">
            <w:pPr>
              <w:spacing w:before="149" w:line="228" w:lineRule="auto"/>
              <w:ind w:left="530"/>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1、项目主管</w:t>
            </w:r>
          </w:p>
        </w:tc>
        <w:tc>
          <w:tcPr>
            <w:tcW w:w="1154" w:type="dxa"/>
            <w:vAlign w:val="top"/>
          </w:tcPr>
          <w:p w14:paraId="3C99C313">
            <w:pPr>
              <w:pStyle w:val="24"/>
              <w:rPr>
                <w:color w:val="auto"/>
                <w:highlight w:val="none"/>
              </w:rPr>
            </w:pPr>
          </w:p>
        </w:tc>
        <w:tc>
          <w:tcPr>
            <w:tcW w:w="1154" w:type="dxa"/>
            <w:vAlign w:val="top"/>
          </w:tcPr>
          <w:p w14:paraId="6B95BC55">
            <w:pPr>
              <w:pStyle w:val="24"/>
              <w:rPr>
                <w:color w:val="auto"/>
                <w:highlight w:val="none"/>
              </w:rPr>
            </w:pPr>
          </w:p>
        </w:tc>
        <w:tc>
          <w:tcPr>
            <w:tcW w:w="1154" w:type="dxa"/>
            <w:vAlign w:val="top"/>
          </w:tcPr>
          <w:p w14:paraId="544C56C1">
            <w:pPr>
              <w:pStyle w:val="24"/>
              <w:rPr>
                <w:color w:val="auto"/>
                <w:highlight w:val="none"/>
              </w:rPr>
            </w:pPr>
          </w:p>
        </w:tc>
        <w:tc>
          <w:tcPr>
            <w:tcW w:w="4456" w:type="dxa"/>
            <w:vAlign w:val="top"/>
          </w:tcPr>
          <w:p w14:paraId="064F3B73">
            <w:pPr>
              <w:pStyle w:val="24"/>
              <w:rPr>
                <w:color w:val="auto"/>
                <w:highlight w:val="none"/>
              </w:rPr>
            </w:pPr>
          </w:p>
        </w:tc>
      </w:tr>
      <w:tr w14:paraId="7C200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3F9D97F4">
            <w:pPr>
              <w:spacing w:before="149" w:line="229" w:lineRule="auto"/>
              <w:ind w:left="51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2、其他人员</w:t>
            </w:r>
          </w:p>
        </w:tc>
        <w:tc>
          <w:tcPr>
            <w:tcW w:w="1154" w:type="dxa"/>
            <w:vAlign w:val="top"/>
          </w:tcPr>
          <w:p w14:paraId="1161F4B3">
            <w:pPr>
              <w:pStyle w:val="24"/>
              <w:rPr>
                <w:color w:val="auto"/>
                <w:highlight w:val="none"/>
              </w:rPr>
            </w:pPr>
          </w:p>
        </w:tc>
        <w:tc>
          <w:tcPr>
            <w:tcW w:w="1154" w:type="dxa"/>
            <w:vAlign w:val="top"/>
          </w:tcPr>
          <w:p w14:paraId="3C5127C4">
            <w:pPr>
              <w:pStyle w:val="24"/>
              <w:rPr>
                <w:color w:val="auto"/>
                <w:highlight w:val="none"/>
              </w:rPr>
            </w:pPr>
          </w:p>
        </w:tc>
        <w:tc>
          <w:tcPr>
            <w:tcW w:w="1154" w:type="dxa"/>
            <w:vAlign w:val="top"/>
          </w:tcPr>
          <w:p w14:paraId="06DF150D">
            <w:pPr>
              <w:pStyle w:val="24"/>
              <w:rPr>
                <w:color w:val="auto"/>
                <w:highlight w:val="none"/>
              </w:rPr>
            </w:pPr>
          </w:p>
        </w:tc>
        <w:tc>
          <w:tcPr>
            <w:tcW w:w="4456" w:type="dxa"/>
            <w:vAlign w:val="top"/>
          </w:tcPr>
          <w:p w14:paraId="6F475BD6">
            <w:pPr>
              <w:pStyle w:val="24"/>
              <w:rPr>
                <w:color w:val="auto"/>
                <w:highlight w:val="none"/>
              </w:rPr>
            </w:pPr>
          </w:p>
        </w:tc>
      </w:tr>
      <w:tr w14:paraId="42C90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2591D31A">
            <w:pPr>
              <w:pStyle w:val="24"/>
              <w:rPr>
                <w:color w:val="auto"/>
                <w:highlight w:val="none"/>
              </w:rPr>
            </w:pPr>
          </w:p>
        </w:tc>
        <w:tc>
          <w:tcPr>
            <w:tcW w:w="1154" w:type="dxa"/>
            <w:vAlign w:val="top"/>
          </w:tcPr>
          <w:p w14:paraId="54BEAA15">
            <w:pPr>
              <w:pStyle w:val="24"/>
              <w:rPr>
                <w:color w:val="auto"/>
                <w:highlight w:val="none"/>
              </w:rPr>
            </w:pPr>
          </w:p>
        </w:tc>
        <w:tc>
          <w:tcPr>
            <w:tcW w:w="1154" w:type="dxa"/>
            <w:vAlign w:val="top"/>
          </w:tcPr>
          <w:p w14:paraId="0C1FF2AB">
            <w:pPr>
              <w:pStyle w:val="24"/>
              <w:rPr>
                <w:color w:val="auto"/>
                <w:highlight w:val="none"/>
              </w:rPr>
            </w:pPr>
          </w:p>
        </w:tc>
        <w:tc>
          <w:tcPr>
            <w:tcW w:w="1154" w:type="dxa"/>
            <w:vAlign w:val="top"/>
          </w:tcPr>
          <w:p w14:paraId="68F69DF6">
            <w:pPr>
              <w:pStyle w:val="24"/>
              <w:rPr>
                <w:color w:val="auto"/>
                <w:highlight w:val="none"/>
              </w:rPr>
            </w:pPr>
          </w:p>
        </w:tc>
        <w:tc>
          <w:tcPr>
            <w:tcW w:w="4456" w:type="dxa"/>
            <w:vAlign w:val="top"/>
          </w:tcPr>
          <w:p w14:paraId="6C49A43E">
            <w:pPr>
              <w:pStyle w:val="24"/>
              <w:rPr>
                <w:color w:val="auto"/>
                <w:highlight w:val="none"/>
              </w:rPr>
            </w:pPr>
          </w:p>
        </w:tc>
      </w:tr>
      <w:tr w14:paraId="2449C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D03E777">
            <w:pPr>
              <w:pStyle w:val="24"/>
              <w:rPr>
                <w:color w:val="auto"/>
                <w:highlight w:val="none"/>
              </w:rPr>
            </w:pPr>
          </w:p>
        </w:tc>
        <w:tc>
          <w:tcPr>
            <w:tcW w:w="1154" w:type="dxa"/>
            <w:vAlign w:val="top"/>
          </w:tcPr>
          <w:p w14:paraId="464CA4AB">
            <w:pPr>
              <w:pStyle w:val="24"/>
              <w:rPr>
                <w:color w:val="auto"/>
                <w:highlight w:val="none"/>
              </w:rPr>
            </w:pPr>
          </w:p>
        </w:tc>
        <w:tc>
          <w:tcPr>
            <w:tcW w:w="1154" w:type="dxa"/>
            <w:vAlign w:val="top"/>
          </w:tcPr>
          <w:p w14:paraId="2DD6ABA4">
            <w:pPr>
              <w:pStyle w:val="24"/>
              <w:rPr>
                <w:color w:val="auto"/>
                <w:highlight w:val="none"/>
              </w:rPr>
            </w:pPr>
          </w:p>
        </w:tc>
        <w:tc>
          <w:tcPr>
            <w:tcW w:w="1154" w:type="dxa"/>
            <w:vAlign w:val="top"/>
          </w:tcPr>
          <w:p w14:paraId="43AC9BB3">
            <w:pPr>
              <w:pStyle w:val="24"/>
              <w:rPr>
                <w:color w:val="auto"/>
                <w:highlight w:val="none"/>
              </w:rPr>
            </w:pPr>
          </w:p>
        </w:tc>
        <w:tc>
          <w:tcPr>
            <w:tcW w:w="4456" w:type="dxa"/>
            <w:vAlign w:val="top"/>
          </w:tcPr>
          <w:p w14:paraId="1754FB48">
            <w:pPr>
              <w:pStyle w:val="24"/>
              <w:rPr>
                <w:color w:val="auto"/>
                <w:highlight w:val="none"/>
              </w:rPr>
            </w:pPr>
          </w:p>
        </w:tc>
      </w:tr>
      <w:tr w14:paraId="15E18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3DDA335">
            <w:pPr>
              <w:spacing w:before="151" w:line="229" w:lineRule="auto"/>
              <w:ind w:left="519"/>
              <w:rPr>
                <w:rFonts w:ascii="宋体" w:hAnsi="宋体" w:eastAsia="宋体" w:cs="宋体"/>
                <w:color w:val="auto"/>
                <w:sz w:val="19"/>
                <w:szCs w:val="19"/>
                <w:highlight w:val="none"/>
              </w:rPr>
            </w:pPr>
            <w:r>
              <w:rPr>
                <w:rFonts w:ascii="宋体" w:hAnsi="宋体" w:eastAsia="宋体" w:cs="宋体"/>
                <w:color w:val="auto"/>
                <w:spacing w:val="-13"/>
                <w:sz w:val="19"/>
                <w:szCs w:val="19"/>
                <w:highlight w:val="none"/>
              </w:rPr>
              <w:t>二、现</w:t>
            </w:r>
            <w:r>
              <w:rPr>
                <w:rFonts w:ascii="宋体" w:hAnsi="宋体" w:eastAsia="宋体" w:cs="宋体"/>
                <w:color w:val="auto"/>
                <w:spacing w:val="6"/>
                <w:sz w:val="19"/>
                <w:szCs w:val="19"/>
                <w:highlight w:val="none"/>
              </w:rPr>
              <w:t xml:space="preserve">    </w:t>
            </w:r>
            <w:r>
              <w:rPr>
                <w:rFonts w:ascii="宋体" w:hAnsi="宋体" w:eastAsia="宋体" w:cs="宋体"/>
                <w:color w:val="auto"/>
                <w:spacing w:val="-13"/>
                <w:sz w:val="19"/>
                <w:szCs w:val="19"/>
                <w:highlight w:val="none"/>
              </w:rPr>
              <w:t>场</w:t>
            </w:r>
          </w:p>
        </w:tc>
        <w:tc>
          <w:tcPr>
            <w:tcW w:w="1154" w:type="dxa"/>
            <w:vAlign w:val="top"/>
          </w:tcPr>
          <w:p w14:paraId="179F7809">
            <w:pPr>
              <w:pStyle w:val="24"/>
              <w:rPr>
                <w:color w:val="auto"/>
                <w:highlight w:val="none"/>
              </w:rPr>
            </w:pPr>
          </w:p>
        </w:tc>
        <w:tc>
          <w:tcPr>
            <w:tcW w:w="1154" w:type="dxa"/>
            <w:vAlign w:val="top"/>
          </w:tcPr>
          <w:p w14:paraId="42D91CA0">
            <w:pPr>
              <w:pStyle w:val="24"/>
              <w:rPr>
                <w:color w:val="auto"/>
                <w:highlight w:val="none"/>
              </w:rPr>
            </w:pPr>
          </w:p>
        </w:tc>
        <w:tc>
          <w:tcPr>
            <w:tcW w:w="1154" w:type="dxa"/>
            <w:vAlign w:val="top"/>
          </w:tcPr>
          <w:p w14:paraId="7C1324F0">
            <w:pPr>
              <w:pStyle w:val="24"/>
              <w:rPr>
                <w:color w:val="auto"/>
                <w:highlight w:val="none"/>
              </w:rPr>
            </w:pPr>
          </w:p>
        </w:tc>
        <w:tc>
          <w:tcPr>
            <w:tcW w:w="4456" w:type="dxa"/>
            <w:vAlign w:val="top"/>
          </w:tcPr>
          <w:p w14:paraId="72BEA194">
            <w:pPr>
              <w:pStyle w:val="24"/>
              <w:rPr>
                <w:color w:val="auto"/>
                <w:highlight w:val="none"/>
              </w:rPr>
            </w:pPr>
          </w:p>
        </w:tc>
      </w:tr>
      <w:tr w14:paraId="488E9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BDFBE13">
            <w:pPr>
              <w:spacing w:before="150" w:line="229" w:lineRule="auto"/>
              <w:ind w:left="530"/>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1、项目经理</w:t>
            </w:r>
          </w:p>
        </w:tc>
        <w:tc>
          <w:tcPr>
            <w:tcW w:w="1154" w:type="dxa"/>
            <w:vAlign w:val="top"/>
          </w:tcPr>
          <w:p w14:paraId="4117D9C2">
            <w:pPr>
              <w:pStyle w:val="24"/>
              <w:rPr>
                <w:color w:val="auto"/>
                <w:highlight w:val="none"/>
              </w:rPr>
            </w:pPr>
          </w:p>
        </w:tc>
        <w:tc>
          <w:tcPr>
            <w:tcW w:w="1154" w:type="dxa"/>
            <w:vAlign w:val="top"/>
          </w:tcPr>
          <w:p w14:paraId="2400D1AF">
            <w:pPr>
              <w:pStyle w:val="24"/>
              <w:rPr>
                <w:color w:val="auto"/>
                <w:highlight w:val="none"/>
              </w:rPr>
            </w:pPr>
          </w:p>
        </w:tc>
        <w:tc>
          <w:tcPr>
            <w:tcW w:w="1154" w:type="dxa"/>
            <w:vAlign w:val="top"/>
          </w:tcPr>
          <w:p w14:paraId="08472EE2">
            <w:pPr>
              <w:pStyle w:val="24"/>
              <w:rPr>
                <w:color w:val="auto"/>
                <w:highlight w:val="none"/>
              </w:rPr>
            </w:pPr>
          </w:p>
        </w:tc>
        <w:tc>
          <w:tcPr>
            <w:tcW w:w="4456" w:type="dxa"/>
            <w:vAlign w:val="top"/>
          </w:tcPr>
          <w:p w14:paraId="576D5D80">
            <w:pPr>
              <w:pStyle w:val="24"/>
              <w:rPr>
                <w:color w:val="auto"/>
                <w:highlight w:val="none"/>
              </w:rPr>
            </w:pPr>
          </w:p>
        </w:tc>
      </w:tr>
      <w:tr w14:paraId="5C111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4BEEDB8">
            <w:pPr>
              <w:spacing w:before="152" w:line="228" w:lineRule="auto"/>
              <w:ind w:left="51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2、质量管理</w:t>
            </w:r>
          </w:p>
        </w:tc>
        <w:tc>
          <w:tcPr>
            <w:tcW w:w="1154" w:type="dxa"/>
            <w:vAlign w:val="top"/>
          </w:tcPr>
          <w:p w14:paraId="0078A7E1">
            <w:pPr>
              <w:pStyle w:val="24"/>
              <w:rPr>
                <w:color w:val="auto"/>
                <w:highlight w:val="none"/>
              </w:rPr>
            </w:pPr>
          </w:p>
        </w:tc>
        <w:tc>
          <w:tcPr>
            <w:tcW w:w="1154" w:type="dxa"/>
            <w:vAlign w:val="top"/>
          </w:tcPr>
          <w:p w14:paraId="5645B6BE">
            <w:pPr>
              <w:pStyle w:val="24"/>
              <w:rPr>
                <w:color w:val="auto"/>
                <w:highlight w:val="none"/>
              </w:rPr>
            </w:pPr>
          </w:p>
        </w:tc>
        <w:tc>
          <w:tcPr>
            <w:tcW w:w="1154" w:type="dxa"/>
            <w:vAlign w:val="top"/>
          </w:tcPr>
          <w:p w14:paraId="04F10761">
            <w:pPr>
              <w:pStyle w:val="24"/>
              <w:rPr>
                <w:color w:val="auto"/>
                <w:highlight w:val="none"/>
              </w:rPr>
            </w:pPr>
          </w:p>
        </w:tc>
        <w:tc>
          <w:tcPr>
            <w:tcW w:w="4456" w:type="dxa"/>
            <w:vAlign w:val="top"/>
          </w:tcPr>
          <w:p w14:paraId="51D54544">
            <w:pPr>
              <w:pStyle w:val="24"/>
              <w:rPr>
                <w:color w:val="auto"/>
                <w:highlight w:val="none"/>
              </w:rPr>
            </w:pPr>
          </w:p>
        </w:tc>
      </w:tr>
      <w:tr w14:paraId="00358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58ACCFE">
            <w:pPr>
              <w:spacing w:before="151" w:line="227" w:lineRule="auto"/>
              <w:ind w:left="520"/>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3、材料管理</w:t>
            </w:r>
          </w:p>
        </w:tc>
        <w:tc>
          <w:tcPr>
            <w:tcW w:w="1154" w:type="dxa"/>
            <w:vAlign w:val="top"/>
          </w:tcPr>
          <w:p w14:paraId="41AF59D4">
            <w:pPr>
              <w:pStyle w:val="24"/>
              <w:rPr>
                <w:color w:val="auto"/>
                <w:highlight w:val="none"/>
              </w:rPr>
            </w:pPr>
          </w:p>
        </w:tc>
        <w:tc>
          <w:tcPr>
            <w:tcW w:w="1154" w:type="dxa"/>
            <w:vAlign w:val="top"/>
          </w:tcPr>
          <w:p w14:paraId="6D5E77E4">
            <w:pPr>
              <w:pStyle w:val="24"/>
              <w:rPr>
                <w:color w:val="auto"/>
                <w:highlight w:val="none"/>
              </w:rPr>
            </w:pPr>
          </w:p>
        </w:tc>
        <w:tc>
          <w:tcPr>
            <w:tcW w:w="1154" w:type="dxa"/>
            <w:vAlign w:val="top"/>
          </w:tcPr>
          <w:p w14:paraId="77BA8DD5">
            <w:pPr>
              <w:pStyle w:val="24"/>
              <w:rPr>
                <w:color w:val="auto"/>
                <w:highlight w:val="none"/>
              </w:rPr>
            </w:pPr>
          </w:p>
        </w:tc>
        <w:tc>
          <w:tcPr>
            <w:tcW w:w="4456" w:type="dxa"/>
            <w:vAlign w:val="top"/>
          </w:tcPr>
          <w:p w14:paraId="4347DE71">
            <w:pPr>
              <w:pStyle w:val="24"/>
              <w:rPr>
                <w:color w:val="auto"/>
                <w:highlight w:val="none"/>
              </w:rPr>
            </w:pPr>
          </w:p>
        </w:tc>
      </w:tr>
      <w:tr w14:paraId="26987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4983DA9">
            <w:pPr>
              <w:spacing w:before="150" w:line="228" w:lineRule="auto"/>
              <w:ind w:left="51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4、安全管理</w:t>
            </w:r>
          </w:p>
        </w:tc>
        <w:tc>
          <w:tcPr>
            <w:tcW w:w="1154" w:type="dxa"/>
            <w:vAlign w:val="top"/>
          </w:tcPr>
          <w:p w14:paraId="113D9510">
            <w:pPr>
              <w:pStyle w:val="24"/>
              <w:rPr>
                <w:color w:val="auto"/>
                <w:highlight w:val="none"/>
              </w:rPr>
            </w:pPr>
          </w:p>
        </w:tc>
        <w:tc>
          <w:tcPr>
            <w:tcW w:w="1154" w:type="dxa"/>
            <w:vAlign w:val="top"/>
          </w:tcPr>
          <w:p w14:paraId="3514771D">
            <w:pPr>
              <w:pStyle w:val="24"/>
              <w:rPr>
                <w:color w:val="auto"/>
                <w:highlight w:val="none"/>
              </w:rPr>
            </w:pPr>
          </w:p>
        </w:tc>
        <w:tc>
          <w:tcPr>
            <w:tcW w:w="1154" w:type="dxa"/>
            <w:vAlign w:val="top"/>
          </w:tcPr>
          <w:p w14:paraId="3FC92B59">
            <w:pPr>
              <w:pStyle w:val="24"/>
              <w:rPr>
                <w:color w:val="auto"/>
                <w:highlight w:val="none"/>
              </w:rPr>
            </w:pPr>
          </w:p>
        </w:tc>
        <w:tc>
          <w:tcPr>
            <w:tcW w:w="4456" w:type="dxa"/>
            <w:vAlign w:val="top"/>
          </w:tcPr>
          <w:p w14:paraId="73AFBEFE">
            <w:pPr>
              <w:pStyle w:val="24"/>
              <w:rPr>
                <w:color w:val="auto"/>
                <w:highlight w:val="none"/>
              </w:rPr>
            </w:pPr>
          </w:p>
        </w:tc>
      </w:tr>
      <w:tr w14:paraId="7694D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76D3397F">
            <w:pPr>
              <w:spacing w:before="152" w:line="228" w:lineRule="auto"/>
              <w:ind w:left="520"/>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5、施工管理</w:t>
            </w:r>
          </w:p>
        </w:tc>
        <w:tc>
          <w:tcPr>
            <w:tcW w:w="1154" w:type="dxa"/>
            <w:vAlign w:val="top"/>
          </w:tcPr>
          <w:p w14:paraId="79ED4455">
            <w:pPr>
              <w:pStyle w:val="24"/>
              <w:rPr>
                <w:color w:val="auto"/>
                <w:highlight w:val="none"/>
              </w:rPr>
            </w:pPr>
          </w:p>
        </w:tc>
        <w:tc>
          <w:tcPr>
            <w:tcW w:w="1154" w:type="dxa"/>
            <w:vAlign w:val="top"/>
          </w:tcPr>
          <w:p w14:paraId="15C4C5E2">
            <w:pPr>
              <w:pStyle w:val="24"/>
              <w:rPr>
                <w:color w:val="auto"/>
                <w:highlight w:val="none"/>
              </w:rPr>
            </w:pPr>
          </w:p>
        </w:tc>
        <w:tc>
          <w:tcPr>
            <w:tcW w:w="1154" w:type="dxa"/>
            <w:vAlign w:val="top"/>
          </w:tcPr>
          <w:p w14:paraId="4158AE3C">
            <w:pPr>
              <w:pStyle w:val="24"/>
              <w:rPr>
                <w:color w:val="auto"/>
                <w:highlight w:val="none"/>
              </w:rPr>
            </w:pPr>
          </w:p>
        </w:tc>
        <w:tc>
          <w:tcPr>
            <w:tcW w:w="4456" w:type="dxa"/>
            <w:vAlign w:val="top"/>
          </w:tcPr>
          <w:p w14:paraId="0D0C237E">
            <w:pPr>
              <w:pStyle w:val="24"/>
              <w:rPr>
                <w:color w:val="auto"/>
                <w:highlight w:val="none"/>
              </w:rPr>
            </w:pPr>
          </w:p>
        </w:tc>
      </w:tr>
      <w:tr w14:paraId="74D0D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6F01521">
            <w:pPr>
              <w:spacing w:before="151" w:line="308" w:lineRule="exact"/>
              <w:ind w:left="528"/>
              <w:rPr>
                <w:rFonts w:ascii="宋体" w:hAnsi="宋体" w:eastAsia="宋体" w:cs="宋体"/>
                <w:color w:val="auto"/>
                <w:sz w:val="19"/>
                <w:szCs w:val="19"/>
                <w:highlight w:val="none"/>
              </w:rPr>
            </w:pPr>
            <w:r>
              <w:rPr>
                <w:rFonts w:ascii="宋体" w:hAnsi="宋体" w:eastAsia="宋体" w:cs="宋体"/>
                <w:color w:val="auto"/>
                <w:spacing w:val="-2"/>
                <w:position w:val="2"/>
                <w:sz w:val="19"/>
                <w:szCs w:val="19"/>
                <w:highlight w:val="none"/>
              </w:rPr>
              <w:t>……</w:t>
            </w:r>
          </w:p>
        </w:tc>
        <w:tc>
          <w:tcPr>
            <w:tcW w:w="1154" w:type="dxa"/>
            <w:vAlign w:val="top"/>
          </w:tcPr>
          <w:p w14:paraId="5EC5530A">
            <w:pPr>
              <w:pStyle w:val="24"/>
              <w:rPr>
                <w:color w:val="auto"/>
                <w:highlight w:val="none"/>
              </w:rPr>
            </w:pPr>
          </w:p>
        </w:tc>
        <w:tc>
          <w:tcPr>
            <w:tcW w:w="1154" w:type="dxa"/>
            <w:vAlign w:val="top"/>
          </w:tcPr>
          <w:p w14:paraId="37D5397C">
            <w:pPr>
              <w:pStyle w:val="24"/>
              <w:rPr>
                <w:color w:val="auto"/>
                <w:highlight w:val="none"/>
              </w:rPr>
            </w:pPr>
          </w:p>
        </w:tc>
        <w:tc>
          <w:tcPr>
            <w:tcW w:w="1154" w:type="dxa"/>
            <w:vAlign w:val="top"/>
          </w:tcPr>
          <w:p w14:paraId="5D47ECC7">
            <w:pPr>
              <w:pStyle w:val="24"/>
              <w:rPr>
                <w:color w:val="auto"/>
                <w:highlight w:val="none"/>
              </w:rPr>
            </w:pPr>
          </w:p>
        </w:tc>
        <w:tc>
          <w:tcPr>
            <w:tcW w:w="4456" w:type="dxa"/>
            <w:vAlign w:val="top"/>
          </w:tcPr>
          <w:p w14:paraId="52738463">
            <w:pPr>
              <w:pStyle w:val="24"/>
              <w:rPr>
                <w:color w:val="auto"/>
                <w:highlight w:val="none"/>
              </w:rPr>
            </w:pPr>
          </w:p>
        </w:tc>
      </w:tr>
    </w:tbl>
    <w:p w14:paraId="29EDBEFA">
      <w:pPr>
        <w:keepNext w:val="0"/>
        <w:keepLines w:val="0"/>
        <w:pageBreakBefore w:val="0"/>
        <w:widowControl/>
        <w:kinsoku/>
        <w:wordWrap/>
        <w:overflowPunct/>
        <w:topLinePunct w:val="0"/>
        <w:autoSpaceDE/>
        <w:autoSpaceDN/>
        <w:bidi w:val="0"/>
        <w:adjustRightInd/>
        <w:snapToGrid/>
        <w:spacing w:line="240" w:lineRule="auto"/>
        <w:ind w:left="0" w:right="0" w:firstLine="436" w:firstLineChars="200"/>
        <w:jc w:val="both"/>
        <w:textAlignment w:val="auto"/>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注：1.辅助说明资料主要包括管理机构的机构设置、职责分工、主要管理人员上岗证书复印件（含年审记录）</w:t>
      </w:r>
      <w:r>
        <w:rPr>
          <w:rFonts w:ascii="宋体" w:hAnsi="宋体" w:eastAsia="宋体" w:cs="宋体"/>
          <w:color w:val="auto"/>
          <w:spacing w:val="-57"/>
          <w:sz w:val="20"/>
          <w:szCs w:val="20"/>
          <w:highlight w:val="none"/>
        </w:rPr>
        <w:t xml:space="preserve"> </w:t>
      </w:r>
      <w:r>
        <w:rPr>
          <w:rFonts w:ascii="宋体" w:hAnsi="宋体" w:eastAsia="宋体" w:cs="宋体"/>
          <w:color w:val="auto"/>
          <w:spacing w:val="9"/>
          <w:sz w:val="20"/>
          <w:szCs w:val="20"/>
          <w:highlight w:val="none"/>
        </w:rPr>
        <w:t>以及投标人认为有必要提供</w:t>
      </w:r>
      <w:r>
        <w:rPr>
          <w:rFonts w:ascii="宋体" w:hAnsi="宋体" w:eastAsia="宋体" w:cs="宋体"/>
          <w:color w:val="auto"/>
          <w:spacing w:val="8"/>
          <w:sz w:val="20"/>
          <w:szCs w:val="20"/>
          <w:highlight w:val="none"/>
        </w:rPr>
        <w:t>的资料。辅助说明资料格式不做统一</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规定，由投标人自行设计。</w:t>
      </w:r>
    </w:p>
    <w:p w14:paraId="59055CCC">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right="0" w:firstLine="432" w:firstLineChars="200"/>
        <w:textAlignment w:val="auto"/>
        <w:rPr>
          <w:rFonts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项目管理班子配备情况辅助说明资料另附（与投标文件一起装订）。</w:t>
      </w:r>
    </w:p>
    <w:p w14:paraId="5FF99357">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D904A3D">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6494C666">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EF102C4">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6EDCABBA">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7F5BEB6A">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CD8190F">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EA55E5B">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DFD63E7">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C807502">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AC8B7B0">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401E7C4">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086176F">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70DA4CA">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BA7E284">
      <w:pPr>
        <w:spacing w:before="47" w:line="219" w:lineRule="auto"/>
        <w:outlineLvl w:val="0"/>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拟投入施工机械设备情况表（如有）</w:t>
      </w:r>
    </w:p>
    <w:p w14:paraId="1B476B63">
      <w:pPr>
        <w:spacing w:before="47" w:line="219" w:lineRule="auto"/>
        <w:ind w:left="2917"/>
        <w:outlineLvl w:val="0"/>
        <w:rPr>
          <w:rFonts w:ascii="宋体" w:hAnsi="宋体" w:eastAsia="宋体" w:cs="宋体"/>
          <w:b/>
          <w:bCs/>
          <w:color w:val="auto"/>
          <w:spacing w:val="-3"/>
          <w:sz w:val="24"/>
          <w:szCs w:val="24"/>
          <w:highlight w:val="none"/>
        </w:rPr>
      </w:pPr>
      <w:r>
        <w:rPr>
          <w:rFonts w:ascii="宋体" w:hAnsi="宋体" w:eastAsia="宋体" w:cs="宋体"/>
          <w:b/>
          <w:bCs/>
          <w:color w:val="auto"/>
          <w:spacing w:val="-3"/>
          <w:sz w:val="24"/>
          <w:szCs w:val="24"/>
          <w:highlight w:val="none"/>
        </w:rPr>
        <w:t>附表一：拟投入工程的主要施工设备表</w:t>
      </w:r>
    </w:p>
    <w:tbl>
      <w:tblPr>
        <w:tblStyle w:val="23"/>
        <w:tblW w:w="9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2"/>
        <w:gridCol w:w="1225"/>
        <w:gridCol w:w="851"/>
        <w:gridCol w:w="708"/>
        <w:gridCol w:w="709"/>
        <w:gridCol w:w="851"/>
        <w:gridCol w:w="1133"/>
        <w:gridCol w:w="991"/>
        <w:gridCol w:w="1133"/>
        <w:gridCol w:w="996"/>
      </w:tblGrid>
      <w:tr w14:paraId="701AE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762" w:type="dxa"/>
            <w:vAlign w:val="top"/>
          </w:tcPr>
          <w:p w14:paraId="5D54AB46">
            <w:pPr>
              <w:pStyle w:val="24"/>
              <w:spacing w:line="291" w:lineRule="auto"/>
              <w:rPr>
                <w:rFonts w:hint="eastAsia" w:ascii="黑体" w:hAnsi="黑体" w:eastAsia="黑体" w:cs="黑体"/>
                <w:color w:val="auto"/>
                <w:highlight w:val="none"/>
              </w:rPr>
            </w:pPr>
          </w:p>
          <w:p w14:paraId="16A31C01">
            <w:pPr>
              <w:spacing w:before="65" w:line="229" w:lineRule="auto"/>
              <w:ind w:left="176"/>
              <w:rPr>
                <w:rFonts w:hint="eastAsia" w:ascii="黑体" w:hAnsi="黑体" w:eastAsia="黑体" w:cs="黑体"/>
                <w:color w:val="auto"/>
                <w:sz w:val="20"/>
                <w:szCs w:val="20"/>
                <w:highlight w:val="none"/>
              </w:rPr>
            </w:pPr>
            <w:r>
              <w:rPr>
                <w:rFonts w:hint="eastAsia" w:ascii="黑体" w:hAnsi="黑体" w:eastAsia="黑体" w:cs="黑体"/>
                <w:color w:val="auto"/>
                <w:spacing w:val="5"/>
                <w:sz w:val="20"/>
                <w:szCs w:val="20"/>
                <w:highlight w:val="none"/>
              </w:rPr>
              <w:t>序号</w:t>
            </w:r>
          </w:p>
        </w:tc>
        <w:tc>
          <w:tcPr>
            <w:tcW w:w="1225" w:type="dxa"/>
            <w:vAlign w:val="top"/>
          </w:tcPr>
          <w:p w14:paraId="5186EDAC">
            <w:pPr>
              <w:pStyle w:val="24"/>
              <w:spacing w:line="291" w:lineRule="auto"/>
              <w:rPr>
                <w:rFonts w:hint="eastAsia" w:ascii="黑体" w:hAnsi="黑体" w:eastAsia="黑体" w:cs="黑体"/>
                <w:color w:val="auto"/>
                <w:highlight w:val="none"/>
              </w:rPr>
            </w:pPr>
          </w:p>
          <w:p w14:paraId="489ED44B">
            <w:pPr>
              <w:spacing w:before="65" w:line="229" w:lineRule="auto"/>
              <w:ind w:left="199"/>
              <w:rPr>
                <w:rFonts w:hint="eastAsia" w:ascii="黑体" w:hAnsi="黑体" w:eastAsia="黑体" w:cs="黑体"/>
                <w:color w:val="auto"/>
                <w:sz w:val="20"/>
                <w:szCs w:val="20"/>
                <w:highlight w:val="none"/>
              </w:rPr>
            </w:pPr>
            <w:r>
              <w:rPr>
                <w:rFonts w:hint="eastAsia" w:ascii="黑体" w:hAnsi="黑体" w:eastAsia="黑体" w:cs="黑体"/>
                <w:color w:val="auto"/>
                <w:spacing w:val="6"/>
                <w:sz w:val="20"/>
                <w:szCs w:val="20"/>
                <w:highlight w:val="none"/>
              </w:rPr>
              <w:t>设备名称</w:t>
            </w:r>
          </w:p>
        </w:tc>
        <w:tc>
          <w:tcPr>
            <w:tcW w:w="851" w:type="dxa"/>
            <w:vAlign w:val="top"/>
          </w:tcPr>
          <w:p w14:paraId="2CCCE4DA">
            <w:pPr>
              <w:spacing w:before="221" w:line="239" w:lineRule="auto"/>
              <w:ind w:left="219" w:right="217" w:firstLine="5"/>
              <w:rPr>
                <w:rFonts w:hint="eastAsia" w:ascii="黑体" w:hAnsi="黑体" w:eastAsia="黑体" w:cs="黑体"/>
                <w:color w:val="auto"/>
                <w:sz w:val="20"/>
                <w:szCs w:val="20"/>
                <w:highlight w:val="none"/>
              </w:rPr>
            </w:pPr>
            <w:r>
              <w:rPr>
                <w:rFonts w:hint="eastAsia" w:ascii="黑体" w:hAnsi="黑体" w:eastAsia="黑体" w:cs="黑体"/>
                <w:color w:val="auto"/>
                <w:spacing w:val="1"/>
                <w:sz w:val="20"/>
                <w:szCs w:val="20"/>
                <w:highlight w:val="none"/>
              </w:rPr>
              <w:t>型号</w:t>
            </w:r>
            <w:r>
              <w:rPr>
                <w:rFonts w:hint="eastAsia" w:ascii="黑体" w:hAnsi="黑体" w:eastAsia="黑体" w:cs="黑体"/>
                <w:color w:val="auto"/>
                <w:sz w:val="20"/>
                <w:szCs w:val="20"/>
                <w:highlight w:val="none"/>
              </w:rPr>
              <w:t xml:space="preserve"> </w:t>
            </w:r>
            <w:r>
              <w:rPr>
                <w:rFonts w:hint="eastAsia" w:ascii="黑体" w:hAnsi="黑体" w:eastAsia="黑体" w:cs="黑体"/>
                <w:color w:val="auto"/>
                <w:spacing w:val="4"/>
                <w:sz w:val="20"/>
                <w:szCs w:val="20"/>
                <w:highlight w:val="none"/>
              </w:rPr>
              <w:t>规格</w:t>
            </w:r>
          </w:p>
        </w:tc>
        <w:tc>
          <w:tcPr>
            <w:tcW w:w="708" w:type="dxa"/>
            <w:vAlign w:val="top"/>
          </w:tcPr>
          <w:p w14:paraId="2B7100FA">
            <w:pPr>
              <w:pStyle w:val="24"/>
              <w:spacing w:line="290" w:lineRule="auto"/>
              <w:rPr>
                <w:rFonts w:hint="eastAsia" w:ascii="黑体" w:hAnsi="黑体" w:eastAsia="黑体" w:cs="黑体"/>
                <w:color w:val="auto"/>
                <w:highlight w:val="none"/>
              </w:rPr>
            </w:pPr>
          </w:p>
          <w:p w14:paraId="0C6F4519">
            <w:pPr>
              <w:spacing w:before="65" w:line="228" w:lineRule="auto"/>
              <w:ind w:left="149"/>
              <w:rPr>
                <w:rFonts w:hint="eastAsia" w:ascii="黑体" w:hAnsi="黑体" w:eastAsia="黑体" w:cs="黑体"/>
                <w:color w:val="auto"/>
                <w:sz w:val="20"/>
                <w:szCs w:val="20"/>
                <w:highlight w:val="none"/>
              </w:rPr>
            </w:pPr>
            <w:r>
              <w:rPr>
                <w:rFonts w:hint="eastAsia" w:ascii="黑体" w:hAnsi="黑体" w:eastAsia="黑体" w:cs="黑体"/>
                <w:color w:val="auto"/>
                <w:spacing w:val="3"/>
                <w:sz w:val="20"/>
                <w:szCs w:val="20"/>
                <w:highlight w:val="none"/>
              </w:rPr>
              <w:t>数量</w:t>
            </w:r>
          </w:p>
        </w:tc>
        <w:tc>
          <w:tcPr>
            <w:tcW w:w="709" w:type="dxa"/>
            <w:vAlign w:val="top"/>
          </w:tcPr>
          <w:p w14:paraId="1A9920DC">
            <w:pPr>
              <w:spacing w:before="221" w:line="239" w:lineRule="auto"/>
              <w:ind w:left="147" w:right="146" w:firstLine="20"/>
              <w:rPr>
                <w:rFonts w:hint="eastAsia" w:ascii="黑体" w:hAnsi="黑体" w:eastAsia="黑体" w:cs="黑体"/>
                <w:color w:val="auto"/>
                <w:sz w:val="20"/>
                <w:szCs w:val="20"/>
                <w:highlight w:val="none"/>
              </w:rPr>
            </w:pPr>
            <w:r>
              <w:rPr>
                <w:rFonts w:hint="eastAsia" w:ascii="黑体" w:hAnsi="黑体" w:eastAsia="黑体" w:cs="黑体"/>
                <w:color w:val="auto"/>
                <w:spacing w:val="-6"/>
                <w:sz w:val="20"/>
                <w:szCs w:val="20"/>
                <w:highlight w:val="none"/>
              </w:rPr>
              <w:t>国别</w:t>
            </w:r>
            <w:r>
              <w:rPr>
                <w:rFonts w:hint="eastAsia" w:ascii="黑体" w:hAnsi="黑体" w:eastAsia="黑体" w:cs="黑体"/>
                <w:color w:val="auto"/>
                <w:sz w:val="20"/>
                <w:szCs w:val="20"/>
                <w:highlight w:val="none"/>
              </w:rPr>
              <w:t xml:space="preserve"> </w:t>
            </w:r>
            <w:r>
              <w:rPr>
                <w:rFonts w:hint="eastAsia" w:ascii="黑体" w:hAnsi="黑体" w:eastAsia="黑体" w:cs="黑体"/>
                <w:color w:val="auto"/>
                <w:spacing w:val="4"/>
                <w:sz w:val="20"/>
                <w:szCs w:val="20"/>
                <w:highlight w:val="none"/>
              </w:rPr>
              <w:t>产地</w:t>
            </w:r>
          </w:p>
        </w:tc>
        <w:tc>
          <w:tcPr>
            <w:tcW w:w="851" w:type="dxa"/>
            <w:vAlign w:val="top"/>
          </w:tcPr>
          <w:p w14:paraId="3E7D382C">
            <w:pPr>
              <w:spacing w:before="221" w:line="239" w:lineRule="auto"/>
              <w:ind w:left="219" w:right="217"/>
              <w:rPr>
                <w:rFonts w:hint="eastAsia" w:ascii="黑体" w:hAnsi="黑体" w:eastAsia="黑体" w:cs="黑体"/>
                <w:color w:val="auto"/>
                <w:sz w:val="20"/>
                <w:szCs w:val="20"/>
                <w:highlight w:val="none"/>
              </w:rPr>
            </w:pPr>
            <w:r>
              <w:rPr>
                <w:rFonts w:hint="eastAsia" w:ascii="黑体" w:hAnsi="黑体" w:eastAsia="黑体" w:cs="黑体"/>
                <w:color w:val="auto"/>
                <w:spacing w:val="4"/>
                <w:sz w:val="20"/>
                <w:szCs w:val="20"/>
                <w:highlight w:val="none"/>
              </w:rPr>
              <w:t>制造</w:t>
            </w:r>
            <w:r>
              <w:rPr>
                <w:rFonts w:hint="eastAsia" w:ascii="黑体" w:hAnsi="黑体" w:eastAsia="黑体" w:cs="黑体"/>
                <w:color w:val="auto"/>
                <w:sz w:val="20"/>
                <w:szCs w:val="20"/>
                <w:highlight w:val="none"/>
              </w:rPr>
              <w:t xml:space="preserve"> </w:t>
            </w:r>
            <w:r>
              <w:rPr>
                <w:rFonts w:hint="eastAsia" w:ascii="黑体" w:hAnsi="黑体" w:eastAsia="黑体" w:cs="黑体"/>
                <w:color w:val="auto"/>
                <w:spacing w:val="4"/>
                <w:sz w:val="20"/>
                <w:szCs w:val="20"/>
                <w:highlight w:val="none"/>
              </w:rPr>
              <w:t>年份</w:t>
            </w:r>
          </w:p>
        </w:tc>
        <w:tc>
          <w:tcPr>
            <w:tcW w:w="1133" w:type="dxa"/>
            <w:vAlign w:val="top"/>
          </w:tcPr>
          <w:p w14:paraId="307CCE58">
            <w:pPr>
              <w:spacing w:before="221" w:line="245" w:lineRule="auto"/>
              <w:ind w:left="195" w:right="145" w:hanging="43"/>
              <w:rPr>
                <w:rFonts w:hint="eastAsia" w:ascii="黑体" w:hAnsi="黑体" w:eastAsia="黑体" w:cs="黑体"/>
                <w:color w:val="auto"/>
                <w:sz w:val="20"/>
                <w:szCs w:val="20"/>
                <w:highlight w:val="none"/>
              </w:rPr>
            </w:pPr>
            <w:r>
              <w:rPr>
                <w:rFonts w:hint="eastAsia" w:ascii="黑体" w:hAnsi="黑体" w:eastAsia="黑体" w:cs="黑体"/>
                <w:color w:val="auto"/>
                <w:spacing w:val="7"/>
                <w:sz w:val="20"/>
                <w:szCs w:val="20"/>
                <w:highlight w:val="none"/>
              </w:rPr>
              <w:t>额定功率</w:t>
            </w:r>
            <w:r>
              <w:rPr>
                <w:rFonts w:hint="eastAsia" w:ascii="黑体" w:hAnsi="黑体" w:eastAsia="黑体" w:cs="黑体"/>
                <w:color w:val="auto"/>
                <w:sz w:val="20"/>
                <w:szCs w:val="20"/>
                <w:highlight w:val="none"/>
              </w:rPr>
              <w:t xml:space="preserve"> </w:t>
            </w:r>
            <w:r>
              <w:rPr>
                <w:rFonts w:hint="eastAsia" w:ascii="黑体" w:hAnsi="黑体" w:eastAsia="黑体" w:cs="黑体"/>
                <w:color w:val="auto"/>
                <w:spacing w:val="3"/>
                <w:sz w:val="20"/>
                <w:szCs w:val="20"/>
                <w:highlight w:val="none"/>
              </w:rPr>
              <w:t>（</w:t>
            </w:r>
            <w:r>
              <w:rPr>
                <w:rFonts w:hint="eastAsia" w:ascii="黑体" w:hAnsi="黑体" w:eastAsia="黑体" w:cs="黑体"/>
                <w:color w:val="auto"/>
                <w:sz w:val="20"/>
                <w:szCs w:val="20"/>
                <w:highlight w:val="none"/>
              </w:rPr>
              <w:t>KW</w:t>
            </w:r>
            <w:r>
              <w:rPr>
                <w:rFonts w:hint="eastAsia" w:ascii="黑体" w:hAnsi="黑体" w:eastAsia="黑体" w:cs="黑体"/>
                <w:color w:val="auto"/>
                <w:spacing w:val="3"/>
                <w:sz w:val="20"/>
                <w:szCs w:val="20"/>
                <w:highlight w:val="none"/>
              </w:rPr>
              <w:t>）</w:t>
            </w:r>
          </w:p>
        </w:tc>
        <w:tc>
          <w:tcPr>
            <w:tcW w:w="991" w:type="dxa"/>
            <w:vAlign w:val="top"/>
          </w:tcPr>
          <w:p w14:paraId="23F361F9">
            <w:pPr>
              <w:spacing w:before="221" w:line="239" w:lineRule="auto"/>
              <w:ind w:left="299" w:right="284" w:hanging="6"/>
              <w:rPr>
                <w:rFonts w:hint="eastAsia" w:ascii="黑体" w:hAnsi="黑体" w:eastAsia="黑体" w:cs="黑体"/>
                <w:color w:val="auto"/>
                <w:sz w:val="20"/>
                <w:szCs w:val="20"/>
                <w:highlight w:val="none"/>
              </w:rPr>
            </w:pPr>
            <w:r>
              <w:rPr>
                <w:rFonts w:hint="eastAsia" w:ascii="黑体" w:hAnsi="黑体" w:eastAsia="黑体" w:cs="黑体"/>
                <w:color w:val="auto"/>
                <w:spacing w:val="3"/>
                <w:sz w:val="20"/>
                <w:szCs w:val="20"/>
                <w:highlight w:val="none"/>
              </w:rPr>
              <w:t>生产</w:t>
            </w:r>
            <w:r>
              <w:rPr>
                <w:rFonts w:hint="eastAsia" w:ascii="黑体" w:hAnsi="黑体" w:eastAsia="黑体" w:cs="黑体"/>
                <w:color w:val="auto"/>
                <w:sz w:val="20"/>
                <w:szCs w:val="20"/>
                <w:highlight w:val="none"/>
              </w:rPr>
              <w:t xml:space="preserve"> 能力</w:t>
            </w:r>
          </w:p>
        </w:tc>
        <w:tc>
          <w:tcPr>
            <w:tcW w:w="1133" w:type="dxa"/>
            <w:vAlign w:val="top"/>
          </w:tcPr>
          <w:p w14:paraId="0E4E6ECE">
            <w:pPr>
              <w:spacing w:before="221" w:line="239" w:lineRule="auto"/>
              <w:ind w:left="365" w:right="143" w:hanging="209"/>
              <w:rPr>
                <w:rFonts w:hint="eastAsia" w:ascii="黑体" w:hAnsi="黑体" w:eastAsia="黑体" w:cs="黑体"/>
                <w:color w:val="auto"/>
                <w:sz w:val="20"/>
                <w:szCs w:val="20"/>
                <w:highlight w:val="none"/>
              </w:rPr>
            </w:pPr>
            <w:r>
              <w:rPr>
                <w:rFonts w:hint="eastAsia" w:ascii="黑体" w:hAnsi="黑体" w:eastAsia="黑体" w:cs="黑体"/>
                <w:color w:val="auto"/>
                <w:spacing w:val="6"/>
                <w:sz w:val="20"/>
                <w:szCs w:val="20"/>
                <w:highlight w:val="none"/>
              </w:rPr>
              <w:t>用于施工</w:t>
            </w:r>
            <w:r>
              <w:rPr>
                <w:rFonts w:hint="eastAsia" w:ascii="黑体" w:hAnsi="黑体" w:eastAsia="黑体" w:cs="黑体"/>
                <w:color w:val="auto"/>
                <w:spacing w:val="2"/>
                <w:sz w:val="20"/>
                <w:szCs w:val="20"/>
                <w:highlight w:val="none"/>
              </w:rPr>
              <w:t xml:space="preserve"> </w:t>
            </w:r>
            <w:r>
              <w:rPr>
                <w:rFonts w:hint="eastAsia" w:ascii="黑体" w:hAnsi="黑体" w:eastAsia="黑体" w:cs="黑体"/>
                <w:color w:val="auto"/>
                <w:spacing w:val="3"/>
                <w:sz w:val="20"/>
                <w:szCs w:val="20"/>
                <w:highlight w:val="none"/>
              </w:rPr>
              <w:t>部位</w:t>
            </w:r>
          </w:p>
        </w:tc>
        <w:tc>
          <w:tcPr>
            <w:tcW w:w="996" w:type="dxa"/>
            <w:vAlign w:val="top"/>
          </w:tcPr>
          <w:p w14:paraId="5D66F99B">
            <w:pPr>
              <w:pStyle w:val="24"/>
              <w:spacing w:line="291" w:lineRule="auto"/>
              <w:rPr>
                <w:rFonts w:hint="eastAsia" w:ascii="黑体" w:hAnsi="黑体" w:eastAsia="黑体" w:cs="黑体"/>
                <w:color w:val="auto"/>
                <w:highlight w:val="none"/>
              </w:rPr>
            </w:pPr>
          </w:p>
          <w:p w14:paraId="14E17C6F">
            <w:pPr>
              <w:spacing w:before="65" w:line="229" w:lineRule="auto"/>
              <w:ind w:left="296"/>
              <w:rPr>
                <w:rFonts w:hint="eastAsia" w:ascii="黑体" w:hAnsi="黑体" w:eastAsia="黑体" w:cs="黑体"/>
                <w:color w:val="auto"/>
                <w:sz w:val="20"/>
                <w:szCs w:val="20"/>
                <w:highlight w:val="none"/>
              </w:rPr>
            </w:pPr>
            <w:r>
              <w:rPr>
                <w:rFonts w:hint="eastAsia" w:ascii="黑体" w:hAnsi="黑体" w:eastAsia="黑体" w:cs="黑体"/>
                <w:color w:val="auto"/>
                <w:spacing w:val="3"/>
                <w:sz w:val="20"/>
                <w:szCs w:val="20"/>
                <w:highlight w:val="none"/>
              </w:rPr>
              <w:t>备注</w:t>
            </w:r>
          </w:p>
        </w:tc>
      </w:tr>
      <w:tr w14:paraId="052D3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62" w:type="dxa"/>
            <w:vAlign w:val="center"/>
          </w:tcPr>
          <w:p w14:paraId="2A916A76">
            <w:pPr>
              <w:pStyle w:val="24"/>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225" w:type="dxa"/>
            <w:vAlign w:val="center"/>
          </w:tcPr>
          <w:p w14:paraId="0CE3C765">
            <w:pPr>
              <w:pStyle w:val="24"/>
              <w:jc w:val="center"/>
              <w:rPr>
                <w:color w:val="auto"/>
                <w:sz w:val="21"/>
                <w:szCs w:val="21"/>
                <w:highlight w:val="none"/>
              </w:rPr>
            </w:pPr>
          </w:p>
        </w:tc>
        <w:tc>
          <w:tcPr>
            <w:tcW w:w="851" w:type="dxa"/>
            <w:vAlign w:val="center"/>
          </w:tcPr>
          <w:p w14:paraId="54372A0D">
            <w:pPr>
              <w:pStyle w:val="24"/>
              <w:jc w:val="center"/>
              <w:rPr>
                <w:color w:val="auto"/>
                <w:sz w:val="21"/>
                <w:szCs w:val="21"/>
                <w:highlight w:val="none"/>
              </w:rPr>
            </w:pPr>
          </w:p>
        </w:tc>
        <w:tc>
          <w:tcPr>
            <w:tcW w:w="708" w:type="dxa"/>
            <w:vAlign w:val="center"/>
          </w:tcPr>
          <w:p w14:paraId="73F0A06C">
            <w:pPr>
              <w:pStyle w:val="24"/>
              <w:jc w:val="center"/>
              <w:rPr>
                <w:color w:val="auto"/>
                <w:sz w:val="21"/>
                <w:szCs w:val="21"/>
                <w:highlight w:val="none"/>
              </w:rPr>
            </w:pPr>
          </w:p>
        </w:tc>
        <w:tc>
          <w:tcPr>
            <w:tcW w:w="709" w:type="dxa"/>
            <w:vAlign w:val="center"/>
          </w:tcPr>
          <w:p w14:paraId="2B3DF0D1">
            <w:pPr>
              <w:pStyle w:val="24"/>
              <w:jc w:val="center"/>
              <w:rPr>
                <w:color w:val="auto"/>
                <w:sz w:val="21"/>
                <w:szCs w:val="21"/>
                <w:highlight w:val="none"/>
              </w:rPr>
            </w:pPr>
          </w:p>
        </w:tc>
        <w:tc>
          <w:tcPr>
            <w:tcW w:w="851" w:type="dxa"/>
            <w:vAlign w:val="center"/>
          </w:tcPr>
          <w:p w14:paraId="366A6315">
            <w:pPr>
              <w:pStyle w:val="24"/>
              <w:jc w:val="center"/>
              <w:rPr>
                <w:color w:val="auto"/>
                <w:sz w:val="21"/>
                <w:szCs w:val="21"/>
                <w:highlight w:val="none"/>
              </w:rPr>
            </w:pPr>
          </w:p>
        </w:tc>
        <w:tc>
          <w:tcPr>
            <w:tcW w:w="1133" w:type="dxa"/>
            <w:vAlign w:val="center"/>
          </w:tcPr>
          <w:p w14:paraId="3BB2A534">
            <w:pPr>
              <w:pStyle w:val="24"/>
              <w:jc w:val="center"/>
              <w:rPr>
                <w:color w:val="auto"/>
                <w:sz w:val="21"/>
                <w:szCs w:val="21"/>
                <w:highlight w:val="none"/>
              </w:rPr>
            </w:pPr>
          </w:p>
        </w:tc>
        <w:tc>
          <w:tcPr>
            <w:tcW w:w="991" w:type="dxa"/>
            <w:vAlign w:val="center"/>
          </w:tcPr>
          <w:p w14:paraId="034A7FAF">
            <w:pPr>
              <w:pStyle w:val="24"/>
              <w:jc w:val="center"/>
              <w:rPr>
                <w:color w:val="auto"/>
                <w:sz w:val="21"/>
                <w:szCs w:val="21"/>
                <w:highlight w:val="none"/>
              </w:rPr>
            </w:pPr>
          </w:p>
        </w:tc>
        <w:tc>
          <w:tcPr>
            <w:tcW w:w="1133" w:type="dxa"/>
            <w:vAlign w:val="center"/>
          </w:tcPr>
          <w:p w14:paraId="148E3C21">
            <w:pPr>
              <w:pStyle w:val="24"/>
              <w:jc w:val="center"/>
              <w:rPr>
                <w:color w:val="auto"/>
                <w:sz w:val="21"/>
                <w:szCs w:val="21"/>
                <w:highlight w:val="none"/>
              </w:rPr>
            </w:pPr>
          </w:p>
        </w:tc>
        <w:tc>
          <w:tcPr>
            <w:tcW w:w="996" w:type="dxa"/>
            <w:vAlign w:val="center"/>
          </w:tcPr>
          <w:p w14:paraId="701F110D">
            <w:pPr>
              <w:pStyle w:val="24"/>
              <w:jc w:val="center"/>
              <w:rPr>
                <w:color w:val="auto"/>
                <w:sz w:val="21"/>
                <w:szCs w:val="21"/>
                <w:highlight w:val="none"/>
              </w:rPr>
            </w:pPr>
          </w:p>
        </w:tc>
      </w:tr>
      <w:tr w14:paraId="6E396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62" w:type="dxa"/>
            <w:vAlign w:val="center"/>
          </w:tcPr>
          <w:p w14:paraId="6D066156">
            <w:pPr>
              <w:pStyle w:val="24"/>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w:t>
            </w:r>
          </w:p>
        </w:tc>
        <w:tc>
          <w:tcPr>
            <w:tcW w:w="1225" w:type="dxa"/>
            <w:vAlign w:val="center"/>
          </w:tcPr>
          <w:p w14:paraId="24E9FF89">
            <w:pPr>
              <w:pStyle w:val="24"/>
              <w:jc w:val="center"/>
              <w:rPr>
                <w:color w:val="auto"/>
                <w:sz w:val="21"/>
                <w:szCs w:val="21"/>
                <w:highlight w:val="none"/>
              </w:rPr>
            </w:pPr>
          </w:p>
        </w:tc>
        <w:tc>
          <w:tcPr>
            <w:tcW w:w="851" w:type="dxa"/>
            <w:vAlign w:val="center"/>
          </w:tcPr>
          <w:p w14:paraId="1B5C0901">
            <w:pPr>
              <w:pStyle w:val="24"/>
              <w:jc w:val="center"/>
              <w:rPr>
                <w:color w:val="auto"/>
                <w:sz w:val="21"/>
                <w:szCs w:val="21"/>
                <w:highlight w:val="none"/>
              </w:rPr>
            </w:pPr>
          </w:p>
        </w:tc>
        <w:tc>
          <w:tcPr>
            <w:tcW w:w="708" w:type="dxa"/>
            <w:vAlign w:val="center"/>
          </w:tcPr>
          <w:p w14:paraId="1C74426E">
            <w:pPr>
              <w:pStyle w:val="24"/>
              <w:jc w:val="center"/>
              <w:rPr>
                <w:color w:val="auto"/>
                <w:sz w:val="21"/>
                <w:szCs w:val="21"/>
                <w:highlight w:val="none"/>
              </w:rPr>
            </w:pPr>
          </w:p>
        </w:tc>
        <w:tc>
          <w:tcPr>
            <w:tcW w:w="709" w:type="dxa"/>
            <w:vAlign w:val="center"/>
          </w:tcPr>
          <w:p w14:paraId="6E40287E">
            <w:pPr>
              <w:pStyle w:val="24"/>
              <w:jc w:val="center"/>
              <w:rPr>
                <w:color w:val="auto"/>
                <w:sz w:val="21"/>
                <w:szCs w:val="21"/>
                <w:highlight w:val="none"/>
              </w:rPr>
            </w:pPr>
          </w:p>
        </w:tc>
        <w:tc>
          <w:tcPr>
            <w:tcW w:w="851" w:type="dxa"/>
            <w:vAlign w:val="center"/>
          </w:tcPr>
          <w:p w14:paraId="74259099">
            <w:pPr>
              <w:pStyle w:val="24"/>
              <w:jc w:val="center"/>
              <w:rPr>
                <w:color w:val="auto"/>
                <w:sz w:val="21"/>
                <w:szCs w:val="21"/>
                <w:highlight w:val="none"/>
              </w:rPr>
            </w:pPr>
          </w:p>
        </w:tc>
        <w:tc>
          <w:tcPr>
            <w:tcW w:w="1133" w:type="dxa"/>
            <w:vAlign w:val="center"/>
          </w:tcPr>
          <w:p w14:paraId="68BBE419">
            <w:pPr>
              <w:pStyle w:val="24"/>
              <w:jc w:val="center"/>
              <w:rPr>
                <w:color w:val="auto"/>
                <w:sz w:val="21"/>
                <w:szCs w:val="21"/>
                <w:highlight w:val="none"/>
              </w:rPr>
            </w:pPr>
          </w:p>
        </w:tc>
        <w:tc>
          <w:tcPr>
            <w:tcW w:w="991" w:type="dxa"/>
            <w:vAlign w:val="center"/>
          </w:tcPr>
          <w:p w14:paraId="12A4B019">
            <w:pPr>
              <w:pStyle w:val="24"/>
              <w:jc w:val="center"/>
              <w:rPr>
                <w:color w:val="auto"/>
                <w:sz w:val="21"/>
                <w:szCs w:val="21"/>
                <w:highlight w:val="none"/>
              </w:rPr>
            </w:pPr>
          </w:p>
        </w:tc>
        <w:tc>
          <w:tcPr>
            <w:tcW w:w="1133" w:type="dxa"/>
            <w:vAlign w:val="center"/>
          </w:tcPr>
          <w:p w14:paraId="1BEF735B">
            <w:pPr>
              <w:pStyle w:val="24"/>
              <w:jc w:val="center"/>
              <w:rPr>
                <w:color w:val="auto"/>
                <w:sz w:val="21"/>
                <w:szCs w:val="21"/>
                <w:highlight w:val="none"/>
              </w:rPr>
            </w:pPr>
          </w:p>
        </w:tc>
        <w:tc>
          <w:tcPr>
            <w:tcW w:w="996" w:type="dxa"/>
            <w:vAlign w:val="center"/>
          </w:tcPr>
          <w:p w14:paraId="2285573B">
            <w:pPr>
              <w:pStyle w:val="24"/>
              <w:jc w:val="center"/>
              <w:rPr>
                <w:color w:val="auto"/>
                <w:sz w:val="21"/>
                <w:szCs w:val="21"/>
                <w:highlight w:val="none"/>
              </w:rPr>
            </w:pPr>
          </w:p>
        </w:tc>
      </w:tr>
      <w:tr w14:paraId="0B342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762" w:type="dxa"/>
            <w:vAlign w:val="center"/>
          </w:tcPr>
          <w:p w14:paraId="45AA2122">
            <w:pPr>
              <w:pStyle w:val="24"/>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1225" w:type="dxa"/>
            <w:vAlign w:val="center"/>
          </w:tcPr>
          <w:p w14:paraId="02FD170E">
            <w:pPr>
              <w:pStyle w:val="24"/>
              <w:jc w:val="center"/>
              <w:rPr>
                <w:color w:val="auto"/>
                <w:sz w:val="21"/>
                <w:szCs w:val="21"/>
                <w:highlight w:val="none"/>
              </w:rPr>
            </w:pPr>
          </w:p>
        </w:tc>
        <w:tc>
          <w:tcPr>
            <w:tcW w:w="851" w:type="dxa"/>
            <w:vAlign w:val="center"/>
          </w:tcPr>
          <w:p w14:paraId="353FBDD9">
            <w:pPr>
              <w:pStyle w:val="24"/>
              <w:jc w:val="center"/>
              <w:rPr>
                <w:color w:val="auto"/>
                <w:sz w:val="21"/>
                <w:szCs w:val="21"/>
                <w:highlight w:val="none"/>
              </w:rPr>
            </w:pPr>
          </w:p>
        </w:tc>
        <w:tc>
          <w:tcPr>
            <w:tcW w:w="708" w:type="dxa"/>
            <w:vAlign w:val="center"/>
          </w:tcPr>
          <w:p w14:paraId="29171DF6">
            <w:pPr>
              <w:pStyle w:val="24"/>
              <w:jc w:val="center"/>
              <w:rPr>
                <w:color w:val="auto"/>
                <w:sz w:val="21"/>
                <w:szCs w:val="21"/>
                <w:highlight w:val="none"/>
              </w:rPr>
            </w:pPr>
          </w:p>
        </w:tc>
        <w:tc>
          <w:tcPr>
            <w:tcW w:w="709" w:type="dxa"/>
            <w:vAlign w:val="center"/>
          </w:tcPr>
          <w:p w14:paraId="2D6A3E52">
            <w:pPr>
              <w:pStyle w:val="24"/>
              <w:jc w:val="center"/>
              <w:rPr>
                <w:color w:val="auto"/>
                <w:sz w:val="21"/>
                <w:szCs w:val="21"/>
                <w:highlight w:val="none"/>
              </w:rPr>
            </w:pPr>
          </w:p>
        </w:tc>
        <w:tc>
          <w:tcPr>
            <w:tcW w:w="851" w:type="dxa"/>
            <w:vAlign w:val="center"/>
          </w:tcPr>
          <w:p w14:paraId="2E51CD9C">
            <w:pPr>
              <w:pStyle w:val="24"/>
              <w:jc w:val="center"/>
              <w:rPr>
                <w:color w:val="auto"/>
                <w:sz w:val="21"/>
                <w:szCs w:val="21"/>
                <w:highlight w:val="none"/>
              </w:rPr>
            </w:pPr>
          </w:p>
        </w:tc>
        <w:tc>
          <w:tcPr>
            <w:tcW w:w="1133" w:type="dxa"/>
            <w:vAlign w:val="center"/>
          </w:tcPr>
          <w:p w14:paraId="4A309A83">
            <w:pPr>
              <w:pStyle w:val="24"/>
              <w:jc w:val="center"/>
              <w:rPr>
                <w:color w:val="auto"/>
                <w:sz w:val="21"/>
                <w:szCs w:val="21"/>
                <w:highlight w:val="none"/>
              </w:rPr>
            </w:pPr>
          </w:p>
        </w:tc>
        <w:tc>
          <w:tcPr>
            <w:tcW w:w="991" w:type="dxa"/>
            <w:vAlign w:val="center"/>
          </w:tcPr>
          <w:p w14:paraId="0DA16F9A">
            <w:pPr>
              <w:pStyle w:val="24"/>
              <w:jc w:val="center"/>
              <w:rPr>
                <w:color w:val="auto"/>
                <w:sz w:val="21"/>
                <w:szCs w:val="21"/>
                <w:highlight w:val="none"/>
              </w:rPr>
            </w:pPr>
          </w:p>
        </w:tc>
        <w:tc>
          <w:tcPr>
            <w:tcW w:w="1133" w:type="dxa"/>
            <w:vAlign w:val="center"/>
          </w:tcPr>
          <w:p w14:paraId="2B21274D">
            <w:pPr>
              <w:pStyle w:val="24"/>
              <w:jc w:val="center"/>
              <w:rPr>
                <w:color w:val="auto"/>
                <w:sz w:val="21"/>
                <w:szCs w:val="21"/>
                <w:highlight w:val="none"/>
              </w:rPr>
            </w:pPr>
          </w:p>
        </w:tc>
        <w:tc>
          <w:tcPr>
            <w:tcW w:w="996" w:type="dxa"/>
            <w:vAlign w:val="center"/>
          </w:tcPr>
          <w:p w14:paraId="2E065287">
            <w:pPr>
              <w:pStyle w:val="24"/>
              <w:jc w:val="center"/>
              <w:rPr>
                <w:color w:val="auto"/>
                <w:sz w:val="21"/>
                <w:szCs w:val="21"/>
                <w:highlight w:val="none"/>
              </w:rPr>
            </w:pPr>
          </w:p>
        </w:tc>
      </w:tr>
      <w:tr w14:paraId="5A24E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762" w:type="dxa"/>
            <w:vAlign w:val="center"/>
          </w:tcPr>
          <w:p w14:paraId="2D219AAD">
            <w:pPr>
              <w:pStyle w:val="24"/>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1225" w:type="dxa"/>
            <w:vAlign w:val="center"/>
          </w:tcPr>
          <w:p w14:paraId="67BF2C65">
            <w:pPr>
              <w:pStyle w:val="24"/>
              <w:jc w:val="center"/>
              <w:rPr>
                <w:color w:val="auto"/>
                <w:sz w:val="21"/>
                <w:szCs w:val="21"/>
                <w:highlight w:val="none"/>
              </w:rPr>
            </w:pPr>
          </w:p>
        </w:tc>
        <w:tc>
          <w:tcPr>
            <w:tcW w:w="851" w:type="dxa"/>
            <w:vAlign w:val="center"/>
          </w:tcPr>
          <w:p w14:paraId="45E6C81F">
            <w:pPr>
              <w:pStyle w:val="24"/>
              <w:jc w:val="center"/>
              <w:rPr>
                <w:color w:val="auto"/>
                <w:sz w:val="21"/>
                <w:szCs w:val="21"/>
                <w:highlight w:val="none"/>
              </w:rPr>
            </w:pPr>
          </w:p>
        </w:tc>
        <w:tc>
          <w:tcPr>
            <w:tcW w:w="708" w:type="dxa"/>
            <w:vAlign w:val="center"/>
          </w:tcPr>
          <w:p w14:paraId="35244FAD">
            <w:pPr>
              <w:pStyle w:val="24"/>
              <w:jc w:val="center"/>
              <w:rPr>
                <w:color w:val="auto"/>
                <w:sz w:val="21"/>
                <w:szCs w:val="21"/>
                <w:highlight w:val="none"/>
              </w:rPr>
            </w:pPr>
          </w:p>
        </w:tc>
        <w:tc>
          <w:tcPr>
            <w:tcW w:w="709" w:type="dxa"/>
            <w:vAlign w:val="center"/>
          </w:tcPr>
          <w:p w14:paraId="17614314">
            <w:pPr>
              <w:pStyle w:val="24"/>
              <w:jc w:val="center"/>
              <w:rPr>
                <w:color w:val="auto"/>
                <w:sz w:val="21"/>
                <w:szCs w:val="21"/>
                <w:highlight w:val="none"/>
              </w:rPr>
            </w:pPr>
          </w:p>
        </w:tc>
        <w:tc>
          <w:tcPr>
            <w:tcW w:w="851" w:type="dxa"/>
            <w:vAlign w:val="center"/>
          </w:tcPr>
          <w:p w14:paraId="3EEA4AEA">
            <w:pPr>
              <w:pStyle w:val="24"/>
              <w:jc w:val="center"/>
              <w:rPr>
                <w:color w:val="auto"/>
                <w:sz w:val="21"/>
                <w:szCs w:val="21"/>
                <w:highlight w:val="none"/>
              </w:rPr>
            </w:pPr>
          </w:p>
        </w:tc>
        <w:tc>
          <w:tcPr>
            <w:tcW w:w="1133" w:type="dxa"/>
            <w:vAlign w:val="center"/>
          </w:tcPr>
          <w:p w14:paraId="62989B33">
            <w:pPr>
              <w:pStyle w:val="24"/>
              <w:jc w:val="center"/>
              <w:rPr>
                <w:color w:val="auto"/>
                <w:sz w:val="21"/>
                <w:szCs w:val="21"/>
                <w:highlight w:val="none"/>
              </w:rPr>
            </w:pPr>
          </w:p>
        </w:tc>
        <w:tc>
          <w:tcPr>
            <w:tcW w:w="991" w:type="dxa"/>
            <w:vAlign w:val="center"/>
          </w:tcPr>
          <w:p w14:paraId="6DD93EA8">
            <w:pPr>
              <w:pStyle w:val="24"/>
              <w:jc w:val="center"/>
              <w:rPr>
                <w:color w:val="auto"/>
                <w:sz w:val="21"/>
                <w:szCs w:val="21"/>
                <w:highlight w:val="none"/>
              </w:rPr>
            </w:pPr>
          </w:p>
        </w:tc>
        <w:tc>
          <w:tcPr>
            <w:tcW w:w="1133" w:type="dxa"/>
            <w:vAlign w:val="center"/>
          </w:tcPr>
          <w:p w14:paraId="363AA867">
            <w:pPr>
              <w:pStyle w:val="24"/>
              <w:jc w:val="center"/>
              <w:rPr>
                <w:color w:val="auto"/>
                <w:sz w:val="21"/>
                <w:szCs w:val="21"/>
                <w:highlight w:val="none"/>
              </w:rPr>
            </w:pPr>
          </w:p>
        </w:tc>
        <w:tc>
          <w:tcPr>
            <w:tcW w:w="996" w:type="dxa"/>
            <w:vAlign w:val="center"/>
          </w:tcPr>
          <w:p w14:paraId="36129FF5">
            <w:pPr>
              <w:pStyle w:val="24"/>
              <w:jc w:val="center"/>
              <w:rPr>
                <w:color w:val="auto"/>
                <w:sz w:val="21"/>
                <w:szCs w:val="21"/>
                <w:highlight w:val="none"/>
              </w:rPr>
            </w:pPr>
          </w:p>
        </w:tc>
      </w:tr>
      <w:tr w14:paraId="4D067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62" w:type="dxa"/>
            <w:vAlign w:val="center"/>
          </w:tcPr>
          <w:p w14:paraId="3FCA7C10">
            <w:pPr>
              <w:pStyle w:val="24"/>
              <w:jc w:val="center"/>
              <w:rPr>
                <w:color w:val="auto"/>
                <w:sz w:val="21"/>
                <w:szCs w:val="21"/>
                <w:highlight w:val="none"/>
              </w:rPr>
            </w:pPr>
          </w:p>
        </w:tc>
        <w:tc>
          <w:tcPr>
            <w:tcW w:w="1225" w:type="dxa"/>
            <w:vAlign w:val="center"/>
          </w:tcPr>
          <w:p w14:paraId="7C78FEE2">
            <w:pPr>
              <w:pStyle w:val="24"/>
              <w:jc w:val="center"/>
              <w:rPr>
                <w:color w:val="auto"/>
                <w:sz w:val="21"/>
                <w:szCs w:val="21"/>
                <w:highlight w:val="none"/>
              </w:rPr>
            </w:pPr>
          </w:p>
        </w:tc>
        <w:tc>
          <w:tcPr>
            <w:tcW w:w="851" w:type="dxa"/>
            <w:vAlign w:val="center"/>
          </w:tcPr>
          <w:p w14:paraId="0DF219FB">
            <w:pPr>
              <w:pStyle w:val="24"/>
              <w:jc w:val="center"/>
              <w:rPr>
                <w:color w:val="auto"/>
                <w:sz w:val="21"/>
                <w:szCs w:val="21"/>
                <w:highlight w:val="none"/>
              </w:rPr>
            </w:pPr>
          </w:p>
        </w:tc>
        <w:tc>
          <w:tcPr>
            <w:tcW w:w="708" w:type="dxa"/>
            <w:vAlign w:val="center"/>
          </w:tcPr>
          <w:p w14:paraId="3E61DC39">
            <w:pPr>
              <w:pStyle w:val="24"/>
              <w:jc w:val="center"/>
              <w:rPr>
                <w:color w:val="auto"/>
                <w:sz w:val="21"/>
                <w:szCs w:val="21"/>
                <w:highlight w:val="none"/>
              </w:rPr>
            </w:pPr>
          </w:p>
        </w:tc>
        <w:tc>
          <w:tcPr>
            <w:tcW w:w="709" w:type="dxa"/>
            <w:vAlign w:val="center"/>
          </w:tcPr>
          <w:p w14:paraId="65D6A7AF">
            <w:pPr>
              <w:pStyle w:val="24"/>
              <w:jc w:val="center"/>
              <w:rPr>
                <w:color w:val="auto"/>
                <w:sz w:val="21"/>
                <w:szCs w:val="21"/>
                <w:highlight w:val="none"/>
              </w:rPr>
            </w:pPr>
          </w:p>
        </w:tc>
        <w:tc>
          <w:tcPr>
            <w:tcW w:w="851" w:type="dxa"/>
            <w:vAlign w:val="center"/>
          </w:tcPr>
          <w:p w14:paraId="4FD5FB07">
            <w:pPr>
              <w:pStyle w:val="24"/>
              <w:jc w:val="center"/>
              <w:rPr>
                <w:color w:val="auto"/>
                <w:sz w:val="21"/>
                <w:szCs w:val="21"/>
                <w:highlight w:val="none"/>
              </w:rPr>
            </w:pPr>
          </w:p>
        </w:tc>
        <w:tc>
          <w:tcPr>
            <w:tcW w:w="1133" w:type="dxa"/>
            <w:vAlign w:val="center"/>
          </w:tcPr>
          <w:p w14:paraId="3151337E">
            <w:pPr>
              <w:pStyle w:val="24"/>
              <w:jc w:val="center"/>
              <w:rPr>
                <w:color w:val="auto"/>
                <w:sz w:val="21"/>
                <w:szCs w:val="21"/>
                <w:highlight w:val="none"/>
              </w:rPr>
            </w:pPr>
          </w:p>
        </w:tc>
        <w:tc>
          <w:tcPr>
            <w:tcW w:w="991" w:type="dxa"/>
            <w:vAlign w:val="center"/>
          </w:tcPr>
          <w:p w14:paraId="00C1C8EF">
            <w:pPr>
              <w:pStyle w:val="24"/>
              <w:jc w:val="center"/>
              <w:rPr>
                <w:color w:val="auto"/>
                <w:sz w:val="21"/>
                <w:szCs w:val="21"/>
                <w:highlight w:val="none"/>
              </w:rPr>
            </w:pPr>
          </w:p>
        </w:tc>
        <w:tc>
          <w:tcPr>
            <w:tcW w:w="1133" w:type="dxa"/>
            <w:vAlign w:val="center"/>
          </w:tcPr>
          <w:p w14:paraId="3D20A8D8">
            <w:pPr>
              <w:pStyle w:val="24"/>
              <w:jc w:val="center"/>
              <w:rPr>
                <w:color w:val="auto"/>
                <w:sz w:val="21"/>
                <w:szCs w:val="21"/>
                <w:highlight w:val="none"/>
              </w:rPr>
            </w:pPr>
          </w:p>
        </w:tc>
        <w:tc>
          <w:tcPr>
            <w:tcW w:w="996" w:type="dxa"/>
            <w:vAlign w:val="center"/>
          </w:tcPr>
          <w:p w14:paraId="6FDF4EEE">
            <w:pPr>
              <w:pStyle w:val="24"/>
              <w:jc w:val="center"/>
              <w:rPr>
                <w:color w:val="auto"/>
                <w:sz w:val="21"/>
                <w:szCs w:val="21"/>
                <w:highlight w:val="none"/>
              </w:rPr>
            </w:pPr>
          </w:p>
        </w:tc>
      </w:tr>
    </w:tbl>
    <w:p w14:paraId="4EDD4301">
      <w:pPr>
        <w:keepNext w:val="0"/>
        <w:keepLines w:val="0"/>
        <w:pageBreakBefore w:val="0"/>
        <w:widowControl/>
        <w:kinsoku/>
        <w:wordWrap/>
        <w:overflowPunct/>
        <w:topLinePunct w:val="0"/>
        <w:autoSpaceDE/>
        <w:autoSpaceDN/>
        <w:bidi w:val="0"/>
        <w:adjustRightInd/>
        <w:snapToGrid/>
        <w:spacing w:line="240" w:lineRule="auto"/>
        <w:ind w:left="0" w:right="0" w:firstLine="436" w:firstLineChars="200"/>
        <w:jc w:val="both"/>
        <w:textAlignment w:val="auto"/>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备注：</w:t>
      </w:r>
    </w:p>
    <w:p w14:paraId="32A6D1AE">
      <w:pPr>
        <w:keepNext w:val="0"/>
        <w:keepLines w:val="0"/>
        <w:pageBreakBefore w:val="0"/>
        <w:widowControl/>
        <w:kinsoku/>
        <w:wordWrap/>
        <w:overflowPunct/>
        <w:topLinePunct w:val="0"/>
        <w:autoSpaceDE/>
        <w:autoSpaceDN/>
        <w:bidi w:val="0"/>
        <w:adjustRightInd/>
        <w:snapToGrid/>
        <w:spacing w:line="240" w:lineRule="auto"/>
        <w:ind w:left="0" w:right="0" w:firstLine="436" w:firstLineChars="200"/>
        <w:jc w:val="both"/>
        <w:textAlignment w:val="auto"/>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1、表中内容须按要求填写,不得留空,否则按无效响应处理。</w:t>
      </w:r>
    </w:p>
    <w:p w14:paraId="3326D9FB">
      <w:pPr>
        <w:keepNext w:val="0"/>
        <w:keepLines w:val="0"/>
        <w:pageBreakBefore w:val="0"/>
        <w:widowControl/>
        <w:kinsoku/>
        <w:wordWrap/>
        <w:overflowPunct/>
        <w:topLinePunct w:val="0"/>
        <w:autoSpaceDE/>
        <w:autoSpaceDN/>
        <w:bidi w:val="0"/>
        <w:adjustRightInd/>
        <w:snapToGrid/>
        <w:spacing w:line="240" w:lineRule="auto"/>
        <w:ind w:left="0" w:right="0" w:firstLine="436" w:firstLineChars="200"/>
        <w:jc w:val="both"/>
        <w:textAlignment w:val="auto"/>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2、承诺一旦我单位中标,施工期间我方自带(或自租)的设备,必须按或优于竞标时所列的机械设备,并列表供业主单位或监理单位检查复核。投标人需另行承诺(格式自拟) ,如投标人的投标文件没有提交此承诺的，视为无效投标文件,取消其投标资格。</w:t>
      </w:r>
    </w:p>
    <w:p w14:paraId="21C7E193">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5495319">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DDA39A4">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18A4E3CA">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701C3E7">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665FD90E">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A368543">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745F9EC">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61519ED3">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E2336AB">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6306B19">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93F1B20">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64948887">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AEE5A55">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39169571">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1DBA5494">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1B9F439C">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29B2D60">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BB76EEE">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1941AC8">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1E76D4E8">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167F946B">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4C7A6C6A">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2CE7A43F">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7895A10">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560365D7">
      <w:pPr>
        <w:spacing w:before="63" w:line="224" w:lineRule="auto"/>
        <w:ind w:left="2878"/>
        <w:outlineLvl w:val="0"/>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拟投入的项目经理简历表</w:t>
      </w:r>
    </w:p>
    <w:p w14:paraId="2CB4ED68">
      <w:pPr>
        <w:spacing w:before="7"/>
        <w:rPr>
          <w:color w:val="auto"/>
          <w:highlight w:val="none"/>
        </w:rPr>
      </w:pPr>
    </w:p>
    <w:tbl>
      <w:tblPr>
        <w:tblStyle w:val="23"/>
        <w:tblW w:w="86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2"/>
        <w:gridCol w:w="2004"/>
        <w:gridCol w:w="1268"/>
        <w:gridCol w:w="1450"/>
        <w:gridCol w:w="1160"/>
        <w:gridCol w:w="1573"/>
      </w:tblGrid>
      <w:tr w14:paraId="1FAE1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162" w:type="dxa"/>
            <w:vAlign w:val="center"/>
          </w:tcPr>
          <w:p w14:paraId="640AD98C">
            <w:pPr>
              <w:pStyle w:val="24"/>
              <w:spacing w:before="151" w:line="228" w:lineRule="auto"/>
              <w:jc w:val="center"/>
              <w:rPr>
                <w:color w:val="auto"/>
                <w:highlight w:val="none"/>
              </w:rPr>
            </w:pPr>
            <w:r>
              <w:rPr>
                <w:color w:val="auto"/>
                <w:highlight w:val="none"/>
              </w:rPr>
              <w:t>姓</w:t>
            </w:r>
            <w:r>
              <w:rPr>
                <w:color w:val="auto"/>
                <w:spacing w:val="16"/>
                <w:highlight w:val="none"/>
              </w:rPr>
              <w:t xml:space="preserve"> </w:t>
            </w:r>
            <w:r>
              <w:rPr>
                <w:color w:val="auto"/>
                <w:highlight w:val="none"/>
              </w:rPr>
              <w:t>名</w:t>
            </w:r>
          </w:p>
        </w:tc>
        <w:tc>
          <w:tcPr>
            <w:tcW w:w="2004" w:type="dxa"/>
            <w:vAlign w:val="center"/>
          </w:tcPr>
          <w:p w14:paraId="18288755">
            <w:pPr>
              <w:jc w:val="center"/>
              <w:rPr>
                <w:rFonts w:ascii="Arial"/>
                <w:color w:val="auto"/>
                <w:sz w:val="21"/>
                <w:highlight w:val="none"/>
              </w:rPr>
            </w:pPr>
          </w:p>
        </w:tc>
        <w:tc>
          <w:tcPr>
            <w:tcW w:w="1268" w:type="dxa"/>
            <w:vAlign w:val="center"/>
          </w:tcPr>
          <w:p w14:paraId="377C3356">
            <w:pPr>
              <w:pStyle w:val="24"/>
              <w:spacing w:before="151" w:line="229" w:lineRule="auto"/>
              <w:jc w:val="center"/>
              <w:rPr>
                <w:color w:val="auto"/>
                <w:highlight w:val="none"/>
              </w:rPr>
            </w:pPr>
            <w:r>
              <w:rPr>
                <w:color w:val="auto"/>
                <w:spacing w:val="-1"/>
                <w:highlight w:val="none"/>
              </w:rPr>
              <w:t>性</w:t>
            </w:r>
            <w:r>
              <w:rPr>
                <w:color w:val="auto"/>
                <w:spacing w:val="16"/>
                <w:highlight w:val="none"/>
              </w:rPr>
              <w:t xml:space="preserve"> </w:t>
            </w:r>
            <w:r>
              <w:rPr>
                <w:color w:val="auto"/>
                <w:spacing w:val="-1"/>
                <w:highlight w:val="none"/>
              </w:rPr>
              <w:t>别</w:t>
            </w:r>
          </w:p>
        </w:tc>
        <w:tc>
          <w:tcPr>
            <w:tcW w:w="1450" w:type="dxa"/>
            <w:vAlign w:val="center"/>
          </w:tcPr>
          <w:p w14:paraId="7D67ECA2">
            <w:pPr>
              <w:jc w:val="center"/>
              <w:rPr>
                <w:rFonts w:ascii="Arial"/>
                <w:color w:val="auto"/>
                <w:sz w:val="21"/>
                <w:highlight w:val="none"/>
              </w:rPr>
            </w:pPr>
          </w:p>
        </w:tc>
        <w:tc>
          <w:tcPr>
            <w:tcW w:w="1160" w:type="dxa"/>
            <w:vAlign w:val="center"/>
          </w:tcPr>
          <w:p w14:paraId="09676DFF">
            <w:pPr>
              <w:pStyle w:val="24"/>
              <w:spacing w:before="36" w:line="220" w:lineRule="auto"/>
              <w:ind w:right="225"/>
              <w:jc w:val="center"/>
              <w:rPr>
                <w:color w:val="auto"/>
                <w:highlight w:val="none"/>
              </w:rPr>
            </w:pPr>
            <w:r>
              <w:rPr>
                <w:color w:val="auto"/>
                <w:highlight w:val="none"/>
              </w:rPr>
              <w:t xml:space="preserve">年 </w:t>
            </w:r>
            <w:r>
              <w:rPr>
                <w:color w:val="auto"/>
                <w:spacing w:val="2"/>
                <w:highlight w:val="none"/>
              </w:rPr>
              <w:t>龄</w:t>
            </w:r>
          </w:p>
        </w:tc>
        <w:tc>
          <w:tcPr>
            <w:tcW w:w="1573" w:type="dxa"/>
            <w:vAlign w:val="center"/>
          </w:tcPr>
          <w:p w14:paraId="4022DE17">
            <w:pPr>
              <w:jc w:val="center"/>
              <w:rPr>
                <w:rFonts w:ascii="Arial"/>
                <w:color w:val="auto"/>
                <w:sz w:val="21"/>
                <w:highlight w:val="none"/>
              </w:rPr>
            </w:pPr>
          </w:p>
        </w:tc>
      </w:tr>
      <w:tr w14:paraId="201CA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62" w:type="dxa"/>
            <w:vAlign w:val="center"/>
          </w:tcPr>
          <w:p w14:paraId="60E58310">
            <w:pPr>
              <w:pStyle w:val="24"/>
              <w:spacing w:before="147" w:line="228" w:lineRule="auto"/>
              <w:jc w:val="center"/>
              <w:rPr>
                <w:color w:val="auto"/>
                <w:highlight w:val="none"/>
              </w:rPr>
            </w:pPr>
            <w:r>
              <w:rPr>
                <w:color w:val="auto"/>
                <w:highlight w:val="none"/>
              </w:rPr>
              <w:t>职</w:t>
            </w:r>
            <w:r>
              <w:rPr>
                <w:color w:val="auto"/>
                <w:spacing w:val="15"/>
                <w:highlight w:val="none"/>
              </w:rPr>
              <w:t xml:space="preserve"> </w:t>
            </w:r>
            <w:r>
              <w:rPr>
                <w:color w:val="auto"/>
                <w:highlight w:val="none"/>
              </w:rPr>
              <w:t>务</w:t>
            </w:r>
          </w:p>
        </w:tc>
        <w:tc>
          <w:tcPr>
            <w:tcW w:w="2004" w:type="dxa"/>
            <w:vAlign w:val="center"/>
          </w:tcPr>
          <w:p w14:paraId="629F6673">
            <w:pPr>
              <w:jc w:val="center"/>
              <w:rPr>
                <w:rFonts w:ascii="Arial"/>
                <w:color w:val="auto"/>
                <w:sz w:val="21"/>
                <w:highlight w:val="none"/>
              </w:rPr>
            </w:pPr>
          </w:p>
        </w:tc>
        <w:tc>
          <w:tcPr>
            <w:tcW w:w="1268" w:type="dxa"/>
            <w:vAlign w:val="center"/>
          </w:tcPr>
          <w:p w14:paraId="08363F75">
            <w:pPr>
              <w:pStyle w:val="24"/>
              <w:spacing w:before="147" w:line="230" w:lineRule="auto"/>
              <w:jc w:val="center"/>
              <w:rPr>
                <w:color w:val="auto"/>
                <w:highlight w:val="none"/>
              </w:rPr>
            </w:pPr>
            <w:r>
              <w:rPr>
                <w:color w:val="auto"/>
                <w:spacing w:val="1"/>
                <w:highlight w:val="none"/>
              </w:rPr>
              <w:t>职</w:t>
            </w:r>
            <w:r>
              <w:rPr>
                <w:color w:val="auto"/>
                <w:spacing w:val="12"/>
                <w:highlight w:val="none"/>
              </w:rPr>
              <w:t xml:space="preserve"> </w:t>
            </w:r>
            <w:r>
              <w:rPr>
                <w:color w:val="auto"/>
                <w:spacing w:val="1"/>
                <w:highlight w:val="none"/>
              </w:rPr>
              <w:t>称</w:t>
            </w:r>
          </w:p>
        </w:tc>
        <w:tc>
          <w:tcPr>
            <w:tcW w:w="1450" w:type="dxa"/>
            <w:vAlign w:val="center"/>
          </w:tcPr>
          <w:p w14:paraId="2CB4D145">
            <w:pPr>
              <w:jc w:val="center"/>
              <w:rPr>
                <w:rFonts w:ascii="Arial"/>
                <w:color w:val="auto"/>
                <w:sz w:val="21"/>
                <w:highlight w:val="none"/>
              </w:rPr>
            </w:pPr>
          </w:p>
        </w:tc>
        <w:tc>
          <w:tcPr>
            <w:tcW w:w="1160" w:type="dxa"/>
            <w:vAlign w:val="center"/>
          </w:tcPr>
          <w:p w14:paraId="7F5CEE73">
            <w:pPr>
              <w:pStyle w:val="24"/>
              <w:spacing w:before="31" w:line="220" w:lineRule="auto"/>
              <w:ind w:right="225"/>
              <w:jc w:val="center"/>
              <w:rPr>
                <w:color w:val="auto"/>
                <w:highlight w:val="none"/>
              </w:rPr>
            </w:pPr>
            <w:r>
              <w:rPr>
                <w:color w:val="auto"/>
                <w:spacing w:val="-3"/>
                <w:highlight w:val="none"/>
              </w:rPr>
              <w:t>学</w:t>
            </w:r>
            <w:r>
              <w:rPr>
                <w:color w:val="auto"/>
                <w:highlight w:val="none"/>
              </w:rPr>
              <w:t xml:space="preserve"> 历</w:t>
            </w:r>
          </w:p>
        </w:tc>
        <w:tc>
          <w:tcPr>
            <w:tcW w:w="1573" w:type="dxa"/>
            <w:vAlign w:val="center"/>
          </w:tcPr>
          <w:p w14:paraId="6F633E97">
            <w:pPr>
              <w:jc w:val="center"/>
              <w:rPr>
                <w:rFonts w:ascii="Arial"/>
                <w:color w:val="auto"/>
                <w:sz w:val="21"/>
                <w:highlight w:val="none"/>
              </w:rPr>
            </w:pPr>
          </w:p>
        </w:tc>
      </w:tr>
      <w:tr w14:paraId="5E499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1162" w:type="dxa"/>
            <w:vAlign w:val="center"/>
          </w:tcPr>
          <w:p w14:paraId="50ED0A1A">
            <w:pPr>
              <w:pStyle w:val="24"/>
              <w:spacing w:before="162"/>
              <w:ind w:right="180"/>
              <w:jc w:val="center"/>
              <w:rPr>
                <w:color w:val="auto"/>
                <w:highlight w:val="none"/>
              </w:rPr>
            </w:pPr>
            <w:r>
              <w:rPr>
                <w:color w:val="auto"/>
                <w:spacing w:val="4"/>
                <w:highlight w:val="none"/>
              </w:rPr>
              <w:t>参加</w:t>
            </w:r>
            <w:r>
              <w:rPr>
                <w:color w:val="auto"/>
                <w:spacing w:val="7"/>
                <w:highlight w:val="none"/>
              </w:rPr>
              <w:t>工作时间</w:t>
            </w:r>
          </w:p>
        </w:tc>
        <w:tc>
          <w:tcPr>
            <w:tcW w:w="2004" w:type="dxa"/>
            <w:vAlign w:val="center"/>
          </w:tcPr>
          <w:p w14:paraId="6CADEA3D">
            <w:pPr>
              <w:jc w:val="center"/>
              <w:rPr>
                <w:rFonts w:ascii="Arial"/>
                <w:color w:val="auto"/>
                <w:sz w:val="21"/>
                <w:highlight w:val="none"/>
              </w:rPr>
            </w:pPr>
          </w:p>
        </w:tc>
        <w:tc>
          <w:tcPr>
            <w:tcW w:w="1268" w:type="dxa"/>
            <w:vAlign w:val="center"/>
          </w:tcPr>
          <w:p w14:paraId="518F079D">
            <w:pPr>
              <w:pStyle w:val="24"/>
              <w:tabs>
                <w:tab w:val="left" w:pos="382"/>
              </w:tabs>
              <w:spacing w:before="32"/>
              <w:ind w:right="177"/>
              <w:jc w:val="center"/>
              <w:rPr>
                <w:color w:val="auto"/>
                <w:highlight w:val="none"/>
              </w:rPr>
            </w:pPr>
            <w:r>
              <w:rPr>
                <w:color w:val="auto"/>
                <w:spacing w:val="4"/>
                <w:highlight w:val="none"/>
              </w:rPr>
              <w:t>从事</w:t>
            </w:r>
            <w:r>
              <w:rPr>
                <w:color w:val="auto"/>
                <w:spacing w:val="7"/>
                <w:highlight w:val="none"/>
              </w:rPr>
              <w:t>项目经理</w:t>
            </w:r>
            <w:r>
              <w:rPr>
                <w:color w:val="auto"/>
                <w:spacing w:val="5"/>
                <w:highlight w:val="none"/>
              </w:rPr>
              <w:t>年限</w:t>
            </w:r>
          </w:p>
        </w:tc>
        <w:tc>
          <w:tcPr>
            <w:tcW w:w="1450" w:type="dxa"/>
            <w:vAlign w:val="center"/>
          </w:tcPr>
          <w:p w14:paraId="63527B6B">
            <w:pPr>
              <w:jc w:val="center"/>
              <w:rPr>
                <w:rFonts w:ascii="Arial"/>
                <w:color w:val="auto"/>
                <w:sz w:val="21"/>
                <w:highlight w:val="none"/>
              </w:rPr>
            </w:pPr>
          </w:p>
        </w:tc>
        <w:tc>
          <w:tcPr>
            <w:tcW w:w="1160" w:type="dxa"/>
            <w:vAlign w:val="center"/>
          </w:tcPr>
          <w:p w14:paraId="27C373BC">
            <w:pPr>
              <w:pStyle w:val="24"/>
              <w:spacing w:before="161"/>
              <w:ind w:right="126"/>
              <w:jc w:val="center"/>
              <w:rPr>
                <w:color w:val="auto"/>
                <w:highlight w:val="none"/>
              </w:rPr>
            </w:pPr>
            <w:r>
              <w:rPr>
                <w:color w:val="auto"/>
                <w:highlight w:val="none"/>
              </w:rPr>
              <w:t>资质</w:t>
            </w:r>
            <w:r>
              <w:rPr>
                <w:color w:val="auto"/>
                <w:spacing w:val="4"/>
                <w:highlight w:val="none"/>
              </w:rPr>
              <w:t>等级</w:t>
            </w:r>
          </w:p>
        </w:tc>
        <w:tc>
          <w:tcPr>
            <w:tcW w:w="1573" w:type="dxa"/>
            <w:vAlign w:val="center"/>
          </w:tcPr>
          <w:p w14:paraId="22E1CA90">
            <w:pPr>
              <w:jc w:val="center"/>
              <w:rPr>
                <w:rFonts w:ascii="Arial"/>
                <w:color w:val="auto"/>
                <w:sz w:val="21"/>
                <w:highlight w:val="none"/>
              </w:rPr>
            </w:pPr>
          </w:p>
        </w:tc>
      </w:tr>
      <w:tr w14:paraId="19B75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4434" w:type="dxa"/>
            <w:gridSpan w:val="3"/>
            <w:vAlign w:val="center"/>
          </w:tcPr>
          <w:p w14:paraId="2342FE11">
            <w:pPr>
              <w:pStyle w:val="24"/>
              <w:spacing w:before="149" w:line="227" w:lineRule="auto"/>
              <w:ind w:left="1066"/>
              <w:jc w:val="center"/>
              <w:rPr>
                <w:color w:val="auto"/>
                <w:highlight w:val="none"/>
              </w:rPr>
            </w:pPr>
            <w:r>
              <w:rPr>
                <w:color w:val="auto"/>
                <w:spacing w:val="9"/>
                <w:highlight w:val="none"/>
              </w:rPr>
              <w:t>拟在工程中担任的工作和职务</w:t>
            </w:r>
          </w:p>
        </w:tc>
        <w:tc>
          <w:tcPr>
            <w:tcW w:w="4183" w:type="dxa"/>
            <w:gridSpan w:val="3"/>
            <w:vAlign w:val="center"/>
          </w:tcPr>
          <w:p w14:paraId="74C67BAA">
            <w:pPr>
              <w:jc w:val="center"/>
              <w:rPr>
                <w:rFonts w:ascii="Arial"/>
                <w:color w:val="auto"/>
                <w:sz w:val="21"/>
                <w:highlight w:val="none"/>
              </w:rPr>
            </w:pPr>
          </w:p>
        </w:tc>
      </w:tr>
      <w:tr w14:paraId="3E96B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8617" w:type="dxa"/>
            <w:gridSpan w:val="6"/>
            <w:vAlign w:val="center"/>
          </w:tcPr>
          <w:p w14:paraId="71994E38">
            <w:pPr>
              <w:pStyle w:val="24"/>
              <w:spacing w:before="149" w:line="228" w:lineRule="auto"/>
              <w:ind w:left="3384"/>
              <w:jc w:val="center"/>
              <w:rPr>
                <w:color w:val="auto"/>
                <w:highlight w:val="none"/>
              </w:rPr>
            </w:pPr>
            <w:r>
              <w:rPr>
                <w:color w:val="auto"/>
                <w:spacing w:val="-8"/>
                <w:highlight w:val="none"/>
              </w:rPr>
              <w:t>已</w:t>
            </w:r>
            <w:r>
              <w:rPr>
                <w:color w:val="auto"/>
                <w:spacing w:val="20"/>
                <w:highlight w:val="none"/>
              </w:rPr>
              <w:t xml:space="preserve"> </w:t>
            </w:r>
            <w:r>
              <w:rPr>
                <w:color w:val="auto"/>
                <w:spacing w:val="-8"/>
                <w:highlight w:val="none"/>
              </w:rPr>
              <w:t>完</w:t>
            </w:r>
            <w:r>
              <w:rPr>
                <w:color w:val="auto"/>
                <w:spacing w:val="16"/>
                <w:highlight w:val="none"/>
              </w:rPr>
              <w:t xml:space="preserve"> </w:t>
            </w:r>
            <w:r>
              <w:rPr>
                <w:color w:val="auto"/>
                <w:spacing w:val="-8"/>
                <w:highlight w:val="none"/>
              </w:rPr>
              <w:t>工</w:t>
            </w:r>
            <w:r>
              <w:rPr>
                <w:color w:val="auto"/>
                <w:spacing w:val="13"/>
                <w:highlight w:val="none"/>
              </w:rPr>
              <w:t xml:space="preserve"> </w:t>
            </w:r>
            <w:r>
              <w:rPr>
                <w:color w:val="auto"/>
                <w:spacing w:val="-8"/>
                <w:highlight w:val="none"/>
              </w:rPr>
              <w:t>程</w:t>
            </w:r>
            <w:r>
              <w:rPr>
                <w:color w:val="auto"/>
                <w:spacing w:val="17"/>
                <w:highlight w:val="none"/>
              </w:rPr>
              <w:t xml:space="preserve"> </w:t>
            </w:r>
            <w:r>
              <w:rPr>
                <w:color w:val="auto"/>
                <w:spacing w:val="-8"/>
                <w:highlight w:val="none"/>
              </w:rPr>
              <w:t>项</w:t>
            </w:r>
            <w:r>
              <w:rPr>
                <w:color w:val="auto"/>
                <w:spacing w:val="51"/>
                <w:w w:val="101"/>
                <w:highlight w:val="none"/>
              </w:rPr>
              <w:t xml:space="preserve"> </w:t>
            </w:r>
            <w:r>
              <w:rPr>
                <w:color w:val="auto"/>
                <w:spacing w:val="-8"/>
                <w:highlight w:val="none"/>
              </w:rPr>
              <w:t>目</w:t>
            </w:r>
            <w:r>
              <w:rPr>
                <w:color w:val="auto"/>
                <w:spacing w:val="14"/>
                <w:highlight w:val="none"/>
              </w:rPr>
              <w:t xml:space="preserve"> </w:t>
            </w:r>
            <w:r>
              <w:rPr>
                <w:color w:val="auto"/>
                <w:spacing w:val="-8"/>
                <w:highlight w:val="none"/>
              </w:rPr>
              <w:t>情</w:t>
            </w:r>
            <w:r>
              <w:rPr>
                <w:color w:val="auto"/>
                <w:spacing w:val="15"/>
                <w:highlight w:val="none"/>
              </w:rPr>
              <w:t xml:space="preserve"> </w:t>
            </w:r>
            <w:r>
              <w:rPr>
                <w:color w:val="auto"/>
                <w:spacing w:val="-8"/>
                <w:highlight w:val="none"/>
              </w:rPr>
              <w:t>况</w:t>
            </w:r>
          </w:p>
        </w:tc>
      </w:tr>
      <w:tr w14:paraId="4855D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62" w:type="dxa"/>
            <w:vAlign w:val="center"/>
          </w:tcPr>
          <w:p w14:paraId="462B2E38">
            <w:pPr>
              <w:pStyle w:val="24"/>
              <w:spacing w:before="32" w:line="220" w:lineRule="auto"/>
              <w:ind w:right="180"/>
              <w:jc w:val="center"/>
              <w:rPr>
                <w:color w:val="auto"/>
                <w:highlight w:val="none"/>
              </w:rPr>
            </w:pPr>
            <w:r>
              <w:rPr>
                <w:color w:val="auto"/>
                <w:spacing w:val="4"/>
                <w:highlight w:val="none"/>
              </w:rPr>
              <w:t>建设单位</w:t>
            </w:r>
          </w:p>
        </w:tc>
        <w:tc>
          <w:tcPr>
            <w:tcW w:w="2004" w:type="dxa"/>
            <w:vAlign w:val="center"/>
          </w:tcPr>
          <w:p w14:paraId="15841869">
            <w:pPr>
              <w:pStyle w:val="24"/>
              <w:spacing w:before="148" w:line="229" w:lineRule="auto"/>
              <w:jc w:val="center"/>
              <w:rPr>
                <w:color w:val="auto"/>
                <w:highlight w:val="none"/>
              </w:rPr>
            </w:pPr>
            <w:r>
              <w:rPr>
                <w:color w:val="auto"/>
                <w:spacing w:val="7"/>
                <w:highlight w:val="none"/>
              </w:rPr>
              <w:t>项目名称</w:t>
            </w:r>
          </w:p>
        </w:tc>
        <w:tc>
          <w:tcPr>
            <w:tcW w:w="1268" w:type="dxa"/>
            <w:vAlign w:val="center"/>
          </w:tcPr>
          <w:p w14:paraId="3D67E73E">
            <w:pPr>
              <w:pStyle w:val="24"/>
              <w:spacing w:before="32" w:line="220" w:lineRule="auto"/>
              <w:ind w:right="177"/>
              <w:jc w:val="center"/>
              <w:rPr>
                <w:color w:val="auto"/>
                <w:highlight w:val="none"/>
              </w:rPr>
            </w:pPr>
            <w:r>
              <w:rPr>
                <w:color w:val="auto"/>
                <w:spacing w:val="4"/>
                <w:highlight w:val="none"/>
              </w:rPr>
              <w:t>建筑规模</w:t>
            </w:r>
          </w:p>
        </w:tc>
        <w:tc>
          <w:tcPr>
            <w:tcW w:w="2610" w:type="dxa"/>
            <w:gridSpan w:val="2"/>
            <w:vAlign w:val="center"/>
          </w:tcPr>
          <w:p w14:paraId="244640CE">
            <w:pPr>
              <w:pStyle w:val="24"/>
              <w:spacing w:before="148" w:line="228" w:lineRule="auto"/>
              <w:jc w:val="center"/>
              <w:rPr>
                <w:color w:val="auto"/>
                <w:highlight w:val="none"/>
              </w:rPr>
            </w:pPr>
            <w:r>
              <w:rPr>
                <w:color w:val="auto"/>
                <w:spacing w:val="7"/>
                <w:highlight w:val="none"/>
              </w:rPr>
              <w:t>开竣工日期</w:t>
            </w:r>
          </w:p>
        </w:tc>
        <w:tc>
          <w:tcPr>
            <w:tcW w:w="1573" w:type="dxa"/>
            <w:vAlign w:val="center"/>
          </w:tcPr>
          <w:p w14:paraId="66167994">
            <w:pPr>
              <w:pStyle w:val="24"/>
              <w:spacing w:before="148" w:line="228" w:lineRule="auto"/>
              <w:jc w:val="center"/>
              <w:rPr>
                <w:color w:val="auto"/>
                <w:highlight w:val="none"/>
              </w:rPr>
            </w:pPr>
            <w:r>
              <w:rPr>
                <w:color w:val="auto"/>
                <w:spacing w:val="7"/>
                <w:highlight w:val="none"/>
              </w:rPr>
              <w:t>质量等级</w:t>
            </w:r>
          </w:p>
        </w:tc>
      </w:tr>
      <w:tr w14:paraId="78B60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62" w:type="dxa"/>
            <w:vAlign w:val="center"/>
          </w:tcPr>
          <w:p w14:paraId="0C4AF4B9">
            <w:pPr>
              <w:jc w:val="center"/>
              <w:rPr>
                <w:rFonts w:ascii="Arial"/>
                <w:color w:val="auto"/>
                <w:sz w:val="21"/>
                <w:highlight w:val="none"/>
              </w:rPr>
            </w:pPr>
          </w:p>
        </w:tc>
        <w:tc>
          <w:tcPr>
            <w:tcW w:w="2004" w:type="dxa"/>
            <w:vAlign w:val="center"/>
          </w:tcPr>
          <w:p w14:paraId="356A82D0">
            <w:pPr>
              <w:jc w:val="center"/>
              <w:rPr>
                <w:rFonts w:ascii="Arial"/>
                <w:color w:val="auto"/>
                <w:sz w:val="21"/>
                <w:highlight w:val="none"/>
              </w:rPr>
            </w:pPr>
          </w:p>
        </w:tc>
        <w:tc>
          <w:tcPr>
            <w:tcW w:w="1268" w:type="dxa"/>
            <w:vAlign w:val="center"/>
          </w:tcPr>
          <w:p w14:paraId="54CB1BE8">
            <w:pPr>
              <w:jc w:val="center"/>
              <w:rPr>
                <w:rFonts w:ascii="Arial"/>
                <w:color w:val="auto"/>
                <w:sz w:val="21"/>
                <w:highlight w:val="none"/>
              </w:rPr>
            </w:pPr>
          </w:p>
        </w:tc>
        <w:tc>
          <w:tcPr>
            <w:tcW w:w="2610" w:type="dxa"/>
            <w:gridSpan w:val="2"/>
            <w:vAlign w:val="center"/>
          </w:tcPr>
          <w:p w14:paraId="3A7FF7C1">
            <w:pPr>
              <w:jc w:val="center"/>
              <w:rPr>
                <w:rFonts w:ascii="Arial"/>
                <w:color w:val="auto"/>
                <w:sz w:val="21"/>
                <w:highlight w:val="none"/>
              </w:rPr>
            </w:pPr>
          </w:p>
        </w:tc>
        <w:tc>
          <w:tcPr>
            <w:tcW w:w="1573" w:type="dxa"/>
            <w:vAlign w:val="center"/>
          </w:tcPr>
          <w:p w14:paraId="21DA4E8B">
            <w:pPr>
              <w:jc w:val="center"/>
              <w:rPr>
                <w:rFonts w:ascii="Arial"/>
                <w:color w:val="auto"/>
                <w:sz w:val="21"/>
                <w:highlight w:val="none"/>
              </w:rPr>
            </w:pPr>
          </w:p>
        </w:tc>
      </w:tr>
      <w:tr w14:paraId="21FCC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62" w:type="dxa"/>
            <w:vAlign w:val="center"/>
          </w:tcPr>
          <w:p w14:paraId="6B53B3D5">
            <w:pPr>
              <w:jc w:val="center"/>
              <w:rPr>
                <w:rFonts w:ascii="Arial"/>
                <w:color w:val="auto"/>
                <w:sz w:val="21"/>
                <w:highlight w:val="none"/>
              </w:rPr>
            </w:pPr>
          </w:p>
        </w:tc>
        <w:tc>
          <w:tcPr>
            <w:tcW w:w="2004" w:type="dxa"/>
            <w:vAlign w:val="center"/>
          </w:tcPr>
          <w:p w14:paraId="27CECFCF">
            <w:pPr>
              <w:jc w:val="center"/>
              <w:rPr>
                <w:rFonts w:ascii="Arial"/>
                <w:color w:val="auto"/>
                <w:sz w:val="21"/>
                <w:highlight w:val="none"/>
              </w:rPr>
            </w:pPr>
          </w:p>
        </w:tc>
        <w:tc>
          <w:tcPr>
            <w:tcW w:w="1268" w:type="dxa"/>
            <w:vAlign w:val="center"/>
          </w:tcPr>
          <w:p w14:paraId="667D65ED">
            <w:pPr>
              <w:jc w:val="center"/>
              <w:rPr>
                <w:rFonts w:ascii="Arial"/>
                <w:color w:val="auto"/>
                <w:sz w:val="21"/>
                <w:highlight w:val="none"/>
              </w:rPr>
            </w:pPr>
          </w:p>
        </w:tc>
        <w:tc>
          <w:tcPr>
            <w:tcW w:w="2610" w:type="dxa"/>
            <w:gridSpan w:val="2"/>
            <w:vAlign w:val="center"/>
          </w:tcPr>
          <w:p w14:paraId="24AFF06C">
            <w:pPr>
              <w:jc w:val="center"/>
              <w:rPr>
                <w:rFonts w:ascii="Arial"/>
                <w:color w:val="auto"/>
                <w:sz w:val="21"/>
                <w:highlight w:val="none"/>
              </w:rPr>
            </w:pPr>
          </w:p>
        </w:tc>
        <w:tc>
          <w:tcPr>
            <w:tcW w:w="1573" w:type="dxa"/>
            <w:vAlign w:val="center"/>
          </w:tcPr>
          <w:p w14:paraId="71F6294D">
            <w:pPr>
              <w:jc w:val="center"/>
              <w:rPr>
                <w:rFonts w:ascii="Arial"/>
                <w:color w:val="auto"/>
                <w:sz w:val="21"/>
                <w:highlight w:val="none"/>
              </w:rPr>
            </w:pPr>
          </w:p>
        </w:tc>
      </w:tr>
      <w:tr w14:paraId="446C6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62" w:type="dxa"/>
            <w:vAlign w:val="center"/>
          </w:tcPr>
          <w:p w14:paraId="3C0B231D">
            <w:pPr>
              <w:jc w:val="center"/>
              <w:rPr>
                <w:rFonts w:ascii="Arial"/>
                <w:color w:val="auto"/>
                <w:sz w:val="21"/>
                <w:highlight w:val="none"/>
              </w:rPr>
            </w:pPr>
          </w:p>
        </w:tc>
        <w:tc>
          <w:tcPr>
            <w:tcW w:w="2004" w:type="dxa"/>
            <w:vAlign w:val="center"/>
          </w:tcPr>
          <w:p w14:paraId="2B76F1C5">
            <w:pPr>
              <w:jc w:val="center"/>
              <w:rPr>
                <w:rFonts w:ascii="Arial"/>
                <w:color w:val="auto"/>
                <w:sz w:val="21"/>
                <w:highlight w:val="none"/>
              </w:rPr>
            </w:pPr>
          </w:p>
        </w:tc>
        <w:tc>
          <w:tcPr>
            <w:tcW w:w="1268" w:type="dxa"/>
            <w:vAlign w:val="center"/>
          </w:tcPr>
          <w:p w14:paraId="3F95DD2C">
            <w:pPr>
              <w:jc w:val="center"/>
              <w:rPr>
                <w:rFonts w:ascii="Arial"/>
                <w:color w:val="auto"/>
                <w:sz w:val="21"/>
                <w:highlight w:val="none"/>
              </w:rPr>
            </w:pPr>
          </w:p>
        </w:tc>
        <w:tc>
          <w:tcPr>
            <w:tcW w:w="2610" w:type="dxa"/>
            <w:gridSpan w:val="2"/>
            <w:vAlign w:val="center"/>
          </w:tcPr>
          <w:p w14:paraId="1837666B">
            <w:pPr>
              <w:jc w:val="center"/>
              <w:rPr>
                <w:rFonts w:ascii="Arial"/>
                <w:color w:val="auto"/>
                <w:sz w:val="21"/>
                <w:highlight w:val="none"/>
              </w:rPr>
            </w:pPr>
          </w:p>
        </w:tc>
        <w:tc>
          <w:tcPr>
            <w:tcW w:w="1573" w:type="dxa"/>
            <w:vAlign w:val="center"/>
          </w:tcPr>
          <w:p w14:paraId="7F37B064">
            <w:pPr>
              <w:jc w:val="center"/>
              <w:rPr>
                <w:rFonts w:ascii="Arial"/>
                <w:color w:val="auto"/>
                <w:sz w:val="21"/>
                <w:highlight w:val="none"/>
              </w:rPr>
            </w:pPr>
          </w:p>
        </w:tc>
      </w:tr>
      <w:tr w14:paraId="4AC85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162" w:type="dxa"/>
            <w:vAlign w:val="center"/>
          </w:tcPr>
          <w:p w14:paraId="3E7D8F16">
            <w:pPr>
              <w:jc w:val="center"/>
              <w:rPr>
                <w:rFonts w:ascii="Arial"/>
                <w:color w:val="auto"/>
                <w:sz w:val="21"/>
                <w:highlight w:val="none"/>
              </w:rPr>
            </w:pPr>
          </w:p>
        </w:tc>
        <w:tc>
          <w:tcPr>
            <w:tcW w:w="2004" w:type="dxa"/>
            <w:vAlign w:val="center"/>
          </w:tcPr>
          <w:p w14:paraId="2F7A6C93">
            <w:pPr>
              <w:jc w:val="center"/>
              <w:rPr>
                <w:rFonts w:ascii="Arial"/>
                <w:color w:val="auto"/>
                <w:sz w:val="21"/>
                <w:highlight w:val="none"/>
              </w:rPr>
            </w:pPr>
          </w:p>
        </w:tc>
        <w:tc>
          <w:tcPr>
            <w:tcW w:w="1268" w:type="dxa"/>
            <w:vAlign w:val="center"/>
          </w:tcPr>
          <w:p w14:paraId="39E29016">
            <w:pPr>
              <w:jc w:val="center"/>
              <w:rPr>
                <w:rFonts w:ascii="Arial"/>
                <w:color w:val="auto"/>
                <w:sz w:val="21"/>
                <w:highlight w:val="none"/>
              </w:rPr>
            </w:pPr>
          </w:p>
        </w:tc>
        <w:tc>
          <w:tcPr>
            <w:tcW w:w="2610" w:type="dxa"/>
            <w:gridSpan w:val="2"/>
            <w:vAlign w:val="center"/>
          </w:tcPr>
          <w:p w14:paraId="6BAEB223">
            <w:pPr>
              <w:jc w:val="center"/>
              <w:rPr>
                <w:rFonts w:ascii="Arial"/>
                <w:color w:val="auto"/>
                <w:sz w:val="21"/>
                <w:highlight w:val="none"/>
              </w:rPr>
            </w:pPr>
          </w:p>
        </w:tc>
        <w:tc>
          <w:tcPr>
            <w:tcW w:w="1573" w:type="dxa"/>
            <w:vAlign w:val="center"/>
          </w:tcPr>
          <w:p w14:paraId="709EF5A0">
            <w:pPr>
              <w:jc w:val="center"/>
              <w:rPr>
                <w:rFonts w:ascii="Arial"/>
                <w:color w:val="auto"/>
                <w:sz w:val="21"/>
                <w:highlight w:val="none"/>
              </w:rPr>
            </w:pPr>
          </w:p>
        </w:tc>
      </w:tr>
    </w:tbl>
    <w:p w14:paraId="76969288">
      <w:pPr>
        <w:spacing w:before="288"/>
        <w:ind w:right="155"/>
        <w:rPr>
          <w:rFonts w:hint="eastAsia" w:ascii="宋体" w:hAnsi="宋体" w:eastAsia="宋体" w:cs="宋体"/>
          <w:color w:val="auto"/>
          <w:sz w:val="19"/>
          <w:szCs w:val="19"/>
          <w:highlight w:val="none"/>
          <w:lang w:eastAsia="zh-CN"/>
        </w:rPr>
      </w:pPr>
      <w:r>
        <w:rPr>
          <w:rFonts w:ascii="宋体" w:hAnsi="宋体" w:eastAsia="宋体" w:cs="宋体"/>
          <w:color w:val="auto"/>
          <w:spacing w:val="8"/>
          <w:sz w:val="19"/>
          <w:szCs w:val="19"/>
          <w:highlight w:val="none"/>
        </w:rPr>
        <w:t>须附项目经理资格证书（含有效年审记录）及</w:t>
      </w:r>
      <w:r>
        <w:rPr>
          <w:rFonts w:ascii="宋体" w:hAnsi="宋体" w:eastAsia="宋体" w:cs="宋体"/>
          <w:color w:val="auto"/>
          <w:spacing w:val="7"/>
          <w:sz w:val="19"/>
          <w:szCs w:val="19"/>
          <w:highlight w:val="none"/>
        </w:rPr>
        <w:t>其他采购文件上规定的材料复印件，并加盖公</w:t>
      </w:r>
      <w:r>
        <w:rPr>
          <w:rFonts w:ascii="宋体" w:hAnsi="宋体" w:eastAsia="宋体" w:cs="宋体"/>
          <w:color w:val="auto"/>
          <w:sz w:val="19"/>
          <w:szCs w:val="19"/>
          <w:highlight w:val="none"/>
        </w:rPr>
        <w:t>章</w:t>
      </w:r>
      <w:r>
        <w:rPr>
          <w:rFonts w:hint="eastAsia" w:ascii="宋体" w:hAnsi="宋体" w:eastAsia="宋体" w:cs="宋体"/>
          <w:color w:val="auto"/>
          <w:sz w:val="19"/>
          <w:szCs w:val="19"/>
          <w:highlight w:val="none"/>
          <w:lang w:eastAsia="zh-CN"/>
        </w:rPr>
        <w:t>。</w:t>
      </w:r>
    </w:p>
    <w:p w14:paraId="3C0097D7">
      <w:pPr>
        <w:spacing w:before="288"/>
        <w:ind w:right="155"/>
        <w:rPr>
          <w:rFonts w:hint="eastAsia" w:ascii="宋体" w:hAnsi="宋体" w:eastAsia="宋体" w:cs="宋体"/>
          <w:color w:val="auto"/>
          <w:sz w:val="19"/>
          <w:szCs w:val="19"/>
          <w:highlight w:val="none"/>
          <w:lang w:eastAsia="zh-CN"/>
        </w:rPr>
      </w:pPr>
    </w:p>
    <w:p w14:paraId="2903DC3E">
      <w:pPr>
        <w:spacing w:before="288"/>
        <w:ind w:right="155"/>
        <w:rPr>
          <w:rFonts w:hint="eastAsia" w:ascii="宋体" w:hAnsi="宋体" w:eastAsia="宋体" w:cs="宋体"/>
          <w:color w:val="auto"/>
          <w:sz w:val="19"/>
          <w:szCs w:val="19"/>
          <w:highlight w:val="none"/>
          <w:lang w:eastAsia="zh-CN"/>
        </w:rPr>
      </w:pPr>
    </w:p>
    <w:p w14:paraId="5AB8B9FA">
      <w:pPr>
        <w:spacing w:before="288"/>
        <w:ind w:right="155"/>
        <w:rPr>
          <w:rFonts w:hint="eastAsia" w:ascii="宋体" w:hAnsi="宋体" w:eastAsia="宋体" w:cs="宋体"/>
          <w:color w:val="auto"/>
          <w:sz w:val="19"/>
          <w:szCs w:val="19"/>
          <w:highlight w:val="none"/>
          <w:lang w:eastAsia="zh-CN"/>
        </w:rPr>
      </w:pPr>
    </w:p>
    <w:p w14:paraId="2A1E2DE7">
      <w:pPr>
        <w:spacing w:before="288"/>
        <w:ind w:right="155"/>
        <w:rPr>
          <w:rFonts w:hint="eastAsia" w:ascii="宋体" w:hAnsi="宋体" w:eastAsia="宋体" w:cs="宋体"/>
          <w:color w:val="auto"/>
          <w:sz w:val="19"/>
          <w:szCs w:val="19"/>
          <w:highlight w:val="none"/>
          <w:lang w:eastAsia="zh-CN"/>
        </w:rPr>
      </w:pPr>
    </w:p>
    <w:p w14:paraId="31D94B24">
      <w:pPr>
        <w:spacing w:before="288"/>
        <w:ind w:right="155"/>
        <w:rPr>
          <w:rFonts w:hint="eastAsia" w:ascii="宋体" w:hAnsi="宋体" w:eastAsia="宋体" w:cs="宋体"/>
          <w:color w:val="auto"/>
          <w:sz w:val="19"/>
          <w:szCs w:val="19"/>
          <w:highlight w:val="none"/>
          <w:lang w:eastAsia="zh-CN"/>
        </w:rPr>
      </w:pPr>
    </w:p>
    <w:p w14:paraId="30D2318F">
      <w:pPr>
        <w:spacing w:before="288"/>
        <w:ind w:right="155"/>
        <w:rPr>
          <w:rFonts w:hint="eastAsia" w:ascii="宋体" w:hAnsi="宋体" w:eastAsia="宋体" w:cs="宋体"/>
          <w:color w:val="auto"/>
          <w:sz w:val="19"/>
          <w:szCs w:val="19"/>
          <w:highlight w:val="none"/>
          <w:lang w:eastAsia="zh-CN"/>
        </w:rPr>
      </w:pPr>
    </w:p>
    <w:p w14:paraId="52ECB05A">
      <w:pPr>
        <w:spacing w:before="288"/>
        <w:ind w:right="155"/>
        <w:rPr>
          <w:rFonts w:hint="eastAsia" w:ascii="宋体" w:hAnsi="宋体" w:eastAsia="宋体" w:cs="宋体"/>
          <w:color w:val="auto"/>
          <w:sz w:val="19"/>
          <w:szCs w:val="19"/>
          <w:highlight w:val="none"/>
          <w:lang w:eastAsia="zh-CN"/>
        </w:rPr>
      </w:pPr>
    </w:p>
    <w:p w14:paraId="58756C4C">
      <w:pPr>
        <w:spacing w:before="288"/>
        <w:ind w:right="155"/>
        <w:rPr>
          <w:rFonts w:hint="eastAsia" w:ascii="宋体" w:hAnsi="宋体" w:eastAsia="宋体" w:cs="宋体"/>
          <w:color w:val="auto"/>
          <w:sz w:val="19"/>
          <w:szCs w:val="19"/>
          <w:highlight w:val="none"/>
          <w:lang w:eastAsia="zh-CN"/>
        </w:rPr>
      </w:pPr>
    </w:p>
    <w:p w14:paraId="4FE10435">
      <w:pPr>
        <w:spacing w:before="288"/>
        <w:ind w:right="155"/>
        <w:rPr>
          <w:rFonts w:hint="eastAsia" w:ascii="宋体" w:hAnsi="宋体" w:eastAsia="宋体" w:cs="宋体"/>
          <w:color w:val="auto"/>
          <w:sz w:val="19"/>
          <w:szCs w:val="19"/>
          <w:highlight w:val="none"/>
          <w:lang w:eastAsia="zh-CN"/>
        </w:rPr>
      </w:pPr>
    </w:p>
    <w:p w14:paraId="7FF578B3">
      <w:pPr>
        <w:pStyle w:val="3"/>
        <w:spacing w:before="48" w:line="219" w:lineRule="auto"/>
        <w:ind w:left="626"/>
        <w:outlineLvl w:val="0"/>
        <w:rPr>
          <w:b/>
          <w:bCs/>
          <w:color w:val="auto"/>
          <w:spacing w:val="-3"/>
          <w:highlight w:val="none"/>
        </w:rPr>
      </w:pPr>
    </w:p>
    <w:p w14:paraId="1EB9CF40">
      <w:pPr>
        <w:pStyle w:val="3"/>
        <w:spacing w:before="48" w:line="219" w:lineRule="auto"/>
        <w:ind w:left="626"/>
        <w:outlineLvl w:val="0"/>
        <w:rPr>
          <w:color w:val="auto"/>
          <w:highlight w:val="none"/>
        </w:rPr>
      </w:pPr>
      <w:r>
        <w:rPr>
          <w:b/>
          <w:bCs/>
          <w:color w:val="auto"/>
          <w:spacing w:val="-3"/>
          <w:highlight w:val="none"/>
        </w:rPr>
        <w:t>2.中小企业声明函格式</w:t>
      </w:r>
    </w:p>
    <w:p w14:paraId="70F2E4E7">
      <w:pPr>
        <w:pStyle w:val="3"/>
        <w:spacing w:before="348" w:line="223" w:lineRule="auto"/>
        <w:ind w:left="2244"/>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3"/>
          <w:sz w:val="44"/>
          <w:szCs w:val="44"/>
          <w:highlight w:val="none"/>
        </w:rPr>
        <w:t>中小企业声明函（服务）</w:t>
      </w:r>
    </w:p>
    <w:p w14:paraId="48773E3A">
      <w:pPr>
        <w:spacing w:line="301" w:lineRule="auto"/>
        <w:rPr>
          <w:rFonts w:ascii="Arial"/>
          <w:color w:val="auto"/>
          <w:sz w:val="21"/>
          <w:highlight w:val="none"/>
        </w:rPr>
      </w:pPr>
    </w:p>
    <w:p w14:paraId="10B79741">
      <w:pPr>
        <w:spacing w:line="301" w:lineRule="auto"/>
        <w:rPr>
          <w:rFonts w:ascii="Arial"/>
          <w:color w:val="auto"/>
          <w:sz w:val="21"/>
          <w:highlight w:val="none"/>
        </w:rPr>
      </w:pPr>
    </w:p>
    <w:p w14:paraId="33C9D790">
      <w:pPr>
        <w:pStyle w:val="3"/>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t>本公司（联合体）郑重声明，根据《政府采购促进中小企业发展管理办</w:t>
      </w:r>
      <w:r>
        <w:rPr>
          <w:color w:val="auto"/>
          <w:spacing w:val="-8"/>
          <w:sz w:val="24"/>
          <w:szCs w:val="24"/>
          <w:highlight w:val="none"/>
        </w:rPr>
        <w:t>法》（财库﹝2020﹞46</w:t>
      </w:r>
      <w:r>
        <w:rPr>
          <w:color w:val="auto"/>
          <w:spacing w:val="-45"/>
          <w:sz w:val="24"/>
          <w:szCs w:val="24"/>
          <w:highlight w:val="none"/>
        </w:rPr>
        <w:t xml:space="preserve"> </w:t>
      </w:r>
      <w:r>
        <w:rPr>
          <w:color w:val="auto"/>
          <w:spacing w:val="-8"/>
          <w:sz w:val="24"/>
          <w:szCs w:val="24"/>
          <w:highlight w:val="none"/>
        </w:rPr>
        <w:t>号）的规定，本公司（联合</w:t>
      </w:r>
      <w:r>
        <w:rPr>
          <w:color w:val="auto"/>
          <w:spacing w:val="-9"/>
          <w:sz w:val="24"/>
          <w:szCs w:val="24"/>
          <w:highlight w:val="none"/>
        </w:rPr>
        <w:t>体）参加</w:t>
      </w:r>
      <w:r>
        <w:rPr>
          <w:color w:val="auto"/>
          <w:spacing w:val="-9"/>
          <w:sz w:val="24"/>
          <w:szCs w:val="24"/>
          <w:highlight w:val="none"/>
          <w:u w:val="single" w:color="auto"/>
        </w:rPr>
        <w:t>（单位名称）</w:t>
      </w:r>
      <w:r>
        <w:rPr>
          <w:color w:val="auto"/>
          <w:spacing w:val="-9"/>
          <w:sz w:val="24"/>
          <w:szCs w:val="24"/>
          <w:highlight w:val="none"/>
        </w:rPr>
        <w:t>的</w:t>
      </w:r>
      <w:r>
        <w:rPr>
          <w:color w:val="auto"/>
          <w:spacing w:val="-9"/>
          <w:sz w:val="24"/>
          <w:szCs w:val="24"/>
          <w:highlight w:val="none"/>
          <w:u w:val="single" w:color="auto"/>
        </w:rPr>
        <w:t>（项</w:t>
      </w:r>
      <w:r>
        <w:rPr>
          <w:color w:val="auto"/>
          <w:sz w:val="24"/>
          <w:szCs w:val="24"/>
          <w:highlight w:val="none"/>
          <w:u w:val="single" w:color="auto"/>
        </w:rPr>
        <w:t>目名称）</w:t>
      </w:r>
      <w:r>
        <w:rPr>
          <w:color w:val="auto"/>
          <w:sz w:val="24"/>
          <w:szCs w:val="24"/>
          <w:highlight w:val="none"/>
        </w:rPr>
        <w:t>采购活动，服务全部由符合政策要求的中小企业承接。相关企业</w:t>
      </w:r>
      <w:r>
        <w:rPr>
          <w:color w:val="auto"/>
          <w:spacing w:val="-1"/>
          <w:sz w:val="24"/>
          <w:szCs w:val="24"/>
          <w:highlight w:val="none"/>
        </w:rPr>
        <w:t>（含</w:t>
      </w:r>
      <w:r>
        <w:rPr>
          <w:color w:val="auto"/>
          <w:sz w:val="24"/>
          <w:szCs w:val="24"/>
          <w:highlight w:val="none"/>
        </w:rPr>
        <w:t>联合体中的中小企业、签订分包意向协议的中</w:t>
      </w:r>
      <w:r>
        <w:rPr>
          <w:color w:val="auto"/>
          <w:spacing w:val="-1"/>
          <w:sz w:val="24"/>
          <w:szCs w:val="24"/>
          <w:highlight w:val="none"/>
        </w:rPr>
        <w:t>小企业）的具体情况如下：</w:t>
      </w:r>
    </w:p>
    <w:p w14:paraId="2B7DBC32">
      <w:pPr>
        <w:pStyle w:val="3"/>
        <w:keepNext w:val="0"/>
        <w:keepLines w:val="0"/>
        <w:pageBreakBefore w:val="0"/>
        <w:widowControl/>
        <w:kinsoku/>
        <w:wordWrap/>
        <w:overflowPunct/>
        <w:topLinePunct w:val="0"/>
        <w:autoSpaceDE/>
        <w:autoSpaceDN/>
        <w:bidi w:val="0"/>
        <w:adjustRightInd/>
        <w:snapToGrid/>
        <w:spacing w:line="360" w:lineRule="auto"/>
        <w:ind w:left="0" w:right="0" w:firstLine="456" w:firstLineChars="200"/>
        <w:textAlignment w:val="auto"/>
        <w:rPr>
          <w:color w:val="auto"/>
          <w:sz w:val="24"/>
          <w:szCs w:val="24"/>
          <w:highlight w:val="none"/>
        </w:rPr>
      </w:pPr>
      <w:r>
        <w:rPr>
          <w:color w:val="auto"/>
          <w:spacing w:val="-6"/>
          <w:sz w:val="24"/>
          <w:szCs w:val="24"/>
          <w:highlight w:val="none"/>
        </w:rPr>
        <w:t>1.</w:t>
      </w:r>
      <w:r>
        <w:rPr>
          <w:color w:val="auto"/>
          <w:spacing w:val="-6"/>
          <w:sz w:val="24"/>
          <w:szCs w:val="24"/>
          <w:highlight w:val="none"/>
          <w:u w:val="single" w:color="auto"/>
        </w:rPr>
        <w:t>（标的名称</w:t>
      </w:r>
      <w:r>
        <w:rPr>
          <w:color w:val="auto"/>
          <w:spacing w:val="-35"/>
          <w:sz w:val="24"/>
          <w:szCs w:val="24"/>
          <w:highlight w:val="none"/>
          <w:u w:val="single" w:color="auto"/>
        </w:rPr>
        <w:t>）</w:t>
      </w:r>
      <w:r>
        <w:rPr>
          <w:color w:val="auto"/>
          <w:spacing w:val="-35"/>
          <w:sz w:val="24"/>
          <w:szCs w:val="24"/>
          <w:highlight w:val="none"/>
        </w:rPr>
        <w:t>，</w:t>
      </w:r>
      <w:r>
        <w:rPr>
          <w:color w:val="auto"/>
          <w:spacing w:val="-6"/>
          <w:sz w:val="24"/>
          <w:szCs w:val="24"/>
          <w:highlight w:val="none"/>
        </w:rPr>
        <w:t>属于</w:t>
      </w:r>
      <w:r>
        <w:rPr>
          <w:color w:val="auto"/>
          <w:spacing w:val="-6"/>
          <w:sz w:val="24"/>
          <w:szCs w:val="24"/>
          <w:highlight w:val="none"/>
          <w:u w:val="single" w:color="auto"/>
        </w:rPr>
        <w:t>（采购文件中明确的所属行业</w:t>
      </w:r>
      <w:r>
        <w:rPr>
          <w:color w:val="auto"/>
          <w:spacing w:val="-35"/>
          <w:sz w:val="24"/>
          <w:szCs w:val="24"/>
          <w:highlight w:val="none"/>
          <w:u w:val="single" w:color="auto"/>
        </w:rPr>
        <w:t>）</w:t>
      </w:r>
      <w:r>
        <w:rPr>
          <w:color w:val="auto"/>
          <w:spacing w:val="-35"/>
          <w:sz w:val="24"/>
          <w:szCs w:val="24"/>
          <w:highlight w:val="none"/>
        </w:rPr>
        <w:t>；</w:t>
      </w:r>
      <w:r>
        <w:rPr>
          <w:color w:val="auto"/>
          <w:spacing w:val="-6"/>
          <w:sz w:val="24"/>
          <w:szCs w:val="24"/>
          <w:highlight w:val="none"/>
        </w:rPr>
        <w:t>承接企业为</w:t>
      </w:r>
      <w:r>
        <w:rPr>
          <w:color w:val="auto"/>
          <w:spacing w:val="-6"/>
          <w:sz w:val="24"/>
          <w:szCs w:val="24"/>
          <w:highlight w:val="none"/>
          <w:u w:val="single" w:color="auto"/>
        </w:rPr>
        <w:t>（企</w:t>
      </w:r>
      <w:r>
        <w:rPr>
          <w:color w:val="auto"/>
          <w:spacing w:val="-2"/>
          <w:sz w:val="24"/>
          <w:szCs w:val="24"/>
          <w:highlight w:val="none"/>
          <w:u w:val="single" w:color="auto"/>
        </w:rPr>
        <w:t>业名称</w:t>
      </w:r>
      <w:r>
        <w:rPr>
          <w:color w:val="auto"/>
          <w:spacing w:val="12"/>
          <w:sz w:val="24"/>
          <w:szCs w:val="24"/>
          <w:highlight w:val="none"/>
          <w:u w:val="single" w:color="auto"/>
        </w:rPr>
        <w:t>）</w:t>
      </w:r>
      <w:r>
        <w:rPr>
          <w:color w:val="auto"/>
          <w:spacing w:val="12"/>
          <w:sz w:val="24"/>
          <w:szCs w:val="24"/>
          <w:highlight w:val="none"/>
        </w:rPr>
        <w:t>，</w:t>
      </w:r>
      <w:r>
        <w:rPr>
          <w:color w:val="auto"/>
          <w:spacing w:val="-2"/>
          <w:sz w:val="24"/>
          <w:szCs w:val="24"/>
          <w:highlight w:val="none"/>
        </w:rPr>
        <w:t>从业人员</w:t>
      </w:r>
      <w:r>
        <w:rPr>
          <w:color w:val="auto"/>
          <w:spacing w:val="-116"/>
          <w:sz w:val="24"/>
          <w:szCs w:val="24"/>
          <w:highlight w:val="none"/>
        </w:rPr>
        <w:t xml:space="preserve"> </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人，营业收入为</w:t>
      </w:r>
      <w:r>
        <w:rPr>
          <w:color w:val="auto"/>
          <w:spacing w:val="-2"/>
          <w:sz w:val="24"/>
          <w:szCs w:val="24"/>
          <w:highlight w:val="none"/>
          <w:u w:val="single" w:color="auto"/>
        </w:rPr>
        <w:t xml:space="preserve">      </w:t>
      </w:r>
      <w:r>
        <w:rPr>
          <w:color w:val="auto"/>
          <w:spacing w:val="-105"/>
          <w:sz w:val="24"/>
          <w:szCs w:val="24"/>
          <w:highlight w:val="none"/>
        </w:rPr>
        <w:t xml:space="preserve"> </w:t>
      </w:r>
      <w:r>
        <w:rPr>
          <w:color w:val="auto"/>
          <w:spacing w:val="-2"/>
          <w:sz w:val="24"/>
          <w:szCs w:val="24"/>
          <w:highlight w:val="none"/>
        </w:rPr>
        <w:t>万元，资产总额为</w:t>
      </w:r>
      <w:r>
        <w:rPr>
          <w:color w:val="auto"/>
          <w:spacing w:val="-2"/>
          <w:sz w:val="24"/>
          <w:szCs w:val="24"/>
          <w:highlight w:val="none"/>
          <w:u w:val="single" w:color="auto"/>
        </w:rPr>
        <w:t xml:space="preserve">      </w:t>
      </w:r>
      <w:r>
        <w:rPr>
          <w:color w:val="auto"/>
          <w:spacing w:val="-104"/>
          <w:sz w:val="24"/>
          <w:szCs w:val="24"/>
          <w:highlight w:val="none"/>
        </w:rPr>
        <w:t xml:space="preserve"> </w:t>
      </w:r>
      <w:r>
        <w:rPr>
          <w:color w:val="auto"/>
          <w:spacing w:val="-2"/>
          <w:sz w:val="24"/>
          <w:szCs w:val="24"/>
          <w:highlight w:val="none"/>
        </w:rPr>
        <w:t>万</w:t>
      </w:r>
      <w:r>
        <w:rPr>
          <w:color w:val="auto"/>
          <w:spacing w:val="-1"/>
          <w:sz w:val="24"/>
          <w:szCs w:val="24"/>
          <w:highlight w:val="none"/>
        </w:rPr>
        <w:t>元，属于</w:t>
      </w:r>
      <w:r>
        <w:rPr>
          <w:color w:val="auto"/>
          <w:spacing w:val="-1"/>
          <w:sz w:val="24"/>
          <w:szCs w:val="24"/>
          <w:highlight w:val="none"/>
          <w:u w:val="single" w:color="auto"/>
        </w:rPr>
        <w:t>（中型企业、小型企业、微型企业</w:t>
      </w:r>
      <w:r>
        <w:rPr>
          <w:color w:val="auto"/>
          <w:spacing w:val="4"/>
          <w:sz w:val="24"/>
          <w:szCs w:val="24"/>
          <w:highlight w:val="none"/>
          <w:u w:val="single" w:color="auto"/>
        </w:rPr>
        <w:t>）</w:t>
      </w:r>
      <w:r>
        <w:rPr>
          <w:color w:val="auto"/>
          <w:spacing w:val="4"/>
          <w:sz w:val="24"/>
          <w:szCs w:val="24"/>
          <w:highlight w:val="none"/>
        </w:rPr>
        <w:t>；</w:t>
      </w:r>
    </w:p>
    <w:p w14:paraId="4EE8A05B">
      <w:pPr>
        <w:pStyle w:val="3"/>
        <w:keepNext w:val="0"/>
        <w:keepLines w:val="0"/>
        <w:pageBreakBefore w:val="0"/>
        <w:widowControl/>
        <w:kinsoku/>
        <w:wordWrap/>
        <w:overflowPunct/>
        <w:topLinePunct w:val="0"/>
        <w:autoSpaceDE/>
        <w:autoSpaceDN/>
        <w:bidi w:val="0"/>
        <w:adjustRightInd/>
        <w:snapToGrid/>
        <w:spacing w:line="360" w:lineRule="auto"/>
        <w:ind w:left="0" w:right="0" w:firstLine="460" w:firstLineChars="200"/>
        <w:textAlignment w:val="auto"/>
        <w:rPr>
          <w:color w:val="auto"/>
          <w:sz w:val="24"/>
          <w:szCs w:val="24"/>
          <w:highlight w:val="none"/>
        </w:rPr>
      </w:pPr>
      <w:r>
        <w:rPr>
          <w:color w:val="auto"/>
          <w:spacing w:val="-5"/>
          <w:sz w:val="24"/>
          <w:szCs w:val="24"/>
          <w:highlight w:val="none"/>
        </w:rPr>
        <w:t>2.</w:t>
      </w:r>
      <w:r>
        <w:rPr>
          <w:color w:val="auto"/>
          <w:spacing w:val="-5"/>
          <w:sz w:val="24"/>
          <w:szCs w:val="24"/>
          <w:highlight w:val="none"/>
          <w:u w:val="single" w:color="auto"/>
        </w:rPr>
        <w:t>（标的名称</w:t>
      </w:r>
      <w:r>
        <w:rPr>
          <w:color w:val="auto"/>
          <w:spacing w:val="-24"/>
          <w:sz w:val="24"/>
          <w:szCs w:val="24"/>
          <w:highlight w:val="none"/>
          <w:u w:val="single" w:color="auto"/>
        </w:rPr>
        <w:t>）</w:t>
      </w:r>
      <w:r>
        <w:rPr>
          <w:color w:val="auto"/>
          <w:spacing w:val="-24"/>
          <w:sz w:val="24"/>
          <w:szCs w:val="24"/>
          <w:highlight w:val="none"/>
        </w:rPr>
        <w:t>，</w:t>
      </w:r>
      <w:r>
        <w:rPr>
          <w:color w:val="auto"/>
          <w:spacing w:val="-5"/>
          <w:sz w:val="24"/>
          <w:szCs w:val="24"/>
          <w:highlight w:val="none"/>
        </w:rPr>
        <w:t>属于</w:t>
      </w:r>
      <w:r>
        <w:rPr>
          <w:color w:val="auto"/>
          <w:spacing w:val="-5"/>
          <w:sz w:val="24"/>
          <w:szCs w:val="24"/>
          <w:highlight w:val="none"/>
          <w:u w:val="single" w:color="auto"/>
        </w:rPr>
        <w:t>（采购文件中明确的所属行业</w:t>
      </w:r>
      <w:r>
        <w:rPr>
          <w:color w:val="auto"/>
          <w:spacing w:val="-24"/>
          <w:sz w:val="24"/>
          <w:szCs w:val="24"/>
          <w:highlight w:val="none"/>
          <w:u w:val="single" w:color="auto"/>
        </w:rPr>
        <w:t>）</w:t>
      </w:r>
      <w:r>
        <w:rPr>
          <w:color w:val="auto"/>
          <w:spacing w:val="-24"/>
          <w:sz w:val="24"/>
          <w:szCs w:val="24"/>
          <w:highlight w:val="none"/>
        </w:rPr>
        <w:t>；</w:t>
      </w:r>
      <w:r>
        <w:rPr>
          <w:color w:val="auto"/>
          <w:spacing w:val="-5"/>
          <w:sz w:val="24"/>
          <w:szCs w:val="24"/>
          <w:highlight w:val="none"/>
        </w:rPr>
        <w:t>承接企业为</w:t>
      </w:r>
      <w:r>
        <w:rPr>
          <w:color w:val="auto"/>
          <w:spacing w:val="-5"/>
          <w:sz w:val="24"/>
          <w:szCs w:val="24"/>
          <w:highlight w:val="none"/>
          <w:u w:val="single" w:color="auto"/>
        </w:rPr>
        <w:t>（企</w:t>
      </w:r>
      <w:r>
        <w:rPr>
          <w:color w:val="auto"/>
          <w:spacing w:val="-1"/>
          <w:sz w:val="24"/>
          <w:szCs w:val="24"/>
          <w:highlight w:val="none"/>
          <w:u w:val="single" w:color="auto"/>
        </w:rPr>
        <w:t>业名称</w:t>
      </w:r>
      <w:r>
        <w:rPr>
          <w:color w:val="auto"/>
          <w:spacing w:val="10"/>
          <w:sz w:val="24"/>
          <w:szCs w:val="24"/>
          <w:highlight w:val="none"/>
          <w:u w:val="single" w:color="auto"/>
        </w:rPr>
        <w:t>）</w:t>
      </w:r>
      <w:r>
        <w:rPr>
          <w:color w:val="auto"/>
          <w:spacing w:val="10"/>
          <w:sz w:val="24"/>
          <w:szCs w:val="24"/>
          <w:highlight w:val="none"/>
        </w:rPr>
        <w:t>，</w:t>
      </w:r>
      <w:r>
        <w:rPr>
          <w:color w:val="auto"/>
          <w:spacing w:val="-1"/>
          <w:sz w:val="24"/>
          <w:szCs w:val="24"/>
          <w:highlight w:val="none"/>
        </w:rPr>
        <w:t>从业人员</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105"/>
          <w:sz w:val="24"/>
          <w:szCs w:val="24"/>
          <w:highlight w:val="none"/>
        </w:rPr>
        <w:t xml:space="preserve"> </w:t>
      </w:r>
      <w:r>
        <w:rPr>
          <w:color w:val="auto"/>
          <w:spacing w:val="-1"/>
          <w:sz w:val="24"/>
          <w:szCs w:val="24"/>
          <w:highlight w:val="none"/>
        </w:rPr>
        <w:t>人，营业收入为</w:t>
      </w:r>
      <w:r>
        <w:rPr>
          <w:color w:val="auto"/>
          <w:spacing w:val="-1"/>
          <w:sz w:val="24"/>
          <w:szCs w:val="24"/>
          <w:highlight w:val="none"/>
          <w:u w:val="single" w:color="auto"/>
        </w:rPr>
        <w:t xml:space="preserve">      </w:t>
      </w:r>
      <w:r>
        <w:rPr>
          <w:color w:val="auto"/>
          <w:spacing w:val="-104"/>
          <w:sz w:val="24"/>
          <w:szCs w:val="24"/>
          <w:highlight w:val="none"/>
        </w:rPr>
        <w:t xml:space="preserve"> </w:t>
      </w:r>
      <w:r>
        <w:rPr>
          <w:color w:val="auto"/>
          <w:spacing w:val="-1"/>
          <w:sz w:val="24"/>
          <w:szCs w:val="24"/>
          <w:highlight w:val="none"/>
        </w:rPr>
        <w:t>万元，资产总额为</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101"/>
          <w:sz w:val="24"/>
          <w:szCs w:val="24"/>
          <w:highlight w:val="none"/>
        </w:rPr>
        <w:t xml:space="preserve"> </w:t>
      </w:r>
      <w:r>
        <w:rPr>
          <w:color w:val="auto"/>
          <w:spacing w:val="-1"/>
          <w:sz w:val="24"/>
          <w:szCs w:val="24"/>
          <w:highlight w:val="none"/>
        </w:rPr>
        <w:t>万</w:t>
      </w:r>
      <w:r>
        <w:rPr>
          <w:color w:val="auto"/>
          <w:sz w:val="24"/>
          <w:szCs w:val="24"/>
          <w:highlight w:val="none"/>
        </w:rPr>
        <w:t xml:space="preserve"> </w:t>
      </w:r>
      <w:r>
        <w:rPr>
          <w:color w:val="auto"/>
          <w:spacing w:val="-1"/>
          <w:sz w:val="24"/>
          <w:szCs w:val="24"/>
          <w:highlight w:val="none"/>
        </w:rPr>
        <w:t>元，属于</w:t>
      </w:r>
      <w:r>
        <w:rPr>
          <w:color w:val="auto"/>
          <w:spacing w:val="-1"/>
          <w:sz w:val="24"/>
          <w:szCs w:val="24"/>
          <w:highlight w:val="none"/>
          <w:u w:val="single" w:color="auto"/>
        </w:rPr>
        <w:t>（中型企业、小型企业、微型企业</w:t>
      </w:r>
      <w:r>
        <w:rPr>
          <w:color w:val="auto"/>
          <w:spacing w:val="4"/>
          <w:sz w:val="24"/>
          <w:szCs w:val="24"/>
          <w:highlight w:val="none"/>
          <w:u w:val="single" w:color="auto"/>
        </w:rPr>
        <w:t>）</w:t>
      </w:r>
      <w:r>
        <w:rPr>
          <w:color w:val="auto"/>
          <w:spacing w:val="4"/>
          <w:sz w:val="24"/>
          <w:szCs w:val="24"/>
          <w:highlight w:val="none"/>
        </w:rPr>
        <w:t>；</w:t>
      </w:r>
    </w:p>
    <w:p w14:paraId="700D98E0">
      <w:pPr>
        <w:pStyle w:val="3"/>
        <w:keepNext w:val="0"/>
        <w:keepLines w:val="0"/>
        <w:pageBreakBefore w:val="0"/>
        <w:widowControl/>
        <w:kinsoku/>
        <w:wordWrap/>
        <w:overflowPunct/>
        <w:topLinePunct w:val="0"/>
        <w:autoSpaceDE/>
        <w:autoSpaceDN/>
        <w:bidi w:val="0"/>
        <w:adjustRightInd/>
        <w:snapToGrid/>
        <w:spacing w:line="360" w:lineRule="auto"/>
        <w:ind w:left="0" w:right="0" w:firstLine="428" w:firstLineChars="200"/>
        <w:textAlignment w:val="auto"/>
        <w:rPr>
          <w:color w:val="auto"/>
          <w:sz w:val="24"/>
          <w:szCs w:val="24"/>
          <w:highlight w:val="none"/>
        </w:rPr>
      </w:pPr>
      <w:r>
        <w:rPr>
          <w:color w:val="auto"/>
          <w:spacing w:val="-13"/>
          <w:position w:val="3"/>
          <w:sz w:val="24"/>
          <w:szCs w:val="24"/>
          <w:highlight w:val="none"/>
        </w:rPr>
        <w:t>……</w:t>
      </w:r>
    </w:p>
    <w:p w14:paraId="35B22C56">
      <w:pPr>
        <w:pStyle w:val="3"/>
        <w:keepNext w:val="0"/>
        <w:keepLines w:val="0"/>
        <w:pageBreakBefore w:val="0"/>
        <w:widowControl/>
        <w:kinsoku/>
        <w:wordWrap/>
        <w:overflowPunct/>
        <w:topLinePunct w:val="0"/>
        <w:autoSpaceDE/>
        <w:autoSpaceDN/>
        <w:bidi w:val="0"/>
        <w:adjustRightInd/>
        <w:snapToGrid/>
        <w:spacing w:line="360" w:lineRule="auto"/>
        <w:ind w:left="0" w:right="0" w:firstLine="456" w:firstLineChars="200"/>
        <w:textAlignment w:val="auto"/>
        <w:rPr>
          <w:color w:val="auto"/>
          <w:sz w:val="24"/>
          <w:szCs w:val="24"/>
          <w:highlight w:val="none"/>
        </w:rPr>
      </w:pPr>
      <w:r>
        <w:rPr>
          <w:color w:val="auto"/>
          <w:spacing w:val="-6"/>
          <w:sz w:val="24"/>
          <w:szCs w:val="24"/>
          <w:highlight w:val="none"/>
        </w:rPr>
        <w:t>以上企业，不属于大企业的分支机构，不存在控股股东为大企业的情形，</w:t>
      </w:r>
      <w:r>
        <w:rPr>
          <w:color w:val="auto"/>
          <w:spacing w:val="-1"/>
          <w:sz w:val="24"/>
          <w:szCs w:val="24"/>
          <w:highlight w:val="none"/>
        </w:rPr>
        <w:t>也不存在与大企业的负责人为同一人的情形。</w:t>
      </w:r>
    </w:p>
    <w:p w14:paraId="5524DE2F">
      <w:pPr>
        <w:pStyle w:val="3"/>
        <w:keepNext w:val="0"/>
        <w:keepLines w:val="0"/>
        <w:pageBreakBefore w:val="0"/>
        <w:widowControl/>
        <w:kinsoku/>
        <w:wordWrap/>
        <w:overflowPunct/>
        <w:topLinePunct w:val="0"/>
        <w:autoSpaceDE/>
        <w:autoSpaceDN/>
        <w:bidi w:val="0"/>
        <w:adjustRightInd/>
        <w:snapToGrid/>
        <w:spacing w:line="360" w:lineRule="auto"/>
        <w:ind w:left="0" w:right="0" w:firstLine="468" w:firstLineChars="200"/>
        <w:textAlignment w:val="auto"/>
        <w:rPr>
          <w:color w:val="auto"/>
          <w:sz w:val="24"/>
          <w:szCs w:val="24"/>
          <w:highlight w:val="none"/>
        </w:rPr>
      </w:pPr>
      <w:r>
        <w:rPr>
          <w:color w:val="auto"/>
          <w:spacing w:val="-3"/>
          <w:sz w:val="24"/>
          <w:szCs w:val="24"/>
          <w:highlight w:val="none"/>
        </w:rPr>
        <w:t>本企业对上述声明内容的真实性负责。如有虚</w:t>
      </w:r>
      <w:r>
        <w:rPr>
          <w:color w:val="auto"/>
          <w:spacing w:val="-4"/>
          <w:sz w:val="24"/>
          <w:szCs w:val="24"/>
          <w:highlight w:val="none"/>
        </w:rPr>
        <w:t>假，将依法承担相应责任。</w:t>
      </w:r>
    </w:p>
    <w:p w14:paraId="224FD24E">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ascii="Arial"/>
          <w:color w:val="auto"/>
          <w:sz w:val="24"/>
          <w:szCs w:val="24"/>
          <w:highlight w:val="none"/>
        </w:rPr>
      </w:pPr>
    </w:p>
    <w:p w14:paraId="731AF106">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ascii="Arial"/>
          <w:color w:val="auto"/>
          <w:sz w:val="24"/>
          <w:szCs w:val="24"/>
          <w:highlight w:val="none"/>
        </w:rPr>
      </w:pPr>
    </w:p>
    <w:p w14:paraId="2D5089ED">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ascii="Arial"/>
          <w:color w:val="auto"/>
          <w:sz w:val="24"/>
          <w:szCs w:val="24"/>
          <w:highlight w:val="none"/>
        </w:rPr>
      </w:pPr>
    </w:p>
    <w:p w14:paraId="2655A4AD">
      <w:pPr>
        <w:pStyle w:val="3"/>
        <w:keepNext w:val="0"/>
        <w:keepLines w:val="0"/>
        <w:pageBreakBefore w:val="0"/>
        <w:widowControl/>
        <w:kinsoku/>
        <w:wordWrap/>
        <w:overflowPunct/>
        <w:topLinePunct w:val="0"/>
        <w:autoSpaceDE/>
        <w:autoSpaceDN/>
        <w:bidi w:val="0"/>
        <w:adjustRightInd/>
        <w:snapToGrid/>
        <w:spacing w:line="360" w:lineRule="auto"/>
        <w:ind w:left="0" w:right="0" w:firstLine="468" w:firstLineChars="200"/>
        <w:textAlignment w:val="auto"/>
        <w:rPr>
          <w:color w:val="auto"/>
          <w:sz w:val="24"/>
          <w:szCs w:val="24"/>
          <w:highlight w:val="none"/>
        </w:rPr>
      </w:pPr>
      <w:r>
        <w:rPr>
          <w:color w:val="auto"/>
          <w:spacing w:val="-3"/>
          <w:sz w:val="24"/>
          <w:szCs w:val="24"/>
          <w:highlight w:val="none"/>
        </w:rPr>
        <w:t>企业名称（章</w:t>
      </w:r>
      <w:r>
        <w:rPr>
          <w:color w:val="auto"/>
          <w:spacing w:val="-29"/>
          <w:sz w:val="24"/>
          <w:szCs w:val="24"/>
          <w:highlight w:val="none"/>
        </w:rPr>
        <w:t>）：</w:t>
      </w:r>
      <w:r>
        <w:rPr>
          <w:rFonts w:hint="eastAsia"/>
          <w:color w:val="auto"/>
          <w:spacing w:val="-29"/>
          <w:sz w:val="24"/>
          <w:szCs w:val="24"/>
          <w:highlight w:val="none"/>
          <w:lang w:val="en-US" w:eastAsia="zh-CN"/>
        </w:rPr>
        <w:t xml:space="preserve">                                             </w:t>
      </w:r>
      <w:r>
        <w:rPr>
          <w:color w:val="auto"/>
          <w:spacing w:val="1"/>
          <w:sz w:val="24"/>
          <w:szCs w:val="24"/>
          <w:highlight w:val="none"/>
        </w:rPr>
        <w:t xml:space="preserve"> </w:t>
      </w:r>
      <w:r>
        <w:rPr>
          <w:color w:val="auto"/>
          <w:spacing w:val="-21"/>
          <w:sz w:val="24"/>
          <w:szCs w:val="24"/>
          <w:highlight w:val="none"/>
        </w:rPr>
        <w:t>日</w:t>
      </w:r>
      <w:r>
        <w:rPr>
          <w:color w:val="auto"/>
          <w:spacing w:val="12"/>
          <w:sz w:val="24"/>
          <w:szCs w:val="24"/>
          <w:highlight w:val="none"/>
        </w:rPr>
        <w:t xml:space="preserve"> </w:t>
      </w:r>
      <w:r>
        <w:rPr>
          <w:color w:val="auto"/>
          <w:spacing w:val="-21"/>
          <w:sz w:val="24"/>
          <w:szCs w:val="24"/>
          <w:highlight w:val="none"/>
        </w:rPr>
        <w:t>期：</w:t>
      </w:r>
    </w:p>
    <w:p w14:paraId="651DD1F0">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ascii="Arial"/>
          <w:color w:val="auto"/>
          <w:sz w:val="24"/>
          <w:szCs w:val="24"/>
          <w:highlight w:val="none"/>
        </w:rPr>
      </w:pPr>
    </w:p>
    <w:p w14:paraId="44AD9C2A">
      <w:pPr>
        <w:pStyle w:val="3"/>
        <w:keepNext w:val="0"/>
        <w:keepLines w:val="0"/>
        <w:pageBreakBefore w:val="0"/>
        <w:widowControl/>
        <w:kinsoku/>
        <w:wordWrap/>
        <w:overflowPunct/>
        <w:topLinePunct w:val="0"/>
        <w:autoSpaceDE/>
        <w:autoSpaceDN/>
        <w:bidi w:val="0"/>
        <w:adjustRightInd/>
        <w:snapToGrid/>
        <w:spacing w:line="360" w:lineRule="auto"/>
        <w:ind w:left="0" w:right="0" w:firstLine="416" w:firstLineChars="200"/>
        <w:textAlignment w:val="auto"/>
        <w:rPr>
          <w:color w:val="auto"/>
          <w:spacing w:val="-1"/>
          <w:sz w:val="21"/>
          <w:szCs w:val="21"/>
          <w:highlight w:val="none"/>
        </w:rPr>
      </w:pPr>
    </w:p>
    <w:p w14:paraId="36268A5F">
      <w:pPr>
        <w:pStyle w:val="3"/>
        <w:keepNext w:val="0"/>
        <w:keepLines w:val="0"/>
        <w:pageBreakBefore w:val="0"/>
        <w:widowControl/>
        <w:kinsoku/>
        <w:wordWrap/>
        <w:overflowPunct/>
        <w:topLinePunct w:val="0"/>
        <w:autoSpaceDE/>
        <w:autoSpaceDN/>
        <w:bidi w:val="0"/>
        <w:adjustRightInd/>
        <w:snapToGrid/>
        <w:spacing w:line="360" w:lineRule="auto"/>
        <w:ind w:left="0" w:right="0" w:firstLine="416" w:firstLineChars="200"/>
        <w:textAlignment w:val="auto"/>
        <w:rPr>
          <w:color w:val="auto"/>
          <w:sz w:val="21"/>
          <w:szCs w:val="21"/>
          <w:highlight w:val="none"/>
        </w:rPr>
      </w:pPr>
      <w:r>
        <w:rPr>
          <w:color w:val="auto"/>
          <w:spacing w:val="-1"/>
          <w:sz w:val="21"/>
          <w:szCs w:val="21"/>
          <w:highlight w:val="none"/>
        </w:rPr>
        <w:t>注：享受《政府采购促进中小企业发展管理办法》（财库〔2020〕46号）</w:t>
      </w:r>
      <w:r>
        <w:rPr>
          <w:color w:val="auto"/>
          <w:spacing w:val="-3"/>
          <w:sz w:val="21"/>
          <w:szCs w:val="21"/>
          <w:highlight w:val="none"/>
        </w:rPr>
        <w:t>规定的中小企业扶持政策的，采购人、采购代理机构应当随成交结果公开成交供</w:t>
      </w:r>
      <w:r>
        <w:rPr>
          <w:color w:val="auto"/>
          <w:spacing w:val="-8"/>
          <w:sz w:val="21"/>
          <w:szCs w:val="21"/>
          <w:highlight w:val="none"/>
        </w:rPr>
        <w:t>应商的《中小企业声明函》。从业人员、营业收入、资产总额填报上一年度数据，</w:t>
      </w:r>
      <w:r>
        <w:rPr>
          <w:color w:val="auto"/>
          <w:spacing w:val="-1"/>
          <w:sz w:val="21"/>
          <w:szCs w:val="21"/>
          <w:highlight w:val="none"/>
        </w:rPr>
        <w:t>无上一年度数据的新成立企业可不填报。</w:t>
      </w:r>
    </w:p>
    <w:p w14:paraId="30A5BEBB">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1E1B912">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textAlignment w:val="auto"/>
        <w:rPr>
          <w:rFonts w:ascii="宋体" w:hAnsi="宋体" w:eastAsia="宋体" w:cs="宋体"/>
          <w:color w:val="auto"/>
          <w:spacing w:val="8"/>
          <w:sz w:val="20"/>
          <w:szCs w:val="20"/>
          <w:highlight w:val="none"/>
        </w:rPr>
      </w:pPr>
    </w:p>
    <w:p w14:paraId="017661A5">
      <w:pPr>
        <w:pStyle w:val="3"/>
        <w:keepNext w:val="0"/>
        <w:keepLines w:val="0"/>
        <w:pageBreakBefore w:val="0"/>
        <w:widowControl/>
        <w:kinsoku/>
        <w:wordWrap/>
        <w:overflowPunct/>
        <w:topLinePunct w:val="0"/>
        <w:autoSpaceDE/>
        <w:autoSpaceDN/>
        <w:bidi w:val="0"/>
        <w:adjustRightInd/>
        <w:snapToGrid/>
        <w:spacing w:line="240" w:lineRule="auto"/>
        <w:ind w:left="0" w:right="0" w:firstLine="556" w:firstLineChars="200"/>
        <w:jc w:val="both"/>
        <w:textAlignment w:val="auto"/>
        <w:rPr>
          <w:rFonts w:hint="eastAsia" w:ascii="仿宋_GB2312" w:hAnsi="仿宋_GB2312" w:eastAsia="仿宋_GB2312" w:cs="仿宋_GB2312"/>
          <w:color w:val="auto"/>
          <w:spacing w:val="-1"/>
          <w:sz w:val="28"/>
          <w:szCs w:val="28"/>
          <w:highlight w:val="none"/>
          <w:lang w:val="en-US" w:eastAsia="zh-CN"/>
        </w:rPr>
      </w:pPr>
    </w:p>
    <w:sectPr>
      <w:footerReference r:id="rId3" w:type="default"/>
      <w:pgSz w:w="12240" w:h="15840"/>
      <w:pgMar w:top="2098" w:right="1474" w:bottom="1984" w:left="1587" w:header="708" w:footer="708"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9284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B69D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7B69D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573A3A"/>
    <w:multiLevelType w:val="singleLevel"/>
    <w:tmpl w:val="7F573A3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00A77B3E"/>
    <w:rsid w:val="00045335"/>
    <w:rsid w:val="00054993"/>
    <w:rsid w:val="0005755C"/>
    <w:rsid w:val="000848E6"/>
    <w:rsid w:val="00084CB2"/>
    <w:rsid w:val="000C240F"/>
    <w:rsid w:val="00120609"/>
    <w:rsid w:val="00135ECB"/>
    <w:rsid w:val="00155D41"/>
    <w:rsid w:val="0018062B"/>
    <w:rsid w:val="001A4975"/>
    <w:rsid w:val="001F563E"/>
    <w:rsid w:val="00230BE3"/>
    <w:rsid w:val="00286416"/>
    <w:rsid w:val="002940BA"/>
    <w:rsid w:val="002B522B"/>
    <w:rsid w:val="002F78F6"/>
    <w:rsid w:val="00303F30"/>
    <w:rsid w:val="003227ED"/>
    <w:rsid w:val="00334D17"/>
    <w:rsid w:val="003355FA"/>
    <w:rsid w:val="00361973"/>
    <w:rsid w:val="003D0472"/>
    <w:rsid w:val="003D05FC"/>
    <w:rsid w:val="004657B9"/>
    <w:rsid w:val="00475D5C"/>
    <w:rsid w:val="004800AE"/>
    <w:rsid w:val="00540294"/>
    <w:rsid w:val="00592E0A"/>
    <w:rsid w:val="00593859"/>
    <w:rsid w:val="005B0A46"/>
    <w:rsid w:val="005C2AC5"/>
    <w:rsid w:val="005E0150"/>
    <w:rsid w:val="00636C41"/>
    <w:rsid w:val="00650AF4"/>
    <w:rsid w:val="006A68D3"/>
    <w:rsid w:val="00767864"/>
    <w:rsid w:val="00771740"/>
    <w:rsid w:val="00772CC1"/>
    <w:rsid w:val="00774EF4"/>
    <w:rsid w:val="00794492"/>
    <w:rsid w:val="00807B5F"/>
    <w:rsid w:val="00815DF1"/>
    <w:rsid w:val="00820895"/>
    <w:rsid w:val="00841CC0"/>
    <w:rsid w:val="00852315"/>
    <w:rsid w:val="00864339"/>
    <w:rsid w:val="00870096"/>
    <w:rsid w:val="00893460"/>
    <w:rsid w:val="0089769C"/>
    <w:rsid w:val="008C21BB"/>
    <w:rsid w:val="008C675B"/>
    <w:rsid w:val="00901702"/>
    <w:rsid w:val="00947132"/>
    <w:rsid w:val="009629E9"/>
    <w:rsid w:val="009F5301"/>
    <w:rsid w:val="00A77B3E"/>
    <w:rsid w:val="00A819E0"/>
    <w:rsid w:val="00A93080"/>
    <w:rsid w:val="00B651BC"/>
    <w:rsid w:val="00B654F8"/>
    <w:rsid w:val="00BC3FC4"/>
    <w:rsid w:val="00BF1106"/>
    <w:rsid w:val="00C03D83"/>
    <w:rsid w:val="00C404E5"/>
    <w:rsid w:val="00C4477E"/>
    <w:rsid w:val="00CA1E10"/>
    <w:rsid w:val="00CA2A55"/>
    <w:rsid w:val="00CC492E"/>
    <w:rsid w:val="00CE662E"/>
    <w:rsid w:val="00D529DD"/>
    <w:rsid w:val="00D74274"/>
    <w:rsid w:val="00DA4835"/>
    <w:rsid w:val="00DF7E97"/>
    <w:rsid w:val="00E46EB1"/>
    <w:rsid w:val="00F32729"/>
    <w:rsid w:val="00F458DE"/>
    <w:rsid w:val="00F71120"/>
    <w:rsid w:val="00F95809"/>
    <w:rsid w:val="00FA58C0"/>
    <w:rsid w:val="00FC3D47"/>
    <w:rsid w:val="00FC7DB0"/>
    <w:rsid w:val="00FD047D"/>
    <w:rsid w:val="016F71C9"/>
    <w:rsid w:val="021C29C7"/>
    <w:rsid w:val="046D5158"/>
    <w:rsid w:val="04993F88"/>
    <w:rsid w:val="04DE4BD8"/>
    <w:rsid w:val="051A0D14"/>
    <w:rsid w:val="052027CE"/>
    <w:rsid w:val="060B7357"/>
    <w:rsid w:val="0618170B"/>
    <w:rsid w:val="061B28F8"/>
    <w:rsid w:val="06523BD3"/>
    <w:rsid w:val="06F07A4A"/>
    <w:rsid w:val="073312BA"/>
    <w:rsid w:val="07501470"/>
    <w:rsid w:val="078D200C"/>
    <w:rsid w:val="093502BE"/>
    <w:rsid w:val="0A8D0A59"/>
    <w:rsid w:val="0A9B7F13"/>
    <w:rsid w:val="0B1B06FF"/>
    <w:rsid w:val="0C4E121F"/>
    <w:rsid w:val="0D895E9B"/>
    <w:rsid w:val="0E083826"/>
    <w:rsid w:val="0ED91C40"/>
    <w:rsid w:val="0F0C43DC"/>
    <w:rsid w:val="102E0784"/>
    <w:rsid w:val="113B273E"/>
    <w:rsid w:val="1217497F"/>
    <w:rsid w:val="122372B2"/>
    <w:rsid w:val="12475515"/>
    <w:rsid w:val="12775551"/>
    <w:rsid w:val="12D90460"/>
    <w:rsid w:val="1339142B"/>
    <w:rsid w:val="14382F65"/>
    <w:rsid w:val="147A7FB9"/>
    <w:rsid w:val="14861F22"/>
    <w:rsid w:val="152571DA"/>
    <w:rsid w:val="15771167"/>
    <w:rsid w:val="16707C3C"/>
    <w:rsid w:val="16866209"/>
    <w:rsid w:val="16DE4FF3"/>
    <w:rsid w:val="172D48D7"/>
    <w:rsid w:val="18AF5EEB"/>
    <w:rsid w:val="18E454B9"/>
    <w:rsid w:val="191B2679"/>
    <w:rsid w:val="19B32C58"/>
    <w:rsid w:val="1AF10B9D"/>
    <w:rsid w:val="1AF5395E"/>
    <w:rsid w:val="1D6564C0"/>
    <w:rsid w:val="1D841B13"/>
    <w:rsid w:val="1DE75367"/>
    <w:rsid w:val="1E2638A8"/>
    <w:rsid w:val="1E4A2212"/>
    <w:rsid w:val="1F6A17EB"/>
    <w:rsid w:val="1F6A70A1"/>
    <w:rsid w:val="1F7A0E62"/>
    <w:rsid w:val="1FAA740D"/>
    <w:rsid w:val="205B4263"/>
    <w:rsid w:val="20C95E69"/>
    <w:rsid w:val="21C65648"/>
    <w:rsid w:val="21E263E9"/>
    <w:rsid w:val="221E187F"/>
    <w:rsid w:val="22327245"/>
    <w:rsid w:val="223679FB"/>
    <w:rsid w:val="227E1B91"/>
    <w:rsid w:val="229E0D7F"/>
    <w:rsid w:val="23A75A11"/>
    <w:rsid w:val="23DA702F"/>
    <w:rsid w:val="23E0528F"/>
    <w:rsid w:val="25E76599"/>
    <w:rsid w:val="26654176"/>
    <w:rsid w:val="268A7650"/>
    <w:rsid w:val="26E33204"/>
    <w:rsid w:val="26FB7F94"/>
    <w:rsid w:val="274F4745"/>
    <w:rsid w:val="27DD7069"/>
    <w:rsid w:val="28731590"/>
    <w:rsid w:val="28A11E3E"/>
    <w:rsid w:val="28A40771"/>
    <w:rsid w:val="2A790107"/>
    <w:rsid w:val="2A895854"/>
    <w:rsid w:val="2AC9211E"/>
    <w:rsid w:val="2B542943"/>
    <w:rsid w:val="2B893BDE"/>
    <w:rsid w:val="2BD26A41"/>
    <w:rsid w:val="2BF832AE"/>
    <w:rsid w:val="2CC9146B"/>
    <w:rsid w:val="2CE338D9"/>
    <w:rsid w:val="2D1E2113"/>
    <w:rsid w:val="2D1F0546"/>
    <w:rsid w:val="2DAE6B25"/>
    <w:rsid w:val="2E870330"/>
    <w:rsid w:val="2E897CD8"/>
    <w:rsid w:val="2F455109"/>
    <w:rsid w:val="2F520F27"/>
    <w:rsid w:val="2F96406E"/>
    <w:rsid w:val="2FE065F5"/>
    <w:rsid w:val="309D5095"/>
    <w:rsid w:val="3128086F"/>
    <w:rsid w:val="31576CC8"/>
    <w:rsid w:val="31592A40"/>
    <w:rsid w:val="315E7484"/>
    <w:rsid w:val="318850D4"/>
    <w:rsid w:val="319770C5"/>
    <w:rsid w:val="31FB58A6"/>
    <w:rsid w:val="3212499D"/>
    <w:rsid w:val="32163D42"/>
    <w:rsid w:val="33551385"/>
    <w:rsid w:val="33F1049D"/>
    <w:rsid w:val="34076343"/>
    <w:rsid w:val="34CF7908"/>
    <w:rsid w:val="359342B5"/>
    <w:rsid w:val="369C3589"/>
    <w:rsid w:val="36DA7A37"/>
    <w:rsid w:val="378D7A96"/>
    <w:rsid w:val="37D10F94"/>
    <w:rsid w:val="381F1BC2"/>
    <w:rsid w:val="3857135C"/>
    <w:rsid w:val="3A63223A"/>
    <w:rsid w:val="3A6A181A"/>
    <w:rsid w:val="3C996F55"/>
    <w:rsid w:val="3CBD2355"/>
    <w:rsid w:val="3DA76611"/>
    <w:rsid w:val="3F48386B"/>
    <w:rsid w:val="403667A2"/>
    <w:rsid w:val="40A84E4B"/>
    <w:rsid w:val="40BC06A5"/>
    <w:rsid w:val="40D914A8"/>
    <w:rsid w:val="40EA5463"/>
    <w:rsid w:val="418436BD"/>
    <w:rsid w:val="419F7F6A"/>
    <w:rsid w:val="41A575DC"/>
    <w:rsid w:val="4303280C"/>
    <w:rsid w:val="43857A48"/>
    <w:rsid w:val="43DF38CC"/>
    <w:rsid w:val="43E92700"/>
    <w:rsid w:val="43F56955"/>
    <w:rsid w:val="442B3C1E"/>
    <w:rsid w:val="445912F3"/>
    <w:rsid w:val="452627E2"/>
    <w:rsid w:val="468D6935"/>
    <w:rsid w:val="47F82926"/>
    <w:rsid w:val="4893534E"/>
    <w:rsid w:val="48BD478C"/>
    <w:rsid w:val="49BA4630"/>
    <w:rsid w:val="4A6C1180"/>
    <w:rsid w:val="4B381D20"/>
    <w:rsid w:val="4D0C0A18"/>
    <w:rsid w:val="4D0E7167"/>
    <w:rsid w:val="4D4E0B28"/>
    <w:rsid w:val="4D7443B2"/>
    <w:rsid w:val="4DFF1FFF"/>
    <w:rsid w:val="4E8F764A"/>
    <w:rsid w:val="4EA529C9"/>
    <w:rsid w:val="4ECD1134"/>
    <w:rsid w:val="4EE52608"/>
    <w:rsid w:val="4F563CC4"/>
    <w:rsid w:val="50D83E3D"/>
    <w:rsid w:val="51C0746D"/>
    <w:rsid w:val="520A62A5"/>
    <w:rsid w:val="53184E4F"/>
    <w:rsid w:val="53A5118B"/>
    <w:rsid w:val="53A64422"/>
    <w:rsid w:val="53B04DB3"/>
    <w:rsid w:val="545B7CD5"/>
    <w:rsid w:val="54BE2A37"/>
    <w:rsid w:val="551903A7"/>
    <w:rsid w:val="552173E4"/>
    <w:rsid w:val="5528752E"/>
    <w:rsid w:val="55825812"/>
    <w:rsid w:val="558A7AAC"/>
    <w:rsid w:val="564D675D"/>
    <w:rsid w:val="56510C20"/>
    <w:rsid w:val="56943FBE"/>
    <w:rsid w:val="583A7054"/>
    <w:rsid w:val="584534B6"/>
    <w:rsid w:val="59747B68"/>
    <w:rsid w:val="59A07879"/>
    <w:rsid w:val="5A106109"/>
    <w:rsid w:val="5A2C2A91"/>
    <w:rsid w:val="5A315A59"/>
    <w:rsid w:val="5A475C1D"/>
    <w:rsid w:val="5B8E0F13"/>
    <w:rsid w:val="5BC754E8"/>
    <w:rsid w:val="5C050F4B"/>
    <w:rsid w:val="5C531CB7"/>
    <w:rsid w:val="5CF149CC"/>
    <w:rsid w:val="5D0631CD"/>
    <w:rsid w:val="5D4E06D0"/>
    <w:rsid w:val="5D6E53E6"/>
    <w:rsid w:val="5DF24AE6"/>
    <w:rsid w:val="5E025210"/>
    <w:rsid w:val="5E5E00B1"/>
    <w:rsid w:val="5E767EDE"/>
    <w:rsid w:val="5E9605BB"/>
    <w:rsid w:val="5EE15244"/>
    <w:rsid w:val="5F7206A6"/>
    <w:rsid w:val="60CE0912"/>
    <w:rsid w:val="610533C8"/>
    <w:rsid w:val="63781EED"/>
    <w:rsid w:val="638210D3"/>
    <w:rsid w:val="64703697"/>
    <w:rsid w:val="64834FD6"/>
    <w:rsid w:val="64A31301"/>
    <w:rsid w:val="64A51606"/>
    <w:rsid w:val="667675D9"/>
    <w:rsid w:val="66803CB1"/>
    <w:rsid w:val="66B90882"/>
    <w:rsid w:val="67F31F42"/>
    <w:rsid w:val="686A62E7"/>
    <w:rsid w:val="68F569E8"/>
    <w:rsid w:val="6A7D0FBA"/>
    <w:rsid w:val="6ACB0D32"/>
    <w:rsid w:val="6B03586E"/>
    <w:rsid w:val="6B855C05"/>
    <w:rsid w:val="6C1846F6"/>
    <w:rsid w:val="6C3E69A8"/>
    <w:rsid w:val="6CFD3965"/>
    <w:rsid w:val="6D777D65"/>
    <w:rsid w:val="6E5F6BA9"/>
    <w:rsid w:val="6EBA06DD"/>
    <w:rsid w:val="6F442A1D"/>
    <w:rsid w:val="6FFA5745"/>
    <w:rsid w:val="70285E38"/>
    <w:rsid w:val="70705951"/>
    <w:rsid w:val="708C17E3"/>
    <w:rsid w:val="70FA674D"/>
    <w:rsid w:val="7261687D"/>
    <w:rsid w:val="726C5969"/>
    <w:rsid w:val="72B959AC"/>
    <w:rsid w:val="736236F5"/>
    <w:rsid w:val="736B50E3"/>
    <w:rsid w:val="738B4B90"/>
    <w:rsid w:val="73906389"/>
    <w:rsid w:val="73AB01D2"/>
    <w:rsid w:val="73BB41E7"/>
    <w:rsid w:val="745F3497"/>
    <w:rsid w:val="74932BD0"/>
    <w:rsid w:val="7496622C"/>
    <w:rsid w:val="74B9620A"/>
    <w:rsid w:val="751B33CA"/>
    <w:rsid w:val="75B07179"/>
    <w:rsid w:val="765608C9"/>
    <w:rsid w:val="76B437E8"/>
    <w:rsid w:val="77535ED4"/>
    <w:rsid w:val="79A33816"/>
    <w:rsid w:val="7A0C74F9"/>
    <w:rsid w:val="7A412783"/>
    <w:rsid w:val="7A7D7346"/>
    <w:rsid w:val="7A8F4231"/>
    <w:rsid w:val="7AAF5749"/>
    <w:rsid w:val="7AC15AA0"/>
    <w:rsid w:val="7B022DCE"/>
    <w:rsid w:val="7BDC4D21"/>
    <w:rsid w:val="7D4617FE"/>
    <w:rsid w:val="7F253952"/>
    <w:rsid w:val="7F9935D5"/>
    <w:rsid w:val="7FBD254F"/>
    <w:rsid w:val="7FC861FC"/>
    <w:rsid w:val="7FD545A0"/>
    <w:rsid w:val="7FF976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cs="Times New Roman" w:eastAsiaTheme="minorEastAsia"/>
      <w:sz w:val="24"/>
      <w:szCs w:val="24"/>
      <w:lang w:val="en-US" w:eastAsia="en-US"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8"/>
    <w:autoRedefine/>
    <w:semiHidden/>
    <w:unhideWhenUsed/>
    <w:qFormat/>
    <w:uiPriority w:val="0"/>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Balloon Text"/>
    <w:basedOn w:val="1"/>
    <w:link w:val="17"/>
    <w:autoRedefine/>
    <w:qFormat/>
    <w:uiPriority w:val="0"/>
    <w:rPr>
      <w:sz w:val="18"/>
      <w:szCs w:val="18"/>
    </w:rPr>
  </w:style>
  <w:style w:type="paragraph" w:styleId="5">
    <w:name w:val="footer"/>
    <w:basedOn w:val="1"/>
    <w:link w:val="16"/>
    <w:autoRedefine/>
    <w:unhideWhenUsed/>
    <w:qFormat/>
    <w:uiPriority w:val="0"/>
    <w:pPr>
      <w:tabs>
        <w:tab w:val="center" w:pos="4153"/>
        <w:tab w:val="right" w:pos="8306"/>
      </w:tabs>
      <w:snapToGrid w:val="0"/>
    </w:pPr>
    <w:rPr>
      <w:sz w:val="18"/>
      <w:szCs w:val="18"/>
    </w:rPr>
  </w:style>
  <w:style w:type="paragraph" w:styleId="6">
    <w:name w:val="header"/>
    <w:basedOn w:val="1"/>
    <w:link w:val="1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0"/>
  </w:style>
  <w:style w:type="paragraph" w:styleId="8">
    <w:name w:val="Normal (Web)"/>
    <w:basedOn w:val="1"/>
    <w:autoRedefine/>
    <w:unhideWhenUsed/>
    <w:qFormat/>
    <w:uiPriority w:val="99"/>
    <w:pPr>
      <w:spacing w:before="100" w:beforeAutospacing="1" w:after="100" w:afterAutospacing="1"/>
    </w:pPr>
    <w:rPr>
      <w:rFonts w:ascii="宋体" w:hAnsi="宋体" w:eastAsia="宋体" w:cs="宋体"/>
      <w:lang w:eastAsia="zh-CN"/>
    </w:rPr>
  </w:style>
  <w:style w:type="paragraph" w:styleId="9">
    <w:name w:val="annotation subject"/>
    <w:basedOn w:val="2"/>
    <w:next w:val="2"/>
    <w:link w:val="19"/>
    <w:autoRedefine/>
    <w:semiHidden/>
    <w:unhideWhenUsed/>
    <w:qFormat/>
    <w:uiPriority w:val="0"/>
    <w:rPr>
      <w:b/>
      <w:bCs/>
    </w:rPr>
  </w:style>
  <w:style w:type="table" w:styleId="11">
    <w:name w:val="Table Grid"/>
    <w:basedOn w:val="1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autoRedefine/>
    <w:qFormat/>
    <w:uiPriority w:val="22"/>
    <w:rPr>
      <w:b/>
      <w:bCs/>
    </w:rPr>
  </w:style>
  <w:style w:type="character" w:styleId="14">
    <w:name w:val="annotation reference"/>
    <w:basedOn w:val="12"/>
    <w:autoRedefine/>
    <w:semiHidden/>
    <w:unhideWhenUsed/>
    <w:qFormat/>
    <w:uiPriority w:val="0"/>
    <w:rPr>
      <w:sz w:val="21"/>
      <w:szCs w:val="21"/>
    </w:rPr>
  </w:style>
  <w:style w:type="character" w:customStyle="1" w:styleId="15">
    <w:name w:val="页眉 字符"/>
    <w:basedOn w:val="12"/>
    <w:link w:val="6"/>
    <w:autoRedefine/>
    <w:qFormat/>
    <w:uiPriority w:val="0"/>
    <w:rPr>
      <w:sz w:val="18"/>
      <w:szCs w:val="18"/>
    </w:rPr>
  </w:style>
  <w:style w:type="character" w:customStyle="1" w:styleId="16">
    <w:name w:val="页脚 字符"/>
    <w:basedOn w:val="12"/>
    <w:link w:val="5"/>
    <w:autoRedefine/>
    <w:qFormat/>
    <w:uiPriority w:val="0"/>
    <w:rPr>
      <w:sz w:val="18"/>
      <w:szCs w:val="18"/>
    </w:rPr>
  </w:style>
  <w:style w:type="character" w:customStyle="1" w:styleId="17">
    <w:name w:val="批注框文本 字符"/>
    <w:basedOn w:val="12"/>
    <w:link w:val="4"/>
    <w:autoRedefine/>
    <w:qFormat/>
    <w:uiPriority w:val="0"/>
    <w:rPr>
      <w:rFonts w:eastAsiaTheme="minorEastAsia"/>
      <w:sz w:val="18"/>
      <w:szCs w:val="18"/>
      <w:lang w:eastAsia="en-US"/>
    </w:rPr>
  </w:style>
  <w:style w:type="character" w:customStyle="1" w:styleId="18">
    <w:name w:val="批注文字 字符"/>
    <w:basedOn w:val="12"/>
    <w:link w:val="2"/>
    <w:autoRedefine/>
    <w:semiHidden/>
    <w:qFormat/>
    <w:uiPriority w:val="0"/>
    <w:rPr>
      <w:rFonts w:eastAsiaTheme="minorEastAsia"/>
      <w:sz w:val="24"/>
      <w:szCs w:val="24"/>
      <w:lang w:eastAsia="en-US"/>
    </w:rPr>
  </w:style>
  <w:style w:type="character" w:customStyle="1" w:styleId="19">
    <w:name w:val="批注主题 字符"/>
    <w:basedOn w:val="18"/>
    <w:link w:val="9"/>
    <w:autoRedefine/>
    <w:qFormat/>
    <w:uiPriority w:val="0"/>
    <w:rPr>
      <w:rFonts w:eastAsiaTheme="minorEastAsia"/>
      <w:sz w:val="24"/>
      <w:szCs w:val="24"/>
      <w:lang w:eastAsia="en-US"/>
    </w:rPr>
  </w:style>
  <w:style w:type="paragraph" w:styleId="20">
    <w:name w:val="List Paragraph"/>
    <w:basedOn w:val="1"/>
    <w:autoRedefine/>
    <w:unhideWhenUsed/>
    <w:qFormat/>
    <w:uiPriority w:val="99"/>
    <w:pPr>
      <w:ind w:firstLine="420" w:firstLineChars="200"/>
    </w:pPr>
  </w:style>
  <w:style w:type="character" w:customStyle="1" w:styleId="21">
    <w:name w:val="font21"/>
    <w:basedOn w:val="12"/>
    <w:autoRedefine/>
    <w:qFormat/>
    <w:uiPriority w:val="0"/>
    <w:rPr>
      <w:rFonts w:hint="eastAsia" w:ascii="宋体" w:hAnsi="宋体" w:eastAsia="宋体" w:cs="宋体"/>
      <w:color w:val="000000"/>
      <w:sz w:val="24"/>
      <w:szCs w:val="24"/>
      <w:u w:val="none"/>
    </w:rPr>
  </w:style>
  <w:style w:type="character" w:customStyle="1" w:styleId="22">
    <w:name w:val="font31"/>
    <w:basedOn w:val="12"/>
    <w:autoRedefine/>
    <w:qFormat/>
    <w:uiPriority w:val="0"/>
    <w:rPr>
      <w:rFonts w:hint="default" w:ascii="Calibri" w:hAnsi="Calibri" w:cs="Calibri"/>
      <w:color w:val="000000"/>
      <w:sz w:val="24"/>
      <w:szCs w:val="24"/>
      <w:u w:val="non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7501</Words>
  <Characters>7683</Characters>
  <Lines>50</Lines>
  <Paragraphs>14</Paragraphs>
  <TotalTime>0</TotalTime>
  <ScaleCrop>false</ScaleCrop>
  <LinksUpToDate>false</LinksUpToDate>
  <CharactersWithSpaces>7745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2024-12-17T08:05:00Z</dcterms:created>
  <dc:creator>Administrator</dc:creator>
  <cp:lastModifiedBy>2</cp:lastModifiedBy>
  <cp:lastPrinted>2024-12-19T02:55:00Z</cp:lastPrinted>
  <dcterms:modified xsi:type="dcterms:W3CDTF">2025-03-06T10:27:00Z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869D542829E84244A870BA4D3872B1A9_13</vt:lpwstr>
  </property>
  <property fmtid="{D5CDD505-2E9C-101B-9397-08002B2CF9AE}" pid="4" name="KSOTemplateDocerSaveRecord">
    <vt:lpwstr>eyJoZGlkIjoiMGY5MWQ5ZDBkOGEyMDRhMzU2NmIzYjY1NGMyNWI3YWUiLCJ1c2VySWQiOiI5NTIwNzI0NzkifQ==</vt:lpwstr>
  </property>
</Properties>
</file>