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1047" w:tblpY="1067"/>
        <w:tblOverlap w:val="never"/>
        <w:tblW w:w="103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7"/>
        <w:gridCol w:w="834"/>
        <w:gridCol w:w="8617"/>
      </w:tblGrid>
      <w:tr w14:paraId="50EE6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noWrap w:val="0"/>
            <w:vAlign w:val="center"/>
          </w:tcPr>
          <w:p w14:paraId="1FBECC1A">
            <w:pPr>
              <w:snapToGrid w:val="0"/>
              <w:spacing w:line="320" w:lineRule="exact"/>
              <w:jc w:val="center"/>
              <w:rPr>
                <w:rFonts w:ascii="宋体" w:hAnsi="宋体" w:eastAsia="宋体" w:cs="Calibri"/>
                <w:b/>
                <w:bCs/>
                <w:color w:val="000000"/>
                <w:szCs w:val="21"/>
              </w:rPr>
            </w:pPr>
            <w:r>
              <w:rPr>
                <w:rFonts w:hint="eastAsia" w:ascii="宋体" w:hAnsi="宋体" w:eastAsia="宋体" w:cs="Calibri"/>
                <w:b/>
                <w:bCs/>
                <w:color w:val="000000"/>
                <w:szCs w:val="21"/>
              </w:rPr>
              <w:t>项目</w:t>
            </w:r>
            <w:r>
              <w:rPr>
                <w:rFonts w:hint="eastAsia" w:ascii="宋体" w:hAnsi="宋体" w:eastAsia="宋体" w:cs="Calibri"/>
                <w:b/>
                <w:bCs/>
                <w:color w:val="000000"/>
                <w:szCs w:val="21"/>
                <w:lang w:val="en-US" w:eastAsia="zh-CN"/>
              </w:rPr>
              <w:t xml:space="preserve"> </w:t>
            </w:r>
            <w:r>
              <w:rPr>
                <w:rFonts w:hint="eastAsia" w:ascii="宋体" w:hAnsi="宋体" w:eastAsia="宋体" w:cs="Calibri"/>
                <w:b/>
                <w:bCs/>
                <w:color w:val="000000"/>
                <w:szCs w:val="21"/>
              </w:rPr>
              <w:t>名称</w:t>
            </w:r>
          </w:p>
        </w:tc>
        <w:tc>
          <w:tcPr>
            <w:tcW w:w="834" w:type="dxa"/>
            <w:tcBorders>
              <w:top w:val="single" w:color="auto" w:sz="4" w:space="0"/>
              <w:left w:val="nil"/>
              <w:bottom w:val="single" w:color="auto" w:sz="4" w:space="0"/>
              <w:right w:val="single" w:color="auto" w:sz="4" w:space="0"/>
            </w:tcBorders>
            <w:noWrap w:val="0"/>
            <w:vAlign w:val="center"/>
          </w:tcPr>
          <w:p w14:paraId="23DBD891">
            <w:pPr>
              <w:snapToGrid w:val="0"/>
              <w:spacing w:line="320" w:lineRule="exact"/>
              <w:jc w:val="center"/>
              <w:rPr>
                <w:rFonts w:ascii="宋体" w:hAnsi="宋体" w:eastAsia="宋体" w:cs="Calibri"/>
                <w:b/>
                <w:bCs/>
                <w:color w:val="000000"/>
                <w:szCs w:val="21"/>
              </w:rPr>
            </w:pPr>
            <w:r>
              <w:rPr>
                <w:rFonts w:hint="eastAsia" w:ascii="宋体" w:hAnsi="宋体" w:eastAsia="宋体" w:cs="Calibri"/>
                <w:b/>
                <w:bCs/>
                <w:color w:val="000000"/>
                <w:szCs w:val="21"/>
              </w:rPr>
              <w:t>数量及单位</w:t>
            </w:r>
          </w:p>
        </w:tc>
        <w:tc>
          <w:tcPr>
            <w:tcW w:w="8617" w:type="dxa"/>
            <w:tcBorders>
              <w:top w:val="single" w:color="auto" w:sz="4" w:space="0"/>
              <w:left w:val="nil"/>
              <w:bottom w:val="single" w:color="auto" w:sz="4" w:space="0"/>
              <w:right w:val="single" w:color="auto" w:sz="4" w:space="0"/>
            </w:tcBorders>
            <w:noWrap w:val="0"/>
            <w:vAlign w:val="center"/>
          </w:tcPr>
          <w:p w14:paraId="204AF1EC">
            <w:pPr>
              <w:snapToGrid w:val="0"/>
              <w:spacing w:line="320" w:lineRule="exact"/>
              <w:jc w:val="center"/>
              <w:rPr>
                <w:rFonts w:ascii="宋体" w:hAnsi="宋体" w:eastAsia="宋体" w:cs="Calibri"/>
                <w:b/>
                <w:bCs/>
                <w:color w:val="000000"/>
                <w:szCs w:val="21"/>
              </w:rPr>
            </w:pPr>
            <w:bookmarkStart w:id="0" w:name="_GoBack"/>
            <w:bookmarkEnd w:id="0"/>
            <w:r>
              <w:rPr>
                <w:rFonts w:hint="eastAsia" w:ascii="宋体" w:hAnsi="宋体" w:eastAsia="宋体" w:cs="Calibri"/>
                <w:b/>
                <w:bCs/>
                <w:color w:val="000000"/>
                <w:szCs w:val="21"/>
              </w:rPr>
              <w:t>项目需求及服务要求</w:t>
            </w:r>
          </w:p>
        </w:tc>
      </w:tr>
      <w:tr w14:paraId="19E34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4" w:hRule="atLeast"/>
        </w:trPr>
        <w:tc>
          <w:tcPr>
            <w:tcW w:w="877" w:type="dxa"/>
            <w:vMerge w:val="restart"/>
            <w:tcBorders>
              <w:top w:val="single" w:color="auto" w:sz="4" w:space="0"/>
              <w:left w:val="single" w:color="auto" w:sz="4" w:space="0"/>
              <w:right w:val="single" w:color="auto" w:sz="4" w:space="0"/>
            </w:tcBorders>
            <w:noWrap w:val="0"/>
            <w:vAlign w:val="center"/>
          </w:tcPr>
          <w:p w14:paraId="53390B78">
            <w:pPr>
              <w:spacing w:line="320" w:lineRule="exact"/>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广西骨伤医院中药饮片供应商院内对外公开遴选项目</w:t>
            </w:r>
          </w:p>
        </w:tc>
        <w:tc>
          <w:tcPr>
            <w:tcW w:w="834" w:type="dxa"/>
            <w:tcBorders>
              <w:top w:val="single" w:color="auto" w:sz="4" w:space="0"/>
              <w:left w:val="nil"/>
              <w:bottom w:val="single" w:color="auto" w:sz="4" w:space="0"/>
              <w:right w:val="single" w:color="auto" w:sz="4" w:space="0"/>
            </w:tcBorders>
            <w:noWrap w:val="0"/>
            <w:vAlign w:val="center"/>
          </w:tcPr>
          <w:p w14:paraId="44F80910">
            <w:pPr>
              <w:snapToGrid w:val="0"/>
              <w:spacing w:line="320" w:lineRule="exact"/>
              <w:jc w:val="center"/>
              <w:rPr>
                <w:rFonts w:hint="default"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A标段</w:t>
            </w:r>
          </w:p>
        </w:tc>
        <w:tc>
          <w:tcPr>
            <w:tcW w:w="8617" w:type="dxa"/>
            <w:tcBorders>
              <w:top w:val="single" w:color="auto" w:sz="4" w:space="0"/>
              <w:left w:val="nil"/>
              <w:bottom w:val="single" w:color="auto" w:sz="4" w:space="0"/>
              <w:right w:val="single" w:color="auto" w:sz="4" w:space="0"/>
            </w:tcBorders>
            <w:noWrap w:val="0"/>
            <w:vAlign w:val="top"/>
          </w:tcPr>
          <w:p w14:paraId="79D27E1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A标段中药饮片品种清单需求参数</w:t>
            </w:r>
          </w:p>
          <w:tbl>
            <w:tblPr>
              <w:tblStyle w:val="3"/>
              <w:tblW w:w="8431" w:type="dxa"/>
              <w:tblInd w:w="-1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7"/>
              <w:gridCol w:w="850"/>
              <w:gridCol w:w="550"/>
              <w:gridCol w:w="716"/>
              <w:gridCol w:w="1650"/>
              <w:gridCol w:w="784"/>
              <w:gridCol w:w="1000"/>
              <w:gridCol w:w="1066"/>
              <w:gridCol w:w="1148"/>
            </w:tblGrid>
            <w:tr w14:paraId="1C76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2F18CDF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序号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A71A14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药品   名称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C8E102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规格</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718715D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单位</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6EB731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要求</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2ED4425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要求提供参考样本</w:t>
                  </w:r>
                </w:p>
              </w:tc>
              <w:tc>
                <w:tcPr>
                  <w:tcW w:w="1000" w:type="dxa"/>
                  <w:tcBorders>
                    <w:top w:val="single" w:color="000000" w:sz="4" w:space="0"/>
                    <w:left w:val="nil"/>
                    <w:bottom w:val="single" w:color="000000" w:sz="4" w:space="0"/>
                    <w:right w:val="single" w:color="000000" w:sz="4" w:space="0"/>
                  </w:tcBorders>
                  <w:noWrap w:val="0"/>
                  <w:vAlign w:val="center"/>
                </w:tcPr>
                <w:p w14:paraId="1D836C6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2023-2024上控价</w:t>
                  </w:r>
                </w:p>
              </w:tc>
              <w:tc>
                <w:tcPr>
                  <w:tcW w:w="1066" w:type="dxa"/>
                  <w:tcBorders>
                    <w:top w:val="single" w:color="000000" w:sz="4" w:space="0"/>
                    <w:left w:val="single" w:color="000000" w:sz="4" w:space="0"/>
                    <w:bottom w:val="single" w:color="000000" w:sz="4" w:space="0"/>
                    <w:right w:val="single" w:color="000000" w:sz="4" w:space="0"/>
                  </w:tcBorders>
                  <w:noWrap w:val="0"/>
                  <w:vAlign w:val="center"/>
                </w:tcPr>
                <w:p w14:paraId="12D4FB5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2023-2024用量（千克）</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591E55C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金额(元)</w:t>
                  </w:r>
                </w:p>
              </w:tc>
            </w:tr>
            <w:tr w14:paraId="174AC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667" w:type="dxa"/>
                  <w:tcBorders>
                    <w:top w:val="single" w:color="000000" w:sz="4" w:space="0"/>
                    <w:left w:val="single" w:color="000000" w:sz="4" w:space="0"/>
                    <w:bottom w:val="single" w:color="000000" w:sz="4" w:space="0"/>
                    <w:right w:val="single" w:color="000000" w:sz="4" w:space="0"/>
                  </w:tcBorders>
                  <w:noWrap/>
                  <w:vAlign w:val="center"/>
                </w:tcPr>
                <w:p w14:paraId="54D1502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20F36D1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五味藤</w:t>
                  </w:r>
                </w:p>
              </w:tc>
              <w:tc>
                <w:tcPr>
                  <w:tcW w:w="550" w:type="dxa"/>
                  <w:tcBorders>
                    <w:top w:val="single" w:color="000000" w:sz="4" w:space="0"/>
                    <w:left w:val="single" w:color="000000" w:sz="4" w:space="0"/>
                    <w:bottom w:val="single" w:color="000000" w:sz="4" w:space="0"/>
                    <w:right w:val="single" w:color="000000" w:sz="4" w:space="0"/>
                  </w:tcBorders>
                  <w:noWrap/>
                  <w:vAlign w:val="center"/>
                </w:tcPr>
                <w:p w14:paraId="44CDF5C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0</w:t>
                  </w:r>
                </w:p>
              </w:tc>
              <w:tc>
                <w:tcPr>
                  <w:tcW w:w="716" w:type="dxa"/>
                  <w:tcBorders>
                    <w:top w:val="single" w:color="000000" w:sz="4" w:space="0"/>
                    <w:left w:val="single" w:color="000000" w:sz="4" w:space="0"/>
                    <w:bottom w:val="single" w:color="000000" w:sz="4" w:space="0"/>
                    <w:right w:val="single" w:color="000000" w:sz="4" w:space="0"/>
                  </w:tcBorders>
                  <w:noWrap/>
                  <w:vAlign w:val="center"/>
                </w:tcPr>
                <w:p w14:paraId="64B263E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kg</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3892F67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符合壮药质量标准</w:t>
                  </w:r>
                </w:p>
              </w:tc>
              <w:tc>
                <w:tcPr>
                  <w:tcW w:w="784" w:type="dxa"/>
                  <w:tcBorders>
                    <w:top w:val="single" w:color="000000" w:sz="4" w:space="0"/>
                    <w:left w:val="single" w:color="000000" w:sz="4" w:space="0"/>
                    <w:bottom w:val="single" w:color="000000" w:sz="4" w:space="0"/>
                    <w:right w:val="single" w:color="000000" w:sz="4" w:space="0"/>
                  </w:tcBorders>
                  <w:noWrap/>
                  <w:vAlign w:val="center"/>
                </w:tcPr>
                <w:p w14:paraId="00E52E3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w:t>
                  </w:r>
                </w:p>
              </w:tc>
              <w:tc>
                <w:tcPr>
                  <w:tcW w:w="1000" w:type="dxa"/>
                  <w:tcBorders>
                    <w:top w:val="single" w:color="000000" w:sz="4" w:space="0"/>
                    <w:left w:val="nil"/>
                    <w:bottom w:val="single" w:color="000000" w:sz="4" w:space="0"/>
                    <w:right w:val="single" w:color="000000" w:sz="4" w:space="0"/>
                  </w:tcBorders>
                  <w:noWrap/>
                  <w:vAlign w:val="center"/>
                </w:tcPr>
                <w:p w14:paraId="3C2151A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38</w:t>
                  </w:r>
                </w:p>
              </w:tc>
              <w:tc>
                <w:tcPr>
                  <w:tcW w:w="1066" w:type="dxa"/>
                  <w:tcBorders>
                    <w:top w:val="single" w:color="000000" w:sz="4" w:space="0"/>
                    <w:left w:val="single" w:color="000000" w:sz="4" w:space="0"/>
                    <w:bottom w:val="single" w:color="000000" w:sz="4" w:space="0"/>
                    <w:right w:val="single" w:color="000000" w:sz="4" w:space="0"/>
                  </w:tcBorders>
                  <w:noWrap/>
                  <w:vAlign w:val="center"/>
                </w:tcPr>
                <w:p w14:paraId="069BFC8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2000</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0970F9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76000</w:t>
                  </w:r>
                </w:p>
              </w:tc>
            </w:tr>
            <w:tr w14:paraId="3C7CA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67" w:type="dxa"/>
                  <w:tcBorders>
                    <w:top w:val="single" w:color="000000" w:sz="4" w:space="0"/>
                    <w:left w:val="single" w:color="000000" w:sz="4" w:space="0"/>
                    <w:bottom w:val="single" w:color="000000" w:sz="4" w:space="0"/>
                    <w:right w:val="single" w:color="000000" w:sz="4" w:space="0"/>
                  </w:tcBorders>
                  <w:noWrap/>
                  <w:vAlign w:val="center"/>
                </w:tcPr>
                <w:p w14:paraId="20CAA21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23201E7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山香</w:t>
                  </w:r>
                </w:p>
              </w:tc>
              <w:tc>
                <w:tcPr>
                  <w:tcW w:w="550" w:type="dxa"/>
                  <w:tcBorders>
                    <w:top w:val="single" w:color="000000" w:sz="4" w:space="0"/>
                    <w:left w:val="single" w:color="000000" w:sz="4" w:space="0"/>
                    <w:bottom w:val="single" w:color="000000" w:sz="4" w:space="0"/>
                    <w:right w:val="single" w:color="000000" w:sz="4" w:space="0"/>
                  </w:tcBorders>
                  <w:noWrap/>
                  <w:vAlign w:val="center"/>
                </w:tcPr>
                <w:p w14:paraId="69B0CBC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段</w:t>
                  </w:r>
                </w:p>
              </w:tc>
              <w:tc>
                <w:tcPr>
                  <w:tcW w:w="716" w:type="dxa"/>
                  <w:tcBorders>
                    <w:top w:val="single" w:color="000000" w:sz="4" w:space="0"/>
                    <w:left w:val="single" w:color="000000" w:sz="4" w:space="0"/>
                    <w:bottom w:val="single" w:color="000000" w:sz="4" w:space="0"/>
                    <w:right w:val="single" w:color="000000" w:sz="4" w:space="0"/>
                  </w:tcBorders>
                  <w:noWrap/>
                  <w:vAlign w:val="center"/>
                </w:tcPr>
                <w:p w14:paraId="2FB1C28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kg</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5FFB1F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符合壮药质量标准</w:t>
                  </w:r>
                </w:p>
              </w:tc>
              <w:tc>
                <w:tcPr>
                  <w:tcW w:w="784" w:type="dxa"/>
                  <w:tcBorders>
                    <w:top w:val="single" w:color="000000" w:sz="4" w:space="0"/>
                    <w:left w:val="single" w:color="000000" w:sz="4" w:space="0"/>
                    <w:bottom w:val="single" w:color="000000" w:sz="4" w:space="0"/>
                    <w:right w:val="single" w:color="000000" w:sz="4" w:space="0"/>
                  </w:tcBorders>
                  <w:noWrap/>
                  <w:vAlign w:val="center"/>
                </w:tcPr>
                <w:p w14:paraId="70C2C66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w:t>
                  </w:r>
                </w:p>
              </w:tc>
              <w:tc>
                <w:tcPr>
                  <w:tcW w:w="1000" w:type="dxa"/>
                  <w:tcBorders>
                    <w:top w:val="single" w:color="000000" w:sz="4" w:space="0"/>
                    <w:left w:val="nil"/>
                    <w:bottom w:val="single" w:color="000000" w:sz="4" w:space="0"/>
                    <w:right w:val="single" w:color="000000" w:sz="4" w:space="0"/>
                  </w:tcBorders>
                  <w:noWrap/>
                  <w:vAlign w:val="center"/>
                </w:tcPr>
                <w:p w14:paraId="4089927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130</w:t>
                  </w:r>
                </w:p>
              </w:tc>
              <w:tc>
                <w:tcPr>
                  <w:tcW w:w="1066" w:type="dxa"/>
                  <w:tcBorders>
                    <w:top w:val="single" w:color="000000" w:sz="4" w:space="0"/>
                    <w:left w:val="single" w:color="000000" w:sz="4" w:space="0"/>
                    <w:bottom w:val="single" w:color="000000" w:sz="4" w:space="0"/>
                    <w:right w:val="single" w:color="000000" w:sz="4" w:space="0"/>
                  </w:tcBorders>
                  <w:noWrap/>
                  <w:vAlign w:val="center"/>
                </w:tcPr>
                <w:p w14:paraId="48A2212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250</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3B364F6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32500</w:t>
                  </w:r>
                </w:p>
              </w:tc>
            </w:tr>
            <w:tr w14:paraId="65618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667" w:type="dxa"/>
                  <w:tcBorders>
                    <w:top w:val="single" w:color="000000" w:sz="4" w:space="0"/>
                    <w:left w:val="single" w:color="000000" w:sz="4" w:space="0"/>
                    <w:bottom w:val="single" w:color="000000" w:sz="4" w:space="0"/>
                    <w:right w:val="single" w:color="000000" w:sz="4" w:space="0"/>
                  </w:tcBorders>
                  <w:noWrap/>
                  <w:vAlign w:val="center"/>
                </w:tcPr>
                <w:p w14:paraId="3FF8136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7E1A8E3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当归尾</w:t>
                  </w:r>
                </w:p>
              </w:tc>
              <w:tc>
                <w:tcPr>
                  <w:tcW w:w="550" w:type="dxa"/>
                  <w:tcBorders>
                    <w:top w:val="single" w:color="000000" w:sz="4" w:space="0"/>
                    <w:left w:val="single" w:color="000000" w:sz="4" w:space="0"/>
                    <w:bottom w:val="single" w:color="000000" w:sz="4" w:space="0"/>
                    <w:right w:val="single" w:color="000000" w:sz="4" w:space="0"/>
                  </w:tcBorders>
                  <w:noWrap/>
                  <w:vAlign w:val="center"/>
                </w:tcPr>
                <w:p w14:paraId="04C72D9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p>
              </w:tc>
              <w:tc>
                <w:tcPr>
                  <w:tcW w:w="716" w:type="dxa"/>
                  <w:tcBorders>
                    <w:top w:val="single" w:color="000000" w:sz="4" w:space="0"/>
                    <w:left w:val="single" w:color="000000" w:sz="4" w:space="0"/>
                    <w:bottom w:val="single" w:color="000000" w:sz="4" w:space="0"/>
                    <w:right w:val="single" w:color="000000" w:sz="4" w:space="0"/>
                  </w:tcBorders>
                  <w:noWrap/>
                  <w:vAlign w:val="center"/>
                </w:tcPr>
                <w:p w14:paraId="5D5E9D3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kg</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5ABBDB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p>
              </w:tc>
              <w:tc>
                <w:tcPr>
                  <w:tcW w:w="784" w:type="dxa"/>
                  <w:tcBorders>
                    <w:top w:val="single" w:color="000000" w:sz="4" w:space="0"/>
                    <w:left w:val="single" w:color="000000" w:sz="4" w:space="0"/>
                    <w:bottom w:val="single" w:color="000000" w:sz="4" w:space="0"/>
                    <w:right w:val="single" w:color="000000" w:sz="4" w:space="0"/>
                  </w:tcBorders>
                  <w:noWrap/>
                  <w:vAlign w:val="center"/>
                </w:tcPr>
                <w:p w14:paraId="39FD336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p>
              </w:tc>
              <w:tc>
                <w:tcPr>
                  <w:tcW w:w="1000" w:type="dxa"/>
                  <w:tcBorders>
                    <w:top w:val="single" w:color="000000" w:sz="4" w:space="0"/>
                    <w:left w:val="nil"/>
                    <w:bottom w:val="single" w:color="000000" w:sz="4" w:space="0"/>
                    <w:right w:val="single" w:color="000000" w:sz="4" w:space="0"/>
                  </w:tcBorders>
                  <w:noWrap/>
                  <w:vAlign w:val="center"/>
                </w:tcPr>
                <w:p w14:paraId="7C7FA70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220</w:t>
                  </w:r>
                </w:p>
              </w:tc>
              <w:tc>
                <w:tcPr>
                  <w:tcW w:w="1066" w:type="dxa"/>
                  <w:tcBorders>
                    <w:top w:val="single" w:color="000000" w:sz="4" w:space="0"/>
                    <w:left w:val="single" w:color="000000" w:sz="4" w:space="0"/>
                    <w:bottom w:val="single" w:color="000000" w:sz="4" w:space="0"/>
                    <w:right w:val="single" w:color="000000" w:sz="4" w:space="0"/>
                  </w:tcBorders>
                  <w:noWrap/>
                  <w:vAlign w:val="center"/>
                </w:tcPr>
                <w:p w14:paraId="4231BC0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200</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33A555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44000</w:t>
                  </w:r>
                </w:p>
              </w:tc>
            </w:tr>
            <w:tr w14:paraId="70881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7" w:type="dxa"/>
                  <w:tcBorders>
                    <w:top w:val="single" w:color="000000" w:sz="4" w:space="0"/>
                    <w:left w:val="single" w:color="000000" w:sz="4" w:space="0"/>
                    <w:bottom w:val="single" w:color="000000" w:sz="4" w:space="0"/>
                    <w:right w:val="single" w:color="000000" w:sz="4" w:space="0"/>
                  </w:tcBorders>
                  <w:noWrap/>
                  <w:vAlign w:val="center"/>
                </w:tcPr>
                <w:p w14:paraId="107B0A0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6B2A2C9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黄柏</w:t>
                  </w:r>
                </w:p>
              </w:tc>
              <w:tc>
                <w:tcPr>
                  <w:tcW w:w="550" w:type="dxa"/>
                  <w:tcBorders>
                    <w:top w:val="single" w:color="000000" w:sz="4" w:space="0"/>
                    <w:left w:val="single" w:color="000000" w:sz="4" w:space="0"/>
                    <w:bottom w:val="single" w:color="000000" w:sz="4" w:space="0"/>
                    <w:right w:val="single" w:color="000000" w:sz="4" w:space="0"/>
                  </w:tcBorders>
                  <w:noWrap/>
                  <w:vAlign w:val="center"/>
                </w:tcPr>
                <w:p w14:paraId="02B113A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丝</w:t>
                  </w:r>
                </w:p>
              </w:tc>
              <w:tc>
                <w:tcPr>
                  <w:tcW w:w="716" w:type="dxa"/>
                  <w:tcBorders>
                    <w:top w:val="single" w:color="000000" w:sz="4" w:space="0"/>
                    <w:left w:val="single" w:color="000000" w:sz="4" w:space="0"/>
                    <w:bottom w:val="single" w:color="000000" w:sz="4" w:space="0"/>
                    <w:right w:val="single" w:color="000000" w:sz="4" w:space="0"/>
                  </w:tcBorders>
                  <w:noWrap/>
                  <w:vAlign w:val="center"/>
                </w:tcPr>
                <w:p w14:paraId="4032EA1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kg</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5890D09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新鲜一级切丝</w:t>
                  </w:r>
                </w:p>
              </w:tc>
              <w:tc>
                <w:tcPr>
                  <w:tcW w:w="784" w:type="dxa"/>
                  <w:tcBorders>
                    <w:top w:val="single" w:color="000000" w:sz="4" w:space="0"/>
                    <w:left w:val="single" w:color="000000" w:sz="4" w:space="0"/>
                    <w:bottom w:val="single" w:color="000000" w:sz="4" w:space="0"/>
                    <w:right w:val="single" w:color="000000" w:sz="4" w:space="0"/>
                  </w:tcBorders>
                  <w:noWrap/>
                  <w:vAlign w:val="center"/>
                </w:tcPr>
                <w:p w14:paraId="7DA133F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w:t>
                  </w:r>
                </w:p>
              </w:tc>
              <w:tc>
                <w:tcPr>
                  <w:tcW w:w="1000" w:type="dxa"/>
                  <w:tcBorders>
                    <w:top w:val="single" w:color="000000" w:sz="4" w:space="0"/>
                    <w:left w:val="nil"/>
                    <w:bottom w:val="single" w:color="000000" w:sz="4" w:space="0"/>
                    <w:right w:val="single" w:color="000000" w:sz="4" w:space="0"/>
                  </w:tcBorders>
                  <w:noWrap/>
                  <w:vAlign w:val="center"/>
                </w:tcPr>
                <w:p w14:paraId="6AB0D91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128</w:t>
                  </w:r>
                </w:p>
              </w:tc>
              <w:tc>
                <w:tcPr>
                  <w:tcW w:w="1066" w:type="dxa"/>
                  <w:tcBorders>
                    <w:top w:val="single" w:color="000000" w:sz="4" w:space="0"/>
                    <w:left w:val="single" w:color="000000" w:sz="4" w:space="0"/>
                    <w:bottom w:val="single" w:color="000000" w:sz="4" w:space="0"/>
                    <w:right w:val="single" w:color="000000" w:sz="4" w:space="0"/>
                  </w:tcBorders>
                  <w:noWrap/>
                  <w:vAlign w:val="center"/>
                </w:tcPr>
                <w:p w14:paraId="035E315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200</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0F53779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25600</w:t>
                  </w:r>
                </w:p>
              </w:tc>
            </w:tr>
            <w:tr w14:paraId="117F4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7" w:type="dxa"/>
                  <w:tcBorders>
                    <w:top w:val="single" w:color="000000" w:sz="4" w:space="0"/>
                    <w:left w:val="single" w:color="000000" w:sz="4" w:space="0"/>
                    <w:bottom w:val="single" w:color="000000" w:sz="4" w:space="0"/>
                    <w:right w:val="single" w:color="000000" w:sz="4" w:space="0"/>
                  </w:tcBorders>
                  <w:noWrap/>
                  <w:vAlign w:val="center"/>
                </w:tcPr>
                <w:p w14:paraId="6B8666D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5</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0AD8FEC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大黄</w:t>
                  </w:r>
                </w:p>
              </w:tc>
              <w:tc>
                <w:tcPr>
                  <w:tcW w:w="550" w:type="dxa"/>
                  <w:tcBorders>
                    <w:top w:val="single" w:color="000000" w:sz="4" w:space="0"/>
                    <w:left w:val="single" w:color="000000" w:sz="4" w:space="0"/>
                    <w:bottom w:val="single" w:color="000000" w:sz="4" w:space="0"/>
                    <w:right w:val="single" w:color="000000" w:sz="4" w:space="0"/>
                  </w:tcBorders>
                  <w:noWrap/>
                  <w:vAlign w:val="center"/>
                </w:tcPr>
                <w:p w14:paraId="242BA63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一级</w:t>
                  </w:r>
                </w:p>
              </w:tc>
              <w:tc>
                <w:tcPr>
                  <w:tcW w:w="716" w:type="dxa"/>
                  <w:tcBorders>
                    <w:top w:val="single" w:color="000000" w:sz="4" w:space="0"/>
                    <w:left w:val="single" w:color="000000" w:sz="4" w:space="0"/>
                    <w:bottom w:val="single" w:color="000000" w:sz="4" w:space="0"/>
                    <w:right w:val="single" w:color="000000" w:sz="4" w:space="0"/>
                  </w:tcBorders>
                  <w:noWrap/>
                  <w:vAlign w:val="center"/>
                </w:tcPr>
                <w:p w14:paraId="6BFA6A2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kg</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3CC0D61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新鲜一级，无泥</w:t>
                  </w:r>
                </w:p>
              </w:tc>
              <w:tc>
                <w:tcPr>
                  <w:tcW w:w="784" w:type="dxa"/>
                  <w:tcBorders>
                    <w:top w:val="single" w:color="000000" w:sz="4" w:space="0"/>
                    <w:left w:val="single" w:color="000000" w:sz="4" w:space="0"/>
                    <w:bottom w:val="single" w:color="000000" w:sz="4" w:space="0"/>
                    <w:right w:val="single" w:color="000000" w:sz="4" w:space="0"/>
                  </w:tcBorders>
                  <w:noWrap/>
                  <w:vAlign w:val="center"/>
                </w:tcPr>
                <w:p w14:paraId="499526C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w:t>
                  </w:r>
                </w:p>
              </w:tc>
              <w:tc>
                <w:tcPr>
                  <w:tcW w:w="1000" w:type="dxa"/>
                  <w:tcBorders>
                    <w:top w:val="single" w:color="000000" w:sz="4" w:space="0"/>
                    <w:left w:val="nil"/>
                    <w:bottom w:val="single" w:color="000000" w:sz="4" w:space="0"/>
                    <w:right w:val="single" w:color="000000" w:sz="4" w:space="0"/>
                  </w:tcBorders>
                  <w:noWrap/>
                  <w:vAlign w:val="center"/>
                </w:tcPr>
                <w:p w14:paraId="59A3D4D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65</w:t>
                  </w:r>
                </w:p>
              </w:tc>
              <w:tc>
                <w:tcPr>
                  <w:tcW w:w="1066" w:type="dxa"/>
                  <w:tcBorders>
                    <w:top w:val="single" w:color="000000" w:sz="4" w:space="0"/>
                    <w:left w:val="single" w:color="000000" w:sz="4" w:space="0"/>
                    <w:bottom w:val="single" w:color="000000" w:sz="4" w:space="0"/>
                    <w:right w:val="single" w:color="000000" w:sz="4" w:space="0"/>
                  </w:tcBorders>
                  <w:noWrap/>
                  <w:vAlign w:val="center"/>
                </w:tcPr>
                <w:p w14:paraId="0F63FFE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200</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2295844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13000</w:t>
                  </w:r>
                </w:p>
              </w:tc>
            </w:tr>
            <w:tr w14:paraId="707FB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7" w:type="dxa"/>
                  <w:tcBorders>
                    <w:top w:val="single" w:color="000000" w:sz="4" w:space="0"/>
                    <w:left w:val="single" w:color="000000" w:sz="4" w:space="0"/>
                    <w:bottom w:val="single" w:color="000000" w:sz="4" w:space="0"/>
                    <w:right w:val="single" w:color="000000" w:sz="4" w:space="0"/>
                  </w:tcBorders>
                  <w:noWrap/>
                  <w:vAlign w:val="center"/>
                </w:tcPr>
                <w:p w14:paraId="0091396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Times New Roman"/>
                      <w:color w:val="000000"/>
                      <w:szCs w:val="21"/>
                    </w:rPr>
                    <w:t>明细</w:t>
                  </w:r>
                  <w:r>
                    <w:rPr>
                      <w:rFonts w:hint="eastAsia" w:ascii="宋体" w:hAnsi="宋体" w:eastAsia="宋体" w:cs="Times New Roman"/>
                      <w:color w:val="000000"/>
                      <w:szCs w:val="21"/>
                      <w:lang w:val="en-US" w:eastAsia="zh-CN"/>
                    </w:rPr>
                    <w:t>另附</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3C15CD6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550" w:type="dxa"/>
                  <w:tcBorders>
                    <w:top w:val="single" w:color="000000" w:sz="4" w:space="0"/>
                    <w:left w:val="single" w:color="000000" w:sz="4" w:space="0"/>
                    <w:bottom w:val="single" w:color="000000" w:sz="4" w:space="0"/>
                    <w:right w:val="single" w:color="000000" w:sz="4" w:space="0"/>
                  </w:tcBorders>
                  <w:noWrap/>
                  <w:vAlign w:val="center"/>
                </w:tcPr>
                <w:p w14:paraId="26B4847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716" w:type="dxa"/>
                  <w:tcBorders>
                    <w:top w:val="single" w:color="000000" w:sz="4" w:space="0"/>
                    <w:left w:val="single" w:color="000000" w:sz="4" w:space="0"/>
                    <w:bottom w:val="single" w:color="000000" w:sz="4" w:space="0"/>
                    <w:right w:val="single" w:color="000000" w:sz="4" w:space="0"/>
                  </w:tcBorders>
                  <w:noWrap/>
                  <w:vAlign w:val="center"/>
                </w:tcPr>
                <w:p w14:paraId="69620BA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6EEA961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784" w:type="dxa"/>
                  <w:tcBorders>
                    <w:top w:val="single" w:color="000000" w:sz="4" w:space="0"/>
                    <w:left w:val="single" w:color="000000" w:sz="4" w:space="0"/>
                    <w:bottom w:val="single" w:color="000000" w:sz="4" w:space="0"/>
                    <w:right w:val="single" w:color="000000" w:sz="4" w:space="0"/>
                  </w:tcBorders>
                  <w:noWrap/>
                  <w:vAlign w:val="center"/>
                </w:tcPr>
                <w:p w14:paraId="3F1CE3C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1000" w:type="dxa"/>
                  <w:tcBorders>
                    <w:top w:val="single" w:color="000000" w:sz="4" w:space="0"/>
                    <w:left w:val="nil"/>
                    <w:bottom w:val="single" w:color="000000" w:sz="4" w:space="0"/>
                    <w:right w:val="single" w:color="000000" w:sz="4" w:space="0"/>
                  </w:tcBorders>
                  <w:noWrap/>
                  <w:vAlign w:val="center"/>
                </w:tcPr>
                <w:p w14:paraId="15B74D6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1066" w:type="dxa"/>
                  <w:tcBorders>
                    <w:top w:val="single" w:color="000000" w:sz="4" w:space="0"/>
                    <w:left w:val="single" w:color="000000" w:sz="4" w:space="0"/>
                    <w:bottom w:val="single" w:color="000000" w:sz="4" w:space="0"/>
                    <w:right w:val="single" w:color="000000" w:sz="4" w:space="0"/>
                  </w:tcBorders>
                  <w:noWrap/>
                  <w:vAlign w:val="center"/>
                </w:tcPr>
                <w:p w14:paraId="3F31AB3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1148" w:type="dxa"/>
                  <w:tcBorders>
                    <w:top w:val="single" w:color="000000" w:sz="4" w:space="0"/>
                    <w:left w:val="single" w:color="000000" w:sz="4" w:space="0"/>
                    <w:bottom w:val="single" w:color="000000" w:sz="4" w:space="0"/>
                    <w:right w:val="single" w:color="000000" w:sz="4" w:space="0"/>
                  </w:tcBorders>
                  <w:noWrap/>
                  <w:vAlign w:val="center"/>
                </w:tcPr>
                <w:p w14:paraId="3F0B80EF">
                  <w:pPr>
                    <w:keepNext w:val="0"/>
                    <w:keepLines w:val="0"/>
                    <w:pageBreakBefore w:val="0"/>
                    <w:widowControl w:val="0"/>
                    <w:tabs>
                      <w:tab w:val="left" w:pos="240"/>
                    </w:tabs>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r>
          </w:tbl>
          <w:p w14:paraId="4342D7E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lang w:val="en-US" w:eastAsia="zh-CN"/>
              </w:rPr>
            </w:pPr>
          </w:p>
        </w:tc>
      </w:tr>
      <w:tr w14:paraId="2BA954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7" w:hRule="atLeast"/>
        </w:trPr>
        <w:tc>
          <w:tcPr>
            <w:tcW w:w="877" w:type="dxa"/>
            <w:vMerge w:val="continue"/>
            <w:tcBorders>
              <w:left w:val="single" w:color="auto" w:sz="4" w:space="0"/>
              <w:right w:val="single" w:color="auto" w:sz="4" w:space="0"/>
            </w:tcBorders>
            <w:noWrap w:val="0"/>
            <w:vAlign w:val="center"/>
          </w:tcPr>
          <w:p w14:paraId="1189DBB0">
            <w:pPr>
              <w:spacing w:line="320" w:lineRule="exact"/>
              <w:rPr>
                <w:rFonts w:hint="eastAsia" w:ascii="宋体" w:hAnsi="宋体" w:eastAsia="宋体" w:cs="Times New Roman"/>
                <w:color w:val="000000"/>
                <w:szCs w:val="21"/>
                <w:lang w:eastAsia="zh-CN"/>
              </w:rPr>
            </w:pPr>
          </w:p>
        </w:tc>
        <w:tc>
          <w:tcPr>
            <w:tcW w:w="834" w:type="dxa"/>
            <w:tcBorders>
              <w:top w:val="single" w:color="auto" w:sz="4" w:space="0"/>
              <w:left w:val="nil"/>
              <w:bottom w:val="single" w:color="auto" w:sz="4" w:space="0"/>
              <w:right w:val="single" w:color="auto" w:sz="4" w:space="0"/>
            </w:tcBorders>
            <w:noWrap w:val="0"/>
            <w:vAlign w:val="center"/>
          </w:tcPr>
          <w:p w14:paraId="75044C8A">
            <w:pPr>
              <w:spacing w:line="440" w:lineRule="exact"/>
              <w:jc w:val="center"/>
              <w:rPr>
                <w:rFonts w:hint="default" w:ascii="宋体" w:hAnsi="宋体" w:eastAsia="宋体" w:cs="Calibri"/>
                <w:color w:val="000000"/>
                <w:szCs w:val="21"/>
                <w:lang w:val="en-US" w:eastAsia="zh-CN"/>
              </w:rPr>
            </w:pPr>
            <w:r>
              <w:rPr>
                <w:rFonts w:hint="eastAsia" w:ascii="宋体" w:hAnsi="宋体" w:eastAsia="宋体" w:cs="Calibri"/>
                <w:b/>
                <w:bCs/>
                <w:color w:val="000000"/>
                <w:szCs w:val="21"/>
                <w:lang w:val="en-US" w:eastAsia="zh-CN"/>
              </w:rPr>
              <w:t>B标段</w:t>
            </w:r>
          </w:p>
        </w:tc>
        <w:tc>
          <w:tcPr>
            <w:tcW w:w="8617" w:type="dxa"/>
            <w:tcBorders>
              <w:top w:val="single" w:color="auto" w:sz="4" w:space="0"/>
              <w:left w:val="nil"/>
              <w:bottom w:val="single" w:color="auto" w:sz="4" w:space="0"/>
              <w:right w:val="single" w:color="auto" w:sz="4" w:space="0"/>
            </w:tcBorders>
            <w:noWrap w:val="0"/>
            <w:vAlign w:val="top"/>
          </w:tcPr>
          <w:tbl>
            <w:tblPr>
              <w:tblStyle w:val="3"/>
              <w:tblW w:w="8388"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
              <w:gridCol w:w="638"/>
              <w:gridCol w:w="643"/>
              <w:gridCol w:w="643"/>
              <w:gridCol w:w="709"/>
              <w:gridCol w:w="1767"/>
              <w:gridCol w:w="750"/>
              <w:gridCol w:w="883"/>
              <w:gridCol w:w="1216"/>
              <w:gridCol w:w="1134"/>
            </w:tblGrid>
            <w:tr w14:paraId="233E5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90" w:hRule="atLeast"/>
              </w:trPr>
              <w:tc>
                <w:tcPr>
                  <w:tcW w:w="8383" w:type="dxa"/>
                  <w:gridSpan w:val="9"/>
                  <w:tcBorders>
                    <w:top w:val="nil"/>
                    <w:left w:val="nil"/>
                    <w:bottom w:val="nil"/>
                    <w:right w:val="nil"/>
                  </w:tcBorders>
                  <w:noWrap w:val="0"/>
                  <w:vAlign w:val="center"/>
                </w:tcPr>
                <w:p w14:paraId="719F079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rPr>
                  </w:pPr>
                  <w:r>
                    <w:rPr>
                      <w:rFonts w:hint="eastAsia" w:ascii="宋体" w:hAnsi="宋体" w:eastAsia="宋体" w:cs="Calibri"/>
                      <w:b/>
                      <w:bCs/>
                      <w:color w:val="000000"/>
                      <w:szCs w:val="21"/>
                      <w:lang w:val="en-US" w:eastAsia="zh-CN"/>
                    </w:rPr>
                    <w:t>B标段中药饮片品种清单需求参数</w:t>
                  </w:r>
                </w:p>
              </w:tc>
            </w:tr>
            <w:tr w14:paraId="416C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643" w:type="dxa"/>
                  <w:gridSpan w:val="2"/>
                  <w:tcBorders>
                    <w:top w:val="single" w:color="000000" w:sz="4" w:space="0"/>
                    <w:left w:val="single" w:color="000000" w:sz="4" w:space="0"/>
                    <w:bottom w:val="single" w:color="000000" w:sz="4" w:space="0"/>
                    <w:right w:val="single" w:color="000000" w:sz="4" w:space="0"/>
                  </w:tcBorders>
                  <w:noWrap w:val="0"/>
                  <w:vAlign w:val="center"/>
                </w:tcPr>
                <w:p w14:paraId="5F6CD4B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序号</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14:paraId="030050D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药品名称</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14:paraId="18294AC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规格</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7BEB96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单位</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600C3F7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要求</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10AB9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要求提供参考样本</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6EF23E7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2023-2024上控价</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2EFFF9A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default" w:ascii="宋体" w:hAnsi="宋体" w:eastAsia="宋体" w:cs="Calibri"/>
                      <w:b/>
                      <w:bCs/>
                      <w:color w:val="000000"/>
                      <w:szCs w:val="21"/>
                      <w:lang w:val="en-US" w:eastAsia="zh-CN"/>
                    </w:rPr>
                    <w:t>2023-2024</w:t>
                  </w:r>
                  <w:r>
                    <w:rPr>
                      <w:rFonts w:hint="eastAsia" w:ascii="宋体" w:hAnsi="宋体" w:eastAsia="宋体" w:cs="Calibri"/>
                      <w:b/>
                      <w:bCs/>
                      <w:color w:val="000000"/>
                      <w:szCs w:val="21"/>
                      <w:lang w:val="en-US" w:eastAsia="zh-CN"/>
                    </w:rPr>
                    <w:t>用量（千克）</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61D55B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b/>
                      <w:bCs/>
                      <w:color w:val="000000"/>
                      <w:szCs w:val="21"/>
                    </w:rPr>
                  </w:pPr>
                  <w:r>
                    <w:rPr>
                      <w:rFonts w:hint="eastAsia" w:ascii="宋体" w:hAnsi="宋体" w:eastAsia="宋体" w:cs="Calibri"/>
                      <w:b/>
                      <w:bCs/>
                      <w:color w:val="000000"/>
                      <w:szCs w:val="21"/>
                      <w:lang w:val="en-US" w:eastAsia="zh-CN"/>
                    </w:rPr>
                    <w:t>金额(元)</w:t>
                  </w:r>
                </w:p>
              </w:tc>
            </w:tr>
            <w:tr w14:paraId="743DA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dxa"/>
                  <w:gridSpan w:val="2"/>
                  <w:tcBorders>
                    <w:top w:val="single" w:color="000000" w:sz="4" w:space="0"/>
                    <w:left w:val="single" w:color="000000" w:sz="4" w:space="0"/>
                    <w:bottom w:val="single" w:color="000000" w:sz="4" w:space="0"/>
                    <w:right w:val="single" w:color="000000" w:sz="4" w:space="0"/>
                  </w:tcBorders>
                  <w:noWrap/>
                  <w:vAlign w:val="center"/>
                </w:tcPr>
                <w:p w14:paraId="799ED5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1</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46D6BD5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艾叶</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0D2B9FE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叶</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B94A57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kg</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784B32B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4E092D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175F40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37</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2FFC2CD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400</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46D99C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14800</w:t>
                  </w:r>
                </w:p>
              </w:tc>
            </w:tr>
            <w:tr w14:paraId="1DD3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dxa"/>
                  <w:gridSpan w:val="2"/>
                  <w:tcBorders>
                    <w:top w:val="single" w:color="000000" w:sz="4" w:space="0"/>
                    <w:left w:val="single" w:color="000000" w:sz="4" w:space="0"/>
                    <w:bottom w:val="single" w:color="000000" w:sz="4" w:space="0"/>
                    <w:right w:val="single" w:color="000000" w:sz="4" w:space="0"/>
                  </w:tcBorders>
                  <w:noWrap/>
                  <w:vAlign w:val="center"/>
                </w:tcPr>
                <w:p w14:paraId="22948A1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2</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315A749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茯苓</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2FE2E6E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小块</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3193A3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kg</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36EE5B3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切薄片一级</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E13455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0DE4F6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70</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124BC4C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120</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95FC68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8400</w:t>
                  </w:r>
                </w:p>
              </w:tc>
            </w:tr>
            <w:tr w14:paraId="54866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dxa"/>
                  <w:gridSpan w:val="2"/>
                  <w:tcBorders>
                    <w:top w:val="single" w:color="000000" w:sz="4" w:space="0"/>
                    <w:left w:val="single" w:color="000000" w:sz="4" w:space="0"/>
                    <w:bottom w:val="single" w:color="000000" w:sz="4" w:space="0"/>
                    <w:right w:val="single" w:color="000000" w:sz="4" w:space="0"/>
                  </w:tcBorders>
                  <w:noWrap/>
                  <w:vAlign w:val="center"/>
                </w:tcPr>
                <w:p w14:paraId="26D20B9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3</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24840AA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黄芪</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2935A90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斜片</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79D904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kg</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637576C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小圆片，一级</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42F3CB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86EFD2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98</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1DA5418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100</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47E47C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9800</w:t>
                  </w:r>
                </w:p>
              </w:tc>
            </w:tr>
            <w:tr w14:paraId="12B06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dxa"/>
                  <w:gridSpan w:val="2"/>
                  <w:tcBorders>
                    <w:top w:val="single" w:color="000000" w:sz="4" w:space="0"/>
                    <w:left w:val="single" w:color="000000" w:sz="4" w:space="0"/>
                    <w:bottom w:val="single" w:color="000000" w:sz="4" w:space="0"/>
                    <w:right w:val="single" w:color="000000" w:sz="4" w:space="0"/>
                  </w:tcBorders>
                  <w:noWrap/>
                  <w:vAlign w:val="center"/>
                </w:tcPr>
                <w:p w14:paraId="246AE50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4</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0DF84F8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rPr>
                  </w:pPr>
                  <w:r>
                    <w:rPr>
                      <w:rFonts w:hint="eastAsia" w:ascii="宋体" w:hAnsi="宋体" w:eastAsia="宋体" w:cs="Calibri"/>
                      <w:color w:val="000000"/>
                      <w:szCs w:val="21"/>
                      <w:lang w:val="en-US" w:eastAsia="zh-CN"/>
                    </w:rPr>
                    <w:t>蜈蚣</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25602A8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条</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51A5FD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Calibri"/>
                      <w:color w:val="000000"/>
                      <w:szCs w:val="21"/>
                    </w:rPr>
                  </w:pPr>
                  <w:r>
                    <w:rPr>
                      <w:rFonts w:hint="eastAsia" w:ascii="宋体" w:hAnsi="宋体" w:eastAsia="宋体" w:cs="Calibri"/>
                      <w:color w:val="000000"/>
                      <w:szCs w:val="21"/>
                      <w:lang w:val="en-US" w:eastAsia="zh-CN"/>
                    </w:rPr>
                    <w:t>条</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01EE94E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切段袋装（1条）</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AF05C4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8033B2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6</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558EF78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100</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FDAF14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600</w:t>
                  </w:r>
                </w:p>
              </w:tc>
            </w:tr>
            <w:tr w14:paraId="113EA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dxa"/>
                  <w:gridSpan w:val="2"/>
                  <w:tcBorders>
                    <w:top w:val="single" w:color="000000" w:sz="4" w:space="0"/>
                    <w:left w:val="single" w:color="000000" w:sz="4" w:space="0"/>
                    <w:bottom w:val="single" w:color="000000" w:sz="4" w:space="0"/>
                    <w:right w:val="single" w:color="000000" w:sz="4" w:space="0"/>
                  </w:tcBorders>
                  <w:noWrap/>
                  <w:vAlign w:val="center"/>
                </w:tcPr>
                <w:p w14:paraId="18393A7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5</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02AC155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当归</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4570236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薄片</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082D97B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kg</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5546258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新鲜一级，无泥</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4657FB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8BBB34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360</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116A66F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100</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F73819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rPr>
                  </w:pPr>
                  <w:r>
                    <w:rPr>
                      <w:rFonts w:hint="default" w:ascii="宋体" w:hAnsi="宋体" w:eastAsia="宋体" w:cs="Calibri"/>
                      <w:color w:val="000000"/>
                      <w:szCs w:val="21"/>
                      <w:lang w:val="en-US" w:eastAsia="zh-CN"/>
                    </w:rPr>
                    <w:t>36000</w:t>
                  </w:r>
                </w:p>
              </w:tc>
            </w:tr>
            <w:tr w14:paraId="728B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dxa"/>
                  <w:gridSpan w:val="2"/>
                  <w:tcBorders>
                    <w:top w:val="single" w:color="000000" w:sz="4" w:space="0"/>
                    <w:left w:val="single" w:color="000000" w:sz="4" w:space="0"/>
                    <w:bottom w:val="single" w:color="000000" w:sz="4" w:space="0"/>
                    <w:right w:val="single" w:color="000000" w:sz="4" w:space="0"/>
                  </w:tcBorders>
                  <w:noWrap/>
                  <w:vAlign w:val="center"/>
                </w:tcPr>
                <w:p w14:paraId="7F1732B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Times New Roman"/>
                      <w:color w:val="000000"/>
                      <w:szCs w:val="21"/>
                    </w:rPr>
                    <w:t>明细</w:t>
                  </w:r>
                  <w:r>
                    <w:rPr>
                      <w:rFonts w:hint="eastAsia" w:ascii="宋体" w:hAnsi="宋体" w:eastAsia="宋体" w:cs="Times New Roman"/>
                      <w:color w:val="000000"/>
                      <w:szCs w:val="21"/>
                      <w:lang w:val="en-US" w:eastAsia="zh-CN"/>
                    </w:rPr>
                    <w:t>另附</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257D5C5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643" w:type="dxa"/>
                  <w:tcBorders>
                    <w:top w:val="single" w:color="000000" w:sz="4" w:space="0"/>
                    <w:left w:val="single" w:color="000000" w:sz="4" w:space="0"/>
                    <w:bottom w:val="single" w:color="000000" w:sz="4" w:space="0"/>
                    <w:right w:val="single" w:color="000000" w:sz="4" w:space="0"/>
                  </w:tcBorders>
                  <w:noWrap/>
                  <w:vAlign w:val="center"/>
                </w:tcPr>
                <w:p w14:paraId="3D6F3A0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E729CB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034FFAC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6913FF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731705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0AD3C46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030999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r>
          </w:tbl>
          <w:p w14:paraId="72222637">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eastAsia="宋体" w:cs="Calibri"/>
                <w:color w:val="000000"/>
                <w:szCs w:val="21"/>
              </w:rPr>
            </w:pPr>
          </w:p>
        </w:tc>
      </w:tr>
      <w:tr w14:paraId="3C16F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7" w:hRule="atLeast"/>
        </w:trPr>
        <w:tc>
          <w:tcPr>
            <w:tcW w:w="877" w:type="dxa"/>
            <w:tcBorders>
              <w:left w:val="single" w:color="auto" w:sz="4" w:space="0"/>
              <w:bottom w:val="single" w:color="auto" w:sz="4" w:space="0"/>
              <w:right w:val="single" w:color="auto" w:sz="4" w:space="0"/>
            </w:tcBorders>
            <w:noWrap w:val="0"/>
            <w:vAlign w:val="center"/>
          </w:tcPr>
          <w:p w14:paraId="148DBF9E">
            <w:pPr>
              <w:spacing w:line="320" w:lineRule="exact"/>
              <w:rPr>
                <w:rFonts w:hint="eastAsia" w:ascii="宋体" w:hAnsi="宋体" w:eastAsia="宋体" w:cs="Times New Roman"/>
                <w:color w:val="000000"/>
                <w:szCs w:val="21"/>
                <w:lang w:eastAsia="zh-CN"/>
              </w:rPr>
            </w:pPr>
          </w:p>
        </w:tc>
        <w:tc>
          <w:tcPr>
            <w:tcW w:w="834" w:type="dxa"/>
            <w:tcBorders>
              <w:top w:val="single" w:color="auto" w:sz="4" w:space="0"/>
              <w:left w:val="nil"/>
              <w:bottom w:val="single" w:color="auto" w:sz="4" w:space="0"/>
              <w:right w:val="single" w:color="auto" w:sz="4" w:space="0"/>
            </w:tcBorders>
            <w:noWrap w:val="0"/>
            <w:vAlign w:val="center"/>
          </w:tcPr>
          <w:p w14:paraId="4D47A909">
            <w:pPr>
              <w:spacing w:line="440" w:lineRule="exact"/>
              <w:jc w:val="center"/>
              <w:rPr>
                <w:rFonts w:hint="eastAsia" w:ascii="宋体" w:hAnsi="宋体" w:eastAsia="宋体" w:cs="Calibri"/>
                <w:b/>
                <w:bCs/>
                <w:color w:val="000000"/>
                <w:szCs w:val="21"/>
                <w:lang w:val="en-US" w:eastAsia="zh-CN"/>
              </w:rPr>
            </w:pPr>
          </w:p>
        </w:tc>
        <w:tc>
          <w:tcPr>
            <w:tcW w:w="8617" w:type="dxa"/>
            <w:tcBorders>
              <w:top w:val="single" w:color="auto" w:sz="4" w:space="0"/>
              <w:left w:val="nil"/>
              <w:bottom w:val="single" w:color="auto" w:sz="4" w:space="0"/>
              <w:right w:val="single" w:color="auto" w:sz="4" w:space="0"/>
            </w:tcBorders>
            <w:noWrap w:val="0"/>
            <w:vAlign w:val="top"/>
          </w:tcPr>
          <w:p w14:paraId="453898FE">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lang w:val="en-US" w:eastAsia="zh-CN" w:bidi="ar"/>
              </w:rPr>
              <w:t>一</w:t>
            </w:r>
            <w:r>
              <w:rPr>
                <w:rFonts w:hint="eastAsia" w:ascii="仿宋_GB2312" w:hAnsi="仿宋_GB2312" w:eastAsia="仿宋_GB2312" w:cs="仿宋_GB2312"/>
                <w:b/>
                <w:color w:val="auto"/>
                <w:sz w:val="24"/>
                <w:lang w:bidi="ar"/>
              </w:rPr>
              <w:t>、经营条件：</w:t>
            </w:r>
          </w:p>
          <w:p w14:paraId="2183F2B0">
            <w:pPr>
              <w:pStyle w:val="5"/>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1.生产企业提供：《药品生产许可证》《药品GMP证书》；经营企业提供：《药品经营许可证》（含中药饮片），所供物资生产企业的《药品生产许可证》和《药品GMP证书》；</w:t>
            </w:r>
          </w:p>
          <w:p w14:paraId="6C4D0133">
            <w:pPr>
              <w:pStyle w:val="5"/>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2.通过GMP认证的品种个数不得少于500个，并包含本次采购的中药饮片；</w:t>
            </w:r>
          </w:p>
          <w:p w14:paraId="29B3219E">
            <w:pPr>
              <w:pStyle w:val="5"/>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w:t>
            </w:r>
            <w:r>
              <w:rPr>
                <w:rFonts w:hint="eastAsia" w:ascii="仿宋_GB2312" w:hAnsi="仿宋_GB2312" w:eastAsia="仿宋_GB2312" w:cs="仿宋_GB2312"/>
                <w:color w:val="auto"/>
                <w:sz w:val="24"/>
                <w:lang w:eastAsia="zh-CN"/>
              </w:rPr>
              <w:t>南宁</w:t>
            </w:r>
            <w:r>
              <w:rPr>
                <w:rFonts w:hint="eastAsia" w:ascii="仿宋_GB2312" w:hAnsi="仿宋_GB2312" w:eastAsia="仿宋_GB2312" w:cs="仿宋_GB2312"/>
                <w:color w:val="auto"/>
                <w:sz w:val="24"/>
              </w:rPr>
              <w:t>市区内有固定的生产场地或经营场所及物流配送体系，有专业的服务队伍和相应的服务能力，具有持续生产、保障供应的能力；有专用的中药饮片仓库，使用面积不小于500平方米。</w:t>
            </w:r>
          </w:p>
          <w:p w14:paraId="6897F9F1">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lang w:val="en-US" w:eastAsia="zh-CN" w:bidi="ar"/>
              </w:rPr>
              <w:t>二</w:t>
            </w:r>
            <w:r>
              <w:rPr>
                <w:rFonts w:hint="eastAsia" w:ascii="仿宋_GB2312" w:hAnsi="仿宋_GB2312" w:eastAsia="仿宋_GB2312" w:cs="仿宋_GB2312"/>
                <w:b/>
                <w:color w:val="auto"/>
                <w:sz w:val="24"/>
                <w:lang w:bidi="ar"/>
              </w:rPr>
              <w:t>、质量要求：</w:t>
            </w:r>
          </w:p>
          <w:p w14:paraId="0530ECC9">
            <w:pPr>
              <w:pStyle w:val="2"/>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（一）供应商质量管理要求</w:t>
            </w:r>
          </w:p>
          <w:p w14:paraId="5CEEFDD9">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1.中药饮片生产企业必须按照国家药品标准炮制；国家药品标准没有规定的，必须按照省、自治区、直辖市食品药品监督管理部门制定的炮制规范或审批的标准炮制。中药饮片应按照品种工艺规程生产，中药饮片生产条件应与生产许可范围相适应，不得外购中药饮片的中间产品或成品进行分包装或改换包装标签；设置与其生产规模相适应的净制、切制、炮炙等操作间；仓库应有足够空间，面积与生产规模相适应；企业应配备必要的检验仪器，并有相应标准操作规程和使用记录；检验仪器应能满足实际生产品种要求，除重金属及有害元素、农药残留、黄曲霉毒素等特殊检验项目和使用频次较少的大型仪器外，原则上不允许委托检验；企业应设置中药标本室（柜），标本品种至少包括生产所用的中药材和中药饮片。</w:t>
            </w:r>
          </w:p>
          <w:p w14:paraId="3505D50F">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2.中药饮片生产企业负责中药材采购及验收的人员应具备鉴别中药材真伪优劣的能力。生产管理负责人应具有药学或相关专业大专以上学历（或中级专业技术职称或执业药师资格）、三年以上从事中药饮片生产管理的实践经验，或药学或相关专业中专以上学历、八年以上从事中药饮片生产管理的实践经验。</w:t>
            </w:r>
          </w:p>
          <w:p w14:paraId="6EA4413D">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3.中药饮片经营企业负责对供货单位和购货单位的合法性、购进药品的合法性以及供货单位销售人员、购货单位采购人员的合法资格进行审核，并根据审核内容的变化进行动态管理；负责药品的验收，指导并监督药品采购、储存、养护、销售、退货、运输等环节的质量管理工作，应当具有与其药品经营范围、经营规模相适应的经营场所和库房；应当对药品供货单位、购货单位的质量管理体系进行评价，确认其质量保证能力和质量信誉，必要时进行实地考察。</w:t>
            </w:r>
          </w:p>
          <w:p w14:paraId="1B413089">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4.中药饮片经营企业从事中药材、中药饮片验收工作的，应当具有中药学专业中专以上学历或者具有中药学中级以上专业技术职称；从事中药材、中药饮片养护工作的，应当具有中药学专业中专以上学历或者具有中药学初级以上专业技术职称。</w:t>
            </w:r>
          </w:p>
          <w:p w14:paraId="1A63AAFA">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（二）供应商配送服务能力要求</w:t>
            </w:r>
          </w:p>
          <w:p w14:paraId="13DDBE8C">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lang w:bidi="ar"/>
              </w:rPr>
            </w:pPr>
            <w:r>
              <w:rPr>
                <w:rFonts w:hint="eastAsia" w:ascii="仿宋_GB2312" w:hAnsi="仿宋_GB2312" w:eastAsia="仿宋_GB2312" w:cs="仿宋_GB2312"/>
                <w:color w:val="auto"/>
                <w:sz w:val="24"/>
                <w:lang w:bidi="ar"/>
              </w:rPr>
              <w:t>1.供应商应按本次招标中标结果，备好足够数量的中药饮片，以满足医院用药需求。所供应中药饮片的品种、规格、质量应符合医院用药要求，送样品种供货质量应与投标样品保持一致。并在医院发出采购需求规定的时限内负责将足够数量的药品运送至医院指定地点，以满足医院药房调剂需求。普通采购计划的送达时间：当日早上11点之前下发的计划，要求供应商</w:t>
            </w:r>
            <w:r>
              <w:rPr>
                <w:rFonts w:hint="eastAsia" w:ascii="仿宋_GB2312" w:hAnsi="仿宋_GB2312" w:eastAsia="仿宋_GB2312" w:cs="仿宋_GB2312"/>
                <w:color w:val="auto"/>
                <w:sz w:val="24"/>
                <w:lang w:val="en-US" w:eastAsia="zh-CN" w:bidi="ar"/>
              </w:rPr>
              <w:t>48小时内</w:t>
            </w:r>
            <w:r>
              <w:rPr>
                <w:rFonts w:hint="eastAsia" w:ascii="仿宋_GB2312" w:hAnsi="仿宋_GB2312" w:eastAsia="仿宋_GB2312" w:cs="仿宋_GB2312"/>
                <w:color w:val="auto"/>
                <w:sz w:val="24"/>
                <w:lang w:bidi="ar"/>
              </w:rPr>
              <w:t>送达。</w:t>
            </w:r>
          </w:p>
          <w:p w14:paraId="787A46C6">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2.由于医院用药周转率高，为防止医院中药饮片出现缺货的情况发生，要求供应商有紧急配送的能力。即医院要求的急送药品，在</w:t>
            </w:r>
            <w:r>
              <w:rPr>
                <w:rFonts w:hint="eastAsia" w:ascii="仿宋_GB2312" w:hAnsi="仿宋_GB2312" w:eastAsia="仿宋_GB2312" w:cs="仿宋_GB2312"/>
                <w:color w:val="auto"/>
                <w:sz w:val="24"/>
                <w:lang w:eastAsia="zh-CN" w:bidi="ar"/>
              </w:rPr>
              <w:t>当日</w:t>
            </w:r>
            <w:r>
              <w:rPr>
                <w:rFonts w:hint="eastAsia" w:ascii="仿宋_GB2312" w:hAnsi="仿宋_GB2312" w:eastAsia="仿宋_GB2312" w:cs="仿宋_GB2312"/>
                <w:color w:val="auto"/>
                <w:sz w:val="24"/>
                <w:lang w:bidi="ar"/>
              </w:rPr>
              <w:t>早上1</w:t>
            </w:r>
            <w:r>
              <w:rPr>
                <w:rFonts w:hint="eastAsia" w:ascii="仿宋_GB2312" w:hAnsi="仿宋_GB2312" w:eastAsia="仿宋_GB2312" w:cs="仿宋_GB2312"/>
                <w:color w:val="auto"/>
                <w:sz w:val="24"/>
                <w:lang w:val="en-US" w:eastAsia="zh-CN" w:bidi="ar"/>
              </w:rPr>
              <w:t>1</w:t>
            </w:r>
            <w:r>
              <w:rPr>
                <w:rFonts w:hint="eastAsia" w:ascii="仿宋_GB2312" w:hAnsi="仿宋_GB2312" w:eastAsia="仿宋_GB2312" w:cs="仿宋_GB2312"/>
                <w:color w:val="auto"/>
                <w:sz w:val="24"/>
                <w:lang w:bidi="ar"/>
              </w:rPr>
              <w:t>点</w:t>
            </w:r>
            <w:r>
              <w:rPr>
                <w:rFonts w:hint="eastAsia" w:ascii="仿宋_GB2312" w:hAnsi="仿宋_GB2312" w:eastAsia="仿宋_GB2312" w:cs="仿宋_GB2312"/>
                <w:color w:val="auto"/>
                <w:sz w:val="24"/>
                <w:lang w:eastAsia="zh-CN" w:bidi="ar"/>
              </w:rPr>
              <w:t>半</w:t>
            </w:r>
            <w:r>
              <w:rPr>
                <w:rFonts w:hint="eastAsia" w:ascii="仿宋_GB2312" w:hAnsi="仿宋_GB2312" w:eastAsia="仿宋_GB2312" w:cs="仿宋_GB2312"/>
                <w:color w:val="auto"/>
                <w:sz w:val="24"/>
                <w:lang w:bidi="ar"/>
              </w:rPr>
              <w:t>前下发的急送计划，要求供应商当日</w:t>
            </w:r>
            <w:r>
              <w:rPr>
                <w:rFonts w:hint="eastAsia" w:ascii="仿宋_GB2312" w:hAnsi="仿宋_GB2312" w:eastAsia="仿宋_GB2312" w:cs="仿宋_GB2312"/>
                <w:color w:val="auto"/>
                <w:sz w:val="24"/>
                <w:lang w:eastAsia="zh-CN" w:bidi="ar"/>
              </w:rPr>
              <w:t>下午</w:t>
            </w:r>
            <w:r>
              <w:rPr>
                <w:rFonts w:hint="eastAsia" w:ascii="仿宋_GB2312" w:hAnsi="仿宋_GB2312" w:eastAsia="仿宋_GB2312" w:cs="仿宋_GB2312"/>
                <w:color w:val="auto"/>
                <w:sz w:val="24"/>
                <w:lang w:val="en-US" w:eastAsia="zh-CN" w:bidi="ar"/>
              </w:rPr>
              <w:t>16点前</w:t>
            </w:r>
            <w:r>
              <w:rPr>
                <w:rFonts w:hint="eastAsia" w:ascii="仿宋_GB2312" w:hAnsi="仿宋_GB2312" w:eastAsia="仿宋_GB2312" w:cs="仿宋_GB2312"/>
                <w:color w:val="auto"/>
                <w:sz w:val="24"/>
                <w:lang w:bidi="ar"/>
              </w:rPr>
              <w:t>送达；而下午15点半前下发的急送计划，要求供应商当日18点前送达。</w:t>
            </w:r>
          </w:p>
          <w:p w14:paraId="0B6BC840">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3.在约定的配送时间内，供应商有不能按医院采购计划送达的一般药品，需在收到采购计划后6小时内及时通知医院。医院急需的药品，供应商如不能按医院采购计划送达，需在收到采购计划后1小时内通知医院。</w:t>
            </w:r>
          </w:p>
          <w:p w14:paraId="65362D97">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4.供应商需提供药品的现场搬运、入库、开箱、上架等伴随服务。</w:t>
            </w:r>
          </w:p>
          <w:p w14:paraId="02480FB5">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（三）供应商供货饮片质量、价格及备货要求</w:t>
            </w:r>
          </w:p>
          <w:p w14:paraId="63EA86FD">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1.供货饮片质量要求</w:t>
            </w:r>
          </w:p>
          <w:p w14:paraId="430999E7">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1）供应商所供应的所有中药饮片的有效成分、含水量、杂质、灰分、非药用部位、辅料、炮制规范、二氧化硫残留、农残、重金属含量、生物毒素检查等须符合或优于《中华人民共和国药典》（2020年版）标准要求。如为《中华人民共和国药典》（2020年版）未收载的品种，须符合或优于国家药品标准或省、自治区、直辖市食品药品监督管理部门制定的标准，并满足医院的用药要求。</w:t>
            </w:r>
          </w:p>
          <w:p w14:paraId="1760029C">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（2）为防止中药材粗加工过程中滥用或者过度使用硫磺熏蒸的问题，按照有关要求，对山药、牛膝、天冬、天麻、天花粉、白及、白芍、白术、党参等9种饮片要求“二氧化硫残留量不得超过400 mg/kg”，其余品种按要求《中华人民共和国药典》（2020年版）二氧化硫残留量不得超过150 mg/kg。</w:t>
            </w:r>
          </w:p>
          <w:p w14:paraId="31E7CA3A">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3）供应商配送的药品必须附有中药饮片检验报告书，以备验收检查。不得配送假冒伪劣产品，药品应无杂质、无污染，并按国家标准保护措施进行包装，防止药品在转运过程中损坏或变质。饮片质量方面要求及约定参见《药品质量保证协议书》。</w:t>
            </w:r>
          </w:p>
          <w:p w14:paraId="21B3CFB9">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（4）对特许生产和经营的中药饮片须符合国家相关文件要求。</w:t>
            </w:r>
          </w:p>
          <w:p w14:paraId="442904C4">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（5）供应商配送的中药饮片质量不得低于中药饮片投标时所送样品的质量。</w:t>
            </w:r>
          </w:p>
          <w:p w14:paraId="12195886">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2.供货饮片价格及备要求</w:t>
            </w:r>
          </w:p>
          <w:p w14:paraId="75CD0649">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（1）供应商供货饮片价格需按</w:t>
            </w:r>
            <w:r>
              <w:rPr>
                <w:rFonts w:hint="eastAsia" w:ascii="仿宋_GB2312" w:hAnsi="仿宋_GB2312" w:eastAsia="仿宋_GB2312" w:cs="仿宋_GB2312"/>
                <w:color w:val="auto"/>
                <w:sz w:val="24"/>
                <w:lang w:eastAsia="zh-CN" w:bidi="ar"/>
              </w:rPr>
              <w:t>广西骨伤医院</w:t>
            </w:r>
            <w:r>
              <w:rPr>
                <w:rFonts w:hint="eastAsia" w:ascii="仿宋_GB2312" w:hAnsi="仿宋_GB2312" w:eastAsia="仿宋_GB2312" w:cs="仿宋_GB2312"/>
                <w:color w:val="auto"/>
                <w:sz w:val="24"/>
                <w:lang w:bidi="ar"/>
              </w:rPr>
              <w:t>中药饮片中标结果执行，中标结果确定的价格包含税费和配送费，不得单方面抬高价格。</w:t>
            </w:r>
          </w:p>
          <w:p w14:paraId="6A7A5034">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（2）供应商在接到中标通知后需按照医院发出的需求材料中标注中药饮片月用量及时备足6个月饮片用量。</w:t>
            </w:r>
          </w:p>
          <w:p w14:paraId="2676704D">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（3）供应商在6个月用货量范围内不得停供、短供、迟延供货，不得单方面提价；否则医院有权取消供应商该中药饮片品种的供货资格及下一供货周期的投标资格。</w:t>
            </w:r>
          </w:p>
          <w:p w14:paraId="474F4183">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4）在供货周期内，医院采购用量超出6个月备货量时，供应商如因市场价格巨大变动不能按中标价格继续供货的，应在收到采购通知后当日向医院提出，医院可联系该饮片其他中标候选供货商供货，也可重新进行招标。</w:t>
            </w:r>
          </w:p>
          <w:p w14:paraId="35B6A0D1">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bidi="ar"/>
              </w:rPr>
              <w:t>（</w:t>
            </w:r>
            <w:r>
              <w:rPr>
                <w:rFonts w:hint="eastAsia" w:ascii="仿宋_GB2312" w:hAnsi="仿宋_GB2312" w:eastAsia="仿宋_GB2312" w:cs="仿宋_GB2312"/>
                <w:color w:val="auto"/>
                <w:sz w:val="24"/>
                <w:lang w:val="en-US" w:eastAsia="zh-CN" w:bidi="ar"/>
              </w:rPr>
              <w:t>5</w:t>
            </w:r>
            <w:r>
              <w:rPr>
                <w:rFonts w:hint="eastAsia" w:ascii="仿宋_GB2312" w:hAnsi="仿宋_GB2312" w:eastAsia="仿宋_GB2312" w:cs="仿宋_GB2312"/>
                <w:color w:val="auto"/>
                <w:sz w:val="24"/>
                <w:lang w:bidi="ar"/>
              </w:rPr>
              <w:t>）供应商在超出6个月备货用量后因客观原因造成临时性供货困难的，应立即通知医院，并应在7个工作日内恢复正常供货。如超过规定期限，医院有权终止供应商该饮片的供货资格。</w:t>
            </w:r>
          </w:p>
          <w:p w14:paraId="327F072E">
            <w:pPr>
              <w:pStyle w:val="2"/>
              <w:keepNext w:val="0"/>
              <w:keepLines w:val="0"/>
              <w:pageBreakBefore w:val="0"/>
              <w:widowControl/>
              <w:kinsoku/>
              <w:wordWrap/>
              <w:overflowPunct/>
              <w:topLinePunct w:val="0"/>
              <w:autoSpaceDE/>
              <w:autoSpaceDN/>
              <w:bidi w:val="0"/>
              <w:adjustRightInd/>
              <w:snapToGrid/>
              <w:spacing w:line="360" w:lineRule="exact"/>
              <w:ind w:firstLine="482" w:firstLineChars="200"/>
              <w:textAlignment w:val="auto"/>
              <w:rPr>
                <w:rFonts w:hint="eastAsia" w:ascii="仿宋_GB2312" w:hAnsi="仿宋_GB2312" w:eastAsia="仿宋_GB2312" w:cs="仿宋_GB2312"/>
                <w:b/>
                <w:color w:val="auto"/>
                <w:sz w:val="24"/>
                <w:szCs w:val="24"/>
                <w:lang w:val="en-US" w:eastAsia="zh-CN"/>
              </w:rPr>
            </w:pPr>
            <w:r>
              <w:rPr>
                <w:rFonts w:hint="eastAsia" w:ascii="仿宋_GB2312" w:hAnsi="仿宋_GB2312" w:eastAsia="仿宋_GB2312" w:cs="仿宋_GB2312"/>
                <w:b/>
                <w:color w:val="auto"/>
                <w:sz w:val="24"/>
                <w:szCs w:val="24"/>
                <w:lang w:val="en-US" w:eastAsia="zh-CN"/>
              </w:rPr>
              <w:t xml:space="preserve">三、参评样品要求：  </w:t>
            </w:r>
          </w:p>
          <w:p w14:paraId="524303D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Calibri"/>
                <w:color w:val="000000"/>
                <w:szCs w:val="21"/>
              </w:rPr>
            </w:pPr>
            <w:r>
              <w:rPr>
                <w:rFonts w:hint="eastAsia" w:ascii="仿宋_GB2312" w:hAnsi="仿宋_GB2312" w:eastAsia="仿宋_GB2312" w:cs="仿宋_GB2312"/>
                <w:color w:val="auto"/>
                <w:sz w:val="24"/>
                <w:lang w:bidi="ar"/>
              </w:rPr>
              <w:t>本次品种目录中除重点品种及贵重中药送样适量外，其余品种的中药饮片（需送样品种）均按医院统一提供的样品袋的包装量（约样品袋的 1/2-2/3）送样品，以作为评审依据。评标工作结束后除各供应商经评审确定的供货品种留样以外，其余样品均退回。供应商应保证投标后所供应的药品与送样质量一致，所送样品</w:t>
            </w:r>
            <w:r>
              <w:rPr>
                <w:rFonts w:hint="eastAsia" w:ascii="仿宋_GB2312" w:hAnsi="仿宋_GB2312" w:eastAsia="仿宋_GB2312" w:cs="仿宋_GB2312"/>
                <w:b/>
                <w:color w:val="auto"/>
                <w:sz w:val="24"/>
                <w:lang w:bidi="ar"/>
              </w:rPr>
              <w:t>请勿刻意挑选</w:t>
            </w:r>
            <w:r>
              <w:rPr>
                <w:rFonts w:hint="eastAsia" w:ascii="仿宋_GB2312" w:hAnsi="仿宋_GB2312" w:eastAsia="仿宋_GB2312" w:cs="仿宋_GB2312"/>
                <w:color w:val="auto"/>
                <w:sz w:val="24"/>
                <w:lang w:bidi="ar"/>
              </w:rPr>
              <w:t>。</w:t>
            </w:r>
          </w:p>
        </w:tc>
      </w:tr>
      <w:tr w14:paraId="15229B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0328" w:type="dxa"/>
            <w:gridSpan w:val="3"/>
            <w:tcBorders>
              <w:top w:val="single" w:color="auto" w:sz="4" w:space="0"/>
              <w:left w:val="single" w:color="auto" w:sz="4" w:space="0"/>
              <w:bottom w:val="single" w:color="auto" w:sz="4" w:space="0"/>
              <w:right w:val="single" w:color="auto" w:sz="4" w:space="0"/>
            </w:tcBorders>
            <w:noWrap w:val="0"/>
            <w:vAlign w:val="center"/>
          </w:tcPr>
          <w:p w14:paraId="481D4017">
            <w:pPr>
              <w:keepNext w:val="0"/>
              <w:keepLines w:val="0"/>
              <w:pageBreakBefore w:val="0"/>
              <w:widowControl w:val="0"/>
              <w:tabs>
                <w:tab w:val="left" w:pos="621"/>
              </w:tabs>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lang w:eastAsia="zh-CN" w:bidi="ar"/>
              </w:rPr>
            </w:pPr>
            <w:r>
              <w:rPr>
                <w:rFonts w:hint="eastAsia" w:ascii="仿宋_GB2312" w:hAnsi="仿宋_GB2312" w:eastAsia="仿宋_GB2312" w:cs="仿宋_GB2312"/>
                <w:b/>
                <w:bCs w:val="0"/>
                <w:sz w:val="28"/>
                <w:szCs w:val="28"/>
              </w:rPr>
              <w:t>商务要求</w:t>
            </w:r>
          </w:p>
        </w:tc>
      </w:tr>
      <w:tr w14:paraId="04D84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23" w:hRule="atLeast"/>
        </w:trPr>
        <w:tc>
          <w:tcPr>
            <w:tcW w:w="1711" w:type="dxa"/>
            <w:gridSpan w:val="2"/>
            <w:tcBorders>
              <w:top w:val="single" w:color="auto" w:sz="4" w:space="0"/>
              <w:left w:val="single" w:color="auto" w:sz="4" w:space="0"/>
              <w:bottom w:val="single" w:color="auto" w:sz="4" w:space="0"/>
              <w:right w:val="single" w:color="auto" w:sz="4" w:space="0"/>
            </w:tcBorders>
            <w:noWrap w:val="0"/>
            <w:vAlign w:val="center"/>
          </w:tcPr>
          <w:p w14:paraId="0DFA08C6">
            <w:pPr>
              <w:spacing w:line="360" w:lineRule="auto"/>
              <w:ind w:firstLine="31" w:firstLineChars="13"/>
              <w:jc w:val="center"/>
              <w:rPr>
                <w:rFonts w:hint="eastAsia" w:ascii="宋体" w:hAnsi="宋体" w:eastAsia="宋体" w:cs="Calibri"/>
                <w:b/>
                <w:bCs/>
                <w:color w:val="000000"/>
                <w:szCs w:val="21"/>
                <w:lang w:val="en-US"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bidi="ar"/>
              </w:rPr>
              <w:t>售后服务质量需求</w:t>
            </w:r>
          </w:p>
        </w:tc>
        <w:tc>
          <w:tcPr>
            <w:tcW w:w="8617" w:type="dxa"/>
            <w:tcBorders>
              <w:top w:val="single" w:color="auto" w:sz="4" w:space="0"/>
              <w:left w:val="nil"/>
              <w:bottom w:val="single" w:color="auto" w:sz="4" w:space="0"/>
              <w:right w:val="single" w:color="auto" w:sz="4" w:space="0"/>
            </w:tcBorders>
            <w:noWrap w:val="0"/>
            <w:vAlign w:val="center"/>
          </w:tcPr>
          <w:p w14:paraId="15273BDD">
            <w:pPr>
              <w:pStyle w:val="5"/>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1.供应商应建立服务质量管控和评估考核体系，加强服务质量日常考核，做好自查自评和总结统计工作，并且每月向采购人指定管理部门如实汇报。</w:t>
            </w:r>
          </w:p>
          <w:p w14:paraId="52CF39D8">
            <w:pPr>
              <w:pStyle w:val="5"/>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2.服务过程中发生的投诉、不良反应等问题，应及时妥善处理、详细记录，并把处理结果向医院药剂科如实反馈。</w:t>
            </w:r>
          </w:p>
          <w:p w14:paraId="02CD3C9D">
            <w:pPr>
              <w:pStyle w:val="5"/>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3.应按医院制定的相关质控方案接受检查。</w:t>
            </w:r>
          </w:p>
          <w:p w14:paraId="5D17B9F1">
            <w:pPr>
              <w:pStyle w:val="5"/>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4.应制定详细的药品运输、配送应急预案，保证发生突发事故时能及时应对，以保障医院、患者的用药需求。</w:t>
            </w:r>
          </w:p>
          <w:p w14:paraId="27E05567">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w:t>
            </w:r>
            <w:r>
              <w:rPr>
                <w:rFonts w:hint="eastAsia" w:ascii="仿宋_GB2312" w:hAnsi="仿宋_GB2312" w:eastAsia="仿宋_GB2312" w:cs="仿宋_GB2312"/>
                <w:sz w:val="24"/>
                <w:lang w:bidi="ar"/>
              </w:rPr>
              <w:t>验收按照国家标准或行业标准；合作期内产品质量出现问题，供应商有义务协助医院处理。</w:t>
            </w:r>
          </w:p>
          <w:p w14:paraId="25CC2CCB">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lang w:bidi="ar"/>
              </w:rPr>
              <w:t>6、必须遵循下列管理规定及本级或上级卫生管理部门对中药饮片的相关规定：</w:t>
            </w:r>
          </w:p>
          <w:p w14:paraId="1FC7EEF2">
            <w:pPr>
              <w:keepNext w:val="0"/>
              <w:keepLines w:val="0"/>
              <w:pageBreakBefore w:val="0"/>
              <w:widowControl/>
              <w:kinsoku/>
              <w:wordWrap/>
              <w:overflowPunct/>
              <w:topLinePunct w:val="0"/>
              <w:autoSpaceDE/>
              <w:autoSpaceDN/>
              <w:bidi w:val="0"/>
              <w:adjustRightInd/>
              <w:snapToGrid/>
              <w:spacing w:line="360" w:lineRule="exact"/>
              <w:ind w:firstLine="458" w:firstLineChars="191"/>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bidi="ar"/>
              </w:rPr>
              <w:t>（1）《医院中药饮片管理规范》；</w:t>
            </w:r>
          </w:p>
          <w:p w14:paraId="763B7E82">
            <w:pPr>
              <w:keepNext w:val="0"/>
              <w:keepLines w:val="0"/>
              <w:pageBreakBefore w:val="0"/>
              <w:widowControl/>
              <w:kinsoku/>
              <w:wordWrap/>
              <w:overflowPunct/>
              <w:topLinePunct w:val="0"/>
              <w:autoSpaceDE/>
              <w:autoSpaceDN/>
              <w:bidi w:val="0"/>
              <w:adjustRightInd/>
              <w:snapToGrid/>
              <w:spacing w:line="360" w:lineRule="exact"/>
              <w:ind w:firstLine="415" w:firstLineChars="173"/>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bidi="ar"/>
              </w:rPr>
              <w:t>（2）《广西中药饮片炮制规范》；</w:t>
            </w:r>
          </w:p>
          <w:p w14:paraId="2E805509">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bidi="ar"/>
              </w:rPr>
              <w:t>（3）《广西壮族自治区中药饮片处方用名与调剂给付规定》；</w:t>
            </w:r>
          </w:p>
          <w:p w14:paraId="1C2767D1">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bidi="ar"/>
              </w:rPr>
              <w:t>（4）《药品经营质量管理规范认证证书》GSP证书（若有，在2019年12月1日前取得的需提供）；</w:t>
            </w:r>
          </w:p>
          <w:p w14:paraId="11E0A6C6">
            <w:pPr>
              <w:pStyle w:val="2"/>
              <w:keepNext w:val="0"/>
              <w:keepLines w:val="0"/>
              <w:pageBreakBefore w:val="0"/>
              <w:widowControl/>
              <w:kinsoku/>
              <w:wordWrap/>
              <w:overflowPunct/>
              <w:topLinePunct w:val="0"/>
              <w:autoSpaceDE/>
              <w:autoSpaceDN/>
              <w:bidi w:val="0"/>
              <w:adjustRightInd/>
              <w:snapToGrid/>
              <w:spacing w:line="360" w:lineRule="exact"/>
              <w:ind w:firstLine="482" w:firstLineChars="200"/>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7、违约责任：</w:t>
            </w:r>
          </w:p>
          <w:p w14:paraId="0BF88F28">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bidi="ar"/>
              </w:rPr>
              <w:t xml:space="preserve">（1）所供药品因药品质量不符合合同约定的，每出现一次，应及时为医院更换，给医院或第三方造成损失的投标人应负责赔偿；累计出现3次的，医院有权终止合同，除应向医院支付人民币伍万元的违约金外，给医院或第三方造成损失的应负责赔偿；医院有权从应支付的费用中优先扣除上述违约金；违反相关法律法规的，按相关法律规定交有关部门处理。 </w:t>
            </w:r>
          </w:p>
          <w:p w14:paraId="5B8D0720">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bidi="ar"/>
              </w:rPr>
              <w:t>（2）医院对每批饮片进行验收，出现每袋（瓶/盒）重量误差不在标示重量±5%以内情况按所供药品质量不合格处罚：</w:t>
            </w:r>
          </w:p>
          <w:p w14:paraId="36C5CC76">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bidi="ar"/>
              </w:rPr>
              <w:t>（3）收到医院发出的订单通知后，未按合同约定时间及时将药品送达的，应向医院支付人民币伍佰元的违约金，给医院或第三方造成损失的投标人还应负责赔偿；如在一个月</w:t>
            </w:r>
            <w:r>
              <w:rPr>
                <w:rFonts w:hint="eastAsia" w:ascii="仿宋_GB2312" w:hAnsi="仿宋_GB2312" w:eastAsia="仿宋_GB2312" w:cs="仿宋_GB2312"/>
                <w:sz w:val="24"/>
                <w:lang w:eastAsia="zh-CN" w:bidi="ar"/>
              </w:rPr>
              <w:t>（</w:t>
            </w:r>
            <w:r>
              <w:rPr>
                <w:rFonts w:hint="eastAsia" w:ascii="仿宋_GB2312" w:hAnsi="仿宋_GB2312" w:eastAsia="仿宋_GB2312" w:cs="仿宋_GB2312"/>
                <w:sz w:val="24"/>
                <w:lang w:val="en-US" w:eastAsia="zh-CN" w:bidi="ar"/>
              </w:rPr>
              <w:t>30个自然日内</w:t>
            </w:r>
            <w:r>
              <w:rPr>
                <w:rFonts w:hint="eastAsia" w:ascii="仿宋_GB2312" w:hAnsi="仿宋_GB2312" w:eastAsia="仿宋_GB2312" w:cs="仿宋_GB2312"/>
                <w:sz w:val="24"/>
                <w:lang w:eastAsia="zh-CN" w:bidi="ar"/>
              </w:rPr>
              <w:t>）</w:t>
            </w:r>
            <w:r>
              <w:rPr>
                <w:rFonts w:hint="eastAsia" w:ascii="仿宋_GB2312" w:hAnsi="仿宋_GB2312" w:eastAsia="仿宋_GB2312" w:cs="仿宋_GB2312"/>
                <w:sz w:val="24"/>
                <w:lang w:bidi="ar"/>
              </w:rPr>
              <w:t>内迟延供货累计出现 5 次的，医院有权终止合同，除应向医院支付人民币壹拾万元的违约金外，给医院或第三方造成损失的应负责赔偿，医院有权从应支付的费用中优先扣除上述违约金。</w:t>
            </w:r>
            <w:r>
              <w:rPr>
                <w:rFonts w:hint="eastAsia" w:ascii="仿宋_GB2312" w:hAnsi="仿宋_GB2312" w:eastAsia="仿宋_GB2312" w:cs="仿宋_GB2312"/>
                <w:sz w:val="24"/>
                <w:lang w:eastAsia="zh-CN" w:bidi="ar"/>
              </w:rPr>
              <w:t>（</w:t>
            </w:r>
            <w:r>
              <w:rPr>
                <w:rFonts w:hint="eastAsia" w:ascii="仿宋_GB2312" w:hAnsi="仿宋_GB2312" w:eastAsia="仿宋_GB2312" w:cs="仿宋_GB2312"/>
                <w:sz w:val="24"/>
                <w:lang w:val="en-US" w:eastAsia="zh-CN" w:bidi="ar"/>
              </w:rPr>
              <w:t>单一品种延迟供货超过14个自然日的，医院有权到向其它饮片供应商采购。</w:t>
            </w:r>
            <w:r>
              <w:rPr>
                <w:rFonts w:hint="eastAsia" w:ascii="仿宋_GB2312" w:hAnsi="仿宋_GB2312" w:eastAsia="仿宋_GB2312" w:cs="仿宋_GB2312"/>
                <w:sz w:val="24"/>
                <w:lang w:eastAsia="zh-CN" w:bidi="ar"/>
              </w:rPr>
              <w:t>）</w:t>
            </w:r>
            <w:r>
              <w:rPr>
                <w:rFonts w:hint="eastAsia" w:ascii="仿宋_GB2312" w:hAnsi="仿宋_GB2312" w:eastAsia="仿宋_GB2312" w:cs="仿宋_GB2312"/>
                <w:sz w:val="24"/>
                <w:lang w:bidi="ar"/>
              </w:rPr>
              <w:t xml:space="preserve"> </w:t>
            </w:r>
          </w:p>
          <w:p w14:paraId="57558028">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color w:val="auto"/>
                <w:sz w:val="24"/>
                <w:lang w:bidi="ar"/>
              </w:rPr>
            </w:pPr>
            <w:r>
              <w:rPr>
                <w:rFonts w:hint="eastAsia" w:ascii="仿宋_GB2312" w:hAnsi="仿宋_GB2312" w:eastAsia="仿宋_GB2312" w:cs="仿宋_GB2312"/>
                <w:sz w:val="24"/>
                <w:lang w:bidi="ar"/>
              </w:rPr>
              <w:t>（4）若发现生产管理负责人、验收人员不具备专业资格，非法执业，医院有权终止合同。</w:t>
            </w:r>
          </w:p>
        </w:tc>
      </w:tr>
      <w:tr w14:paraId="7E437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711" w:type="dxa"/>
            <w:gridSpan w:val="2"/>
            <w:tcBorders>
              <w:top w:val="single" w:color="auto" w:sz="4" w:space="0"/>
              <w:left w:val="single" w:color="auto" w:sz="4" w:space="0"/>
              <w:bottom w:val="single" w:color="auto" w:sz="4" w:space="0"/>
              <w:right w:val="single" w:color="auto" w:sz="4" w:space="0"/>
            </w:tcBorders>
            <w:noWrap w:val="0"/>
            <w:vAlign w:val="center"/>
          </w:tcPr>
          <w:p w14:paraId="49C05B2E">
            <w:pPr>
              <w:spacing w:line="360" w:lineRule="auto"/>
              <w:ind w:firstLine="31" w:firstLineChars="13"/>
              <w:jc w:val="center"/>
              <w:rPr>
                <w:rFonts w:hint="eastAsia" w:ascii="仿宋" w:hAnsi="仿宋" w:eastAsia="仿宋" w:cs="宋体"/>
                <w:color w:val="000000"/>
                <w:sz w:val="24"/>
              </w:rPr>
            </w:pPr>
            <w:r>
              <w:rPr>
                <w:rFonts w:hint="eastAsia" w:ascii="仿宋_GB2312" w:hAnsi="仿宋_GB2312" w:eastAsia="仿宋_GB2312" w:cs="仿宋_GB2312"/>
                <w:b/>
                <w:bCs/>
                <w:sz w:val="24"/>
              </w:rPr>
              <w:t>▲交货地点</w:t>
            </w:r>
          </w:p>
        </w:tc>
        <w:tc>
          <w:tcPr>
            <w:tcW w:w="8617" w:type="dxa"/>
            <w:tcBorders>
              <w:top w:val="single" w:color="auto" w:sz="4" w:space="0"/>
              <w:left w:val="nil"/>
              <w:bottom w:val="single" w:color="auto" w:sz="4" w:space="0"/>
              <w:right w:val="single" w:color="auto" w:sz="4" w:space="0"/>
            </w:tcBorders>
            <w:noWrap w:val="0"/>
            <w:vAlign w:val="center"/>
          </w:tcPr>
          <w:p w14:paraId="4F8A6517">
            <w:pPr>
              <w:keepNext w:val="0"/>
              <w:keepLines w:val="0"/>
              <w:pageBreakBefore w:val="0"/>
              <w:kinsoku/>
              <w:wordWrap/>
              <w:overflowPunct/>
              <w:topLinePunct w:val="0"/>
              <w:autoSpaceDE/>
              <w:autoSpaceDN/>
              <w:bidi w:val="0"/>
              <w:adjustRightInd/>
              <w:snapToGrid/>
              <w:spacing w:line="360" w:lineRule="exact"/>
              <w:ind w:firstLine="31" w:firstLineChars="13"/>
              <w:jc w:val="left"/>
              <w:textAlignment w:val="auto"/>
              <w:rPr>
                <w:rFonts w:hint="eastAsia" w:ascii="仿宋_GB2312" w:hAnsi="仿宋_GB2312" w:eastAsia="仿宋_GB2312" w:cs="仿宋_GB2312"/>
                <w:color w:val="auto"/>
                <w:sz w:val="24"/>
                <w:lang w:bidi="ar"/>
              </w:rPr>
            </w:pPr>
            <w:r>
              <w:rPr>
                <w:rFonts w:hint="eastAsia" w:ascii="仿宋_GB2312" w:hAnsi="仿宋_GB2312" w:eastAsia="仿宋_GB2312" w:cs="仿宋_GB2312"/>
                <w:sz w:val="24"/>
              </w:rPr>
              <w:t>交货地点：</w:t>
            </w:r>
            <w:r>
              <w:rPr>
                <w:rFonts w:hint="eastAsia" w:ascii="仿宋_GB2312" w:hAnsi="仿宋_GB2312" w:eastAsia="仿宋_GB2312" w:cs="仿宋_GB2312"/>
                <w:sz w:val="24"/>
                <w:lang w:eastAsia="zh-CN"/>
              </w:rPr>
              <w:t>南宁</w:t>
            </w:r>
            <w:r>
              <w:rPr>
                <w:rFonts w:hint="eastAsia" w:ascii="仿宋_GB2312" w:hAnsi="仿宋_GB2312" w:eastAsia="仿宋_GB2312" w:cs="仿宋_GB2312"/>
                <w:sz w:val="24"/>
              </w:rPr>
              <w:t>市内采购单位指定地点。</w:t>
            </w:r>
          </w:p>
        </w:tc>
      </w:tr>
      <w:tr w14:paraId="53E91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11" w:type="dxa"/>
            <w:gridSpan w:val="2"/>
            <w:tcBorders>
              <w:top w:val="single" w:color="auto" w:sz="4" w:space="0"/>
              <w:left w:val="single" w:color="auto" w:sz="4" w:space="0"/>
              <w:right w:val="single" w:color="auto" w:sz="4" w:space="0"/>
            </w:tcBorders>
            <w:noWrap w:val="0"/>
            <w:vAlign w:val="center"/>
          </w:tcPr>
          <w:p w14:paraId="1474370E">
            <w:pPr>
              <w:spacing w:line="360" w:lineRule="auto"/>
              <w:ind w:firstLine="31" w:firstLineChars="13"/>
              <w:jc w:val="center"/>
              <w:rPr>
                <w:rFonts w:hint="eastAsia" w:ascii="仿宋" w:hAnsi="仿宋" w:eastAsia="仿宋" w:cs="宋体"/>
                <w:color w:val="000000"/>
                <w:sz w:val="24"/>
              </w:rPr>
            </w:pPr>
            <w:r>
              <w:rPr>
                <w:rFonts w:hint="eastAsia" w:ascii="仿宋_GB2312" w:hAnsi="仿宋_GB2312" w:eastAsia="仿宋_GB2312" w:cs="仿宋_GB2312"/>
                <w:b/>
                <w:bCs/>
                <w:sz w:val="24"/>
              </w:rPr>
              <w:t>▲付款条件</w:t>
            </w:r>
          </w:p>
        </w:tc>
        <w:tc>
          <w:tcPr>
            <w:tcW w:w="8617" w:type="dxa"/>
            <w:tcBorders>
              <w:top w:val="single" w:color="auto" w:sz="4" w:space="0"/>
              <w:left w:val="nil"/>
              <w:bottom w:val="single" w:color="auto" w:sz="4" w:space="0"/>
              <w:right w:val="single" w:color="auto" w:sz="4" w:space="0"/>
            </w:tcBorders>
            <w:noWrap w:val="0"/>
            <w:vAlign w:val="center"/>
          </w:tcPr>
          <w:p w14:paraId="522F634D">
            <w:pPr>
              <w:keepNext w:val="0"/>
              <w:keepLines w:val="0"/>
              <w:pageBreakBefore w:val="0"/>
              <w:widowControl/>
              <w:kinsoku/>
              <w:wordWrap/>
              <w:overflowPunct/>
              <w:topLinePunct w:val="0"/>
              <w:autoSpaceDE/>
              <w:autoSpaceDN/>
              <w:bidi w:val="0"/>
              <w:adjustRightInd/>
              <w:snapToGrid/>
              <w:spacing w:line="360" w:lineRule="exact"/>
              <w:ind w:firstLine="31" w:firstLineChars="13"/>
              <w:jc w:val="left"/>
              <w:textAlignment w:val="auto"/>
              <w:rPr>
                <w:rFonts w:hint="eastAsia" w:ascii="仿宋_GB2312" w:hAnsi="仿宋_GB2312" w:eastAsia="仿宋_GB2312" w:cs="仿宋_GB2312"/>
                <w:color w:val="auto"/>
                <w:sz w:val="24"/>
                <w:lang w:bidi="ar"/>
              </w:rPr>
            </w:pPr>
            <w:r>
              <w:rPr>
                <w:rFonts w:hint="eastAsia" w:ascii="仿宋_GB2312" w:hAnsi="仿宋_GB2312" w:eastAsia="仿宋_GB2312" w:cs="仿宋_GB2312"/>
                <w:sz w:val="24"/>
              </w:rPr>
              <w:t>付款条件：</w:t>
            </w:r>
            <w:r>
              <w:rPr>
                <w:rFonts w:hint="eastAsia" w:ascii="仿宋_GB2312" w:hAnsi="仿宋_GB2312" w:eastAsia="仿宋_GB2312" w:cs="仿宋_GB2312"/>
              </w:rPr>
              <w:t xml:space="preserve"> </w:t>
            </w:r>
            <w:r>
              <w:rPr>
                <w:rFonts w:hint="eastAsia" w:ascii="仿宋_GB2312" w:hAnsi="仿宋_GB2312" w:eastAsia="仿宋_GB2312" w:cs="仿宋_GB2312"/>
                <w:sz w:val="24"/>
              </w:rPr>
              <w:t>采购人与中标供应商双方进行货款结算核对无误且采购人收到中标供应商开具的正式发票后，中标供应商在采购人结算平台完成对账并提交结算后12个月内支付货款。如有特殊情况导致发票时间滞后错月，中标供应商必须提供《发票滞后说明函》，甲方按接收发票时间统一进行排款支付。</w:t>
            </w:r>
          </w:p>
        </w:tc>
      </w:tr>
    </w:tbl>
    <w:p w14:paraId="6B6F5A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MzkwOTYwNmRhYTJjYWZlMjVhMDIxZjc0MjU2MzIifQ=="/>
  </w:docVars>
  <w:rsids>
    <w:rsidRoot w:val="00000000"/>
    <w:rsid w:val="41FD4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pPr>
    <w:rPr>
      <w:szCs w:val="20"/>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2024-11-11T09:39:54Z</dcterms:created>
  <dc:creator>86187</dc:creator>
  <cp:lastModifiedBy>2</cp:lastModifiedBy>
  <dcterms:modified xsi:type="dcterms:W3CDTF">2024-11-11T09:40:25Z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E42873D0D81A44BABAE2116F91CA55A8_12</vt:lpwstr>
  </property>
</Properties>
</file>