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62BE9">
      <w:pPr>
        <w:pageBreakBefore w:val="0"/>
        <w:kinsoku/>
        <w:wordWrap/>
        <w:overflowPunct/>
        <w:topLinePunct w:val="0"/>
        <w:autoSpaceDE/>
        <w:autoSpaceDN/>
        <w:bidi w:val="0"/>
        <w:adjustRightInd w:val="0"/>
        <w:snapToGrid w:val="0"/>
        <w:spacing w:line="560" w:lineRule="exact"/>
        <w:ind w:right="-218" w:rightChars="-104"/>
        <w:jc w:val="center"/>
        <w:textAlignment w:val="auto"/>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广西壮族自治区中医骨伤科研究所</w:t>
      </w:r>
    </w:p>
    <w:p w14:paraId="4520D530">
      <w:pPr>
        <w:pageBreakBefore w:val="0"/>
        <w:kinsoku/>
        <w:wordWrap/>
        <w:overflowPunct/>
        <w:topLinePunct w:val="0"/>
        <w:autoSpaceDE/>
        <w:autoSpaceDN/>
        <w:bidi w:val="0"/>
        <w:adjustRightInd w:val="0"/>
        <w:snapToGrid w:val="0"/>
        <w:spacing w:line="560" w:lineRule="exact"/>
        <w:ind w:right="-218" w:rightChars="-104"/>
        <w:jc w:val="center"/>
        <w:textAlignment w:val="auto"/>
        <w:rPr>
          <w:rFonts w:hint="eastAsia" w:ascii="方正小标宋简体" w:hAnsi="Times New Roman" w:eastAsia="方正小标宋简体" w:cs="Times New Roman"/>
          <w:sz w:val="44"/>
          <w:szCs w:val="44"/>
          <w:lang w:eastAsia="zh-CN"/>
        </w:rPr>
      </w:pPr>
      <w:r>
        <w:rPr>
          <w:rFonts w:hint="eastAsia" w:ascii="方正小标宋简体" w:hAnsi="Times New Roman" w:eastAsia="方正小标宋简体" w:cs="Times New Roman"/>
          <w:sz w:val="44"/>
          <w:szCs w:val="44"/>
          <w:lang w:val="en-US" w:eastAsia="zh-CN"/>
        </w:rPr>
        <w:t>2023年度</w:t>
      </w:r>
      <w:r>
        <w:rPr>
          <w:rFonts w:hint="eastAsia" w:ascii="方正小标宋简体" w:hAnsi="Times New Roman" w:eastAsia="方正小标宋简体" w:cs="Times New Roman"/>
          <w:sz w:val="44"/>
          <w:szCs w:val="44"/>
        </w:rPr>
        <w:t>部门决算</w:t>
      </w:r>
      <w:r>
        <w:rPr>
          <w:rFonts w:hint="eastAsia" w:ascii="方正小标宋简体" w:hAnsi="Times New Roman" w:eastAsia="方正小标宋简体" w:cs="Times New Roman"/>
          <w:sz w:val="44"/>
          <w:szCs w:val="44"/>
          <w:lang w:eastAsia="zh-CN"/>
        </w:rPr>
        <w:t>公开</w:t>
      </w:r>
    </w:p>
    <w:p w14:paraId="071C45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376" w:beforeAutospacing="0" w:after="376" w:afterAutospacing="0" w:line="560" w:lineRule="exact"/>
        <w:ind w:left="0" w:right="0" w:firstLine="420"/>
        <w:jc w:val="center"/>
        <w:textAlignment w:val="auto"/>
        <w:rPr>
          <w:rFonts w:hint="eastAsia" w:ascii="仿宋_GB2312" w:hAnsi="仿宋_GB2312" w:eastAsia="仿宋_GB2312" w:cs="仿宋_GB2312"/>
          <w:color w:val="auto"/>
          <w:sz w:val="24"/>
          <w:szCs w:val="24"/>
        </w:rPr>
      </w:pPr>
    </w:p>
    <w:p w14:paraId="23F7B65A">
      <w:pPr>
        <w:pStyle w:val="2"/>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eastAsia" w:ascii="黑体" w:hAnsi="黑体" w:eastAsia="黑体" w:cs="黑体"/>
          <w:b w:val="0"/>
          <w:bCs w:val="0"/>
          <w:sz w:val="32"/>
          <w:szCs w:val="32"/>
          <w:lang w:bidi="ar-SA"/>
        </w:rPr>
      </w:pPr>
      <w:r>
        <w:rPr>
          <w:rFonts w:hint="eastAsia" w:ascii="黑体" w:hAnsi="黑体" w:eastAsia="黑体" w:cs="黑体"/>
          <w:b w:val="0"/>
          <w:bCs w:val="0"/>
          <w:sz w:val="32"/>
          <w:szCs w:val="32"/>
          <w:lang w:bidi="ar-SA"/>
        </w:rPr>
        <w:t>第一部分：广西壮族自治区中医骨伤科研究所概况</w:t>
      </w:r>
    </w:p>
    <w:p w14:paraId="4B40C722">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一、主要职能</w:t>
      </w:r>
    </w:p>
    <w:p w14:paraId="4B22835D">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sz w:val="32"/>
          <w:szCs w:val="32"/>
        </w:rPr>
        <w:t>广西壮族自治区中医骨伤科研究所成立于1986年，1995年增挂广西骨伤医院牌子，是一所集临床、医疗、预防、保健和中医骨伤研究为一体的自治区级医疗科研单位，是</w:t>
      </w:r>
      <w:bookmarkStart w:id="0" w:name="_GoBack"/>
      <w:bookmarkEnd w:id="0"/>
      <w:r>
        <w:rPr>
          <w:rFonts w:hint="eastAsia" w:ascii="仿宋_GB2312" w:hAnsi="仿宋_GB2312" w:eastAsia="仿宋_GB2312" w:cs="仿宋_GB2312"/>
          <w:color w:val="000000"/>
          <w:sz w:val="32"/>
          <w:szCs w:val="32"/>
        </w:rPr>
        <w:t>自治区中医药管理局直属的国家三级甲等中西医结合骨科医院、广西中医药大学附属骨伤医院、广西红十字会骨伤医院、高等医学院校临床教学基地和骨伤专业硕士点。</w:t>
      </w:r>
      <w:r>
        <w:rPr>
          <w:rFonts w:hint="eastAsia" w:ascii="仿宋_GB2312" w:hAnsi="仿宋" w:eastAsia="仿宋_GB2312" w:cs="Times New Roman"/>
          <w:sz w:val="32"/>
          <w:szCs w:val="32"/>
        </w:rPr>
        <w:t>长期以来，医院坚持“大专科、小综合”与中西医结合的办院方向，把骨伤科作为医院建设重点来抓。坚持“所院合一、科教兴院”的方针，不断引进新技术、新项目，努力提高科研水平。医院骨伤科是国家中医药管理局“十一五”重点专科，骨伤康复科是自治区中医药管理局“十二五”重点建设项目</w:t>
      </w:r>
      <w:r>
        <w:rPr>
          <w:rFonts w:hint="eastAsia" w:ascii="仿宋_GB2312" w:hAnsi="仿宋" w:eastAsia="仿宋_GB2312" w:cs="Times New Roman"/>
          <w:kern w:val="2"/>
          <w:sz w:val="32"/>
          <w:szCs w:val="32"/>
          <w:lang w:val="en-US" w:eastAsia="zh-CN" w:bidi="ar-SA"/>
        </w:rPr>
        <w:t>。</w:t>
      </w:r>
    </w:p>
    <w:p w14:paraId="3AF81E1F">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二、机构设置情况</w:t>
      </w:r>
    </w:p>
    <w:p w14:paraId="1D26EA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广西壮族自治区中医骨伤科研究所内设机构有：1.行政部门：党政办公室、纪检监察室、人力资源部、医务部、护理部、科教部、财务运营部、保障部、审计科、采购办。2.临床科室：四肢创伤科、脊柱骨病科、康复科、关节科、麻醉科、</w:t>
      </w:r>
      <w:r>
        <w:rPr>
          <w:rFonts w:hint="eastAsia" w:ascii="仿宋_GB2312" w:hAnsi="仿宋" w:eastAsia="仿宋_GB2312"/>
          <w:sz w:val="32"/>
          <w:szCs w:val="32"/>
        </w:rPr>
        <w:t>内科•老年病科</w:t>
      </w:r>
      <w:r>
        <w:rPr>
          <w:rFonts w:hint="eastAsia" w:ascii="仿宋_GB2312" w:hAnsi="宋体" w:eastAsia="仿宋_GB2312" w:cs="Times New Roman"/>
          <w:kern w:val="2"/>
          <w:sz w:val="32"/>
          <w:szCs w:val="32"/>
          <w:lang w:val="en-US" w:eastAsia="zh-CN" w:bidi="ar-SA"/>
        </w:rPr>
        <w:t>、重症医学科、治未病科、筋伤科（传统疗法科）、正骨科、急诊科。3.门诊科室：骨科门诊、内科门诊、妇产科门诊、耳鼻喉眼科门诊、外科门诊、疼痛科门诊、名中医传承工作室、慢创门诊、感染性疾病科门诊、口腔科门诊（民生路）、皮肤科门诊（民生路）。4.医技科室：药学部、放射科、心电超声科、检验科、输血科、病理科、营养科、手术室。5.社区卫生服务中心：方园社区卫生服务中心、长虹社区卫生服务中心。</w:t>
      </w:r>
    </w:p>
    <w:p w14:paraId="00C2B90D">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三、人员构成情况</w:t>
      </w:r>
    </w:p>
    <w:p w14:paraId="2B5646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1.在职实有人数466人。其中：事业编制158人、机关后勤控制数1人。</w:t>
      </w:r>
    </w:p>
    <w:p w14:paraId="49E6BA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2.离退休人员153人。其中：离休人员0人、退休人员153人。</w:t>
      </w:r>
    </w:p>
    <w:p w14:paraId="526F2ACF">
      <w:pPr>
        <w:pStyle w:val="2"/>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sz w:val="32"/>
          <w:szCs w:val="32"/>
          <w:lang w:bidi="ar-SA"/>
        </w:rPr>
        <w:t>第二部分：广西壮族自治区中医骨伤科研究所</w:t>
      </w:r>
      <w:r>
        <w:rPr>
          <w:rFonts w:hint="eastAsia" w:ascii="黑体" w:hAnsi="黑体" w:eastAsia="黑体" w:cs="黑体"/>
          <w:b w:val="0"/>
          <w:bCs w:val="0"/>
          <w:kern w:val="2"/>
          <w:sz w:val="32"/>
          <w:szCs w:val="32"/>
          <w:lang w:val="en-US" w:eastAsia="zh-CN" w:bidi="ar-SA"/>
        </w:rPr>
        <w:t>2023年度部门决算报表</w:t>
      </w:r>
    </w:p>
    <w:p w14:paraId="2E8D4A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i w:val="0"/>
          <w:iCs w:val="0"/>
          <w:caps w:val="0"/>
          <w:color w:val="auto"/>
          <w:spacing w:val="0"/>
          <w:sz w:val="31"/>
          <w:szCs w:val="31"/>
          <w:shd w:val="clear" w:fill="F6F3EA"/>
        </w:rPr>
      </w:pPr>
      <w:r>
        <w:rPr>
          <w:rFonts w:hint="eastAsia" w:ascii="仿宋_GB2312" w:hAnsi="宋体" w:eastAsia="仿宋_GB2312" w:cs="Times New Roman"/>
          <w:kern w:val="2"/>
          <w:sz w:val="32"/>
          <w:szCs w:val="32"/>
          <w:lang w:val="en-US" w:eastAsia="zh-CN" w:bidi="ar-SA"/>
        </w:rPr>
        <w:t>《收入支出决算总表》《收入决算表》《支出决算表》《财政拨款收入支出表》《一般公共预算财政拨款支出决算表》《一般公共预算财政拨款基本支出决算明细表》《政府性基金预算财政拨款收入支出决算表》《国有资本经营预算财政拨款支出决算》《财政拨款“三公”经费支出决算表》(此部分另附表格，详见附件：广西壮族自治区中医骨伤科研究所2023年度部门决算公开附表)</w:t>
      </w:r>
    </w:p>
    <w:p w14:paraId="52A36A9E">
      <w:pPr>
        <w:pStyle w:val="2"/>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eastAsia" w:ascii="黑体" w:hAnsi="黑体" w:eastAsia="黑体" w:cs="黑体"/>
          <w:b w:val="0"/>
          <w:bCs w:val="0"/>
          <w:sz w:val="32"/>
          <w:szCs w:val="32"/>
          <w:highlight w:val="none"/>
          <w:lang w:bidi="ar-SA"/>
        </w:rPr>
      </w:pPr>
      <w:r>
        <w:rPr>
          <w:rFonts w:hint="eastAsia" w:ascii="黑体" w:hAnsi="黑体" w:eastAsia="黑体" w:cs="黑体"/>
          <w:b w:val="0"/>
          <w:bCs w:val="0"/>
          <w:sz w:val="32"/>
          <w:szCs w:val="32"/>
          <w:lang w:bidi="ar-SA"/>
        </w:rPr>
        <w:t>第三部分：</w:t>
      </w:r>
      <w:r>
        <w:rPr>
          <w:rFonts w:hint="eastAsia" w:ascii="黑体" w:hAnsi="黑体" w:eastAsia="黑体" w:cs="黑体"/>
          <w:b w:val="0"/>
          <w:bCs w:val="0"/>
          <w:sz w:val="32"/>
          <w:szCs w:val="32"/>
          <w:highlight w:val="none"/>
          <w:lang w:bidi="ar-SA"/>
        </w:rPr>
        <w:t>广西壮族自治区中医骨伤科研究所</w:t>
      </w:r>
      <w:r>
        <w:rPr>
          <w:rFonts w:hint="eastAsia" w:ascii="黑体" w:hAnsi="黑体" w:eastAsia="黑体" w:cs="黑体"/>
          <w:b w:val="0"/>
          <w:bCs w:val="0"/>
          <w:sz w:val="32"/>
          <w:szCs w:val="32"/>
          <w:highlight w:val="none"/>
          <w:lang w:eastAsia="zh-CN" w:bidi="ar-SA"/>
        </w:rPr>
        <w:t>2023年度</w:t>
      </w:r>
      <w:r>
        <w:rPr>
          <w:rFonts w:hint="eastAsia" w:ascii="黑体" w:hAnsi="黑体" w:eastAsia="黑体" w:cs="黑体"/>
          <w:b w:val="0"/>
          <w:bCs w:val="0"/>
          <w:sz w:val="32"/>
          <w:szCs w:val="32"/>
          <w:highlight w:val="none"/>
          <w:lang w:bidi="ar-SA"/>
        </w:rPr>
        <w:t>部门决算情况说明</w:t>
      </w:r>
    </w:p>
    <w:p w14:paraId="6513C85C">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一、</w:t>
      </w:r>
      <w:r>
        <w:rPr>
          <w:rFonts w:hint="eastAsia" w:ascii="黑体" w:hAnsi="黑体" w:eastAsia="黑体" w:cs="黑体"/>
          <w:b w:val="0"/>
          <w:bCs w:val="0"/>
          <w:sz w:val="32"/>
          <w:lang w:eastAsia="zh-CN"/>
        </w:rPr>
        <w:t>2023年度</w:t>
      </w:r>
      <w:r>
        <w:rPr>
          <w:rFonts w:hint="eastAsia" w:ascii="黑体" w:hAnsi="黑体" w:eastAsia="黑体" w:cs="黑体"/>
          <w:b w:val="0"/>
          <w:bCs w:val="0"/>
          <w:sz w:val="32"/>
        </w:rPr>
        <w:t>收入支出决算总体情况</w:t>
      </w:r>
    </w:p>
    <w:p w14:paraId="344E3F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（一）本</w:t>
      </w:r>
      <w:r>
        <w:rPr>
          <w:rFonts w:hint="eastAsia" w:ascii="仿宋_GB2312" w:hAnsi="仿宋" w:eastAsia="仿宋_GB2312" w:cs="Times New Roman"/>
          <w:color w:val="auto"/>
          <w:kern w:val="2"/>
          <w:sz w:val="32"/>
          <w:szCs w:val="32"/>
          <w:lang w:val="en-US" w:eastAsia="zh-CN" w:bidi="ar-SA"/>
        </w:rPr>
        <w:t>单位2023年度总收入19724.80万元，其中本年收入17794万元,较上年度总收入决算数18116.4万元增加1608.40万元，增长8.88%。收入</w:t>
      </w:r>
      <w:r>
        <w:rPr>
          <w:rFonts w:hint="eastAsia" w:ascii="仿宋_GB2312" w:hAnsi="仿宋" w:eastAsia="仿宋_GB2312" w:cs="Times New Roman"/>
          <w:kern w:val="2"/>
          <w:sz w:val="32"/>
          <w:szCs w:val="32"/>
          <w:lang w:val="en-US" w:eastAsia="zh-CN" w:bidi="ar-SA"/>
        </w:rPr>
        <w:t>具体情况如下。</w:t>
      </w:r>
    </w:p>
    <w:p w14:paraId="76233B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kern w:val="2"/>
          <w:sz w:val="32"/>
          <w:szCs w:val="32"/>
          <w:lang w:val="en-US" w:eastAsia="zh-CN" w:bidi="ar-SA"/>
        </w:rPr>
        <w:t>1.</w:t>
      </w:r>
      <w:r>
        <w:rPr>
          <w:rFonts w:hint="eastAsia" w:ascii="仿宋_GB2312" w:eastAsia="仿宋_GB2312" w:cs="仿宋_GB2312"/>
          <w:kern w:val="0"/>
          <w:sz w:val="32"/>
          <w:szCs w:val="32"/>
        </w:rPr>
        <w:t>一般公共预算</w:t>
      </w:r>
      <w:r>
        <w:rPr>
          <w:rFonts w:hint="eastAsia" w:ascii="仿宋_GB2312" w:hAnsi="仿宋" w:eastAsia="仿宋_GB2312" w:cs="Times New Roman"/>
          <w:kern w:val="2"/>
          <w:sz w:val="32"/>
          <w:szCs w:val="32"/>
          <w:lang w:val="en-US" w:eastAsia="zh-CN" w:bidi="ar-SA"/>
        </w:rPr>
        <w:t>拨款收入1912.38万元，为中央及自治区本级财政当年拨付的资金。较上年度决算数2375.63万元减少463.25万元，下降19.50%，</w:t>
      </w:r>
      <w:r>
        <w:rPr>
          <w:rFonts w:hint="eastAsia" w:ascii="仿宋_GB2312" w:hAnsi="仿宋" w:eastAsia="仿宋_GB2312" w:cs="Times New Roman"/>
          <w:color w:val="auto"/>
          <w:kern w:val="2"/>
          <w:sz w:val="32"/>
          <w:szCs w:val="32"/>
          <w:lang w:val="en-US" w:eastAsia="zh-CN" w:bidi="ar-SA"/>
        </w:rPr>
        <w:t>主要原因是本年一般公共预算拨款减少。</w:t>
      </w:r>
    </w:p>
    <w:p w14:paraId="66B871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2.事业收入15495.08万元，为单位开展业务活动取得的收入。较上年度决算数13860.5万元增加1634.58万元，增长11.79%。</w:t>
      </w:r>
    </w:p>
    <w:p w14:paraId="52AC1B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3.其他收入386.54万元，为单位在“财政拨款收入”“事业收入”“经营收入”之外取得的收入。较上年度决算数</w:t>
      </w:r>
      <w:r>
        <w:rPr>
          <w:rFonts w:hint="eastAsia" w:ascii="仿宋_GB2312" w:hAnsi="仿宋" w:eastAsia="仿宋_GB2312" w:cs="Times New Roman"/>
          <w:kern w:val="2"/>
          <w:sz w:val="32"/>
          <w:szCs w:val="32"/>
          <w:highlight w:val="none"/>
          <w:lang w:val="en-US" w:eastAsia="zh-CN" w:bidi="ar-SA"/>
        </w:rPr>
        <w:t>617.79减少231.25万元，下降37.43%，主要原因是本年方园社区卫生服务中心未收到2023年度基本</w:t>
      </w:r>
      <w:r>
        <w:rPr>
          <w:rFonts w:hint="eastAsia" w:ascii="仿宋_GB2312" w:hAnsi="仿宋" w:eastAsia="仿宋_GB2312" w:cs="Times New Roman"/>
          <w:kern w:val="2"/>
          <w:sz w:val="32"/>
          <w:szCs w:val="32"/>
          <w:lang w:val="en-US" w:eastAsia="zh-CN" w:bidi="ar-SA"/>
        </w:rPr>
        <w:t>公共卫生补助资金。</w:t>
      </w:r>
    </w:p>
    <w:p w14:paraId="34389E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kern w:val="2"/>
          <w:sz w:val="32"/>
          <w:szCs w:val="32"/>
          <w:lang w:val="en-US" w:eastAsia="zh-CN" w:bidi="ar-SA"/>
        </w:rPr>
        <w:t>4.</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eastAsia="zh-CN"/>
        </w:rPr>
        <w:t>（含专用结余）</w:t>
      </w:r>
      <w:r>
        <w:rPr>
          <w:rFonts w:hint="eastAsia" w:ascii="仿宋_GB2312" w:hAnsi="仿宋" w:eastAsia="仿宋_GB2312" w:cs="Times New Roman"/>
          <w:kern w:val="2"/>
          <w:sz w:val="32"/>
          <w:szCs w:val="32"/>
          <w:lang w:val="en-US" w:eastAsia="zh-CN" w:bidi="ar-SA"/>
        </w:rPr>
        <w:t>1732.94万元，主</w:t>
      </w:r>
      <w:r>
        <w:rPr>
          <w:rFonts w:hint="eastAsia" w:ascii="仿宋_GB2312" w:hAnsi="仿宋" w:eastAsia="仿宋_GB2312" w:cs="Times New Roman"/>
          <w:color w:val="auto"/>
          <w:kern w:val="2"/>
          <w:sz w:val="32"/>
          <w:szCs w:val="32"/>
          <w:lang w:val="en-US" w:eastAsia="zh-CN" w:bidi="ar-SA"/>
        </w:rPr>
        <w:t>要是单位在当年的“财政拨款收入”“事业收入”“经营收入”及“其他收入”不能保证支出的情况下，</w:t>
      </w:r>
      <w:r>
        <w:rPr>
          <w:rFonts w:hint="eastAsia" w:ascii="仿宋_GB2312" w:eastAsia="仿宋_GB2312" w:cs="仿宋_GB2312"/>
          <w:color w:val="auto"/>
          <w:kern w:val="0"/>
          <w:sz w:val="32"/>
          <w:szCs w:val="32"/>
        </w:rPr>
        <w:t>使用以前年度积累的非财政拨款结余</w:t>
      </w:r>
      <w:r>
        <w:rPr>
          <w:rFonts w:hint="eastAsia" w:ascii="仿宋_GB2312" w:eastAsia="仿宋_GB2312" w:cs="仿宋_GB2312"/>
          <w:color w:val="auto"/>
          <w:kern w:val="0"/>
          <w:sz w:val="32"/>
          <w:szCs w:val="32"/>
          <w:lang w:eastAsia="zh-CN"/>
        </w:rPr>
        <w:t>、</w:t>
      </w:r>
      <w:r>
        <w:rPr>
          <w:rFonts w:hint="eastAsia" w:ascii="仿宋_GB2312" w:eastAsia="仿宋_GB2312"/>
          <w:color w:val="auto"/>
          <w:sz w:val="32"/>
          <w:szCs w:val="32"/>
        </w:rPr>
        <w:t>专用结余</w:t>
      </w:r>
      <w:r>
        <w:rPr>
          <w:rFonts w:hint="eastAsia" w:ascii="仿宋_GB2312" w:eastAsia="仿宋_GB2312" w:cs="仿宋_GB2312"/>
          <w:color w:val="auto"/>
          <w:kern w:val="0"/>
          <w:sz w:val="32"/>
          <w:szCs w:val="32"/>
        </w:rPr>
        <w:t>弥补本年度收支缺口的资金。</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2</w:t>
      </w:r>
      <w:r>
        <w:rPr>
          <w:rFonts w:hint="eastAsia" w:ascii="仿宋_GB2312" w:hAnsi="黑体" w:eastAsia="仿宋_GB2312" w:cs="仿宋_GB2312"/>
          <w:color w:val="auto"/>
          <w:kern w:val="0"/>
          <w:sz w:val="32"/>
          <w:szCs w:val="32"/>
        </w:rPr>
        <w:t>年度决算数增加</w:t>
      </w:r>
      <w:r>
        <w:rPr>
          <w:rFonts w:hint="eastAsia" w:ascii="仿宋_GB2312" w:hAnsi="黑体" w:eastAsia="仿宋_GB2312" w:cs="仿宋_GB2312"/>
          <w:color w:val="auto"/>
          <w:kern w:val="0"/>
          <w:sz w:val="32"/>
          <w:szCs w:val="32"/>
          <w:lang w:val="en-US" w:eastAsia="zh-CN"/>
        </w:rPr>
        <w:t>734.23</w:t>
      </w:r>
      <w:r>
        <w:rPr>
          <w:rFonts w:hint="eastAsia" w:ascii="仿宋_GB2312" w:hAnsi="黑体" w:eastAsia="仿宋_GB2312" w:cs="仿宋_GB2312"/>
          <w:color w:val="auto"/>
          <w:kern w:val="0"/>
          <w:sz w:val="32"/>
          <w:szCs w:val="32"/>
        </w:rPr>
        <w:t>万元，增长</w:t>
      </w:r>
      <w:r>
        <w:rPr>
          <w:rFonts w:hint="eastAsia" w:ascii="仿宋_GB2312" w:eastAsia="仿宋_GB2312" w:cs="仿宋_GB2312"/>
          <w:color w:val="auto"/>
          <w:kern w:val="0"/>
          <w:sz w:val="32"/>
          <w:szCs w:val="32"/>
          <w:lang w:val="en-US" w:eastAsia="zh-CN"/>
        </w:rPr>
        <w:t>73.52</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年内使用事业基金弥补预算收支差额较上年增加</w:t>
      </w:r>
      <w:r>
        <w:rPr>
          <w:rFonts w:hint="eastAsia" w:ascii="仿宋_GB2312" w:hAnsi="黑体" w:eastAsia="仿宋_GB2312" w:cs="仿宋_GB2312"/>
          <w:color w:val="auto"/>
          <w:kern w:val="0"/>
          <w:sz w:val="32"/>
          <w:szCs w:val="32"/>
        </w:rPr>
        <w:t>。</w:t>
      </w:r>
    </w:p>
    <w:p w14:paraId="0A1C8996">
      <w:pPr>
        <w:pageBreakBefore w:val="0"/>
        <w:kinsoku/>
        <w:wordWrap/>
        <w:overflowPunct/>
        <w:topLinePunct w:val="0"/>
        <w:autoSpaceDE w:val="0"/>
        <w:autoSpaceDN w:val="0"/>
        <w:bidi w:val="0"/>
        <w:adjustRightInd w:val="0"/>
        <w:snapToGrid/>
        <w:spacing w:beforeAutospacing="0" w:afterAutospacing="0" w:line="560" w:lineRule="exact"/>
        <w:ind w:firstLine="627" w:firstLineChars="196"/>
        <w:jc w:val="both"/>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kern w:val="2"/>
          <w:sz w:val="32"/>
          <w:szCs w:val="32"/>
          <w:lang w:val="en-US" w:eastAsia="zh-CN" w:bidi="ar-SA"/>
        </w:rPr>
        <w:t>5.年初结转和结余197.86万元，为单位上年结转本年使用的基本支出结转、项目支出结转和结余，不包括事业单位的非财政拨款结余（累计结余）及专用结余（累计结余）。</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2</w:t>
      </w:r>
      <w:r>
        <w:rPr>
          <w:rFonts w:hint="eastAsia" w:ascii="仿宋_GB2312" w:hAnsi="黑体" w:eastAsia="仿宋_GB2312" w:cs="仿宋_GB2312"/>
          <w:color w:val="auto"/>
          <w:kern w:val="0"/>
          <w:sz w:val="32"/>
          <w:szCs w:val="32"/>
        </w:rPr>
        <w:t>年度决算数减少</w:t>
      </w:r>
      <w:r>
        <w:rPr>
          <w:rFonts w:hint="eastAsia" w:ascii="仿宋_GB2312" w:hAnsi="黑体" w:eastAsia="仿宋_GB2312" w:cs="仿宋_GB2312"/>
          <w:color w:val="auto"/>
          <w:kern w:val="0"/>
          <w:sz w:val="32"/>
          <w:szCs w:val="32"/>
          <w:lang w:val="en-US" w:eastAsia="zh-CN"/>
        </w:rPr>
        <w:t>65.91</w:t>
      </w:r>
      <w:r>
        <w:rPr>
          <w:rFonts w:hint="eastAsia" w:ascii="仿宋_GB2312" w:hAnsi="黑体" w:eastAsia="仿宋_GB2312" w:cs="仿宋_GB2312"/>
          <w:color w:val="auto"/>
          <w:kern w:val="0"/>
          <w:sz w:val="32"/>
          <w:szCs w:val="32"/>
        </w:rPr>
        <w:t>万元，下降</w:t>
      </w:r>
      <w:r>
        <w:rPr>
          <w:rFonts w:hint="eastAsia" w:ascii="仿宋_GB2312" w:hAnsi="黑体" w:eastAsia="仿宋_GB2312" w:cs="仿宋_GB2312"/>
          <w:color w:val="auto"/>
          <w:kern w:val="0"/>
          <w:sz w:val="32"/>
          <w:szCs w:val="32"/>
          <w:lang w:val="en-US" w:eastAsia="zh-CN"/>
        </w:rPr>
        <w:t>24.99</w:t>
      </w:r>
      <w:r>
        <w:rPr>
          <w:rFonts w:hint="eastAsia" w:ascii="仿宋_GB2312" w:hAnsi="黑体" w:eastAsia="仿宋_GB2312" w:cs="仿宋_GB2312"/>
          <w:color w:val="auto"/>
          <w:kern w:val="0"/>
          <w:sz w:val="32"/>
          <w:szCs w:val="32"/>
        </w:rPr>
        <w:t>%，主要原因是</w:t>
      </w:r>
      <w:r>
        <w:rPr>
          <w:rFonts w:hint="eastAsia" w:ascii="仿宋_GB2312" w:hAnsi="宋体" w:eastAsia="仿宋_GB2312" w:cs="Times New Roman"/>
          <w:color w:val="auto"/>
          <w:kern w:val="2"/>
          <w:sz w:val="32"/>
          <w:szCs w:val="32"/>
          <w:highlight w:val="none"/>
          <w:lang w:val="en-US" w:eastAsia="zh-CN" w:bidi="ar-SA"/>
        </w:rPr>
        <w:t>单位可使用的累计结转结余资金减少</w:t>
      </w:r>
      <w:r>
        <w:rPr>
          <w:rFonts w:hint="eastAsia" w:ascii="仿宋_GB2312" w:hAnsi="黑体" w:eastAsia="仿宋_GB2312" w:cs="仿宋_GB2312"/>
          <w:color w:val="auto"/>
          <w:kern w:val="0"/>
          <w:sz w:val="32"/>
          <w:szCs w:val="32"/>
        </w:rPr>
        <w:t>。</w:t>
      </w:r>
    </w:p>
    <w:p w14:paraId="0B64D2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（二）本单位2023年度总支出19724.80万元，其中本年度支出19541.82万元，较上年度决算数18116.4万元增加1608.40万元，增长8.88%。支出具体情况如下：</w:t>
      </w:r>
    </w:p>
    <w:p w14:paraId="75728D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1.按支出功能科目划分，分为“208社会保障和就业支出”、“210卫生健康支出”、“221住房保障支出”3类，其中：</w:t>
      </w:r>
    </w:p>
    <w:p w14:paraId="062C53F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（1）208社会保障和就业支出636.24万元：主要用于离退休干部工资、死亡抚恤金、机关事业单位职业年金缴费支出。</w:t>
      </w:r>
    </w:p>
    <w:p w14:paraId="2E7C39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（2）210卫生健康支出18447.17万元：主要用于医院日常运行经费、设备购置、人员工资和福利、对个人和家庭的补助。较上年度决算数17465.97万元增加981.20万元，增长5.62%。</w:t>
      </w:r>
    </w:p>
    <w:p w14:paraId="77B6A0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（3）221住房保障支出458.41万元：主要用于医院在编人员住房公积金。</w:t>
      </w:r>
    </w:p>
    <w:p w14:paraId="3D2EE5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2.按支出结构分类划分。本年支出决算分为基本支出、项目支出和结转下年支出。</w:t>
      </w:r>
    </w:p>
    <w:p w14:paraId="73C099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（1）基本支出决算。基本支出1563.77万元，占总支出8%。其中：</w:t>
      </w:r>
    </w:p>
    <w:p w14:paraId="6A55F2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①工资福利支出1175.58万元，占基本支出的75.18%，同比上年1124.54万元增加51.04万元，增长4.54%。</w:t>
      </w:r>
    </w:p>
    <w:p w14:paraId="39A04A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②商品和服务支出155.60万元，占本年基本支出的9.95%，同比上年129.21万元增加26.39万元，增长20.42%。</w:t>
      </w:r>
    </w:p>
    <w:p w14:paraId="33CB39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③对个人和家庭补助支出232.59万元，占本年基本支出的14.87%，同比上年224.17万元增加8.42万元，增长3.76%。</w:t>
      </w:r>
    </w:p>
    <w:p w14:paraId="58F6CDF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（2）项目支出预算。项目支出17978.05万元，占支出总额的91.14%。其中：</w:t>
      </w:r>
    </w:p>
    <w:p w14:paraId="48F360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①工资福利支出8406.11万元，占本年项目支出的46.76%，同比上年7759.58万元增加646.53万元，增长8.33%。</w:t>
      </w:r>
    </w:p>
    <w:p w14:paraId="6FD37B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②商品和服务支出7682.60万元，占本年项目支出的42.73%，同比上年7079.24万元增加603.36万元，增长8.52%。</w:t>
      </w:r>
    </w:p>
    <w:p w14:paraId="7B41C5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③对个人和家庭补助支出215.30万元，占本年项目支出预算的1.20%，同比上年8.7万元增加206.60万元，主要是年中追加的死亡抚恤金及</w:t>
      </w:r>
      <w:r>
        <w:rPr>
          <w:rFonts w:hint="eastAsia" w:ascii="仿宋_GB2312" w:hAnsi="仿宋" w:eastAsia="仿宋_GB2312"/>
          <w:color w:val="auto"/>
          <w:sz w:val="32"/>
          <w:szCs w:val="32"/>
          <w:lang w:val="en-US" w:eastAsia="zh-CN"/>
        </w:rPr>
        <w:t>医务人员临时性工作补助</w:t>
      </w:r>
      <w:r>
        <w:rPr>
          <w:rFonts w:hint="eastAsia" w:ascii="仿宋_GB2312" w:hAnsi="仿宋" w:eastAsia="仿宋_GB2312" w:cs="Times New Roman"/>
          <w:color w:val="auto"/>
          <w:kern w:val="2"/>
          <w:sz w:val="32"/>
          <w:szCs w:val="32"/>
          <w:lang w:val="en-US" w:eastAsia="zh-CN" w:bidi="ar-SA"/>
        </w:rPr>
        <w:t>。</w:t>
      </w:r>
    </w:p>
    <w:p w14:paraId="3A7DAA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④债务利息支出0万元，占本年项目支出的0%，与上年度持平。</w:t>
      </w:r>
    </w:p>
    <w:p w14:paraId="614BF8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⑤资本性支出1674.04万元，占本年项目支出的9.31%，同比上年1450.85万元增加223.19万元，增长15.38%，主要是年中增加的经开区医院建设项目的其他资本性支出。</w:t>
      </w:r>
    </w:p>
    <w:p w14:paraId="596A5D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（3）结余分配1.81万元，</w:t>
      </w:r>
      <w:r>
        <w:rPr>
          <w:rFonts w:hint="eastAsia" w:ascii="仿宋_GB2312" w:eastAsia="仿宋_GB2312" w:cs="仿宋_GB2312"/>
          <w:color w:val="auto"/>
          <w:kern w:val="0"/>
          <w:sz w:val="32"/>
          <w:szCs w:val="32"/>
        </w:rPr>
        <w:t>为事业单位按规定提取的专用结余、缴纳所得税和转入非财政拨款结余等。</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2</w:t>
      </w:r>
      <w:r>
        <w:rPr>
          <w:rFonts w:hint="eastAsia" w:ascii="仿宋_GB2312" w:hAnsi="黑体" w:eastAsia="仿宋_GB2312" w:cs="仿宋_GB2312"/>
          <w:color w:val="auto"/>
          <w:kern w:val="0"/>
          <w:sz w:val="32"/>
          <w:szCs w:val="32"/>
        </w:rPr>
        <w:t>年度决算数减少</w:t>
      </w:r>
      <w:r>
        <w:rPr>
          <w:rFonts w:hint="eastAsia" w:ascii="仿宋_GB2312" w:eastAsia="仿宋_GB2312" w:cs="仿宋_GB2312"/>
          <w:color w:val="auto"/>
          <w:kern w:val="0"/>
          <w:sz w:val="32"/>
          <w:szCs w:val="32"/>
          <w:lang w:val="en-US" w:eastAsia="zh-CN"/>
        </w:rPr>
        <w:t>23.06</w:t>
      </w:r>
      <w:r>
        <w:rPr>
          <w:rFonts w:hint="eastAsia" w:ascii="仿宋_GB2312" w:hAnsi="黑体" w:eastAsia="仿宋_GB2312" w:cs="仿宋_GB2312"/>
          <w:color w:val="auto"/>
          <w:kern w:val="0"/>
          <w:sz w:val="32"/>
          <w:szCs w:val="32"/>
        </w:rPr>
        <w:t>万元，下降</w:t>
      </w:r>
      <w:r>
        <w:rPr>
          <w:rFonts w:hint="eastAsia" w:ascii="仿宋_GB2312" w:eastAsia="仿宋_GB2312" w:cs="仿宋_GB2312"/>
          <w:color w:val="auto"/>
          <w:kern w:val="0"/>
          <w:sz w:val="32"/>
          <w:szCs w:val="32"/>
          <w:lang w:val="en-US" w:eastAsia="zh-CN"/>
        </w:rPr>
        <w:t>92.72</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当年结余减少</w:t>
      </w:r>
      <w:r>
        <w:rPr>
          <w:rFonts w:hint="eastAsia" w:ascii="仿宋_GB2312" w:hAnsi="黑体" w:eastAsia="仿宋_GB2312" w:cs="仿宋_GB2312"/>
          <w:color w:val="auto"/>
          <w:kern w:val="0"/>
          <w:sz w:val="32"/>
          <w:szCs w:val="32"/>
        </w:rPr>
        <w:t>。</w:t>
      </w:r>
    </w:p>
    <w:p w14:paraId="406B6EF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（4）年末结转和结余181.16万元，为单位结转下年使用的基本支出结转、项目支出结转和结余，不包括事业单位的非财政拨款结余（累计结余）及专用结余（累计结余）。</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2</w:t>
      </w:r>
      <w:r>
        <w:rPr>
          <w:rFonts w:hint="eastAsia" w:ascii="仿宋_GB2312" w:hAnsi="黑体" w:eastAsia="仿宋_GB2312" w:cs="仿宋_GB2312"/>
          <w:color w:val="auto"/>
          <w:kern w:val="0"/>
          <w:sz w:val="32"/>
          <w:szCs w:val="32"/>
        </w:rPr>
        <w:t>年度决算数减少</w:t>
      </w:r>
      <w:r>
        <w:rPr>
          <w:rFonts w:hint="eastAsia" w:ascii="仿宋_GB2312" w:eastAsia="仿宋_GB2312" w:cs="仿宋_GB2312"/>
          <w:color w:val="auto"/>
          <w:kern w:val="0"/>
          <w:sz w:val="32"/>
          <w:szCs w:val="32"/>
          <w:lang w:val="en-US" w:eastAsia="zh-CN"/>
        </w:rPr>
        <w:t>134.07</w:t>
      </w:r>
      <w:r>
        <w:rPr>
          <w:rFonts w:hint="eastAsia" w:ascii="仿宋_GB2312" w:hAnsi="黑体" w:eastAsia="仿宋_GB2312" w:cs="仿宋_GB2312"/>
          <w:color w:val="auto"/>
          <w:kern w:val="0"/>
          <w:sz w:val="32"/>
          <w:szCs w:val="32"/>
        </w:rPr>
        <w:t>万元，下降</w:t>
      </w:r>
      <w:r>
        <w:rPr>
          <w:rFonts w:hint="eastAsia" w:ascii="仿宋_GB2312" w:eastAsia="仿宋_GB2312" w:cs="仿宋_GB2312"/>
          <w:color w:val="auto"/>
          <w:kern w:val="0"/>
          <w:sz w:val="32"/>
          <w:szCs w:val="32"/>
          <w:lang w:val="en-US" w:eastAsia="zh-CN"/>
        </w:rPr>
        <w:t>42.53</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当年结余减少</w:t>
      </w:r>
      <w:r>
        <w:rPr>
          <w:rFonts w:hint="eastAsia" w:ascii="仿宋_GB2312" w:hAnsi="黑体" w:eastAsia="仿宋_GB2312" w:cs="仿宋_GB2312"/>
          <w:color w:val="auto"/>
          <w:kern w:val="0"/>
          <w:sz w:val="32"/>
          <w:szCs w:val="32"/>
        </w:rPr>
        <w:t>。</w:t>
      </w:r>
    </w:p>
    <w:p w14:paraId="482FCD4A">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auto"/>
          <w:sz w:val="32"/>
        </w:rPr>
      </w:pPr>
      <w:r>
        <w:rPr>
          <w:rFonts w:hint="eastAsia" w:ascii="黑体" w:hAnsi="黑体" w:eastAsia="黑体" w:cs="黑体"/>
          <w:b w:val="0"/>
          <w:bCs w:val="0"/>
          <w:color w:val="auto"/>
          <w:sz w:val="32"/>
        </w:rPr>
        <w:t>二、</w:t>
      </w:r>
      <w:r>
        <w:rPr>
          <w:rFonts w:hint="eastAsia" w:ascii="黑体" w:hAnsi="黑体" w:eastAsia="黑体" w:cs="黑体"/>
          <w:b w:val="0"/>
          <w:bCs w:val="0"/>
          <w:color w:val="auto"/>
          <w:sz w:val="32"/>
          <w:lang w:eastAsia="zh-CN"/>
        </w:rPr>
        <w:t>2023年度</w:t>
      </w:r>
      <w:r>
        <w:rPr>
          <w:rFonts w:hint="eastAsia" w:ascii="黑体" w:hAnsi="黑体" w:eastAsia="黑体" w:cs="黑体"/>
          <w:b w:val="0"/>
          <w:bCs w:val="0"/>
          <w:color w:val="auto"/>
          <w:sz w:val="32"/>
        </w:rPr>
        <w:t>一般公共预算财政拨款支出决算情况</w:t>
      </w:r>
    </w:p>
    <w:p w14:paraId="700DF3F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本单位2023年度一般公共预算财政拨款支出1920.48万元，较上年度决算数2365.02万元减少444.54万元，下降18.80%。其中：基本支出121.78万元，项目支出1798.69万元。</w:t>
      </w:r>
    </w:p>
    <w:p w14:paraId="4B9B7A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本单位2023年度一般公共预算财政拨款支出年初预算为1662.59万元，支出决算为1920.48万元，完成年初预算的115.51%。主要原因是一般公共预算拨款年中追加预算。</w:t>
      </w:r>
    </w:p>
    <w:p w14:paraId="5943E9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（一）工资福利支出年初预算为117.76万元，支出决算为127.20万元，完成年初预算的108.02%。差异原因为年中追加事业单位医疗、住房公积金经费。</w:t>
      </w:r>
    </w:p>
    <w:p w14:paraId="00D525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（二）商品和服务支出年初预算为247.73万元，支出决算为328.18万元，完成年初预算的132.47%。差异原因为年中追加项目经费及预算调整，经费主要用于医院能力建设发展。</w:t>
      </w:r>
    </w:p>
    <w:p w14:paraId="64B6F0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三）对个人和家庭的补助年初预算为45.81万元，支出决算为227.23万元，完成年初预算的496.03%。差异原因为年中追加死亡抚恤金及医务人员临时性工作补助。经费主要用于离休干部工资、抚恤金，医务人员临时性工作补助。</w:t>
      </w:r>
    </w:p>
    <w:p w14:paraId="6EC2D1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（四）资本性支出年初预算为1251.30万元，支出决算为1237.86万元，完成年初预算的98.93%。差异原因为年中项目预算调整。经费主要用于设备购置、大型修缮、信息网络及软件购置更新、无形资产购置。</w:t>
      </w:r>
    </w:p>
    <w:p w14:paraId="0228AE49">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auto"/>
          <w:sz w:val="32"/>
        </w:rPr>
      </w:pPr>
      <w:r>
        <w:rPr>
          <w:rFonts w:hint="eastAsia" w:ascii="黑体" w:hAnsi="黑体" w:eastAsia="黑体" w:cs="黑体"/>
          <w:b w:val="0"/>
          <w:bCs w:val="0"/>
          <w:color w:val="auto"/>
          <w:sz w:val="32"/>
        </w:rPr>
        <w:t>三、</w:t>
      </w:r>
      <w:r>
        <w:rPr>
          <w:rFonts w:hint="eastAsia" w:ascii="黑体" w:hAnsi="黑体" w:eastAsia="黑体" w:cs="黑体"/>
          <w:b w:val="0"/>
          <w:bCs w:val="0"/>
          <w:color w:val="auto"/>
          <w:sz w:val="32"/>
          <w:lang w:eastAsia="zh-CN"/>
        </w:rPr>
        <w:t>2023年度</w:t>
      </w:r>
      <w:r>
        <w:rPr>
          <w:rFonts w:hint="eastAsia" w:ascii="黑体" w:hAnsi="黑体" w:eastAsia="黑体" w:cs="黑体"/>
          <w:b w:val="0"/>
          <w:bCs w:val="0"/>
          <w:color w:val="auto"/>
          <w:sz w:val="32"/>
        </w:rPr>
        <w:t>一般公共预算财政拨款基本支出决算情况说明</w:t>
      </w:r>
    </w:p>
    <w:p w14:paraId="259CB3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2023年度一般公共预算财政拨款基本支出121.78万元，支出具体情况如下：</w:t>
      </w:r>
    </w:p>
    <w:p w14:paraId="1DFBBC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（一）工资福利支出109.85万元，其中职工基本医疗保险缴费55.68万元，住房公积金54.17万元。完成年初预算107.76万元的101.94%。差异原因为年中增人增支调增的职工基本医疗保险缴费及住房公积金。</w:t>
      </w:r>
    </w:p>
    <w:p w14:paraId="1EB92A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（二）商品和服务支出0万元，未安排财政拨款。</w:t>
      </w:r>
    </w:p>
    <w:p w14:paraId="590EC7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（三）个人和家庭补助支出11.93万元，全部为退休费，完成年初预算45.81万元的26.04%，差异原因为本年离休人员减少，年中调减了离休费支出预算。</w:t>
      </w:r>
    </w:p>
    <w:p w14:paraId="2813EA33">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四、</w:t>
      </w:r>
      <w:r>
        <w:rPr>
          <w:rFonts w:hint="eastAsia" w:ascii="黑体" w:hAnsi="黑体" w:eastAsia="黑体" w:cs="黑体"/>
          <w:b w:val="0"/>
          <w:bCs w:val="0"/>
          <w:sz w:val="32"/>
          <w:lang w:eastAsia="zh-CN"/>
        </w:rPr>
        <w:t>2023年度</w:t>
      </w:r>
      <w:r>
        <w:rPr>
          <w:rFonts w:hint="eastAsia" w:ascii="黑体" w:hAnsi="黑体" w:eastAsia="黑体" w:cs="黑体"/>
          <w:b w:val="0"/>
          <w:bCs w:val="0"/>
          <w:sz w:val="32"/>
        </w:rPr>
        <w:t>政府性基金支出决算情况</w:t>
      </w:r>
    </w:p>
    <w:p w14:paraId="31250D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本单位2023年度未安排政府性基金支出预算，</w:t>
      </w:r>
      <w:r>
        <w:rPr>
          <w:rFonts w:hint="eastAsia" w:ascii="仿宋_GB2312" w:hAnsi="黑体" w:eastAsia="仿宋_GB2312" w:cs="仿宋_GB2312"/>
          <w:kern w:val="0"/>
          <w:sz w:val="32"/>
          <w:szCs w:val="32"/>
        </w:rPr>
        <w:t>支出决算</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w:t>
      </w:r>
      <w:r>
        <w:rPr>
          <w:rFonts w:hint="eastAsia" w:ascii="仿宋_GB2312" w:hAnsi="仿宋" w:eastAsia="仿宋_GB2312" w:cs="Times New Roman"/>
          <w:kern w:val="2"/>
          <w:sz w:val="32"/>
          <w:szCs w:val="32"/>
          <w:lang w:val="en-US" w:eastAsia="zh-CN" w:bidi="ar-SA"/>
        </w:rPr>
        <w:t>与上年度决算数无增减。</w:t>
      </w:r>
    </w:p>
    <w:p w14:paraId="06C4DF3B">
      <w:pPr>
        <w:pStyle w:val="3"/>
        <w:bidi w:val="0"/>
        <w:rPr>
          <w:rFonts w:hint="eastAsia" w:ascii="黑体" w:hAnsi="黑体" w:eastAsia="黑体" w:cs="黑体"/>
        </w:rPr>
      </w:pPr>
      <w:r>
        <w:rPr>
          <w:rFonts w:hint="eastAsia" w:ascii="黑体" w:hAnsi="黑体" w:eastAsia="黑体" w:cs="黑体"/>
        </w:rPr>
        <w:t>五、202</w:t>
      </w:r>
      <w:r>
        <w:rPr>
          <w:rFonts w:hint="eastAsia" w:ascii="黑体" w:hAnsi="黑体" w:eastAsia="黑体" w:cs="黑体"/>
          <w:lang w:val="en-US" w:eastAsia="zh-CN"/>
        </w:rPr>
        <w:t>3</w:t>
      </w:r>
      <w:r>
        <w:rPr>
          <w:rFonts w:hint="eastAsia" w:ascii="黑体" w:hAnsi="黑体" w:eastAsia="黑体" w:cs="黑体"/>
        </w:rPr>
        <w:t>年度国有资本经营预算支出决算情况</w:t>
      </w:r>
    </w:p>
    <w:p w14:paraId="52DC70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黑体" w:hAnsi="黑体" w:eastAsia="黑体" w:cs="仿宋_GB2312"/>
          <w:kern w:val="0"/>
          <w:sz w:val="32"/>
          <w:szCs w:val="32"/>
        </w:rPr>
      </w:pPr>
      <w:r>
        <w:rPr>
          <w:rFonts w:hint="eastAsia" w:ascii="仿宋_GB2312" w:hAnsi="仿宋" w:eastAsia="仿宋_GB2312" w:cs="Times New Roman"/>
          <w:kern w:val="2"/>
          <w:sz w:val="32"/>
          <w:szCs w:val="32"/>
          <w:lang w:val="en-US" w:eastAsia="zh-CN" w:bidi="ar-SA"/>
        </w:rPr>
        <w:t>本单位2023年度未安排国有资本经营支出预算，</w:t>
      </w:r>
      <w:r>
        <w:rPr>
          <w:rFonts w:hint="eastAsia" w:ascii="仿宋_GB2312" w:hAnsi="黑体" w:eastAsia="仿宋_GB2312" w:cs="仿宋_GB2312"/>
          <w:kern w:val="0"/>
          <w:sz w:val="32"/>
          <w:szCs w:val="32"/>
        </w:rPr>
        <w:t>支出决算</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w:t>
      </w:r>
      <w:r>
        <w:rPr>
          <w:rFonts w:hint="eastAsia" w:ascii="仿宋_GB2312" w:hAnsi="仿宋" w:eastAsia="仿宋_GB2312" w:cs="Times New Roman"/>
          <w:kern w:val="2"/>
          <w:sz w:val="32"/>
          <w:szCs w:val="32"/>
          <w:lang w:val="en-US" w:eastAsia="zh-CN" w:bidi="ar-SA"/>
        </w:rPr>
        <w:t>与上年度决算数无增减。</w:t>
      </w:r>
    </w:p>
    <w:p w14:paraId="115EEDAA">
      <w:pPr>
        <w:pStyle w:val="3"/>
        <w:bidi w:val="0"/>
        <w:rPr>
          <w:rFonts w:hint="eastAsia"/>
        </w:rPr>
      </w:pPr>
      <w:r>
        <w:rPr>
          <w:rFonts w:hint="eastAsia"/>
        </w:rPr>
        <w:t>六、财政拨款安排的“三公”经费支出决算情况说明</w:t>
      </w:r>
    </w:p>
    <w:p w14:paraId="6C96E2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2023年</w:t>
      </w:r>
      <w:r>
        <w:rPr>
          <w:rFonts w:hint="eastAsia" w:ascii="仿宋_GB2312" w:eastAsia="仿宋_GB2312" w:cs="仿宋_GB2312"/>
          <w:kern w:val="0"/>
          <w:sz w:val="32"/>
          <w:szCs w:val="32"/>
        </w:rPr>
        <w:t>财政拨款安排的</w:t>
      </w:r>
      <w:r>
        <w:rPr>
          <w:rFonts w:hint="eastAsia" w:ascii="仿宋_GB2312" w:hAnsi="仿宋" w:eastAsia="仿宋_GB2312" w:cs="Times New Roman"/>
          <w:kern w:val="2"/>
          <w:sz w:val="32"/>
          <w:szCs w:val="32"/>
          <w:lang w:val="en-US" w:eastAsia="zh-CN" w:bidi="ar-SA"/>
        </w:rPr>
        <w:t>的“三公”经费支出预算0万元，实际支出0万元。</w:t>
      </w:r>
    </w:p>
    <w:p w14:paraId="1BCD3993">
      <w:pPr>
        <w:pStyle w:val="3"/>
        <w:bidi w:val="0"/>
        <w:rPr>
          <w:rFonts w:hint="eastAsia"/>
        </w:rPr>
      </w:pPr>
      <w:r>
        <w:rPr>
          <w:rFonts w:hint="eastAsia"/>
        </w:rPr>
        <w:t>七、其他重要事项情况说明</w:t>
      </w:r>
    </w:p>
    <w:p w14:paraId="67887E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（一）机关运行经费支出情况说明。</w:t>
      </w:r>
    </w:p>
    <w:p w14:paraId="0CEFFD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本单位无机关运行经费支出。</w:t>
      </w:r>
    </w:p>
    <w:p w14:paraId="660AF7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（二）政府采购支出情况说明。</w:t>
      </w:r>
    </w:p>
    <w:p w14:paraId="08D666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本单位2023年度政府采购支出总额1129.68万元，其中：政府采购货物支出103.90万元、政府采购工程支出582.11万元、政府采购服务支出443.66万元。授予中小企业合同金额1129.68万元，占政府采购支出总额的100%，其中：授予小微企业合同金额103.20万元，占政府采购支出总额的9.14%。</w:t>
      </w:r>
    </w:p>
    <w:p w14:paraId="384C5C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（三）国有资产占用情况说明。</w:t>
      </w:r>
    </w:p>
    <w:p w14:paraId="08A85C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截至2023年12月31日，本单位共有车辆6辆，其中：救护车4辆、公务用车2辆。单位价值100万元以上设备（不含车辆）18台。</w:t>
      </w:r>
    </w:p>
    <w:p w14:paraId="387ED47C">
      <w:pPr>
        <w:pStyle w:val="3"/>
        <w:bidi w:val="0"/>
        <w:rPr>
          <w:rFonts w:hint="eastAsia"/>
        </w:rPr>
      </w:pPr>
      <w:r>
        <w:rPr>
          <w:rFonts w:hint="eastAsia"/>
          <w:lang w:eastAsia="zh-CN"/>
        </w:rPr>
        <w:t>八、</w:t>
      </w:r>
      <w:r>
        <w:rPr>
          <w:rFonts w:hint="eastAsia"/>
        </w:rPr>
        <w:t>预算绩效管理工作开展情况。</w:t>
      </w:r>
    </w:p>
    <w:p w14:paraId="41A78545">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eastAsia="仿宋_GB2312" w:cs="仿宋_GB2312"/>
          <w:caps w:val="0"/>
          <w:color w:val="auto"/>
          <w:kern w:val="0"/>
          <w:sz w:val="32"/>
          <w:szCs w:val="32"/>
          <w:vertAlign w:val="baseline"/>
          <w:lang w:bidi="ar"/>
        </w:rPr>
      </w:pPr>
      <w:r>
        <w:rPr>
          <w:rFonts w:hint="default" w:ascii="仿宋_GB2312" w:hAnsi="Times New Roman" w:eastAsia="仿宋_GB2312" w:cs="仿宋_GB2312"/>
          <w:b w:val="0"/>
          <w:bCs w:val="0"/>
          <w:caps w:val="0"/>
          <w:color w:val="auto"/>
          <w:kern w:val="0"/>
          <w:sz w:val="32"/>
          <w:szCs w:val="32"/>
          <w:vertAlign w:val="baseline"/>
          <w:lang w:val="en-US" w:eastAsia="zh-CN" w:bidi="ar"/>
        </w:rPr>
        <w:t>1.</w:t>
      </w:r>
      <w:r>
        <w:rPr>
          <w:rFonts w:hint="eastAsia" w:ascii="仿宋_GB2312" w:hAnsi="Times New Roman" w:eastAsia="仿宋_GB2312" w:cs="仿宋_GB2312"/>
          <w:b w:val="0"/>
          <w:bCs w:val="0"/>
          <w:caps w:val="0"/>
          <w:color w:val="auto"/>
          <w:kern w:val="0"/>
          <w:sz w:val="32"/>
          <w:szCs w:val="32"/>
          <w:vertAlign w:val="baseline"/>
          <w:lang w:val="en-US" w:eastAsia="zh-CN" w:bidi="ar"/>
        </w:rPr>
        <w:t>整体支出绩效自评结果。</w:t>
      </w:r>
    </w:p>
    <w:p w14:paraId="13C1672A">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本单位2023年度部门财政资金预算数</w:t>
      </w:r>
      <w:r>
        <w:rPr>
          <w:rFonts w:hint="eastAsia" w:ascii="仿宋_GB2312" w:eastAsia="仿宋_GB2312" w:cs="仿宋_GB2312"/>
          <w:kern w:val="0"/>
          <w:sz w:val="32"/>
          <w:szCs w:val="32"/>
          <w:lang w:val="en-US" w:eastAsia="zh-CN"/>
        </w:rPr>
        <w:t>1915.92</w:t>
      </w:r>
      <w:r>
        <w:rPr>
          <w:rFonts w:hint="eastAsia" w:ascii="仿宋_GB2312" w:hAnsi="Times New Roman" w:eastAsia="仿宋_GB2312" w:cs="仿宋_GB2312"/>
          <w:b w:val="0"/>
          <w:bCs w:val="0"/>
          <w:caps w:val="0"/>
          <w:color w:val="auto"/>
          <w:kern w:val="0"/>
          <w:sz w:val="32"/>
          <w:szCs w:val="32"/>
          <w:vertAlign w:val="baseline"/>
          <w:lang w:val="en-US" w:eastAsia="zh-CN" w:bidi="ar"/>
        </w:rPr>
        <w:t>万元，执行数</w:t>
      </w:r>
      <w:r>
        <w:rPr>
          <w:rFonts w:hint="eastAsia" w:ascii="仿宋_GB2312" w:eastAsia="仿宋_GB2312" w:cs="仿宋_GB2312"/>
          <w:kern w:val="0"/>
          <w:sz w:val="32"/>
          <w:szCs w:val="32"/>
          <w:lang w:val="en-US" w:eastAsia="zh-CN"/>
        </w:rPr>
        <w:t>1907.80</w:t>
      </w:r>
      <w:r>
        <w:rPr>
          <w:rFonts w:hint="eastAsia" w:ascii="仿宋_GB2312" w:hAnsi="Times New Roman" w:eastAsia="仿宋_GB2312" w:cs="仿宋_GB2312"/>
          <w:b w:val="0"/>
          <w:bCs w:val="0"/>
          <w:caps w:val="0"/>
          <w:color w:val="auto"/>
          <w:kern w:val="0"/>
          <w:sz w:val="32"/>
          <w:szCs w:val="32"/>
          <w:vertAlign w:val="baseline"/>
          <w:lang w:val="en-US" w:eastAsia="zh-CN" w:bidi="ar"/>
        </w:rPr>
        <w:t>万元，财政资金总体预算执行率99.58%。整体支出绩效自评结果为</w:t>
      </w:r>
      <w:r>
        <w:rPr>
          <w:rFonts w:hint="eastAsia" w:ascii="仿宋_GB2312" w:eastAsia="仿宋_GB2312" w:cs="仿宋_GB2312"/>
          <w:kern w:val="0"/>
          <w:sz w:val="32"/>
          <w:szCs w:val="32"/>
          <w:lang w:val="en-US" w:eastAsia="zh-CN"/>
        </w:rPr>
        <w:t>一</w:t>
      </w:r>
      <w:r>
        <w:rPr>
          <w:rFonts w:hint="eastAsia" w:ascii="仿宋_GB2312" w:hAnsi="Times New Roman" w:eastAsia="仿宋_GB2312" w:cs="仿宋_GB2312"/>
          <w:b w:val="0"/>
          <w:bCs w:val="0"/>
          <w:caps w:val="0"/>
          <w:color w:val="auto"/>
          <w:kern w:val="0"/>
          <w:sz w:val="32"/>
          <w:szCs w:val="32"/>
          <w:vertAlign w:val="baseline"/>
          <w:lang w:val="en-US" w:eastAsia="zh-CN" w:bidi="ar"/>
        </w:rPr>
        <w:t>等。</w:t>
      </w:r>
    </w:p>
    <w:p w14:paraId="129D1B2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eastAsia="仿宋_GB2312" w:cs="仿宋_GB2312"/>
          <w:caps w:val="0"/>
          <w:color w:val="auto"/>
          <w:kern w:val="0"/>
          <w:sz w:val="32"/>
          <w:szCs w:val="32"/>
          <w:vertAlign w:val="baseline"/>
          <w:lang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2.项目支出绩效自评结果。</w:t>
      </w:r>
    </w:p>
    <w:p w14:paraId="69B2C757">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Autospacing="0" w:afterAutospacing="0" w:line="560" w:lineRule="exact"/>
        <w:ind w:left="0" w:leftChars="0" w:right="0" w:firstLine="480" w:firstLineChars="150"/>
        <w:jc w:val="both"/>
        <w:textAlignment w:val="auto"/>
        <w:outlineLvl w:val="9"/>
        <w:rPr>
          <w:rFonts w:hint="eastAsia" w:ascii="仿宋_GB2312" w:eastAsia="仿宋_GB2312" w:cs="仿宋_GB2312"/>
          <w:caps w:val="0"/>
          <w:color w:val="auto"/>
          <w:kern w:val="0"/>
          <w:sz w:val="32"/>
          <w:szCs w:val="32"/>
          <w:vertAlign w:val="baseline"/>
          <w:lang w:eastAsia="zh-CN" w:bidi="ar"/>
        </w:rPr>
      </w:pPr>
      <w:r>
        <w:rPr>
          <w:rFonts w:hint="default" w:ascii="仿宋_GB2312" w:hAnsi="Times New Roman" w:eastAsia="仿宋_GB2312" w:cs="仿宋_GB2312"/>
          <w:b w:val="0"/>
          <w:bCs w:val="0"/>
          <w:caps w:val="0"/>
          <w:color w:val="auto"/>
          <w:kern w:val="0"/>
          <w:sz w:val="32"/>
          <w:szCs w:val="32"/>
          <w:vertAlign w:val="baseline"/>
          <w:lang w:val="en" w:eastAsia="zh-CN" w:bidi="ar"/>
        </w:rPr>
        <w:t>(1)</w:t>
      </w:r>
      <w:r>
        <w:rPr>
          <w:rFonts w:hint="eastAsia" w:ascii="仿宋_GB2312" w:hAnsi="Times New Roman" w:eastAsia="仿宋_GB2312" w:cs="仿宋_GB2312"/>
          <w:b w:val="0"/>
          <w:bCs w:val="0"/>
          <w:caps w:val="0"/>
          <w:color w:val="auto"/>
          <w:kern w:val="0"/>
          <w:sz w:val="32"/>
          <w:szCs w:val="32"/>
          <w:vertAlign w:val="baseline"/>
          <w:lang w:val="en-US" w:eastAsia="zh-CN" w:bidi="ar"/>
        </w:rPr>
        <w:t>项目绩效自评总体情况：我单位2023年度财政资金项目</w:t>
      </w:r>
      <w:r>
        <w:rPr>
          <w:rFonts w:hint="eastAsia" w:ascii="仿宋_GB2312" w:eastAsia="仿宋_GB2312" w:cs="仿宋_GB2312"/>
          <w:kern w:val="0"/>
          <w:sz w:val="32"/>
          <w:szCs w:val="32"/>
          <w:lang w:val="en-US" w:eastAsia="zh-CN"/>
        </w:rPr>
        <w:t>13</w:t>
      </w:r>
      <w:r>
        <w:rPr>
          <w:rFonts w:hint="eastAsia" w:ascii="仿宋_GB2312" w:hAnsi="Times New Roman" w:eastAsia="仿宋_GB2312" w:cs="仿宋_GB2312"/>
          <w:b w:val="0"/>
          <w:bCs w:val="0"/>
          <w:caps w:val="0"/>
          <w:color w:val="auto"/>
          <w:kern w:val="0"/>
          <w:sz w:val="32"/>
          <w:szCs w:val="32"/>
          <w:vertAlign w:val="baseline"/>
          <w:lang w:val="en-US" w:eastAsia="zh-CN" w:bidi="ar"/>
        </w:rPr>
        <w:t>个，项目支出总额</w:t>
      </w:r>
      <w:r>
        <w:rPr>
          <w:rFonts w:hint="eastAsia" w:ascii="仿宋_GB2312" w:eastAsia="仿宋_GB2312" w:cs="仿宋_GB2312"/>
          <w:kern w:val="0"/>
          <w:sz w:val="32"/>
          <w:szCs w:val="32"/>
          <w:lang w:val="en-US" w:eastAsia="zh-CN"/>
        </w:rPr>
        <w:t>1907.80</w:t>
      </w:r>
      <w:r>
        <w:rPr>
          <w:rFonts w:hint="eastAsia" w:ascii="仿宋_GB2312" w:hAnsi="Times New Roman" w:eastAsia="仿宋_GB2312" w:cs="仿宋_GB2312"/>
          <w:b w:val="0"/>
          <w:bCs w:val="0"/>
          <w:caps w:val="0"/>
          <w:color w:val="auto"/>
          <w:kern w:val="0"/>
          <w:sz w:val="32"/>
          <w:szCs w:val="32"/>
          <w:vertAlign w:val="baseline"/>
          <w:lang w:val="en-US" w:eastAsia="zh-CN" w:bidi="ar"/>
        </w:rPr>
        <w:t>万元。</w:t>
      </w:r>
    </w:p>
    <w:p w14:paraId="59D8BED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eastAsia="仿宋_GB2312" w:cs="仿宋_GB2312"/>
          <w:caps w:val="0"/>
          <w:color w:val="auto"/>
          <w:kern w:val="0"/>
          <w:sz w:val="32"/>
          <w:szCs w:val="32"/>
          <w:vertAlign w:val="baseline"/>
          <w:lang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所有项目均开展了绩效自评，自评结果为</w:t>
      </w:r>
      <w:r>
        <w:rPr>
          <w:rFonts w:hint="eastAsia" w:ascii="仿宋_GB2312" w:eastAsia="仿宋_GB2312" w:cs="仿宋_GB2312"/>
          <w:kern w:val="0"/>
          <w:sz w:val="32"/>
          <w:szCs w:val="32"/>
          <w:lang w:val="en-US" w:eastAsia="zh-CN"/>
        </w:rPr>
        <w:t>13</w:t>
      </w:r>
      <w:r>
        <w:rPr>
          <w:rFonts w:hint="eastAsia" w:ascii="仿宋_GB2312" w:hAnsi="Times New Roman" w:eastAsia="仿宋_GB2312" w:cs="仿宋_GB2312"/>
          <w:b w:val="0"/>
          <w:bCs w:val="0"/>
          <w:caps w:val="0"/>
          <w:color w:val="auto"/>
          <w:kern w:val="0"/>
          <w:sz w:val="32"/>
          <w:szCs w:val="32"/>
          <w:vertAlign w:val="baseline"/>
          <w:lang w:val="en-US" w:eastAsia="zh-CN" w:bidi="ar"/>
        </w:rPr>
        <w:t>个项目评为一等，占项目总数比例</w:t>
      </w:r>
      <w:r>
        <w:rPr>
          <w:rFonts w:hint="eastAsia" w:ascii="仿宋_GB2312" w:eastAsia="仿宋_GB2312" w:cs="仿宋_GB2312"/>
          <w:kern w:val="0"/>
          <w:sz w:val="32"/>
          <w:szCs w:val="32"/>
          <w:lang w:val="en-US" w:eastAsia="zh-CN"/>
        </w:rPr>
        <w:t>100</w:t>
      </w:r>
      <w:r>
        <w:rPr>
          <w:rFonts w:hint="eastAsia" w:ascii="仿宋_GB2312" w:hAnsi="Times New Roman" w:eastAsia="仿宋_GB2312" w:cs="仿宋_GB2312"/>
          <w:b w:val="0"/>
          <w:bCs w:val="0"/>
          <w:caps w:val="0"/>
          <w:color w:val="auto"/>
          <w:kern w:val="0"/>
          <w:sz w:val="32"/>
          <w:szCs w:val="32"/>
          <w:vertAlign w:val="baseline"/>
          <w:lang w:val="en-US" w:eastAsia="zh-CN" w:bidi="ar"/>
        </w:rPr>
        <w:t>%，占项目支出总额比例</w:t>
      </w:r>
      <w:r>
        <w:rPr>
          <w:rFonts w:hint="eastAsia" w:ascii="仿宋_GB2312" w:eastAsia="仿宋_GB2312" w:cs="仿宋_GB2312"/>
          <w:kern w:val="0"/>
          <w:sz w:val="32"/>
          <w:szCs w:val="32"/>
          <w:lang w:val="en-US" w:eastAsia="zh-CN"/>
        </w:rPr>
        <w:t>100</w:t>
      </w:r>
      <w:r>
        <w:rPr>
          <w:rFonts w:hint="eastAsia" w:ascii="仿宋_GB2312" w:hAnsi="Times New Roman" w:eastAsia="仿宋_GB2312" w:cs="仿宋_GB2312"/>
          <w:b w:val="0"/>
          <w:bCs w:val="0"/>
          <w:caps w:val="0"/>
          <w:color w:val="auto"/>
          <w:kern w:val="0"/>
          <w:sz w:val="32"/>
          <w:szCs w:val="32"/>
          <w:vertAlign w:val="baseline"/>
          <w:lang w:val="en-US" w:eastAsia="zh-CN" w:bidi="ar"/>
        </w:rPr>
        <w:t>%。自评发现的主要问题及原因：一是</w:t>
      </w:r>
      <w:r>
        <w:rPr>
          <w:rFonts w:hint="eastAsia" w:ascii="仿宋_GB2312" w:hAnsi="Times New Roman" w:eastAsia="仿宋_GB2312" w:cs="Times New Roman"/>
          <w:snapToGrid w:val="0"/>
          <w:kern w:val="0"/>
          <w:sz w:val="32"/>
          <w:szCs w:val="32"/>
          <w:lang w:val="en-US" w:eastAsia="zh-CN" w:bidi="ar-SA"/>
        </w:rPr>
        <w:t>部分项目绩效指标与年初预算发生偏离</w:t>
      </w:r>
      <w:r>
        <w:rPr>
          <w:rFonts w:hint="eastAsia" w:ascii="仿宋_GB2312" w:hAnsi="Times New Roman" w:eastAsia="仿宋_GB2312" w:cs="仿宋_GB2312"/>
          <w:b w:val="0"/>
          <w:bCs w:val="0"/>
          <w:caps w:val="0"/>
          <w:color w:val="auto"/>
          <w:kern w:val="0"/>
          <w:sz w:val="32"/>
          <w:szCs w:val="32"/>
          <w:vertAlign w:val="baseline"/>
          <w:lang w:val="en-US" w:eastAsia="zh-CN" w:bidi="ar"/>
        </w:rPr>
        <w:t>；二是部分项目未在年内完成资金支出，预算执行率未达100%。下一步改进措施：一是</w:t>
      </w:r>
      <w:r>
        <w:rPr>
          <w:rFonts w:hint="eastAsia" w:ascii="仿宋_GB2312" w:hAnsi="Times New Roman" w:eastAsia="仿宋_GB2312" w:cs="Times New Roman"/>
          <w:snapToGrid w:val="0"/>
          <w:kern w:val="0"/>
          <w:sz w:val="32"/>
          <w:szCs w:val="32"/>
          <w:lang w:val="en-US" w:eastAsia="zh-CN" w:bidi="ar-SA"/>
        </w:rPr>
        <w:t>项目实施过程中与年初预算安排发生变化时应及时调整预算与绩效指标，在年内开展预算执行情况分析与绩效指标完成情况跟进，如发生绩效指标偏离，项目负责人应将调整后的绩效指标交至财务科进行绩效指标调整</w:t>
      </w:r>
      <w:r>
        <w:rPr>
          <w:rFonts w:hint="eastAsia" w:ascii="仿宋_GB2312" w:hAnsi="Times New Roman" w:eastAsia="仿宋_GB2312" w:cs="仿宋_GB2312"/>
          <w:b w:val="0"/>
          <w:bCs w:val="0"/>
          <w:caps w:val="0"/>
          <w:color w:val="auto"/>
          <w:kern w:val="0"/>
          <w:sz w:val="32"/>
          <w:szCs w:val="32"/>
          <w:vertAlign w:val="baseline"/>
          <w:lang w:val="en-US" w:eastAsia="zh-CN" w:bidi="ar"/>
        </w:rPr>
        <w:t>；二是及时跟进项目支出情况，督促项目支出进度，对未达支出进度的项目及时反馈项目责任科室并跟进项目支出计划。</w:t>
      </w:r>
    </w:p>
    <w:p w14:paraId="4471151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（2）重点项目绩效自评情况：根据年初设定的绩效目标，2023年中央财政医疗服务与保障能力提升补助资金项目自评得分为99.97分，自评等级为一等，项目全年预算数为</w:t>
      </w:r>
      <w:r>
        <w:rPr>
          <w:rFonts w:hint="eastAsia" w:ascii="仿宋_GB2312" w:eastAsia="仿宋_GB2312" w:cs="仿宋_GB2312"/>
          <w:kern w:val="0"/>
          <w:sz w:val="32"/>
          <w:szCs w:val="32"/>
          <w:lang w:val="en-US" w:eastAsia="zh-CN"/>
        </w:rPr>
        <w:t>688</w:t>
      </w:r>
      <w:r>
        <w:rPr>
          <w:rFonts w:hint="eastAsia" w:ascii="仿宋_GB2312" w:hAnsi="Times New Roman" w:eastAsia="仿宋_GB2312" w:cs="仿宋_GB2312"/>
          <w:b w:val="0"/>
          <w:bCs w:val="0"/>
          <w:caps w:val="0"/>
          <w:color w:val="auto"/>
          <w:kern w:val="0"/>
          <w:sz w:val="32"/>
          <w:szCs w:val="32"/>
          <w:vertAlign w:val="baseline"/>
          <w:lang w:val="en-US" w:eastAsia="zh-CN" w:bidi="ar"/>
        </w:rPr>
        <w:t>万元，执行数为</w:t>
      </w:r>
      <w:r>
        <w:rPr>
          <w:rFonts w:hint="eastAsia" w:ascii="仿宋_GB2312" w:eastAsia="仿宋_GB2312" w:cs="仿宋_GB2312"/>
          <w:kern w:val="0"/>
          <w:sz w:val="32"/>
          <w:szCs w:val="32"/>
          <w:lang w:val="en-US" w:eastAsia="zh-CN"/>
        </w:rPr>
        <w:t>686.10</w:t>
      </w:r>
      <w:r>
        <w:rPr>
          <w:rFonts w:hint="eastAsia" w:ascii="仿宋_GB2312" w:hAnsi="Times New Roman" w:eastAsia="仿宋_GB2312" w:cs="仿宋_GB2312"/>
          <w:b w:val="0"/>
          <w:bCs w:val="0"/>
          <w:caps w:val="0"/>
          <w:color w:val="auto"/>
          <w:kern w:val="0"/>
          <w:sz w:val="32"/>
          <w:szCs w:val="32"/>
          <w:vertAlign w:val="baseline"/>
          <w:lang w:val="en-US" w:eastAsia="zh-CN" w:bidi="ar"/>
        </w:rPr>
        <w:t>万元，完成预算的</w:t>
      </w:r>
      <w:r>
        <w:rPr>
          <w:rFonts w:hint="eastAsia" w:ascii="仿宋_GB2312" w:eastAsia="仿宋_GB2312" w:cs="仿宋_GB2312"/>
          <w:kern w:val="0"/>
          <w:sz w:val="32"/>
          <w:szCs w:val="32"/>
          <w:lang w:val="en-US" w:eastAsia="zh-CN"/>
        </w:rPr>
        <w:t>99.72</w:t>
      </w:r>
      <w:r>
        <w:rPr>
          <w:rFonts w:hint="eastAsia" w:ascii="仿宋_GB2312" w:hAnsi="Times New Roman" w:eastAsia="仿宋_GB2312" w:cs="仿宋_GB2312"/>
          <w:b w:val="0"/>
          <w:bCs w:val="0"/>
          <w:caps w:val="0"/>
          <w:color w:val="auto"/>
          <w:kern w:val="0"/>
          <w:sz w:val="32"/>
          <w:szCs w:val="32"/>
          <w:vertAlign w:val="baseline"/>
          <w:lang w:val="en-US" w:eastAsia="zh-CN" w:bidi="ar"/>
        </w:rPr>
        <w:t>%。项目绩效目标完成情况：</w:t>
      </w:r>
    </w:p>
    <w:p w14:paraId="4254DAB0">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微软雅黑" w:hAnsi="微软雅黑" w:eastAsia="微软雅黑" w:cs="微软雅黑"/>
          <w:b w:val="0"/>
          <w:bCs w:val="0"/>
          <w:caps w:val="0"/>
          <w:color w:val="auto"/>
          <w:kern w:val="0"/>
          <w:sz w:val="32"/>
          <w:szCs w:val="32"/>
          <w:vertAlign w:val="baseline"/>
          <w:lang w:val="en-US" w:eastAsia="zh-CN" w:bidi="ar"/>
        </w:rPr>
        <w:t>①</w:t>
      </w:r>
      <w:r>
        <w:rPr>
          <w:rFonts w:hint="eastAsia" w:ascii="仿宋_GB2312" w:hAnsi="仿宋_GB2312" w:eastAsia="仿宋_GB2312" w:cs="仿宋_GB2312"/>
          <w:b w:val="0"/>
          <w:bCs w:val="0"/>
          <w:color w:val="auto"/>
          <w:kern w:val="0"/>
          <w:sz w:val="32"/>
          <w:szCs w:val="32"/>
          <w:highlight w:val="none"/>
          <w:lang w:val="en-US" w:eastAsia="zh-CN" w:bidi="ar"/>
        </w:rPr>
        <w:t>通过实施</w:t>
      </w:r>
      <w:r>
        <w:rPr>
          <w:rFonts w:hint="eastAsia" w:ascii="仿宋_GB2312" w:hAnsi="仿宋_GB2312" w:eastAsia="仿宋_GB2312" w:cs="仿宋_GB2312"/>
          <w:bCs/>
          <w:color w:val="auto"/>
          <w:sz w:val="32"/>
          <w:szCs w:val="32"/>
          <w:lang w:val="en-US" w:eastAsia="zh-CN"/>
        </w:rPr>
        <w:t>中医优势专科建设项目</w:t>
      </w:r>
      <w:r>
        <w:rPr>
          <w:rFonts w:hint="eastAsia" w:ascii="仿宋_GB2312" w:hAnsi="仿宋_GB2312" w:eastAsia="仿宋_GB2312" w:cs="仿宋_GB2312"/>
          <w:b w:val="0"/>
          <w:bCs w:val="0"/>
          <w:color w:val="auto"/>
          <w:kern w:val="0"/>
          <w:sz w:val="32"/>
          <w:szCs w:val="32"/>
          <w:highlight w:val="none"/>
          <w:lang w:val="en-US" w:eastAsia="zh-CN" w:bidi="ar"/>
        </w:rPr>
        <w:t>不断加强各骨科亚专科技术与服务能力，紧跟世界骨科微创技术发展潮流，使用专项资金购置脊柱、关节专业微创手术器械及中医诊疗设备提高骨伤专科中医治疗能力及微创治疗能力，提高专科疾病检查诊断水平，</w:t>
      </w:r>
      <w:r>
        <w:rPr>
          <w:rFonts w:hint="eastAsia" w:ascii="仿宋_GB2312" w:hAnsi="仿宋_GB2312" w:eastAsia="仿宋_GB2312" w:cs="仿宋_GB2312"/>
          <w:b w:val="0"/>
          <w:bCs w:val="0"/>
          <w:color w:val="auto"/>
          <w:spacing w:val="0"/>
          <w:sz w:val="32"/>
          <w:szCs w:val="32"/>
          <w:lang w:val="en-US" w:eastAsia="zh-CN"/>
        </w:rPr>
        <w:t>通过组织全院中层及党务干部、技术骨干培训学习，进一步提升了医院医疗技术与管理骨干的医疗技术及管理能力，以医联体、对口帮扶及专科联盟为平台，发挥辐射带动作用，定期到基层</w:t>
      </w:r>
      <w:r>
        <w:rPr>
          <w:rFonts w:hint="eastAsia" w:ascii="仿宋_GB2312" w:hAnsi="仿宋_GB2312" w:eastAsia="仿宋_GB2312" w:cs="仿宋_GB2312"/>
          <w:b w:val="0"/>
          <w:bCs w:val="0"/>
          <w:color w:val="auto"/>
          <w:kern w:val="0"/>
          <w:sz w:val="32"/>
          <w:szCs w:val="32"/>
          <w:highlight w:val="none"/>
          <w:lang w:val="en-US" w:eastAsia="zh-CN" w:bidi="ar"/>
        </w:rPr>
        <w:t>医院开展中医适宜技术及诊疗方案的推广工作</w:t>
      </w:r>
      <w:r>
        <w:rPr>
          <w:rFonts w:hint="eastAsia" w:ascii="仿宋_GB2312" w:hAnsi="Times New Roman" w:eastAsia="仿宋_GB2312" w:cs="仿宋_GB2312"/>
          <w:b w:val="0"/>
          <w:bCs w:val="0"/>
          <w:caps w:val="0"/>
          <w:color w:val="auto"/>
          <w:kern w:val="0"/>
          <w:sz w:val="32"/>
          <w:szCs w:val="32"/>
          <w:vertAlign w:val="baseline"/>
          <w:lang w:val="en-US" w:eastAsia="zh-CN" w:bidi="ar"/>
        </w:rPr>
        <w:t>；</w:t>
      </w:r>
    </w:p>
    <w:p w14:paraId="1D2294C1">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仿宋_GB2312" w:hAnsi="Times New Roman" w:eastAsia="仿宋_GB2312" w:cs="Times New Roman"/>
          <w:snapToGrid w:val="0"/>
          <w:kern w:val="0"/>
          <w:sz w:val="32"/>
          <w:szCs w:val="32"/>
          <w:lang w:val="en-US" w:eastAsia="zh-CN" w:bidi="ar-SA"/>
        </w:rPr>
      </w:pPr>
      <w:r>
        <w:rPr>
          <w:rFonts w:hint="eastAsia" w:ascii="微软雅黑" w:hAnsi="微软雅黑" w:eastAsia="微软雅黑" w:cs="微软雅黑"/>
          <w:b w:val="0"/>
          <w:bCs w:val="0"/>
          <w:caps w:val="0"/>
          <w:color w:val="auto"/>
          <w:kern w:val="0"/>
          <w:sz w:val="32"/>
          <w:szCs w:val="32"/>
          <w:vertAlign w:val="baseline"/>
          <w:lang w:val="en-US" w:eastAsia="zh-CN" w:bidi="ar"/>
        </w:rPr>
        <w:t>②</w:t>
      </w:r>
      <w:r>
        <w:rPr>
          <w:rFonts w:hint="eastAsia" w:ascii="仿宋_GB2312" w:hAnsi="Times New Roman" w:eastAsia="仿宋_GB2312" w:cs="仿宋_GB2312"/>
          <w:b w:val="0"/>
          <w:bCs w:val="0"/>
          <w:caps w:val="0"/>
          <w:color w:val="auto"/>
          <w:kern w:val="0"/>
          <w:sz w:val="32"/>
          <w:szCs w:val="32"/>
          <w:vertAlign w:val="baseline"/>
          <w:lang w:val="en-US" w:eastAsia="zh-CN" w:bidi="ar"/>
        </w:rPr>
        <w:t>通过实施</w:t>
      </w:r>
      <w:r>
        <w:rPr>
          <w:rFonts w:hint="eastAsia" w:ascii="仿宋_GB2312" w:hAnsi="Times New Roman" w:eastAsia="仿宋_GB2312" w:cs="Times New Roman"/>
          <w:snapToGrid w:val="0"/>
          <w:kern w:val="0"/>
          <w:sz w:val="32"/>
          <w:szCs w:val="32"/>
          <w:lang w:val="en-US" w:eastAsia="zh-CN" w:bidi="ar-SA"/>
        </w:rPr>
        <w:t>中医药康复服务能力提升项目，推进了医院康复基础及专业康复设施的完善，提升了基层帮扶服务能力，购买各类设备13台。选派骨干人才到国内先进医院进修或参加会议培训进一步提升了医院康复服务能力。</w:t>
      </w:r>
    </w:p>
    <w:p w14:paraId="6425FFA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仿宋_GB2312" w:hAnsi="Times New Roman" w:eastAsia="仿宋_GB2312" w:cs="Times New Roman"/>
          <w:snapToGrid w:val="0"/>
          <w:kern w:val="0"/>
          <w:sz w:val="32"/>
          <w:szCs w:val="32"/>
          <w:lang w:val="en-US" w:eastAsia="zh-CN" w:bidi="ar-SA"/>
        </w:rPr>
      </w:pPr>
      <w:r>
        <w:rPr>
          <w:rFonts w:hint="eastAsia" w:ascii="微软雅黑" w:hAnsi="微软雅黑" w:eastAsia="微软雅黑" w:cs="微软雅黑"/>
          <w:snapToGrid w:val="0"/>
          <w:kern w:val="0"/>
          <w:sz w:val="32"/>
          <w:szCs w:val="32"/>
          <w:lang w:val="en-US" w:eastAsia="zh-CN" w:bidi="ar-SA"/>
        </w:rPr>
        <w:t>③</w:t>
      </w:r>
      <w:r>
        <w:rPr>
          <w:rFonts w:hint="eastAsia" w:ascii="仿宋_GB2312" w:hAnsi="Times New Roman" w:eastAsia="仿宋_GB2312" w:cs="Times New Roman"/>
          <w:snapToGrid w:val="0"/>
          <w:kern w:val="0"/>
          <w:sz w:val="32"/>
          <w:szCs w:val="32"/>
          <w:lang w:val="en-US" w:eastAsia="zh-CN" w:bidi="ar-SA"/>
        </w:rPr>
        <w:t>通过实施公立医院高质量发展项目，购置了脊柱、关节专用手术器械及MRI专用关节线圈，通过购置全面预算管理系、人力资源管理系统健全运营管理体系和绩效评价机制，建立健全现代医院管理制度，通过组织全院中层及党务干部集中培训学习，进一步提升了医院医疗技术与管理骨干的医疗技术服务管理能力，提高了骨科专科服务水平，2023年医院诊疗量、手术量及业务手术均显著增加，逐步实现医院提质增效、精细化管理。</w:t>
      </w:r>
    </w:p>
    <w:p w14:paraId="51ACF53E">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微软雅黑" w:hAnsi="微软雅黑" w:eastAsia="微软雅黑" w:cs="微软雅黑"/>
          <w:snapToGrid w:val="0"/>
          <w:kern w:val="0"/>
          <w:sz w:val="32"/>
          <w:szCs w:val="32"/>
          <w:lang w:val="en-US" w:eastAsia="zh-CN" w:bidi="ar-SA"/>
        </w:rPr>
        <w:t>④</w:t>
      </w:r>
      <w:r>
        <w:rPr>
          <w:rFonts w:hint="eastAsia" w:ascii="仿宋_GB2312" w:hAnsi="Times New Roman" w:eastAsia="仿宋_GB2312" w:cs="Times New Roman"/>
          <w:snapToGrid w:val="0"/>
          <w:kern w:val="0"/>
          <w:sz w:val="32"/>
          <w:szCs w:val="32"/>
          <w:lang w:val="en-US" w:eastAsia="zh-CN" w:bidi="ar-SA"/>
        </w:rPr>
        <w:t>通过中医医院应急救治能力项目实施，医院完善了医院急诊科与重症医学科配置与设施设备，增强了医院应急救治能力。医院通过购置呼吸机、微泵、射频控温热凝器等设备保障了骨科重症及急性创伤、慢性疼痛患者的急诊急救，通过采购各类急救训练设备并组织应急医疗队医务人员学习培训，锻炼了应急队伍，进一步熟练掌握各项急救技能，提升了医院综合急救服务能力。全面提升医院的感染防控水平和应急处置能力，避免医院感染暴发恶性事件发生</w:t>
      </w:r>
      <w:r>
        <w:rPr>
          <w:rFonts w:hint="eastAsia" w:ascii="仿宋_GB2312" w:hAnsi="Times New Roman" w:eastAsia="仿宋_GB2312" w:cs="仿宋_GB2312"/>
          <w:b w:val="0"/>
          <w:bCs w:val="0"/>
          <w:caps w:val="0"/>
          <w:color w:val="auto"/>
          <w:kern w:val="0"/>
          <w:sz w:val="32"/>
          <w:szCs w:val="32"/>
          <w:vertAlign w:val="baseline"/>
          <w:lang w:val="en-US" w:eastAsia="zh-CN" w:bidi="ar"/>
        </w:rPr>
        <w:t>。</w:t>
      </w:r>
    </w:p>
    <w:p w14:paraId="1C31B924">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Times New Roman" w:eastAsia="仿宋_GB2312" w:cs="Times New Roman"/>
          <w:snapToGrid w:val="0"/>
          <w:kern w:val="0"/>
          <w:sz w:val="32"/>
          <w:szCs w:val="32"/>
          <w:lang w:val="en-US" w:eastAsia="zh-CN" w:bidi="ar-SA"/>
        </w:rPr>
      </w:pPr>
      <w:r>
        <w:rPr>
          <w:rFonts w:hint="eastAsia" w:ascii="微软雅黑" w:hAnsi="微软雅黑" w:eastAsia="微软雅黑" w:cs="微软雅黑"/>
          <w:b w:val="0"/>
          <w:bCs w:val="0"/>
          <w:caps w:val="0"/>
          <w:color w:val="auto"/>
          <w:kern w:val="0"/>
          <w:sz w:val="32"/>
          <w:szCs w:val="32"/>
          <w:vertAlign w:val="baseline"/>
          <w:lang w:val="en-US" w:eastAsia="zh-CN" w:bidi="ar"/>
        </w:rPr>
        <w:t>⑤</w:t>
      </w:r>
      <w:r>
        <w:rPr>
          <w:rFonts w:hint="eastAsia" w:ascii="仿宋_GB2312" w:hAnsi="Times New Roman" w:eastAsia="仿宋_GB2312" w:cs="仿宋_GB2312"/>
          <w:b w:val="0"/>
          <w:bCs w:val="0"/>
          <w:caps w:val="0"/>
          <w:color w:val="auto"/>
          <w:kern w:val="0"/>
          <w:sz w:val="32"/>
          <w:szCs w:val="32"/>
          <w:vertAlign w:val="baseline"/>
          <w:lang w:val="en-US" w:eastAsia="zh-CN" w:bidi="ar"/>
        </w:rPr>
        <w:t>通过</w:t>
      </w:r>
      <w:r>
        <w:rPr>
          <w:rFonts w:hint="eastAsia" w:ascii="仿宋_GB2312" w:hAnsi="Times New Roman" w:eastAsia="仿宋_GB2312" w:cs="Times New Roman"/>
          <w:snapToGrid w:val="0"/>
          <w:kern w:val="0"/>
          <w:sz w:val="32"/>
          <w:szCs w:val="32"/>
          <w:lang w:val="en-US" w:eastAsia="zh-CN" w:bidi="ar-SA"/>
        </w:rPr>
        <w:t>中医药壮瑶医药康养人才培养基地项目实施，规范推广中医壮瑶医养生保健服务，促进了广西中医药壮瑶医药健康服务提质。探索建立广西医药壮瑶医药健康养生保健服务人才培养标准，规范建立阶梯式人才培养管理模式，提高从业人员素质及中医养生保健机构服务能力。编制形成1套中医药壮瑶医药健康养生保健服务教材，完善制定相关培训考核标准。完善中医药壮瑶医药健康养生教学养生场馆设施设备，优化健养体验学习区，提升数学实验室服务能力等。加强中医药传统文化推广，推广中医药壮瑶医药健康养生功法。积极推广“五禽戏”“八段锦”等健身功法，形成体验性强、参与度高的中医药健康养生服务体系。提升中医药健康旅游示范基地、中医药特色医养结合示范基地人才技术培训。年度培训224人次，学员至少熟练掌握运用按摩、艾灸、拔罐、刮痧等4项以上中医壮瑶医养生专项技能，不断提升中医药康养人才素养及服务能力。组织开展康养人才建设宣传推广展示等活动，年度推介3次，助推广西中药壮瑶药康养产业发展。</w:t>
      </w:r>
    </w:p>
    <w:p w14:paraId="1605E40D">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Times New Roman" w:eastAsia="仿宋_GB2312" w:cs="Times New Roman"/>
          <w:snapToGrid w:val="0"/>
          <w:kern w:val="0"/>
          <w:sz w:val="32"/>
          <w:szCs w:val="32"/>
          <w:lang w:val="en-US" w:eastAsia="zh-CN" w:bidi="ar-SA"/>
        </w:rPr>
      </w:pPr>
      <w:r>
        <w:rPr>
          <w:rFonts w:hint="eastAsia" w:ascii="微软雅黑" w:hAnsi="微软雅黑" w:eastAsia="微软雅黑" w:cs="微软雅黑"/>
          <w:b w:val="0"/>
          <w:bCs w:val="0"/>
          <w:caps w:val="0"/>
          <w:color w:val="auto"/>
          <w:kern w:val="0"/>
          <w:sz w:val="32"/>
          <w:szCs w:val="32"/>
          <w:vertAlign w:val="baseline"/>
          <w:lang w:val="en-US" w:eastAsia="zh-CN" w:bidi="ar"/>
        </w:rPr>
        <w:t>⑥</w:t>
      </w:r>
      <w:r>
        <w:rPr>
          <w:rFonts w:hint="eastAsia" w:ascii="仿宋_GB2312" w:hAnsi="Times New Roman" w:eastAsia="仿宋_GB2312" w:cs="仿宋_GB2312"/>
          <w:b w:val="0"/>
          <w:bCs w:val="0"/>
          <w:caps w:val="0"/>
          <w:color w:val="auto"/>
          <w:kern w:val="0"/>
          <w:sz w:val="32"/>
          <w:szCs w:val="32"/>
          <w:vertAlign w:val="baseline"/>
          <w:lang w:val="en-US" w:eastAsia="zh-CN" w:bidi="ar"/>
        </w:rPr>
        <w:t>通过</w:t>
      </w:r>
      <w:r>
        <w:rPr>
          <w:rFonts w:hint="eastAsia" w:ascii="仿宋_GB2312" w:hAnsi="Times New Roman" w:eastAsia="仿宋_GB2312" w:cs="Times New Roman"/>
          <w:snapToGrid w:val="0"/>
          <w:kern w:val="0"/>
          <w:sz w:val="32"/>
          <w:szCs w:val="32"/>
          <w:lang w:val="en-US" w:eastAsia="zh-CN" w:bidi="ar-SA"/>
        </w:rPr>
        <w:t>全区中医药绩效评估考核优秀奖补项目实施，支持外出业务学习交流8人次；柔性引进专家人才6人次，其中区内柔性引进高级职称人才4人，区外柔性引进高级职称人才2人；中医药制剂研究方面，与广西中医药大学第一附属医院签署“血竭一号方”委托研究技术服务合同，委托其对“血竭一号方”制备工艺和中试生产，质量标准研究和稳定性研究，目前已完成中试实验的研究，正在进行稳定性实验研究；信息化建设方面，建设长虹社区机房及数字化门诊全流程网络信息管理系统项目，建设达成长虹社区信息化必备的基础设施，数字化门诊全流程网络信息管理系统项目使得长虹社区门诊流程以及电子病历得到了优化和提升;绩效管理方面,组织1次中医药资金使用相关人员培训，有力的提升了我院项目绩效管理能力，促进了我院中医药服务能力及科学研究的能力。</w:t>
      </w:r>
    </w:p>
    <w:p w14:paraId="4B2AF47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仿宋_GB2312" w:hAnsi="Times New Roman" w:eastAsia="仿宋_GB2312" w:cs="Times New Roman"/>
          <w:snapToGrid w:val="0"/>
          <w:kern w:val="0"/>
          <w:sz w:val="32"/>
          <w:szCs w:val="32"/>
          <w:lang w:val="en-US" w:eastAsia="zh-CN" w:bidi="ar-SA"/>
        </w:rPr>
      </w:pPr>
      <w:r>
        <w:rPr>
          <w:rFonts w:hint="eastAsia" w:ascii="微软雅黑" w:hAnsi="微软雅黑" w:eastAsia="微软雅黑" w:cs="微软雅黑"/>
          <w:b w:val="0"/>
          <w:bCs w:val="0"/>
          <w:caps w:val="0"/>
          <w:color w:val="auto"/>
          <w:kern w:val="0"/>
          <w:sz w:val="32"/>
          <w:szCs w:val="32"/>
          <w:vertAlign w:val="baseline"/>
          <w:lang w:val="en-US" w:eastAsia="zh-CN" w:bidi="ar"/>
        </w:rPr>
        <w:t>⑦</w:t>
      </w:r>
      <w:r>
        <w:rPr>
          <w:rFonts w:hint="eastAsia" w:ascii="仿宋_GB2312" w:hAnsi="Times New Roman" w:eastAsia="仿宋_GB2312" w:cs="仿宋_GB2312"/>
          <w:b w:val="0"/>
          <w:bCs w:val="0"/>
          <w:caps w:val="0"/>
          <w:color w:val="auto"/>
          <w:kern w:val="0"/>
          <w:sz w:val="32"/>
          <w:szCs w:val="32"/>
          <w:vertAlign w:val="baseline"/>
          <w:lang w:val="en-US" w:eastAsia="zh-CN" w:bidi="ar"/>
        </w:rPr>
        <w:t>通过</w:t>
      </w:r>
      <w:r>
        <w:rPr>
          <w:rFonts w:hint="eastAsia" w:ascii="仿宋_GB2312" w:hAnsi="Times New Roman" w:eastAsia="仿宋_GB2312" w:cs="Times New Roman"/>
          <w:snapToGrid w:val="0"/>
          <w:kern w:val="0"/>
          <w:sz w:val="32"/>
          <w:szCs w:val="32"/>
          <w:lang w:val="en-US" w:eastAsia="zh-CN" w:bidi="ar-SA"/>
        </w:rPr>
        <w:t>中医药特色人才培养项目实施，项目支持了医生70人次，护理人员11人次的培训学习及学术交流；论文发表4篇，进修1人次。柔性引进国内高水平专家2名，分别是中西医结合骨质疏松诊疗的广州中医药大学第三附属医院黄宏兴教授，康复医学的广东省第二中医院刘悦教授。专家对医院的学科发展及相关疾病临床诊疗做了较好的指导。采购万方医学数据库一套，方便医务人员查阅医学文献，了解学术前沿发展。</w:t>
      </w:r>
    </w:p>
    <w:p w14:paraId="67B39003">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Times New Roman" w:eastAsia="仿宋_GB2312" w:cs="Times New Roman"/>
          <w:snapToGrid w:val="0"/>
          <w:kern w:val="0"/>
          <w:sz w:val="32"/>
          <w:szCs w:val="32"/>
          <w:lang w:val="en-US" w:eastAsia="zh-CN" w:bidi="ar-SA"/>
        </w:rPr>
      </w:pPr>
      <w:r>
        <w:rPr>
          <w:rFonts w:hint="eastAsia" w:ascii="微软雅黑" w:hAnsi="微软雅黑" w:eastAsia="微软雅黑" w:cs="微软雅黑"/>
          <w:snapToGrid w:val="0"/>
          <w:kern w:val="0"/>
          <w:sz w:val="32"/>
          <w:szCs w:val="32"/>
          <w:lang w:val="en-US" w:eastAsia="zh-CN" w:bidi="ar-SA"/>
        </w:rPr>
        <w:t>⑧</w:t>
      </w:r>
      <w:r>
        <w:rPr>
          <w:rFonts w:hint="eastAsia" w:ascii="仿宋_GB2312" w:hAnsi="Times New Roman" w:eastAsia="仿宋_GB2312" w:cs="Times New Roman"/>
          <w:snapToGrid w:val="0"/>
          <w:kern w:val="0"/>
          <w:sz w:val="32"/>
          <w:szCs w:val="32"/>
          <w:lang w:val="en-US" w:eastAsia="zh-CN" w:bidi="ar-SA"/>
        </w:rPr>
        <w:t>通过中医医院感控能力建设项目实施，全面提升医院的感染防控水平和应急处置能力，避免医院感染暴发恶性事件发生，医务人员感控知识培训率达到100%，医院感染发病率≤8%，医院感染漏报率≤20%，医院感染病原学送检率≥90%，手卫生依从率≥95%，职业暴露报告时间性≤30分钟，Ⅰ类手术切口感染率≤1.5%。</w:t>
      </w:r>
    </w:p>
    <w:p w14:paraId="7DAA5BAD">
      <w:pPr>
        <w:pStyle w:val="4"/>
        <w:pageBreakBefore w:val="0"/>
        <w:kinsoku/>
        <w:wordWrap/>
        <w:overflowPunct/>
        <w:topLinePunct w:val="0"/>
        <w:bidi w:val="0"/>
        <w:snapToGrid/>
        <w:spacing w:before="0" w:beforeAutospacing="0" w:after="0" w:afterAutospacing="0" w:line="560" w:lineRule="exact"/>
        <w:ind w:firstLine="640" w:firstLineChars="200"/>
        <w:textAlignment w:val="auto"/>
        <w:rPr>
          <w:rFonts w:hint="default" w:ascii="仿宋_GB2312" w:hAnsi="Times New Roman" w:eastAsia="仿宋_GB2312" w:cs="Times New Roman"/>
          <w:snapToGrid w:val="0"/>
          <w:kern w:val="0"/>
          <w:sz w:val="32"/>
          <w:szCs w:val="32"/>
          <w:lang w:val="en-US" w:eastAsia="zh-CN" w:bidi="ar-SA"/>
        </w:rPr>
      </w:pPr>
      <w:r>
        <w:rPr>
          <w:rFonts w:hint="eastAsia" w:ascii="微软雅黑" w:hAnsi="微软雅黑" w:eastAsia="微软雅黑" w:cs="微软雅黑"/>
          <w:snapToGrid w:val="0"/>
          <w:kern w:val="0"/>
          <w:sz w:val="32"/>
          <w:szCs w:val="32"/>
          <w:lang w:val="en-US" w:eastAsia="zh-CN" w:bidi="ar-SA"/>
        </w:rPr>
        <w:t>⑨</w:t>
      </w:r>
      <w:r>
        <w:rPr>
          <w:rFonts w:hint="eastAsia" w:ascii="仿宋_GB2312" w:hAnsi="Times New Roman" w:eastAsia="仿宋_GB2312" w:cs="Times New Roman"/>
          <w:snapToGrid w:val="0"/>
          <w:kern w:val="0"/>
          <w:sz w:val="32"/>
          <w:szCs w:val="32"/>
          <w:lang w:val="en-US" w:eastAsia="zh-CN" w:bidi="ar-SA"/>
        </w:rPr>
        <w:t>通过</w:t>
      </w:r>
      <w:r>
        <w:rPr>
          <w:rFonts w:hint="eastAsia" w:ascii="仿宋_GB2312" w:hAnsi="仿宋_GB2312" w:eastAsia="仿宋_GB2312" w:cs="仿宋_GB2312"/>
          <w:kern w:val="0"/>
          <w:sz w:val="32"/>
          <w:szCs w:val="32"/>
        </w:rPr>
        <w:t>第七批全国老中医药专家传承项目</w:t>
      </w:r>
      <w:r>
        <w:rPr>
          <w:rFonts w:hint="eastAsia" w:ascii="仿宋_GB2312" w:hAnsi="仿宋_GB2312" w:eastAsia="仿宋_GB2312" w:cs="仿宋_GB2312"/>
          <w:kern w:val="0"/>
          <w:sz w:val="32"/>
          <w:szCs w:val="32"/>
          <w:lang w:val="en-US" w:eastAsia="zh-CN"/>
        </w:rPr>
        <w:t>实施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师承弟子</w:t>
      </w:r>
      <w:r>
        <w:rPr>
          <w:rFonts w:hint="eastAsia" w:ascii="仿宋_GB2312" w:hAnsi="仿宋_GB2312" w:eastAsia="仿宋_GB2312" w:cs="仿宋_GB2312"/>
          <w:kern w:val="0"/>
          <w:sz w:val="32"/>
          <w:szCs w:val="32"/>
          <w:lang w:eastAsia="zh-CN"/>
        </w:rPr>
        <w:t>外出参加中医药相关学习培训2人次以上，两名师承弟子按实施方案要求每周跟随指导老师临床（实践）的时间每周1.5-2个工作日，独立从事临床（实践）的时间每周至少2个工作日。</w:t>
      </w:r>
    </w:p>
    <w:p w14:paraId="499608B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说明：八、预算绩效管理工作开展情况，资金统计口径均为财政资金。</w:t>
      </w:r>
      <w:r>
        <w:rPr>
          <w:rFonts w:hint="eastAsia" w:ascii="仿宋_GB2312" w:hAnsi="Times New Roman" w:eastAsia="仿宋_GB2312" w:cs="仿宋_GB2312"/>
          <w:b w:val="0"/>
          <w:bCs w:val="0"/>
          <w:caps w:val="0"/>
          <w:color w:val="auto"/>
          <w:kern w:val="0"/>
          <w:sz w:val="32"/>
          <w:szCs w:val="32"/>
          <w:vertAlign w:val="baseline"/>
          <w:lang w:val="en-US" w:eastAsia="zh-CN" w:bidi="ar"/>
        </w:rPr>
        <w:t>）</w:t>
      </w:r>
    </w:p>
    <w:p w14:paraId="27131E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388E0DAA">
      <w:pPr>
        <w:pageBreakBefore w:val="0"/>
        <w:kinsoku/>
        <w:wordWrap/>
        <w:overflowPunct/>
        <w:topLinePunct w:val="0"/>
        <w:autoSpaceDE w:val="0"/>
        <w:autoSpaceDN w:val="0"/>
        <w:bidi w:val="0"/>
        <w:adjustRightInd w:val="0"/>
        <w:snapToGrid/>
        <w:spacing w:beforeAutospacing="0" w:afterAutospacing="0" w:line="560" w:lineRule="exact"/>
        <w:jc w:val="center"/>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第四部分  名词解释</w:t>
      </w:r>
    </w:p>
    <w:p w14:paraId="25B0D716">
      <w:pPr>
        <w:pageBreakBefore w:val="0"/>
        <w:kinsoku/>
        <w:wordWrap/>
        <w:overflowPunct/>
        <w:topLinePunct w:val="0"/>
        <w:bidi w:val="0"/>
        <w:snapToGrid/>
        <w:spacing w:beforeAutospacing="0" w:afterAutospacing="0" w:line="560" w:lineRule="exact"/>
        <w:ind w:firstLine="640"/>
        <w:textAlignment w:val="auto"/>
        <w:rPr>
          <w:rFonts w:hint="eastAsia" w:ascii="仿宋_GB2312" w:eastAsia="仿宋_GB2312"/>
          <w:sz w:val="32"/>
          <w:szCs w:val="32"/>
        </w:rPr>
      </w:pPr>
      <w:r>
        <w:rPr>
          <w:rFonts w:hint="eastAsia" w:ascii="仿宋_GB2312" w:eastAsia="仿宋_GB2312"/>
          <w:sz w:val="32"/>
          <w:szCs w:val="32"/>
        </w:rPr>
        <w:t xml:space="preserve">一、财政拨款收入：指自治区财政部门当年拨付的资金。 </w:t>
      </w:r>
    </w:p>
    <w:p w14:paraId="5F4D862A">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2C2CDD6C">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313594AE">
      <w:pPr>
        <w:pageBreakBefore w:val="0"/>
        <w:kinsoku/>
        <w:wordWrap/>
        <w:overflowPunct/>
        <w:topLinePunct w:val="0"/>
        <w:bidi w:val="0"/>
        <w:snapToGrid/>
        <w:spacing w:beforeAutospacing="0" w:afterAutospacing="0" w:line="560" w:lineRule="exact"/>
        <w:ind w:firstLine="640"/>
        <w:textAlignment w:val="auto"/>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750223A3">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五、使用非财政拨款结余</w:t>
      </w:r>
      <w:r>
        <w:rPr>
          <w:rFonts w:hint="eastAsia" w:ascii="仿宋_GB2312" w:eastAsia="仿宋_GB2312"/>
          <w:sz w:val="32"/>
          <w:szCs w:val="32"/>
          <w:lang w:eastAsia="zh-CN"/>
        </w:rPr>
        <w:t>（含专用结余）</w:t>
      </w:r>
      <w:r>
        <w:rPr>
          <w:rFonts w:hint="eastAsia" w:ascii="仿宋_GB2312" w:eastAsia="仿宋_GB2312"/>
          <w:sz w:val="32"/>
          <w:szCs w:val="32"/>
        </w:rPr>
        <w:t xml:space="preserve">：指事业单位在当年的“财政拨款收入”“事业收入”“经营收入”“其他收入”不足以安排当年支出的情况下，使用非财政拨款结余、专用结余弥补本年度收支缺口的资金。 </w:t>
      </w:r>
    </w:p>
    <w:p w14:paraId="351DE9AA">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14:paraId="0DBE061F">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14:paraId="6884C963">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14:paraId="330F26B2">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14:paraId="57803038">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14:paraId="76D7C1CA">
      <w:pPr>
        <w:pageBreakBefore w:val="0"/>
        <w:kinsoku/>
        <w:wordWrap/>
        <w:overflowPunct/>
        <w:topLinePunct w:val="0"/>
        <w:bidi w:val="0"/>
        <w:snapToGrid/>
        <w:spacing w:beforeAutospacing="0" w:afterAutospacing="0" w:line="560" w:lineRule="exact"/>
        <w:ind w:firstLine="640"/>
        <w:textAlignment w:val="auto"/>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0419B62F">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1F3E5792">
      <w:pPr>
        <w:pageBreakBefore w:val="0"/>
        <w:kinsoku/>
        <w:wordWrap/>
        <w:overflowPunct/>
        <w:topLinePunct w:val="0"/>
        <w:bidi w:val="0"/>
        <w:snapToGrid/>
        <w:spacing w:beforeAutospacing="0" w:afterAutospacing="0" w:line="560" w:lineRule="exact"/>
        <w:ind w:firstLine="640" w:firstLineChars="200"/>
        <w:textAlignment w:val="auto"/>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01AE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8EDD91">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38EDD91">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MzkxYWQ5ODQwZGNlN2U2ZjA4YWViYjBiYzVkOTQifQ=="/>
  </w:docVars>
  <w:rsids>
    <w:rsidRoot w:val="0C306BDD"/>
    <w:rsid w:val="0363634D"/>
    <w:rsid w:val="038C76D9"/>
    <w:rsid w:val="05DD246D"/>
    <w:rsid w:val="07AA2823"/>
    <w:rsid w:val="0C306BDD"/>
    <w:rsid w:val="14D964F6"/>
    <w:rsid w:val="1AC468FB"/>
    <w:rsid w:val="218D2B42"/>
    <w:rsid w:val="21EB7868"/>
    <w:rsid w:val="229E3BBB"/>
    <w:rsid w:val="23792145"/>
    <w:rsid w:val="353E4E8E"/>
    <w:rsid w:val="38AB1E84"/>
    <w:rsid w:val="390F0874"/>
    <w:rsid w:val="40BB7F20"/>
    <w:rsid w:val="41093A88"/>
    <w:rsid w:val="43F80CF6"/>
    <w:rsid w:val="4AB10DA0"/>
    <w:rsid w:val="4C521055"/>
    <w:rsid w:val="4C9C6E1F"/>
    <w:rsid w:val="52C165A5"/>
    <w:rsid w:val="5A3A21A5"/>
    <w:rsid w:val="5AD21774"/>
    <w:rsid w:val="5B86074B"/>
    <w:rsid w:val="5C200945"/>
    <w:rsid w:val="5DA8487E"/>
    <w:rsid w:val="5F67039A"/>
    <w:rsid w:val="5F8360AB"/>
    <w:rsid w:val="616F0E15"/>
    <w:rsid w:val="62540156"/>
    <w:rsid w:val="6D2B3E12"/>
    <w:rsid w:val="6EFB03A1"/>
    <w:rsid w:val="6FE3639E"/>
    <w:rsid w:val="7C5C6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keepNext/>
      <w:keepLines/>
      <w:autoSpaceDE w:val="0"/>
      <w:autoSpaceDN w:val="0"/>
      <w:spacing w:line="560" w:lineRule="exact"/>
      <w:ind w:firstLine="880" w:firstLineChars="200"/>
      <w:outlineLvl w:val="1"/>
    </w:pPr>
    <w:rPr>
      <w:rFonts w:ascii="Cambria" w:hAnsi="Cambria" w:eastAsia="黑体" w:cs="Times New Roman"/>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0"/>
    <w:pPr>
      <w:spacing w:before="240" w:after="60"/>
      <w:jc w:val="center"/>
      <w:outlineLvl w:val="0"/>
    </w:pPr>
    <w:rPr>
      <w:rFonts w:ascii="Cambria" w:hAnsi="Cambria"/>
      <w:b/>
      <w:sz w:val="32"/>
      <w:szCs w:val="20"/>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6874</Words>
  <Characters>7687</Characters>
  <Lines>0</Lines>
  <Paragraphs>0</Paragraphs>
  <TotalTime>285</TotalTime>
  <ScaleCrop>false</ScaleCrop>
  <LinksUpToDate>false</LinksUpToDate>
  <CharactersWithSpaces>7698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2023-08-23T01:24:00Z</dcterms:created>
  <dc:creator>BBQ◑▂◐</dc:creator>
  <cp:lastModifiedBy>吕</cp:lastModifiedBy>
  <cp:lastPrinted>2024-10-09T01:55:00Z</cp:lastPrinted>
  <dcterms:modified xsi:type="dcterms:W3CDTF">2024-10-14T02:42:34Z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040F905622314D4294A0278154B8E361_13</vt:lpwstr>
  </property>
</Properties>
</file>