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BE950D">
      <w:pPr>
        <w:pStyle w:val="10"/>
        <w:spacing w:beforeAutospacing="0" w:afterAutospacing="0" w:line="560" w:lineRule="exact"/>
        <w:ind w:firstLine="88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广西骨伤医院信息（HIS、LIS、PACS、EMR）系统、互联网医院等保三级评测项目</w:t>
      </w:r>
      <w:r>
        <w:rPr>
          <w:rFonts w:hint="eastAsia" w:ascii="方正小标宋简体" w:hAnsi="方正小标宋简体" w:eastAsia="方正小标宋简体" w:cs="方正小标宋简体"/>
          <w:sz w:val="44"/>
          <w:szCs w:val="44"/>
          <w:lang w:val="en-US" w:eastAsia="zh-CN"/>
        </w:rPr>
        <w:t>竞争性磋商</w:t>
      </w:r>
      <w:r>
        <w:rPr>
          <w:rFonts w:hint="eastAsia" w:ascii="方正小标宋简体" w:hAnsi="方正小标宋简体" w:eastAsia="方正小标宋简体" w:cs="方正小标宋简体"/>
          <w:sz w:val="44"/>
          <w:szCs w:val="44"/>
        </w:rPr>
        <w:t>文件</w:t>
      </w:r>
    </w:p>
    <w:p w14:paraId="5ACFD891">
      <w:pPr>
        <w:pStyle w:val="10"/>
        <w:spacing w:beforeAutospacing="0" w:afterAutospacing="0" w:line="560" w:lineRule="exact"/>
        <w:ind w:firstLine="643"/>
        <w:rPr>
          <w:rFonts w:ascii="仿宋_GB2312" w:hAnsi="仿宋_GB2312" w:eastAsia="仿宋_GB2312" w:cs="仿宋_GB2312"/>
          <w:sz w:val="32"/>
          <w:szCs w:val="32"/>
        </w:rPr>
      </w:pPr>
    </w:p>
    <w:p w14:paraId="5A3A45AA">
      <w:pPr>
        <w:pStyle w:val="10"/>
        <w:spacing w:beforeAutospacing="0" w:afterAutospacing="0" w:line="560" w:lineRule="exact"/>
        <w:ind w:firstLine="643" w:firstLineChars="200"/>
        <w:jc w:val="both"/>
        <w:rPr>
          <w:rFonts w:ascii="仿宋_GB2312" w:hAnsi="仿宋_GB2312" w:eastAsia="仿宋_GB2312" w:cs="仿宋_GB2312"/>
          <w:sz w:val="32"/>
          <w:szCs w:val="32"/>
        </w:rPr>
      </w:pPr>
      <w:r>
        <w:rPr>
          <w:rFonts w:hint="eastAsia" w:ascii="仿宋_GB2312" w:hAnsi="仿宋_GB2312" w:eastAsia="仿宋_GB2312" w:cs="仿宋_GB2312"/>
          <w:b/>
          <w:bCs/>
          <w:sz w:val="32"/>
          <w:szCs w:val="32"/>
        </w:rPr>
        <w:t>一、项目名称</w:t>
      </w:r>
      <w:r>
        <w:rPr>
          <w:rFonts w:hint="eastAsia" w:ascii="仿宋_GB2312" w:hAnsi="仿宋_GB2312" w:eastAsia="仿宋_GB2312" w:cs="仿宋_GB2312"/>
          <w:sz w:val="32"/>
          <w:szCs w:val="32"/>
        </w:rPr>
        <w:t>：广西骨伤医院信息（HIS、LIS、PACS、EMR）系统、互联网医院等保三级评测项目</w:t>
      </w:r>
    </w:p>
    <w:p w14:paraId="61A3ADF1">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二、项目编号</w:t>
      </w:r>
      <w:r>
        <w:rPr>
          <w:rFonts w:hint="eastAsia" w:ascii="仿宋_GB2312" w:hAnsi="仿宋_GB2312" w:eastAsia="仿宋_GB2312" w:cs="仿宋_GB2312"/>
          <w:sz w:val="32"/>
          <w:szCs w:val="32"/>
        </w:rPr>
        <w:t>：</w:t>
      </w:r>
      <w:r>
        <w:rPr>
          <w:rFonts w:hint="eastAsia" w:ascii="仿宋_GB2312" w:hAnsi="宋体" w:eastAsia="仿宋_GB2312" w:cs="Times New Roman"/>
          <w:b/>
          <w:color w:val="000000"/>
          <w:sz w:val="32"/>
          <w:szCs w:val="32"/>
        </w:rPr>
        <w:t>GXGSYY-CGB-HQBZZX-2024-02</w:t>
      </w:r>
    </w:p>
    <w:p w14:paraId="1EFEA10F">
      <w:pPr>
        <w:pStyle w:val="10"/>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3" w:firstLineChars="200"/>
        <w:textAlignment w:val="auto"/>
        <w:rPr>
          <w:rFonts w:hint="eastAsia" w:ascii="黑体" w:hAnsi="黑体" w:eastAsia="黑体" w:cs="黑体"/>
          <w:sz w:val="32"/>
          <w:szCs w:val="32"/>
        </w:rPr>
      </w:pPr>
      <w:r>
        <w:rPr>
          <w:rFonts w:hint="eastAsia" w:ascii="仿宋_GB2312" w:hAnsi="仿宋_GB2312" w:eastAsia="仿宋_GB2312" w:cs="仿宋_GB2312"/>
          <w:b/>
          <w:bCs/>
          <w:sz w:val="32"/>
          <w:szCs w:val="32"/>
        </w:rPr>
        <w:t>三、</w:t>
      </w:r>
      <w:r>
        <w:rPr>
          <w:rFonts w:hint="eastAsia" w:ascii="黑体" w:hAnsi="黑体" w:eastAsia="黑体" w:cs="黑体"/>
          <w:sz w:val="32"/>
          <w:szCs w:val="32"/>
        </w:rPr>
        <w:t>项目概况</w:t>
      </w:r>
    </w:p>
    <w:p w14:paraId="16F91AC0">
      <w:pPr>
        <w:pStyle w:val="10"/>
        <w:keepNext w:val="0"/>
        <w:keepLines w:val="0"/>
        <w:pageBreakBefore w:val="0"/>
        <w:widowControl w:val="0"/>
        <w:numPr>
          <w:ilvl w:val="0"/>
          <w:numId w:val="2"/>
        </w:numPr>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项目上控价：</w:t>
      </w:r>
      <w:r>
        <w:rPr>
          <w:rFonts w:hint="eastAsia" w:ascii="仿宋_GB2312" w:hAnsi="仿宋_GB2312" w:eastAsia="仿宋_GB2312" w:cs="仿宋_GB2312"/>
          <w:sz w:val="32"/>
          <w:szCs w:val="32"/>
          <w:lang w:val="en-US" w:eastAsia="zh-CN"/>
        </w:rPr>
        <w:t>90000</w:t>
      </w:r>
      <w:r>
        <w:rPr>
          <w:rFonts w:hint="eastAsia" w:ascii="仿宋_GB2312" w:hAnsi="仿宋_GB2312" w:eastAsia="仿宋_GB2312" w:cs="仿宋_GB2312"/>
          <w:sz w:val="32"/>
          <w:szCs w:val="32"/>
        </w:rPr>
        <w:t>元。</w:t>
      </w:r>
    </w:p>
    <w:p w14:paraId="7A82DBDB">
      <w:pPr>
        <w:pStyle w:val="10"/>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（二）服务内容要求</w:t>
      </w:r>
      <w:r>
        <w:rPr>
          <w:rFonts w:hint="eastAsia" w:ascii="仿宋_GB2312" w:hAnsi="仿宋_GB2312" w:eastAsia="仿宋_GB2312" w:cs="仿宋_GB2312"/>
          <w:sz w:val="32"/>
          <w:szCs w:val="32"/>
          <w:lang w:val="en-US" w:eastAsia="zh-CN"/>
        </w:rPr>
        <w:t>:</w:t>
      </w:r>
    </w:p>
    <w:p w14:paraId="1C32BEE7">
      <w:pPr>
        <w:pStyle w:val="10"/>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1、总体要求</w:t>
      </w:r>
      <w:r>
        <w:rPr>
          <w:rFonts w:hint="eastAsia" w:ascii="仿宋_GB2312" w:hAnsi="仿宋_GB2312" w:eastAsia="仿宋_GB2312" w:cs="仿宋_GB2312"/>
          <w:sz w:val="32"/>
          <w:szCs w:val="32"/>
          <w:lang w:val="en-US" w:eastAsia="zh-CN"/>
        </w:rPr>
        <w:t>:</w:t>
      </w:r>
    </w:p>
    <w:p w14:paraId="55BDF398">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依照《中华人民共和国网络安全法》、《信息系统安全等级保护管理办法》，以及自治区公安厅等相关文件的要求，依据《网络安全等级保护基本要求》（GB/T 22239-2019）对医院信息（HIS、LIS、PACS、EMR）系统（三级）开展网络安全等级保护测评工作；并出具符合国家信息安全等级保护管理部门规范要求、公安机关认可的信息系统网络安全等级测评报告。</w:t>
      </w:r>
    </w:p>
    <w:p w14:paraId="40E5B3A0">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基本原则：逐一出具符合国家信息安全等级保护管理部门规范要求、公安机关认可的信息系统安全等级测评报告；测评方案的设计与实施应依据国内、国际的相关标准进行；测评服务商工作中的过程和文档，具有很好的规范性，可以便于项目的跟踪和控制；测评的方法和过程要在双方认可的范围之内，安全咨询的进度要按照进度表进度的安排，保证采购方对于服务工作的可控性；安全体系设计的范围和内容应当整体全面，包括安全涉及的各个层面，避免由于遗漏造成未来的安全隐患；测评工作应尽可能小地影响系统和网络的正常运行，不能对招标方各系统的运行和业务的正常开展造成影响；对测评过程中获得的采购方数据和结果数据严格保密，未经授权不得泄露给任何单位和个人，不得利用此数据进行任何侵害采购方利益的行为。</w:t>
      </w:r>
    </w:p>
    <w:p w14:paraId="423CDEF6">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2、标准依据</w:t>
      </w:r>
      <w:r>
        <w:rPr>
          <w:rFonts w:hint="eastAsia" w:ascii="仿宋_GB2312" w:hAnsi="仿宋_GB2312" w:eastAsia="仿宋_GB2312" w:cs="仿宋_GB2312"/>
          <w:sz w:val="32"/>
          <w:szCs w:val="32"/>
          <w:lang w:val="en-US" w:eastAsia="zh-CN"/>
        </w:rPr>
        <w:t>:</w:t>
      </w:r>
    </w:p>
    <w:p w14:paraId="73444B99">
      <w:pPr>
        <w:pStyle w:val="2"/>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等级保护测评过程中，必须依照以下标准：</w:t>
      </w:r>
    </w:p>
    <w:p w14:paraId="1B91CA11">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《信息系统安全等级保护定级指南》（GB/T22240-2020）</w:t>
      </w:r>
    </w:p>
    <w:p w14:paraId="4003BFB5">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《计算机信息系统安全保护等级划分准则》（GB 17859-1999)</w:t>
      </w:r>
    </w:p>
    <w:p w14:paraId="257BE38C">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《网络安全等级保护基本要求》（GB/T 22239-2019）</w:t>
      </w:r>
    </w:p>
    <w:p w14:paraId="64A20172">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《网络安全等级保护测评要求》（GB/T 28448-2019）</w:t>
      </w:r>
    </w:p>
    <w:p w14:paraId="2A864CDB">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《网络安全等级保护测评过程指南》（GB/T 28449-2018)</w:t>
      </w:r>
    </w:p>
    <w:p w14:paraId="01D9E82F">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《网络安全等级保护设计技术要求》（GB/T 25070-2019）</w:t>
      </w:r>
    </w:p>
    <w:p w14:paraId="138EA9D6">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《网络安全等级保护测试评估技术指南》（GB/T 36627-2018）</w:t>
      </w:r>
    </w:p>
    <w:p w14:paraId="734CCDE9">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3、测评内容</w:t>
      </w:r>
      <w:r>
        <w:rPr>
          <w:rFonts w:hint="eastAsia" w:ascii="仿宋_GB2312" w:hAnsi="仿宋_GB2312" w:eastAsia="仿宋_GB2312" w:cs="仿宋_GB2312"/>
          <w:sz w:val="32"/>
          <w:szCs w:val="32"/>
          <w:lang w:val="en-US" w:eastAsia="zh-CN"/>
        </w:rPr>
        <w:t>:</w:t>
      </w:r>
    </w:p>
    <w:p w14:paraId="034D845E">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（1）安全通用要求</w:t>
      </w:r>
    </w:p>
    <w:p w14:paraId="2AB5EEE5">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安全通用要求测评内容应包括安全技术和安全管理两大类，其中技术类应包括对安全物理环境、安全通信网络、安全区域边界、安全计算环境、安全管理中心五个方面的测评，安全管理类测评应包括对安全管理制度、安全管理机构、安全管理人员、安全建设管理、安全运维管理五个方面的测评。</w:t>
      </w:r>
    </w:p>
    <w:p w14:paraId="4B2EA1CD">
      <w:pPr>
        <w:keepNext w:val="0"/>
        <w:keepLines w:val="0"/>
        <w:pageBreakBefore w:val="0"/>
        <w:widowControl w:val="0"/>
        <w:numPr>
          <w:ilvl w:val="0"/>
          <w:numId w:val="3"/>
        </w:numPr>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安全扩展要求</w:t>
      </w:r>
    </w:p>
    <w:p w14:paraId="2DD8B791">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如本项目执行时发现等级保护对象涉及测评标准安全扩展要求（云计算、移动互联网、物联网、大数据、工业控制）方面内容的，则根据实际情况选定适用的安全扩展要求测评内容开展本项目测评工作。</w:t>
      </w:r>
    </w:p>
    <w:p w14:paraId="2A178F04">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4、测评方法</w:t>
      </w:r>
      <w:r>
        <w:rPr>
          <w:rFonts w:hint="eastAsia" w:ascii="仿宋_GB2312" w:hAnsi="仿宋_GB2312" w:eastAsia="仿宋_GB2312" w:cs="仿宋_GB2312"/>
          <w:sz w:val="32"/>
          <w:szCs w:val="32"/>
          <w:lang w:val="en-US" w:eastAsia="zh-CN"/>
        </w:rPr>
        <w:t>:</w:t>
      </w:r>
    </w:p>
    <w:p w14:paraId="75368603">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在测评实施过程中，应采用访谈、检查和测试、渗透测试等测评方法进行，并与国家相关规范及标准的要求相符。</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访谈是指测评人员通过引导信息系统相关人员进行有目的的（有针对性的）交流以帮助测评人员理解、分析或取得证据的过程；</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xml:space="preserve">   检查是指测评人员通过对测评对象（如管理制度、操作记录、安全配置等）进行观察、查验、分析以帮助测评人员理解、分析或取得证据的过程；</w:t>
      </w:r>
    </w:p>
    <w:p w14:paraId="48489917">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测试是测评人员使用预定的方法/工具使测评对象产生特定的行为，通过查看和分析结果以帮助测评人员获取证据的过程；</w:t>
      </w:r>
    </w:p>
    <w:p w14:paraId="10B5CD0B">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渗透测试是模拟黑客的攻击方法，对受保护对象的应用系统、主机、网络进行攻击，从而验证测评对象的弱点、技术缺陷或漏洞的一种评估方法。</w:t>
      </w:r>
    </w:p>
    <w:p w14:paraId="7F2CE7A3">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5、供应商应具备及其他事项：</w:t>
      </w:r>
    </w:p>
    <w:p w14:paraId="0F5D4B54">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（1）中国网络安全审查技术与认证中心颁发的安全风险评估服务资质，公安部</w:t>
      </w:r>
      <w:r>
        <w:rPr>
          <w:rFonts w:hint="eastAsia" w:ascii="仿宋_GB2312" w:hAnsi="仿宋_GB2312" w:eastAsia="仿宋_GB2312" w:cs="仿宋_GB2312"/>
          <w:sz w:val="32"/>
          <w:szCs w:val="32"/>
          <w:lang w:val="en-US" w:eastAsia="zh-Hans"/>
        </w:rPr>
        <w:t>颁发</w:t>
      </w:r>
      <w:r>
        <w:rPr>
          <w:rFonts w:hint="eastAsia" w:ascii="仿宋_GB2312" w:hAnsi="仿宋_GB2312" w:eastAsia="仿宋_GB2312" w:cs="仿宋_GB2312"/>
          <w:sz w:val="32"/>
          <w:szCs w:val="32"/>
          <w:lang w:val="en-US" w:eastAsia="zh-CN"/>
        </w:rPr>
        <w:t>的</w:t>
      </w:r>
      <w:r>
        <w:rPr>
          <w:rFonts w:hint="eastAsia" w:ascii="仿宋_GB2312" w:hAnsi="仿宋_GB2312" w:eastAsia="仿宋_GB2312" w:cs="仿宋_GB2312"/>
          <w:sz w:val="32"/>
          <w:szCs w:val="32"/>
          <w:lang w:val="en-US" w:eastAsia="zh-Hans"/>
        </w:rPr>
        <w:t>《</w:t>
      </w:r>
      <w:r>
        <w:rPr>
          <w:rFonts w:hint="eastAsia" w:ascii="仿宋_GB2312" w:hAnsi="仿宋_GB2312" w:eastAsia="仿宋_GB2312" w:cs="仿宋_GB2312"/>
          <w:sz w:val="32"/>
          <w:szCs w:val="32"/>
          <w:lang w:val="en-US" w:eastAsia="zh-CN"/>
        </w:rPr>
        <w:t>网络安全等级测评与检测评估机构服务认证证书</w:t>
      </w:r>
      <w:r>
        <w:rPr>
          <w:rFonts w:hint="eastAsia" w:ascii="仿宋_GB2312" w:hAnsi="仿宋_GB2312" w:eastAsia="仿宋_GB2312" w:cs="仿宋_GB2312"/>
          <w:sz w:val="32"/>
          <w:szCs w:val="32"/>
          <w:lang w:val="en-US" w:eastAsia="zh-Hans"/>
        </w:rPr>
        <w:t>》</w:t>
      </w:r>
      <w:r>
        <w:rPr>
          <w:rFonts w:hint="eastAsia" w:ascii="仿宋_GB2312" w:hAnsi="仿宋_GB2312" w:eastAsia="仿宋_GB2312" w:cs="仿宋_GB2312"/>
          <w:sz w:val="32"/>
          <w:szCs w:val="32"/>
          <w:lang w:val="en-US" w:eastAsia="zh-CN"/>
        </w:rPr>
        <w:t>；</w:t>
      </w:r>
    </w:p>
    <w:p w14:paraId="1E79FA68">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在提供服务时，严格遵守双方的有关规章制度；保证不擅自将用户提供的纸质及电子文档复制给其他单位或个人，不将服务产生的报告等资料泄露给其他单位或个人；必须与甲方签订保密协议；协助甲方对未通过等保的项目进行整改。</w:t>
      </w:r>
    </w:p>
    <w:p w14:paraId="6103D60D">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6.考虑到项目的保密性和专业性，投标人如有以下相关资质可做优先选择：</w:t>
      </w:r>
    </w:p>
    <w:p w14:paraId="2C62815A">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（1）提供ISO9001质量管理</w:t>
      </w:r>
      <w:r>
        <w:rPr>
          <w:rFonts w:hint="eastAsia" w:ascii="仿宋_GB2312" w:hAnsi="仿宋_GB2312" w:eastAsia="仿宋_GB2312" w:cs="仿宋_GB2312"/>
          <w:sz w:val="32"/>
          <w:szCs w:val="32"/>
          <w:lang w:val="en-US" w:eastAsia="zh-Hans"/>
        </w:rPr>
        <w:t>认证证书</w:t>
      </w:r>
      <w:r>
        <w:rPr>
          <w:rFonts w:hint="eastAsia" w:ascii="仿宋_GB2312" w:hAnsi="仿宋_GB2312" w:eastAsia="仿宋_GB2312" w:cs="仿宋_GB2312"/>
          <w:sz w:val="32"/>
          <w:szCs w:val="32"/>
          <w:lang w:val="en-US" w:eastAsia="zh-CN"/>
        </w:rPr>
        <w:t>、27001信息安全管理体系证书</w:t>
      </w:r>
      <w:r>
        <w:rPr>
          <w:rFonts w:hint="eastAsia" w:ascii="仿宋_GB2312" w:hAnsi="仿宋_GB2312" w:eastAsia="仿宋_GB2312" w:cs="仿宋_GB2312"/>
          <w:sz w:val="32"/>
          <w:szCs w:val="32"/>
          <w:lang w:val="en-US" w:eastAsia="zh-Hans"/>
        </w:rPr>
        <w:t>认证范围为“网络安全等保测评”</w:t>
      </w:r>
      <w:r>
        <w:rPr>
          <w:rFonts w:hint="eastAsia" w:ascii="仿宋_GB2312" w:hAnsi="仿宋_GB2312" w:eastAsia="仿宋_GB2312" w:cs="仿宋_GB2312"/>
          <w:sz w:val="32"/>
          <w:szCs w:val="32"/>
          <w:lang w:val="en-US" w:eastAsia="zh-CN"/>
        </w:rPr>
        <w:t>、20000信息技术服务管理认证体系证书</w:t>
      </w:r>
      <w:r>
        <w:rPr>
          <w:rFonts w:hint="eastAsia" w:ascii="仿宋_GB2312" w:hAnsi="仿宋_GB2312" w:eastAsia="仿宋_GB2312" w:cs="仿宋_GB2312"/>
          <w:sz w:val="32"/>
          <w:szCs w:val="32"/>
          <w:lang w:val="en-US" w:eastAsia="zh-Hans"/>
        </w:rPr>
        <w:t>认证范围为“网络安全等保测评”</w:t>
      </w:r>
      <w:r>
        <w:rPr>
          <w:rFonts w:hint="eastAsia" w:ascii="仿宋_GB2312" w:hAnsi="仿宋_GB2312" w:eastAsia="仿宋_GB2312" w:cs="仿宋_GB2312"/>
          <w:sz w:val="32"/>
          <w:szCs w:val="32"/>
          <w:lang w:val="en-US" w:eastAsia="zh-CN"/>
        </w:rPr>
        <w:t>；</w:t>
      </w:r>
    </w:p>
    <w:p w14:paraId="70602F2D">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（2）提供ITSS信息技术服务标准符合性证书；</w:t>
      </w:r>
    </w:p>
    <w:p w14:paraId="53D67321">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rPr>
      </w:pPr>
      <w:r>
        <w:rPr>
          <w:rFonts w:hint="eastAsia" w:ascii="仿宋_GB2312" w:hAnsi="仿宋_GB2312" w:eastAsia="仿宋_GB2312" w:cs="仿宋_GB2312"/>
          <w:sz w:val="32"/>
          <w:szCs w:val="32"/>
          <w:lang w:val="en-US" w:eastAsia="zh-CN"/>
        </w:rPr>
        <w:t>（3）项目负责人同时具有信息安全等级测评师证书、</w:t>
      </w:r>
      <w:r>
        <w:rPr>
          <w:rFonts w:hint="eastAsia" w:ascii="仿宋_GB2312" w:hAnsi="仿宋_GB2312" w:eastAsia="仿宋_GB2312" w:cs="仿宋_GB2312"/>
          <w:sz w:val="32"/>
          <w:szCs w:val="32"/>
          <w:lang w:val="en-US" w:eastAsia="zh-Hans"/>
        </w:rPr>
        <w:t>高级信息系统项目管理师</w:t>
      </w:r>
      <w:r>
        <w:rPr>
          <w:rFonts w:hint="eastAsia" w:ascii="仿宋_GB2312" w:hAnsi="仿宋_GB2312" w:eastAsia="仿宋_GB2312" w:cs="仿宋_GB2312"/>
          <w:sz w:val="32"/>
          <w:szCs w:val="32"/>
          <w:lang w:val="en-US" w:eastAsia="zh-CN"/>
        </w:rPr>
        <w:t>、CISSP、CISP证书，团队人员至少配备1名高级等保测评师并提供最新等级保护网注册测评师相关证明文件。</w:t>
      </w:r>
    </w:p>
    <w:p w14:paraId="7DE1AED3">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、项目工期</w:t>
      </w:r>
      <w:r>
        <w:rPr>
          <w:rFonts w:hint="eastAsia" w:ascii="仿宋_GB2312" w:hAnsi="仿宋_GB2312" w:eastAsia="仿宋_GB2312" w:cs="仿宋_GB2312"/>
          <w:sz w:val="32"/>
          <w:szCs w:val="32"/>
          <w:lang w:val="en-US" w:eastAsia="zh-CN"/>
        </w:rPr>
        <w:t>:</w:t>
      </w:r>
    </w:p>
    <w:p w14:paraId="071C45D0">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项目共两次进场测评：初测和复测。自甲方出具项目成交通知书之日起5个工作日内完成该项目现场测评工作。现场测评结束后5个工作日内提供该项目的差距分析整改清单。经甲方整改完成后，再与乙方确定复测日期。自甲方出具项目复测通知书之日起3个工作日内完成该项目现场复测，复测完成后20个工作日内提供该项目的最终测评报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整个工期应在2个月完成</w:t>
      </w:r>
      <w:r>
        <w:rPr>
          <w:rFonts w:hint="eastAsia" w:ascii="仿宋_GB2312" w:hAnsi="仿宋_GB2312" w:eastAsia="仿宋_GB2312" w:cs="仿宋_GB2312"/>
          <w:sz w:val="32"/>
          <w:szCs w:val="32"/>
        </w:rPr>
        <w:t>。</w:t>
      </w:r>
    </w:p>
    <w:p w14:paraId="034B315D">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、付款方式：出具最终《网络安全等级保护测评报告》</w:t>
      </w:r>
      <w:r>
        <w:rPr>
          <w:rFonts w:hint="eastAsia" w:ascii="仿宋_GB2312" w:hAnsi="仿宋_GB2312" w:eastAsia="仿宋_GB2312" w:cs="仿宋_GB2312"/>
          <w:sz w:val="32"/>
          <w:szCs w:val="32"/>
          <w:lang w:val="en-US" w:eastAsia="zh-CN"/>
        </w:rPr>
        <w:t>且分数在70分以上，通过网络安全等级保护测评2.0三级</w:t>
      </w:r>
      <w:r>
        <w:rPr>
          <w:rFonts w:hint="eastAsia" w:ascii="仿宋_GB2312" w:hAnsi="仿宋_GB2312" w:eastAsia="仿宋_GB2312" w:cs="仿宋_GB2312"/>
          <w:sz w:val="32"/>
          <w:szCs w:val="32"/>
        </w:rPr>
        <w:t>后十个工作日内支付合同价格</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0%合同款；</w:t>
      </w:r>
    </w:p>
    <w:p w14:paraId="0CE9CEA6">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、服务成果</w:t>
      </w:r>
    </w:p>
    <w:p w14:paraId="6A6E34E6">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竞标人完成初次测评后应提出具体整改意见并敦促指导整改，待整改完毕后再进行正式测评，并出具符合出具符合《信息安全技术-网络安全等级保护基本要求》（GB/T 22239-2019）相关技术标准要求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国家信息安全等级保护管理部门规范要求、公安网安部门认可的《网络安全等级保护测评报告》</w:t>
      </w:r>
      <w:r>
        <w:rPr>
          <w:rFonts w:hint="eastAsia" w:ascii="仿宋_GB2312" w:hAnsi="仿宋_GB2312" w:eastAsia="仿宋_GB2312" w:cs="仿宋_GB2312"/>
          <w:sz w:val="32"/>
          <w:szCs w:val="32"/>
          <w:lang w:val="en-US" w:eastAsia="zh-CN"/>
        </w:rPr>
        <w:t>且分数在70分以上，通过网络安全等级保护测评2.0三级</w:t>
      </w:r>
      <w:r>
        <w:rPr>
          <w:rFonts w:hint="eastAsia" w:ascii="仿宋_GB2312" w:hAnsi="仿宋_GB2312" w:eastAsia="仿宋_GB2312" w:cs="仿宋_GB2312"/>
          <w:sz w:val="32"/>
          <w:szCs w:val="32"/>
        </w:rPr>
        <w:t>。纸质版2份；电子版1份。</w:t>
      </w:r>
    </w:p>
    <w:p w14:paraId="0E815361">
      <w:pPr>
        <w:pStyle w:val="10"/>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四、商务要求</w:t>
      </w:r>
    </w:p>
    <w:p w14:paraId="2B963F31">
      <w:pPr>
        <w:pStyle w:val="10"/>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、保密要求</w:t>
      </w:r>
      <w:r>
        <w:rPr>
          <w:rFonts w:hint="eastAsia" w:ascii="仿宋_GB2312" w:hAnsi="仿宋_GB2312" w:eastAsia="仿宋_GB2312" w:cs="仿宋_GB2312"/>
          <w:sz w:val="32"/>
          <w:szCs w:val="32"/>
          <w:lang w:val="en-US" w:eastAsia="zh-CN"/>
        </w:rPr>
        <w:t>:</w:t>
      </w:r>
    </w:p>
    <w:p w14:paraId="514B33F7">
      <w:pPr>
        <w:pStyle w:val="10"/>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标供应商在提供服务时，严格遵守双方的有关规章制度；保证不擅自将用户提供的纸质及电子文档复制给其他单位或个人，不将服务产生的报告等资料泄露给其他单位或个人；中标供应商必须与医院签订保密协议。</w:t>
      </w:r>
    </w:p>
    <w:p w14:paraId="682BBBC2">
      <w:pPr>
        <w:pStyle w:val="10"/>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、付款方式：中标供应商出具最终《网络安全等级保护测评报告》且分数在70分以上，通过网络安全等级保护测评2.0三级后十个工作日内支付合同价格100%合同款</w:t>
      </w:r>
      <w:r>
        <w:rPr>
          <w:rFonts w:hint="eastAsia" w:ascii="仿宋_GB2312" w:hAnsi="仿宋_GB2312" w:eastAsia="仿宋_GB2312" w:cs="仿宋_GB2312"/>
          <w:sz w:val="32"/>
          <w:szCs w:val="32"/>
          <w:lang w:eastAsia="zh-CN"/>
        </w:rPr>
        <w:t>。</w:t>
      </w:r>
    </w:p>
    <w:p w14:paraId="0495EB7C">
      <w:pPr>
        <w:pStyle w:val="10"/>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五、投标文件的编制</w:t>
      </w:r>
    </w:p>
    <w:p w14:paraId="4C6E5007">
      <w:pPr>
        <w:pStyle w:val="10"/>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1.投标文件要求：每个投标人只能提交一份投标文件（1正本</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副本）</w:t>
      </w:r>
      <w:r>
        <w:rPr>
          <w:rFonts w:hint="eastAsia" w:ascii="仿宋_GB2312" w:hAnsi="仿宋_GB2312" w:eastAsia="仿宋_GB2312" w:cs="仿宋_GB2312"/>
          <w:sz w:val="32"/>
          <w:szCs w:val="32"/>
          <w:lang w:eastAsia="zh-CN"/>
        </w:rPr>
        <w:t>；</w:t>
      </w:r>
    </w:p>
    <w:p w14:paraId="1DB50ADE">
      <w:pPr>
        <w:pStyle w:val="10"/>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2.投标文件的组成</w:t>
      </w:r>
      <w:r>
        <w:rPr>
          <w:rFonts w:hint="eastAsia" w:ascii="仿宋_GB2312" w:hAnsi="仿宋_GB2312" w:eastAsia="仿宋_GB2312" w:cs="仿宋_GB2312"/>
          <w:sz w:val="32"/>
          <w:szCs w:val="32"/>
          <w:lang w:eastAsia="zh-CN"/>
        </w:rPr>
        <w:t>：</w:t>
      </w:r>
    </w:p>
    <w:p w14:paraId="1C134A40">
      <w:pPr>
        <w:pStyle w:val="10"/>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（1）投标函、投标人情况简介、营业执照和相关资质等级证书复印件、法定代表人授权委托书（以上文件皆需盖单位公章）；</w:t>
      </w:r>
    </w:p>
    <w:p w14:paraId="5FFC01D5">
      <w:pPr>
        <w:pStyle w:val="10"/>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（2）投标报价单</w:t>
      </w:r>
      <w:r>
        <w:rPr>
          <w:rFonts w:hint="eastAsia" w:ascii="仿宋_GB2312" w:hAnsi="仿宋_GB2312" w:eastAsia="仿宋_GB2312" w:cs="仿宋_GB2312"/>
          <w:sz w:val="32"/>
          <w:szCs w:val="32"/>
        </w:rPr>
        <w:t>；</w:t>
      </w:r>
    </w:p>
    <w:p w14:paraId="6E0C88E0">
      <w:pPr>
        <w:pStyle w:val="10"/>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（3）服务内容要求及商务要求响应情况表；</w:t>
      </w:r>
    </w:p>
    <w:p w14:paraId="257BFF96">
      <w:pPr>
        <w:pStyle w:val="10"/>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（4）售后服务承诺；</w:t>
      </w:r>
    </w:p>
    <w:p w14:paraId="3ED9C4D7">
      <w:pPr>
        <w:pStyle w:val="10"/>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（5）投入的专业技术人员的技术等级证书复印件；</w:t>
      </w:r>
    </w:p>
    <w:p w14:paraId="3666A442">
      <w:pPr>
        <w:pStyle w:val="10"/>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（6）公司信誉查询信息截图；</w:t>
      </w:r>
    </w:p>
    <w:p w14:paraId="4A3F14CF">
      <w:pPr>
        <w:pStyle w:val="10"/>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（7）近期依法缴纳税收和社会保障资金证明材料。</w:t>
      </w:r>
    </w:p>
    <w:p w14:paraId="398C6CC9">
      <w:pPr>
        <w:pStyle w:val="10"/>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六、投标人资格要求</w:t>
      </w:r>
    </w:p>
    <w:p w14:paraId="08C1A9E7">
      <w:pPr>
        <w:pStyle w:val="10"/>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.信誉要求</w:t>
      </w:r>
      <w:r>
        <w:rPr>
          <w:rFonts w:hint="eastAsia" w:ascii="仿宋_GB2312" w:hAnsi="仿宋_GB2312" w:eastAsia="仿宋_GB2312" w:cs="仿宋_GB2312"/>
          <w:sz w:val="32"/>
          <w:szCs w:val="32"/>
          <w:lang w:eastAsia="zh-CN"/>
        </w:rPr>
        <w:t>：</w:t>
      </w:r>
    </w:p>
    <w:p w14:paraId="717644D7">
      <w:pPr>
        <w:pStyle w:val="10"/>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根据最高人民法院等9部门《关于在招投标活动中对失信被执行人实施联合惩戒的通知》（法〔2016〕285号）规定，投标人、拟派项目负责人不得为失信被执行人（以评标阶段“信用中国”网站（www.creditchina.gov.cn）查询信息为准）</w:t>
      </w:r>
      <w:r>
        <w:rPr>
          <w:rFonts w:hint="eastAsia" w:ascii="仿宋_GB2312" w:hAnsi="仿宋_GB2312" w:eastAsia="仿宋_GB2312" w:cs="仿宋_GB2312"/>
          <w:sz w:val="32"/>
          <w:szCs w:val="32"/>
          <w:lang w:eastAsia="zh-CN"/>
        </w:rPr>
        <w:t>；</w:t>
      </w:r>
    </w:p>
    <w:p w14:paraId="1DCCA666">
      <w:pPr>
        <w:pStyle w:val="10"/>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近三年内投标人或其法定代表人不得有行贿犯罪行为（以评标阶段“中国裁判文书”网站（https://wenshu.court.gov.cn）查询信息为准）。</w:t>
      </w:r>
    </w:p>
    <w:p w14:paraId="185EB9A1">
      <w:pPr>
        <w:pStyle w:val="10"/>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.其他投标条件要求：</w:t>
      </w:r>
    </w:p>
    <w:p w14:paraId="3EE46CFE">
      <w:pPr>
        <w:pStyle w:val="10"/>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（1）本项目不接受联合体投标；</w:t>
      </w:r>
    </w:p>
    <w:p w14:paraId="1D0E8E84">
      <w:pPr>
        <w:pStyle w:val="10"/>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（2）投标人有依法缴纳税收和社会保障资金的良好记录；</w:t>
      </w:r>
    </w:p>
    <w:p w14:paraId="3D7FE788">
      <w:pPr>
        <w:pStyle w:val="10"/>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（3）参加政府采购活动近三年内，在经营活动中没有重大违法记录；</w:t>
      </w:r>
    </w:p>
    <w:p w14:paraId="62B88BF3">
      <w:pPr>
        <w:pStyle w:val="10"/>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（4）本项目控制价为含税价格，投标人报价默认为含税价</w:t>
      </w:r>
      <w:r>
        <w:rPr>
          <w:rFonts w:hint="eastAsia" w:ascii="仿宋_GB2312" w:hAnsi="仿宋_GB2312" w:eastAsia="仿宋_GB2312" w:cs="仿宋_GB2312"/>
          <w:sz w:val="32"/>
          <w:szCs w:val="32"/>
          <w:lang w:eastAsia="zh-CN"/>
        </w:rPr>
        <w:t>；</w:t>
      </w:r>
    </w:p>
    <w:p w14:paraId="25FF3E76">
      <w:pPr>
        <w:pStyle w:val="10"/>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（5）投标材料请密封，封面请备注联系人的姓名、电话和邮箱，否则视为无效投标。</w:t>
      </w:r>
    </w:p>
    <w:p w14:paraId="49EBA8C2">
      <w:pPr>
        <w:pStyle w:val="10"/>
        <w:spacing w:beforeAutospacing="0" w:afterAutospacing="0" w:line="560" w:lineRule="exact"/>
        <w:ind w:firstLine="643"/>
        <w:rPr>
          <w:rFonts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七</w:t>
      </w:r>
      <w:r>
        <w:rPr>
          <w:rFonts w:hint="eastAsia" w:ascii="仿宋_GB2312" w:hAnsi="仿宋_GB2312" w:eastAsia="仿宋_GB2312" w:cs="仿宋_GB2312"/>
          <w:b/>
          <w:bCs/>
          <w:sz w:val="32"/>
          <w:szCs w:val="32"/>
        </w:rPr>
        <w:t>、响应文件的递交</w:t>
      </w:r>
    </w:p>
    <w:p w14:paraId="67B859B2">
      <w:pPr>
        <w:pStyle w:val="10"/>
        <w:spacing w:beforeAutospacing="0" w:afterAutospacing="0" w:line="560" w:lineRule="exact"/>
        <w:ind w:firstLine="643"/>
        <w:rPr>
          <w:rFonts w:ascii="仿宋_GB2312" w:hAnsi="仿宋_GB2312" w:eastAsia="仿宋_GB2312" w:cs="仿宋_GB2312"/>
          <w:sz w:val="32"/>
          <w:szCs w:val="32"/>
        </w:rPr>
      </w:pPr>
      <w:r>
        <w:rPr>
          <w:rFonts w:hint="eastAsia" w:ascii="仿宋_GB2312" w:hAnsi="仿宋_GB2312" w:eastAsia="仿宋_GB2312" w:cs="仿宋_GB2312"/>
          <w:sz w:val="32"/>
          <w:szCs w:val="32"/>
        </w:rPr>
        <w:t>1.响应文件递交的截止时间：2024年</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日北京时间18时00分。</w:t>
      </w:r>
    </w:p>
    <w:p w14:paraId="33493AAC">
      <w:pPr>
        <w:pStyle w:val="10"/>
        <w:spacing w:beforeAutospacing="0" w:afterAutospacing="0" w:line="560" w:lineRule="exact"/>
        <w:ind w:firstLine="643"/>
        <w:rPr>
          <w:rFonts w:hint="eastAsia" w:ascii="仿宋_GB2312" w:hAnsi="仿宋_GB2312" w:eastAsia="仿宋_GB2312" w:cs="仿宋_GB2312"/>
          <w:sz w:val="32"/>
          <w:szCs w:val="32"/>
          <w:lang w:val="en-US" w:eastAsia="zh-CN"/>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地点：广西骨伤医院行政办公区</w:t>
      </w:r>
      <w:r>
        <w:rPr>
          <w:rStyle w:val="14"/>
          <w:rFonts w:hint="eastAsia" w:ascii="仿宋_GB2312" w:hAnsi="仿宋_GB2312" w:eastAsia="仿宋_GB2312" w:cs="仿宋_GB2312"/>
          <w:bCs/>
          <w:sz w:val="32"/>
          <w:szCs w:val="32"/>
        </w:rPr>
        <w:t>（南宁市青秀区东葛路一号锦华大酒店副楼401号房）</w:t>
      </w:r>
      <w:r>
        <w:rPr>
          <w:rStyle w:val="14"/>
          <w:rFonts w:hint="eastAsia" w:ascii="仿宋_GB2312" w:hAnsi="仿宋_GB2312" w:eastAsia="仿宋_GB2312" w:cs="仿宋_GB2312"/>
          <w:bCs/>
          <w:sz w:val="32"/>
          <w:szCs w:val="32"/>
          <w:lang w:eastAsia="zh-CN"/>
        </w:rPr>
        <w:t>。</w:t>
      </w:r>
    </w:p>
    <w:p w14:paraId="27AD2C86">
      <w:pPr>
        <w:pStyle w:val="10"/>
        <w:spacing w:beforeAutospacing="0" w:afterAutospacing="0" w:line="560" w:lineRule="exact"/>
        <w:ind w:firstLine="643"/>
        <w:rPr>
          <w:rFonts w:hint="eastAsia" w:ascii="仿宋_GB2312" w:hAnsi="仿宋_GB2312" w:eastAsia="仿宋_GB2312" w:cs="仿宋_GB2312"/>
          <w:sz w:val="32"/>
          <w:szCs w:val="32"/>
          <w:lang w:eastAsia="zh-CN"/>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联系人及电话：刘工18977085520</w:t>
      </w:r>
      <w:r>
        <w:rPr>
          <w:rFonts w:hint="eastAsia" w:ascii="仿宋_GB2312" w:hAnsi="仿宋_GB2312" w:eastAsia="仿宋_GB2312" w:cs="仿宋_GB2312"/>
          <w:sz w:val="32"/>
          <w:szCs w:val="32"/>
          <w:lang w:eastAsia="zh-CN"/>
        </w:rPr>
        <w:t>。</w:t>
      </w:r>
    </w:p>
    <w:p w14:paraId="36EDD386">
      <w:pPr>
        <w:pStyle w:val="10"/>
        <w:spacing w:beforeAutospacing="0" w:afterAutospacing="0" w:line="560" w:lineRule="exact"/>
        <w:ind w:firstLine="643"/>
        <w:rPr>
          <w:rFonts w:ascii="仿宋_GB2312" w:hAnsi="仿宋_GB2312" w:eastAsia="仿宋_GB2312" w:cs="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.逾期送达的、未送达指定地点的或者不按要求密封的响应文件，将予以拒收。</w:t>
      </w:r>
    </w:p>
    <w:p w14:paraId="5B838053">
      <w:pPr>
        <w:pStyle w:val="10"/>
        <w:spacing w:beforeAutospacing="0" w:afterAutospacing="0" w:line="560" w:lineRule="exact"/>
        <w:ind w:firstLine="643"/>
        <w:rPr>
          <w:rFonts w:ascii="仿宋_GB2312" w:hAnsi="仿宋_GB2312" w:eastAsia="仿宋_GB2312" w:cs="仿宋_GB2312"/>
          <w:sz w:val="32"/>
          <w:szCs w:val="32"/>
        </w:rPr>
      </w:pPr>
      <w:r>
        <w:rPr>
          <w:rFonts w:ascii="仿宋_GB2312" w:hAnsi="仿宋_GB2312" w:eastAsia="仿宋_GB2312" w:cs="仿宋_GB2312"/>
          <w:sz w:val="32"/>
          <w:szCs w:val="32"/>
        </w:rPr>
        <w:t>5.</w:t>
      </w:r>
      <w:r>
        <w:rPr>
          <w:rFonts w:hint="eastAsia" w:ascii="仿宋_GB2312" w:hAnsi="仿宋_GB2312" w:eastAsia="仿宋_GB2312" w:cs="仿宋_GB2312"/>
          <w:sz w:val="32"/>
          <w:szCs w:val="32"/>
        </w:rPr>
        <w:t>响应文件必须由企业法定代表人或其授权的委托代理人递交，否则将予以拒收。</w:t>
      </w:r>
    </w:p>
    <w:p w14:paraId="32AE71BB">
      <w:pPr>
        <w:pStyle w:val="10"/>
        <w:spacing w:beforeAutospacing="0" w:afterAutospacing="0" w:line="560" w:lineRule="exact"/>
        <w:ind w:firstLine="643"/>
        <w:rPr>
          <w:rFonts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八</w:t>
      </w:r>
      <w:r>
        <w:rPr>
          <w:rFonts w:hint="eastAsia" w:ascii="仿宋_GB2312" w:hAnsi="仿宋_GB2312" w:eastAsia="仿宋_GB2312" w:cs="仿宋_GB2312"/>
          <w:b/>
          <w:bCs/>
          <w:sz w:val="32"/>
          <w:szCs w:val="32"/>
        </w:rPr>
        <w:t>、评审办法</w:t>
      </w:r>
    </w:p>
    <w:p w14:paraId="6189D9B4">
      <w:pPr>
        <w:pStyle w:val="10"/>
        <w:spacing w:beforeAutospacing="0" w:afterAutospacing="0" w:line="560" w:lineRule="exact"/>
        <w:ind w:firstLine="643"/>
        <w:rPr>
          <w:rFonts w:ascii="仿宋_GB2312" w:hAnsi="仿宋_GB2312" w:eastAsia="仿宋_GB2312" w:cs="仿宋_GB2312"/>
          <w:sz w:val="32"/>
          <w:szCs w:val="32"/>
        </w:rPr>
      </w:pPr>
      <w:r>
        <w:rPr>
          <w:rFonts w:hint="eastAsia" w:ascii="仿宋_GB2312" w:hAnsi="仿宋_GB2312" w:eastAsia="仿宋_GB2312" w:cs="仿宋_GB2312"/>
          <w:sz w:val="32"/>
          <w:szCs w:val="32"/>
        </w:rPr>
        <w:t>（一）本项目采用综合评分法。</w:t>
      </w:r>
    </w:p>
    <w:p w14:paraId="7F2E513D">
      <w:pPr>
        <w:pStyle w:val="10"/>
        <w:spacing w:beforeAutospacing="0" w:afterAutospacing="0" w:line="560" w:lineRule="exact"/>
        <w:ind w:firstLine="643"/>
        <w:jc w:val="both"/>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、评审原则</w:t>
      </w:r>
    </w:p>
    <w:p w14:paraId="6DE4016F">
      <w:pPr>
        <w:pStyle w:val="10"/>
        <w:spacing w:beforeAutospacing="0" w:afterAutospacing="0" w:line="560" w:lineRule="exact"/>
        <w:ind w:firstLine="643"/>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（1）评委构成：本项目的评委分别由医院评审专家共</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人及以上单数构成</w:t>
      </w:r>
      <w:r>
        <w:rPr>
          <w:rFonts w:hint="eastAsia" w:ascii="仿宋_GB2312" w:hAnsi="仿宋_GB2312" w:eastAsia="仿宋_GB2312" w:cs="仿宋_GB2312"/>
          <w:sz w:val="32"/>
          <w:szCs w:val="32"/>
          <w:lang w:eastAsia="zh-CN"/>
        </w:rPr>
        <w:t>；</w:t>
      </w:r>
    </w:p>
    <w:p w14:paraId="01BE5B29">
      <w:pPr>
        <w:pStyle w:val="10"/>
        <w:spacing w:beforeAutospacing="0" w:afterAutospacing="0" w:line="560" w:lineRule="exact"/>
        <w:ind w:firstLine="643"/>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（2）评审依据：评委将以采购文件为评审依据，对供应商的投标报价、业绩、维保服务方案、售后服务等方面内容按百分制打分。其中价格分</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0分、</w:t>
      </w:r>
      <w:r>
        <w:rPr>
          <w:rFonts w:hint="eastAsia" w:ascii="仿宋_GB2312" w:hAnsi="仿宋_GB2312" w:eastAsia="仿宋_GB2312" w:cs="仿宋_GB2312"/>
          <w:sz w:val="32"/>
          <w:szCs w:val="32"/>
          <w:lang w:val="en-US" w:eastAsia="zh-CN"/>
        </w:rPr>
        <w:t>项目实施方案分10分、供应商资质分10分、</w:t>
      </w:r>
      <w:r>
        <w:rPr>
          <w:rFonts w:hint="eastAsia" w:ascii="仿宋_GB2312" w:hAnsi="仿宋_GB2312" w:eastAsia="仿宋_GB2312" w:cs="仿宋_GB2312"/>
          <w:sz w:val="32"/>
          <w:szCs w:val="32"/>
        </w:rPr>
        <w:t>业绩分</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分、</w:t>
      </w:r>
      <w:r>
        <w:rPr>
          <w:rFonts w:hint="eastAsia" w:ascii="仿宋_GB2312" w:hAnsi="仿宋_GB2312" w:eastAsia="仿宋_GB2312" w:cs="仿宋_GB2312"/>
          <w:sz w:val="32"/>
          <w:szCs w:val="32"/>
          <w:lang w:val="en-US" w:eastAsia="zh-CN"/>
        </w:rPr>
        <w:t>售后服务分20</w:t>
      </w:r>
      <w:r>
        <w:rPr>
          <w:rFonts w:hint="eastAsia" w:ascii="仿宋_GB2312" w:hAnsi="仿宋_GB2312" w:eastAsia="仿宋_GB2312" w:cs="仿宋_GB2312"/>
          <w:sz w:val="32"/>
          <w:szCs w:val="32"/>
        </w:rPr>
        <w:t>分，</w:t>
      </w:r>
      <w:r>
        <w:rPr>
          <w:rFonts w:hint="eastAsia" w:ascii="仿宋_GB2312" w:hAnsi="仿宋_GB2312" w:eastAsia="仿宋_GB2312" w:cs="仿宋_GB2312"/>
          <w:sz w:val="32"/>
          <w:szCs w:val="32"/>
          <w:lang w:val="en-US" w:eastAsia="zh-CN"/>
        </w:rPr>
        <w:t>信誉</w:t>
      </w:r>
      <w:r>
        <w:rPr>
          <w:rFonts w:hint="eastAsia" w:ascii="仿宋_GB2312" w:hAnsi="仿宋_GB2312" w:eastAsia="仿宋_GB2312" w:cs="仿宋_GB2312"/>
          <w:sz w:val="32"/>
          <w:szCs w:val="32"/>
        </w:rPr>
        <w:t>分</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0分。</w:t>
      </w:r>
    </w:p>
    <w:p w14:paraId="375D1265">
      <w:pPr>
        <w:pStyle w:val="10"/>
        <w:spacing w:beforeAutospacing="0" w:afterAutospacing="0" w:line="560" w:lineRule="exact"/>
        <w:ind w:firstLine="643"/>
        <w:jc w:val="both"/>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、评审方法</w:t>
      </w:r>
    </w:p>
    <w:p w14:paraId="459CBB0E">
      <w:pPr>
        <w:pStyle w:val="10"/>
        <w:spacing w:beforeAutospacing="0" w:afterAutospacing="0" w:line="560" w:lineRule="exact"/>
        <w:ind w:firstLine="643"/>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（1）对进入详评的，采用百分制综合评分法</w:t>
      </w:r>
      <w:r>
        <w:rPr>
          <w:rFonts w:hint="eastAsia" w:ascii="仿宋_GB2312" w:hAnsi="仿宋_GB2312" w:eastAsia="仿宋_GB2312" w:cs="仿宋_GB2312"/>
          <w:sz w:val="32"/>
          <w:szCs w:val="32"/>
          <w:lang w:eastAsia="zh-CN"/>
        </w:rPr>
        <w:t>；</w:t>
      </w:r>
    </w:p>
    <w:p w14:paraId="5F65A964">
      <w:pPr>
        <w:pStyle w:val="10"/>
        <w:spacing w:beforeAutospacing="0" w:afterAutospacing="0" w:line="560" w:lineRule="exact"/>
        <w:ind w:firstLine="643"/>
        <w:rPr>
          <w:rFonts w:ascii="仿宋_GB2312" w:hAnsi="仿宋_GB2312" w:eastAsia="仿宋_GB2312" w:cs="仿宋_GB2312"/>
          <w:sz w:val="32"/>
          <w:szCs w:val="32"/>
        </w:rPr>
      </w:pPr>
      <w:r>
        <w:rPr>
          <w:rFonts w:hint="eastAsia" w:ascii="仿宋_GB2312" w:hAnsi="仿宋_GB2312" w:eastAsia="仿宋_GB2312" w:cs="仿宋_GB2312"/>
          <w:sz w:val="32"/>
          <w:szCs w:val="32"/>
        </w:rPr>
        <w:t>（2）计分办法（按四舍五入取至百分位）：</w:t>
      </w:r>
    </w:p>
    <w:p w14:paraId="15D07437">
      <w:pPr>
        <w:spacing w:line="56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w:t>
      </w:r>
      <w:r>
        <w:rPr>
          <w:rFonts w:hint="eastAsia" w:ascii="宋体" w:hAnsi="宋体" w:eastAsia="宋体" w:cs="Times New Roman"/>
          <w:bCs/>
          <w:color w:val="000000"/>
          <w:szCs w:val="21"/>
        </w:rPr>
        <w:t>.</w:t>
      </w:r>
      <w:r>
        <w:rPr>
          <w:rFonts w:ascii="宋体" w:hAnsi="宋体" w:eastAsia="宋体" w:cs="Times New Roman"/>
          <w:bCs/>
          <w:color w:val="000000"/>
          <w:szCs w:val="21"/>
        </w:rPr>
        <w:t>价格分……………………………………………………………………</w:t>
      </w:r>
      <w:r>
        <w:rPr>
          <w:rFonts w:hint="eastAsia" w:ascii="宋体" w:hAnsi="宋体" w:eastAsia="宋体" w:cs="Times New Roman"/>
          <w:bCs/>
          <w:color w:val="000000"/>
          <w:szCs w:val="21"/>
          <w:lang w:val="en-US" w:eastAsia="zh-CN"/>
        </w:rPr>
        <w:t>2</w:t>
      </w:r>
      <w:r>
        <w:rPr>
          <w:rFonts w:ascii="宋体" w:hAnsi="宋体" w:eastAsia="宋体" w:cs="Times New Roman"/>
          <w:bCs/>
          <w:color w:val="000000"/>
          <w:szCs w:val="21"/>
        </w:rPr>
        <w:t>0分</w:t>
      </w:r>
    </w:p>
    <w:p w14:paraId="1DF5D6B6">
      <w:pPr>
        <w:spacing w:line="560" w:lineRule="exact"/>
        <w:ind w:firstLine="840" w:firstLineChars="400"/>
        <w:rPr>
          <w:rFonts w:ascii="宋体" w:hAnsi="宋体" w:eastAsia="宋体" w:cs="Times New Roman"/>
          <w:bCs/>
          <w:color w:val="000000"/>
          <w:szCs w:val="21"/>
        </w:rPr>
      </w:pPr>
      <w:r>
        <w:rPr>
          <w:rFonts w:hint="eastAsia" w:ascii="宋体" w:hAnsi="宋体" w:eastAsia="宋体" w:cs="Times New Roman"/>
          <w:bCs/>
          <w:color w:val="000000"/>
          <w:szCs w:val="21"/>
        </w:rPr>
        <w:t>报价得分，</w:t>
      </w:r>
      <w:r>
        <w:rPr>
          <w:rFonts w:ascii="宋体" w:hAnsi="宋体" w:eastAsia="宋体" w:cs="Times New Roman"/>
          <w:bCs/>
          <w:color w:val="000000"/>
          <w:szCs w:val="21"/>
        </w:rPr>
        <w:t>以进入评</w:t>
      </w:r>
      <w:r>
        <w:rPr>
          <w:rFonts w:hint="eastAsia" w:ascii="宋体" w:hAnsi="宋体" w:eastAsia="宋体" w:cs="Times New Roman"/>
          <w:bCs/>
          <w:color w:val="000000"/>
          <w:szCs w:val="21"/>
        </w:rPr>
        <w:t>审</w:t>
      </w:r>
      <w:r>
        <w:rPr>
          <w:rFonts w:ascii="宋体" w:hAnsi="宋体" w:eastAsia="宋体" w:cs="Times New Roman"/>
          <w:bCs/>
          <w:color w:val="000000"/>
          <w:szCs w:val="21"/>
        </w:rPr>
        <w:t>的最低的评标</w:t>
      </w:r>
      <w:r>
        <w:rPr>
          <w:rFonts w:hint="eastAsia" w:ascii="宋体" w:hAnsi="宋体" w:eastAsia="宋体" w:cs="Times New Roman"/>
          <w:bCs/>
          <w:color w:val="000000"/>
          <w:szCs w:val="21"/>
        </w:rPr>
        <w:t>总</w:t>
      </w:r>
      <w:r>
        <w:rPr>
          <w:rFonts w:ascii="宋体" w:hAnsi="宋体" w:eastAsia="宋体" w:cs="Times New Roman"/>
          <w:bCs/>
          <w:color w:val="000000"/>
          <w:szCs w:val="21"/>
        </w:rPr>
        <w:t>报价为</w:t>
      </w:r>
      <w:r>
        <w:rPr>
          <w:rFonts w:hint="eastAsia" w:ascii="宋体" w:hAnsi="宋体" w:eastAsia="宋体" w:cs="Times New Roman"/>
          <w:bCs/>
          <w:color w:val="000000"/>
          <w:szCs w:val="21"/>
          <w:lang w:val="en-US" w:eastAsia="zh-CN"/>
        </w:rPr>
        <w:t>2</w:t>
      </w:r>
      <w:r>
        <w:rPr>
          <w:rFonts w:ascii="宋体" w:hAnsi="宋体" w:eastAsia="宋体" w:cs="Times New Roman"/>
          <w:bCs/>
          <w:color w:val="000000"/>
          <w:szCs w:val="21"/>
        </w:rPr>
        <w:t>0分。</w:t>
      </w:r>
    </w:p>
    <w:p w14:paraId="73150687">
      <w:pPr>
        <w:spacing w:line="560" w:lineRule="exact"/>
        <w:ind w:firstLine="2940" w:firstLineChars="1400"/>
        <w:rPr>
          <w:rFonts w:ascii="宋体" w:hAnsi="宋体" w:eastAsia="宋体" w:cs="Times New Roman"/>
          <w:bCs/>
          <w:color w:val="000000"/>
          <w:szCs w:val="21"/>
        </w:rPr>
      </w:pPr>
      <w:r>
        <w:rPr>
          <w:rFonts w:hint="eastAsia" w:ascii="宋体" w:hAnsi="宋体" w:eastAsia="宋体" w:cs="Times New Roman"/>
          <w:bCs/>
          <w:color w:val="000000"/>
          <w:szCs w:val="21"/>
        </w:rPr>
        <w:t>有效投标人最低评标总报价（金额）</w:t>
      </w:r>
    </w:p>
    <w:p w14:paraId="26E658AC">
      <w:pPr>
        <w:spacing w:line="56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某有效投标人价格分</w:t>
      </w:r>
      <w:r>
        <w:rPr>
          <w:rFonts w:ascii="宋体" w:hAnsi="宋体" w:eastAsia="宋体" w:cs="Times New Roman"/>
          <w:bCs/>
          <w:color w:val="000000"/>
          <w:szCs w:val="21"/>
        </w:rPr>
        <w:t>=    -----------------------------</w:t>
      </w:r>
      <w:r>
        <w:rPr>
          <w:rFonts w:hint="eastAsia" w:ascii="宋体" w:hAnsi="宋体" w:eastAsia="宋体" w:cs="Times New Roman"/>
          <w:bCs/>
          <w:color w:val="000000"/>
          <w:szCs w:val="21"/>
        </w:rPr>
        <w:t>------</w:t>
      </w:r>
      <w:r>
        <w:rPr>
          <w:rFonts w:ascii="宋体" w:hAnsi="宋体" w:eastAsia="宋体" w:cs="Times New Roman"/>
          <w:bCs/>
          <w:color w:val="000000"/>
          <w:szCs w:val="21"/>
        </w:rPr>
        <w:t xml:space="preserve"> ×</w:t>
      </w:r>
      <w:r>
        <w:rPr>
          <w:rFonts w:hint="eastAsia" w:ascii="宋体" w:hAnsi="宋体" w:eastAsia="宋体" w:cs="Times New Roman"/>
          <w:bCs/>
          <w:color w:val="000000"/>
          <w:szCs w:val="21"/>
          <w:lang w:val="en-US" w:eastAsia="zh-CN"/>
        </w:rPr>
        <w:t>2</w:t>
      </w:r>
      <w:r>
        <w:rPr>
          <w:rFonts w:ascii="宋体" w:hAnsi="宋体" w:eastAsia="宋体" w:cs="Times New Roman"/>
          <w:bCs/>
          <w:color w:val="000000"/>
          <w:szCs w:val="21"/>
        </w:rPr>
        <w:t>0分</w:t>
      </w:r>
    </w:p>
    <w:p w14:paraId="1A9D952E">
      <w:pPr>
        <w:spacing w:line="56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                         某投标人评标</w:t>
      </w:r>
      <w:r>
        <w:rPr>
          <w:rFonts w:hint="eastAsia" w:ascii="宋体" w:hAnsi="宋体" w:eastAsia="宋体" w:cs="Times New Roman"/>
          <w:bCs/>
          <w:color w:val="000000"/>
          <w:szCs w:val="21"/>
        </w:rPr>
        <w:t>总</w:t>
      </w:r>
      <w:r>
        <w:rPr>
          <w:rFonts w:ascii="宋体" w:hAnsi="宋体" w:eastAsia="宋体" w:cs="Times New Roman"/>
          <w:bCs/>
          <w:color w:val="000000"/>
          <w:szCs w:val="21"/>
        </w:rPr>
        <w:t>报价（金额）</w:t>
      </w:r>
    </w:p>
    <w:p w14:paraId="4D89C9B2">
      <w:pPr>
        <w:spacing w:line="56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lang w:val="en-US" w:eastAsia="zh-CN"/>
        </w:rPr>
        <w:t>2.项目实施方案分</w:t>
      </w:r>
      <w:r>
        <w:rPr>
          <w:rFonts w:ascii="宋体" w:hAnsi="宋体" w:eastAsia="宋体" w:cs="Times New Roman"/>
          <w:bCs/>
          <w:color w:val="000000"/>
          <w:szCs w:val="21"/>
        </w:rPr>
        <w:t xml:space="preserve">……………………………………………………………………… </w:t>
      </w:r>
      <w:r>
        <w:rPr>
          <w:rFonts w:hint="eastAsia" w:ascii="宋体" w:hAnsi="宋体" w:eastAsia="宋体" w:cs="Times New Roman"/>
          <w:bCs/>
          <w:color w:val="000000"/>
          <w:szCs w:val="21"/>
          <w:lang w:val="en-US" w:eastAsia="zh-CN"/>
        </w:rPr>
        <w:t>10</w:t>
      </w:r>
      <w:r>
        <w:rPr>
          <w:rFonts w:ascii="宋体" w:hAnsi="宋体" w:eastAsia="宋体" w:cs="Times New Roman"/>
          <w:bCs/>
          <w:color w:val="000000"/>
          <w:szCs w:val="21"/>
        </w:rPr>
        <w:t>分</w:t>
      </w:r>
    </w:p>
    <w:p w14:paraId="746A1BB0">
      <w:pPr>
        <w:spacing w:line="56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 xml:space="preserve">   </w:t>
      </w:r>
      <w:r>
        <w:rPr>
          <w:rFonts w:hint="eastAsia" w:ascii="宋体" w:hAnsi="宋体" w:eastAsia="宋体" w:cs="Times New Roman"/>
          <w:bCs/>
          <w:color w:val="000000"/>
          <w:szCs w:val="21"/>
        </w:rPr>
        <w:t>两个方面内容均有的得</w:t>
      </w:r>
      <w:r>
        <w:rPr>
          <w:rFonts w:hint="eastAsia" w:ascii="宋体" w:hAnsi="宋体" w:eastAsia="宋体" w:cs="Times New Roman"/>
          <w:bCs/>
          <w:color w:val="000000"/>
          <w:szCs w:val="21"/>
          <w:lang w:val="en-US" w:eastAsia="zh-CN"/>
        </w:rPr>
        <w:t>10</w:t>
      </w:r>
      <w:r>
        <w:rPr>
          <w:rFonts w:hint="eastAsia" w:ascii="宋体" w:hAnsi="宋体" w:eastAsia="宋体" w:cs="Times New Roman"/>
          <w:bCs/>
          <w:color w:val="000000"/>
          <w:szCs w:val="21"/>
        </w:rPr>
        <w:t>分，每缺少一个方面的内容扣</w:t>
      </w:r>
      <w:r>
        <w:rPr>
          <w:rFonts w:hint="eastAsia" w:ascii="宋体" w:hAnsi="宋体" w:eastAsia="宋体" w:cs="Times New Roman"/>
          <w:bCs/>
          <w:color w:val="000000"/>
          <w:szCs w:val="21"/>
          <w:lang w:val="en-US" w:eastAsia="zh-CN"/>
        </w:rPr>
        <w:t>5</w:t>
      </w:r>
      <w:r>
        <w:rPr>
          <w:rFonts w:hint="eastAsia" w:ascii="宋体" w:hAnsi="宋体" w:eastAsia="宋体" w:cs="Times New Roman"/>
          <w:bCs/>
          <w:color w:val="000000"/>
          <w:szCs w:val="21"/>
        </w:rPr>
        <w:t>分，最低扣至0分，未提供实施方案不计分</w:t>
      </w:r>
    </w:p>
    <w:p w14:paraId="69E2B311">
      <w:pPr>
        <w:spacing w:line="56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lang w:val="en-US" w:eastAsia="zh-CN"/>
        </w:rPr>
        <w:t>3.供应商资质分</w:t>
      </w:r>
      <w:r>
        <w:rPr>
          <w:rFonts w:ascii="宋体" w:hAnsi="宋体" w:eastAsia="宋体" w:cs="Times New Roman"/>
          <w:bCs/>
          <w:color w:val="000000"/>
          <w:szCs w:val="21"/>
        </w:rPr>
        <w:t>…………………………………………………………………………</w:t>
      </w:r>
      <w:r>
        <w:rPr>
          <w:rFonts w:hint="eastAsia" w:ascii="宋体" w:hAnsi="宋体" w:eastAsia="宋体" w:cs="Times New Roman"/>
          <w:bCs/>
          <w:color w:val="000000"/>
          <w:szCs w:val="21"/>
          <w:lang w:val="en-US" w:eastAsia="zh-CN"/>
        </w:rPr>
        <w:t xml:space="preserve"> 10</w:t>
      </w:r>
      <w:r>
        <w:rPr>
          <w:rFonts w:ascii="宋体" w:hAnsi="宋体" w:eastAsia="宋体" w:cs="Times New Roman"/>
          <w:bCs/>
          <w:color w:val="000000"/>
          <w:szCs w:val="21"/>
        </w:rPr>
        <w:t>分</w:t>
      </w:r>
    </w:p>
    <w:p w14:paraId="0D5CEA58">
      <w:pPr>
        <w:spacing w:line="56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lang w:val="en-US" w:eastAsia="zh-CN"/>
        </w:rPr>
        <w:t>内容均有的得满分，每提供一项得2.5分，未提供不得分。</w:t>
      </w:r>
    </w:p>
    <w:p w14:paraId="014E13ED">
      <w:pPr>
        <w:spacing w:line="56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lang w:val="en-US" w:eastAsia="zh-CN"/>
        </w:rPr>
        <w:t>4.</w:t>
      </w:r>
      <w:r>
        <w:rPr>
          <w:rFonts w:ascii="宋体" w:hAnsi="宋体" w:eastAsia="宋体" w:cs="Times New Roman"/>
          <w:bCs/>
          <w:color w:val="000000"/>
          <w:szCs w:val="21"/>
        </w:rPr>
        <w:t xml:space="preserve">业绩分………………………………………………………………………… </w:t>
      </w:r>
      <w:r>
        <w:rPr>
          <w:rFonts w:hint="eastAsia" w:ascii="宋体" w:hAnsi="宋体" w:eastAsia="宋体" w:cs="Times New Roman"/>
          <w:bCs/>
          <w:color w:val="000000"/>
          <w:szCs w:val="21"/>
          <w:lang w:val="en-US" w:eastAsia="zh-CN"/>
        </w:rPr>
        <w:t>20</w:t>
      </w:r>
      <w:r>
        <w:rPr>
          <w:rFonts w:ascii="宋体" w:hAnsi="宋体" w:eastAsia="宋体" w:cs="Times New Roman"/>
          <w:bCs/>
          <w:color w:val="000000"/>
          <w:szCs w:val="21"/>
        </w:rPr>
        <w:t>分</w:t>
      </w:r>
    </w:p>
    <w:p w14:paraId="1112B97D">
      <w:pPr>
        <w:spacing w:line="56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投标人自</w:t>
      </w:r>
      <w:r>
        <w:rPr>
          <w:rFonts w:ascii="宋体" w:hAnsi="宋体" w:eastAsia="宋体" w:cs="Times New Roman"/>
          <w:bCs/>
          <w:color w:val="000000"/>
          <w:szCs w:val="21"/>
        </w:rPr>
        <w:t>20</w:t>
      </w:r>
      <w:r>
        <w:rPr>
          <w:rFonts w:hint="eastAsia" w:ascii="宋体" w:hAnsi="宋体" w:eastAsia="宋体" w:cs="Times New Roman"/>
          <w:bCs/>
          <w:color w:val="000000"/>
          <w:szCs w:val="21"/>
        </w:rPr>
        <w:t>2</w:t>
      </w:r>
      <w:r>
        <w:rPr>
          <w:rFonts w:hint="eastAsia" w:ascii="宋体" w:hAnsi="宋体" w:eastAsia="宋体" w:cs="Times New Roman"/>
          <w:bCs/>
          <w:color w:val="000000"/>
          <w:szCs w:val="21"/>
          <w:lang w:val="en-US" w:eastAsia="zh-CN"/>
        </w:rPr>
        <w:t>3</w:t>
      </w:r>
      <w:r>
        <w:rPr>
          <w:rFonts w:ascii="宋体" w:hAnsi="宋体" w:eastAsia="宋体" w:cs="Times New Roman"/>
          <w:bCs/>
          <w:color w:val="000000"/>
          <w:szCs w:val="21"/>
        </w:rPr>
        <w:t>年以来同类项目业绩分（提供合同复印件），每提供一个合同</w:t>
      </w:r>
      <w:r>
        <w:rPr>
          <w:rFonts w:hint="eastAsia" w:ascii="宋体" w:hAnsi="宋体" w:eastAsia="宋体" w:cs="Times New Roman"/>
          <w:bCs/>
          <w:color w:val="000000"/>
          <w:szCs w:val="21"/>
        </w:rPr>
        <w:t>复印件</w:t>
      </w:r>
      <w:r>
        <w:rPr>
          <w:rFonts w:ascii="宋体" w:hAnsi="宋体" w:eastAsia="宋体" w:cs="Times New Roman"/>
          <w:bCs/>
          <w:color w:val="000000"/>
          <w:szCs w:val="21"/>
        </w:rPr>
        <w:t>得5分，满分</w:t>
      </w:r>
      <w:r>
        <w:rPr>
          <w:rFonts w:hint="eastAsia" w:ascii="宋体" w:hAnsi="宋体" w:eastAsia="宋体" w:cs="Times New Roman"/>
          <w:bCs/>
          <w:color w:val="000000"/>
          <w:szCs w:val="21"/>
          <w:lang w:val="en-US" w:eastAsia="zh-CN"/>
        </w:rPr>
        <w:t>20</w:t>
      </w:r>
      <w:r>
        <w:rPr>
          <w:rFonts w:ascii="宋体" w:hAnsi="宋体" w:eastAsia="宋体" w:cs="Times New Roman"/>
          <w:bCs/>
          <w:color w:val="000000"/>
          <w:szCs w:val="21"/>
        </w:rPr>
        <w:t>分。</w:t>
      </w:r>
    </w:p>
    <w:p w14:paraId="0806ECE2">
      <w:pPr>
        <w:spacing w:line="56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lang w:val="en-US" w:eastAsia="zh-CN"/>
        </w:rPr>
        <w:t>5</w:t>
      </w:r>
      <w:r>
        <w:rPr>
          <w:rFonts w:ascii="宋体" w:hAnsi="宋体" w:eastAsia="宋体" w:cs="Times New Roman"/>
          <w:bCs/>
          <w:color w:val="000000"/>
          <w:szCs w:val="21"/>
        </w:rPr>
        <w:t>.售后服务分…………………………………………………………………… 20分</w:t>
      </w:r>
    </w:p>
    <w:p w14:paraId="3D7E2ADE">
      <w:pPr>
        <w:spacing w:line="56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rPr>
        <w:t>一般7分，良好14分，优秀20分，由评委根据响应文件维保服务方案的情况进行独立打分。</w:t>
      </w:r>
    </w:p>
    <w:p w14:paraId="2D859A06">
      <w:pPr>
        <w:spacing w:line="56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6.信誉分</w:t>
      </w:r>
      <w:r>
        <w:rPr>
          <w:rFonts w:ascii="宋体" w:hAnsi="宋体" w:eastAsia="宋体" w:cs="Times New Roman"/>
          <w:bCs/>
          <w:color w:val="000000"/>
          <w:szCs w:val="21"/>
        </w:rPr>
        <w:t>…………………………………………………………………</w:t>
      </w:r>
      <w:r>
        <w:rPr>
          <w:rFonts w:hint="eastAsia" w:ascii="宋体" w:hAnsi="宋体" w:eastAsia="宋体" w:cs="Times New Roman"/>
          <w:bCs/>
          <w:color w:val="000000"/>
          <w:szCs w:val="21"/>
          <w:lang w:val="en-US" w:eastAsia="zh-CN"/>
        </w:rPr>
        <w:t>20分</w:t>
      </w:r>
    </w:p>
    <w:p w14:paraId="21840245">
      <w:pPr>
        <w:pStyle w:val="10"/>
        <w:numPr>
          <w:ilvl w:val="0"/>
          <w:numId w:val="0"/>
        </w:numPr>
        <w:spacing w:beforeAutospacing="0" w:afterAutospacing="0" w:line="560" w:lineRule="exact"/>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 xml:space="preserve">   </w:t>
      </w:r>
      <w:r>
        <w:rPr>
          <w:rFonts w:hint="eastAsia" w:ascii="宋体" w:hAnsi="宋体" w:eastAsia="宋体"/>
          <w:bCs/>
          <w:color w:val="000000"/>
          <w:kern w:val="2"/>
          <w:sz w:val="21"/>
          <w:szCs w:val="21"/>
          <w:lang w:val="en-US" w:eastAsia="zh-CN"/>
        </w:rPr>
        <w:t xml:space="preserve"> 提供相关信誉要求截图得20分，未提供不得分。</w:t>
      </w:r>
    </w:p>
    <w:p w14:paraId="21F91D84">
      <w:pPr>
        <w:pStyle w:val="10"/>
        <w:spacing w:beforeAutospacing="0" w:afterAutospacing="0" w:line="560" w:lineRule="exact"/>
        <w:ind w:firstLine="643"/>
        <w:rPr>
          <w:rFonts w:ascii="仿宋_GB2312" w:hAnsi="仿宋_GB2312" w:eastAsia="仿宋_GB2312" w:cs="仿宋_GB2312"/>
          <w:sz w:val="32"/>
          <w:szCs w:val="32"/>
        </w:rPr>
      </w:pPr>
      <w:r>
        <w:rPr>
          <w:rFonts w:hint="eastAsia" w:ascii="仿宋_GB2312" w:hAnsi="仿宋_GB2312" w:eastAsia="仿宋_GB2312" w:cs="仿宋_GB2312"/>
          <w:sz w:val="32"/>
          <w:szCs w:val="32"/>
        </w:rPr>
        <w:t>（3）总得分=1+2+3+</w:t>
      </w:r>
      <w:r>
        <w:rPr>
          <w:rFonts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+5+6</w:t>
      </w:r>
      <w:r>
        <w:rPr>
          <w:rFonts w:hint="eastAsia" w:ascii="仿宋_GB2312" w:hAnsi="仿宋_GB2312" w:eastAsia="仿宋_GB2312" w:cs="仿宋_GB2312"/>
          <w:sz w:val="32"/>
          <w:szCs w:val="32"/>
        </w:rPr>
        <w:t>。</w:t>
      </w:r>
    </w:p>
    <w:p w14:paraId="234EF4DB">
      <w:pPr>
        <w:pStyle w:val="10"/>
        <w:spacing w:beforeAutospacing="0" w:afterAutospacing="0" w:line="560" w:lineRule="exact"/>
        <w:ind w:firstLine="643"/>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bookmarkStart w:id="0" w:name="_GoBack"/>
      <w:bookmarkEnd w:id="0"/>
      <w:r>
        <w:rPr>
          <w:rFonts w:hint="eastAsia" w:ascii="仿宋_GB2312" w:hAnsi="仿宋_GB2312" w:eastAsia="仿宋_GB2312" w:cs="仿宋_GB2312"/>
          <w:sz w:val="32"/>
          <w:szCs w:val="32"/>
        </w:rPr>
        <w:t>、中标候选人推荐原则</w:t>
      </w:r>
    </w:p>
    <w:p w14:paraId="47C1C4BC">
      <w:pPr>
        <w:pStyle w:val="10"/>
        <w:spacing w:beforeAutospacing="0" w:afterAutospacing="0" w:line="560" w:lineRule="exact"/>
        <w:ind w:firstLine="643"/>
        <w:rPr>
          <w:rFonts w:ascii="仿宋_GB2312" w:hAnsi="仿宋_GB2312" w:eastAsia="仿宋_GB2312" w:cs="仿宋_GB2312"/>
          <w:sz w:val="32"/>
          <w:szCs w:val="32"/>
        </w:rPr>
      </w:pPr>
      <w:r>
        <w:rPr>
          <w:rFonts w:hint="eastAsia" w:ascii="仿宋_GB2312" w:hAnsi="仿宋_GB2312" w:eastAsia="仿宋_GB2312" w:cs="仿宋_GB2312"/>
          <w:sz w:val="32"/>
          <w:szCs w:val="32"/>
        </w:rPr>
        <w:t>评审小组将根据得分由高到低排列次序（得分相同时，以投标报价由低到高顺序排列；得分相同且投标报价相同的，按业绩分顺序排列）。评审小组推荐排名第一的中标候选人为中标人。排名第一的中标候选人放弃中标、因不可抗力提出不能履行合同，可以推荐排名第二的中标候选人为中标人，依此类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ECFF55"/>
    <w:multiLevelType w:val="singleLevel"/>
    <w:tmpl w:val="C1ECFF55"/>
    <w:lvl w:ilvl="0" w:tentative="0">
      <w:start w:val="2"/>
      <w:numFmt w:val="decimal"/>
      <w:suff w:val="nothing"/>
      <w:lvlText w:val="（%1）"/>
      <w:lvlJc w:val="left"/>
    </w:lvl>
  </w:abstractNum>
  <w:abstractNum w:abstractNumId="1">
    <w:nsid w:val="F3FFA62A"/>
    <w:multiLevelType w:val="singleLevel"/>
    <w:tmpl w:val="F3FFA62A"/>
    <w:lvl w:ilvl="0" w:tentative="0">
      <w:start w:val="1"/>
      <w:numFmt w:val="chineseCounting"/>
      <w:suff w:val="nothing"/>
      <w:lvlText w:val="（%1）"/>
      <w:lvlJc w:val="left"/>
      <w:pPr>
        <w:ind w:left="640" w:firstLine="0"/>
      </w:pPr>
      <w:rPr>
        <w:rFonts w:hint="eastAsia"/>
      </w:rPr>
    </w:lvl>
  </w:abstractNum>
  <w:abstractNum w:abstractNumId="2">
    <w:nsid w:val="0000000A"/>
    <w:multiLevelType w:val="multilevel"/>
    <w:tmpl w:val="0000000A"/>
    <w:lvl w:ilvl="0" w:tentative="0">
      <w:start w:val="3"/>
      <w:numFmt w:val="chineseCountingThousand"/>
      <w:suff w:val="nothing"/>
      <w:lvlText w:val="第%1章"/>
      <w:lvlJc w:val="left"/>
      <w:pPr>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pStyle w:val="5"/>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U4MzkwOTYwNmRhYTJjYWZlMjVhMDIxZjc0MjU2MzIifQ=="/>
  </w:docVars>
  <w:rsids>
    <w:rsidRoot w:val="17A042DF"/>
    <w:rsid w:val="000024B3"/>
    <w:rsid w:val="001001A5"/>
    <w:rsid w:val="00132AB1"/>
    <w:rsid w:val="00163A84"/>
    <w:rsid w:val="001B5E73"/>
    <w:rsid w:val="002E36BE"/>
    <w:rsid w:val="00582968"/>
    <w:rsid w:val="005A4C3E"/>
    <w:rsid w:val="005D5456"/>
    <w:rsid w:val="00613D2A"/>
    <w:rsid w:val="00761D43"/>
    <w:rsid w:val="008258E2"/>
    <w:rsid w:val="00951B12"/>
    <w:rsid w:val="00961A1B"/>
    <w:rsid w:val="00963E79"/>
    <w:rsid w:val="009A0702"/>
    <w:rsid w:val="009F001B"/>
    <w:rsid w:val="00BE7890"/>
    <w:rsid w:val="00CA007C"/>
    <w:rsid w:val="00CD134E"/>
    <w:rsid w:val="00D26BF5"/>
    <w:rsid w:val="00DC0F1F"/>
    <w:rsid w:val="00F96B2F"/>
    <w:rsid w:val="00FE34A3"/>
    <w:rsid w:val="019D265A"/>
    <w:rsid w:val="01F81DAA"/>
    <w:rsid w:val="043F4A5B"/>
    <w:rsid w:val="04F72483"/>
    <w:rsid w:val="051D20F5"/>
    <w:rsid w:val="0A0461F9"/>
    <w:rsid w:val="0AD026D2"/>
    <w:rsid w:val="0D236C38"/>
    <w:rsid w:val="0F867CF7"/>
    <w:rsid w:val="17A042DF"/>
    <w:rsid w:val="180174E3"/>
    <w:rsid w:val="18861F9C"/>
    <w:rsid w:val="19337C9F"/>
    <w:rsid w:val="19561C90"/>
    <w:rsid w:val="1A71020F"/>
    <w:rsid w:val="1A721DC3"/>
    <w:rsid w:val="1C7D26B0"/>
    <w:rsid w:val="1E99216F"/>
    <w:rsid w:val="1F7949B3"/>
    <w:rsid w:val="1FE95FB8"/>
    <w:rsid w:val="298A50DE"/>
    <w:rsid w:val="31257E79"/>
    <w:rsid w:val="313E12BF"/>
    <w:rsid w:val="34760AB5"/>
    <w:rsid w:val="351C19A3"/>
    <w:rsid w:val="35A470F8"/>
    <w:rsid w:val="35CB4A6D"/>
    <w:rsid w:val="38725441"/>
    <w:rsid w:val="3CE46EEB"/>
    <w:rsid w:val="3E4C1A96"/>
    <w:rsid w:val="3F32554F"/>
    <w:rsid w:val="41D676F8"/>
    <w:rsid w:val="452726D9"/>
    <w:rsid w:val="46B72DA8"/>
    <w:rsid w:val="4D461C54"/>
    <w:rsid w:val="51002728"/>
    <w:rsid w:val="55433EFA"/>
    <w:rsid w:val="56A80D0F"/>
    <w:rsid w:val="578E6A43"/>
    <w:rsid w:val="597364D5"/>
    <w:rsid w:val="5D2038D5"/>
    <w:rsid w:val="5E80636E"/>
    <w:rsid w:val="61A6383E"/>
    <w:rsid w:val="63684093"/>
    <w:rsid w:val="656D5F5B"/>
    <w:rsid w:val="698629DF"/>
    <w:rsid w:val="6D58497A"/>
    <w:rsid w:val="6F00036C"/>
    <w:rsid w:val="70315AA4"/>
    <w:rsid w:val="70F805A0"/>
    <w:rsid w:val="7379331A"/>
    <w:rsid w:val="7B6009A7"/>
    <w:rsid w:val="7D097396"/>
    <w:rsid w:val="7E9C6D94"/>
    <w:rsid w:val="7F2D54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2"/>
    <w:basedOn w:val="1"/>
    <w:next w:val="1"/>
    <w:autoRedefine/>
    <w:qFormat/>
    <w:uiPriority w:val="0"/>
    <w:pPr>
      <w:keepNext/>
      <w:keepLines/>
      <w:adjustRightInd w:val="0"/>
      <w:spacing w:before="260" w:after="260" w:line="416" w:lineRule="atLeast"/>
      <w:textAlignment w:val="baseline"/>
      <w:outlineLvl w:val="1"/>
    </w:pPr>
    <w:rPr>
      <w:rFonts w:ascii="Arial" w:hAnsi="Arial" w:eastAsia="黑体"/>
      <w:b/>
      <w:kern w:val="0"/>
      <w:sz w:val="32"/>
      <w:szCs w:val="20"/>
    </w:rPr>
  </w:style>
  <w:style w:type="paragraph" w:styleId="5">
    <w:name w:val="heading 4"/>
    <w:basedOn w:val="1"/>
    <w:next w:val="1"/>
    <w:autoRedefine/>
    <w:unhideWhenUsed/>
    <w:qFormat/>
    <w:uiPriority w:val="9"/>
    <w:pPr>
      <w:keepNext/>
      <w:keepLines/>
      <w:numPr>
        <w:ilvl w:val="3"/>
        <w:numId w:val="1"/>
      </w:numPr>
      <w:spacing w:before="280" w:after="290" w:line="372" w:lineRule="auto"/>
      <w:outlineLvl w:val="3"/>
    </w:pPr>
    <w:rPr>
      <w:rFonts w:ascii="宋体" w:hAnsi="Arial" w:eastAsia="黑体"/>
      <w:b/>
      <w:sz w:val="24"/>
      <w:szCs w:val="20"/>
    </w:rPr>
  </w:style>
  <w:style w:type="character" w:default="1" w:styleId="13">
    <w:name w:val="Default Paragraph Font"/>
    <w:autoRedefine/>
    <w:semiHidden/>
    <w:unhideWhenUsed/>
    <w:qFormat/>
    <w:uiPriority w:val="1"/>
  </w:style>
  <w:style w:type="table" w:default="1" w:styleId="11">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autoRedefine/>
    <w:semiHidden/>
    <w:unhideWhenUsed/>
    <w:qFormat/>
    <w:uiPriority w:val="99"/>
    <w:pPr>
      <w:widowControl/>
      <w:adjustRightInd w:val="0"/>
      <w:snapToGrid w:val="0"/>
      <w:spacing w:after="120" w:line="240" w:lineRule="auto"/>
      <w:ind w:left="420" w:leftChars="200" w:firstLine="420" w:firstLineChars="200"/>
      <w:jc w:val="left"/>
    </w:pPr>
    <w:rPr>
      <w:rFonts w:ascii="Tahoma" w:hAnsi="Tahoma" w:eastAsia="微软雅黑" w:cs="宋体"/>
      <w:spacing w:val="0"/>
      <w:kern w:val="0"/>
      <w:sz w:val="22"/>
      <w:szCs w:val="22"/>
    </w:rPr>
  </w:style>
  <w:style w:type="paragraph" w:styleId="3">
    <w:name w:val="Body Text Indent"/>
    <w:basedOn w:val="1"/>
    <w:autoRedefine/>
    <w:semiHidden/>
    <w:unhideWhenUsed/>
    <w:qFormat/>
    <w:uiPriority w:val="99"/>
    <w:pPr>
      <w:spacing w:line="200" w:lineRule="exact"/>
      <w:ind w:firstLine="301"/>
    </w:pPr>
    <w:rPr>
      <w:rFonts w:ascii="宋体" w:hAnsi="Courier New" w:eastAsia="宋体" w:cs="Times New Roman"/>
      <w:spacing w:val="-4"/>
      <w:sz w:val="18"/>
      <w:szCs w:val="20"/>
    </w:rPr>
  </w:style>
  <w:style w:type="paragraph" w:styleId="6">
    <w:name w:val="Body Text"/>
    <w:basedOn w:val="1"/>
    <w:autoRedefine/>
    <w:qFormat/>
    <w:uiPriority w:val="0"/>
    <w:pPr>
      <w:spacing w:after="120"/>
    </w:pPr>
  </w:style>
  <w:style w:type="paragraph" w:styleId="7">
    <w:name w:val="Plain Text"/>
    <w:basedOn w:val="1"/>
    <w:next w:val="5"/>
    <w:autoRedefine/>
    <w:qFormat/>
    <w:uiPriority w:val="0"/>
    <w:rPr>
      <w:rFonts w:ascii="宋体" w:hAnsi="Courier New"/>
      <w:b/>
      <w:szCs w:val="32"/>
    </w:rPr>
  </w:style>
  <w:style w:type="paragraph" w:styleId="8">
    <w:name w:val="footer"/>
    <w:basedOn w:val="1"/>
    <w:link w:val="21"/>
    <w:autoRedefine/>
    <w:qFormat/>
    <w:uiPriority w:val="0"/>
    <w:pPr>
      <w:tabs>
        <w:tab w:val="center" w:pos="4153"/>
        <w:tab w:val="right" w:pos="8306"/>
      </w:tabs>
      <w:snapToGrid w:val="0"/>
      <w:jc w:val="left"/>
    </w:pPr>
    <w:rPr>
      <w:sz w:val="18"/>
      <w:szCs w:val="18"/>
    </w:rPr>
  </w:style>
  <w:style w:type="paragraph" w:styleId="9">
    <w:name w:val="header"/>
    <w:basedOn w:val="1"/>
    <w:link w:val="20"/>
    <w:autoRedefine/>
    <w:qFormat/>
    <w:uiPriority w:val="0"/>
    <w:pPr>
      <w:tabs>
        <w:tab w:val="center" w:pos="4153"/>
        <w:tab w:val="right" w:pos="8306"/>
      </w:tabs>
      <w:snapToGrid w:val="0"/>
      <w:jc w:val="center"/>
    </w:pPr>
    <w:rPr>
      <w:sz w:val="18"/>
      <w:szCs w:val="18"/>
    </w:rPr>
  </w:style>
  <w:style w:type="paragraph" w:styleId="10">
    <w:name w:val="Normal (Web)"/>
    <w:basedOn w:val="1"/>
    <w:autoRedefine/>
    <w:qFormat/>
    <w:uiPriority w:val="0"/>
    <w:pPr>
      <w:spacing w:beforeAutospacing="1" w:afterAutospacing="1"/>
      <w:jc w:val="left"/>
    </w:pPr>
    <w:rPr>
      <w:rFonts w:cs="Times New Roman"/>
      <w:kern w:val="0"/>
      <w:sz w:val="24"/>
    </w:rPr>
  </w:style>
  <w:style w:type="table" w:styleId="12">
    <w:name w:val="Table Grid"/>
    <w:basedOn w:val="11"/>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autoRedefine/>
    <w:qFormat/>
    <w:uiPriority w:val="0"/>
    <w:rPr>
      <w:b/>
    </w:rPr>
  </w:style>
  <w:style w:type="character" w:customStyle="1" w:styleId="15">
    <w:name w:val="font31"/>
    <w:basedOn w:val="13"/>
    <w:autoRedefine/>
    <w:qFormat/>
    <w:uiPriority w:val="0"/>
    <w:rPr>
      <w:rFonts w:hint="eastAsia" w:ascii="宋体" w:hAnsi="宋体" w:eastAsia="宋体" w:cs="宋体"/>
      <w:b/>
      <w:bCs/>
      <w:color w:val="000000"/>
      <w:sz w:val="19"/>
      <w:szCs w:val="19"/>
      <w:u w:val="none"/>
    </w:rPr>
  </w:style>
  <w:style w:type="character" w:customStyle="1" w:styleId="16">
    <w:name w:val="font01"/>
    <w:basedOn w:val="13"/>
    <w:autoRedefine/>
    <w:qFormat/>
    <w:uiPriority w:val="0"/>
    <w:rPr>
      <w:rFonts w:hint="eastAsia" w:ascii="宋体" w:hAnsi="宋体" w:eastAsia="宋体" w:cs="宋体"/>
      <w:color w:val="000000"/>
      <w:sz w:val="19"/>
      <w:szCs w:val="19"/>
      <w:u w:val="none"/>
    </w:rPr>
  </w:style>
  <w:style w:type="character" w:customStyle="1" w:styleId="17">
    <w:name w:val="font51"/>
    <w:basedOn w:val="13"/>
    <w:autoRedefine/>
    <w:qFormat/>
    <w:uiPriority w:val="0"/>
    <w:rPr>
      <w:rFonts w:hint="eastAsia" w:ascii="宋体" w:hAnsi="宋体" w:eastAsia="宋体" w:cs="宋体"/>
      <w:color w:val="000000"/>
      <w:sz w:val="19"/>
      <w:szCs w:val="19"/>
      <w:u w:val="none"/>
      <w:vertAlign w:val="subscript"/>
    </w:rPr>
  </w:style>
  <w:style w:type="character" w:customStyle="1" w:styleId="18">
    <w:name w:val="font61"/>
    <w:basedOn w:val="13"/>
    <w:autoRedefine/>
    <w:qFormat/>
    <w:uiPriority w:val="0"/>
    <w:rPr>
      <w:rFonts w:hint="eastAsia" w:ascii="宋体" w:hAnsi="宋体" w:eastAsia="宋体" w:cs="宋体"/>
      <w:color w:val="000000"/>
      <w:sz w:val="13"/>
      <w:szCs w:val="13"/>
      <w:u w:val="none"/>
    </w:rPr>
  </w:style>
  <w:style w:type="paragraph" w:customStyle="1" w:styleId="19">
    <w:name w:val="Default"/>
    <w:autoRedefine/>
    <w:qFormat/>
    <w:uiPriority w:val="0"/>
    <w:pPr>
      <w:widowControl w:val="0"/>
      <w:autoSpaceDE w:val="0"/>
      <w:autoSpaceDN w:val="0"/>
      <w:adjustRightInd w:val="0"/>
    </w:pPr>
    <w:rPr>
      <w:rFonts w:ascii="Times New Roman" w:hAnsi="Times New Roman" w:eastAsia="宋体" w:cs="Calibri"/>
      <w:color w:val="000000"/>
      <w:sz w:val="24"/>
      <w:szCs w:val="24"/>
      <w:lang w:val="en-US" w:eastAsia="zh-CN" w:bidi="ar-SA"/>
    </w:rPr>
  </w:style>
  <w:style w:type="character" w:customStyle="1" w:styleId="20">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21">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3751</Words>
  <Characters>4110</Characters>
  <Lines>17</Lines>
  <Paragraphs>4</Paragraphs>
  <TotalTime>10</TotalTime>
  <ScaleCrop>false</ScaleCrop>
  <LinksUpToDate>false</LinksUpToDate>
  <CharactersWithSpaces>4193</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2024-02-07T02:07:00Z</dcterms:created>
  <dc:creator>黄思宇✨</dc:creator>
  <cp:lastModifiedBy>2</cp:lastModifiedBy>
  <cp:lastPrinted>2022-11-04T03:15:00Z</cp:lastPrinted>
  <dcterms:modified xsi:type="dcterms:W3CDTF">2024-09-04T07:31:38Z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EA5F3DFD1D064D59B9C29A03BEB975AC</vt:lpwstr>
  </property>
</Properties>
</file>