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E104E">
      <w:pPr>
        <w:spacing w:before="312" w:beforeLines="100" w:after="156" w:afterLines="50" w:line="600" w:lineRule="exact"/>
        <w:jc w:val="center"/>
        <w:rPr>
          <w:rFonts w:ascii="方正小标宋简体" w:hAnsi="宋体" w:eastAsia="方正小标宋简体" w:cs="Times New Roman"/>
          <w:b/>
          <w:sz w:val="44"/>
          <w:szCs w:val="44"/>
          <w:highlight w:val="none"/>
        </w:rPr>
      </w:pPr>
      <w:r>
        <w:rPr>
          <w:rFonts w:hint="eastAsia" w:ascii="方正小标宋简体" w:hAnsi="宋体" w:eastAsia="方正小标宋简体" w:cs="Times New Roman"/>
          <w:b/>
          <w:sz w:val="44"/>
          <w:szCs w:val="44"/>
          <w:highlight w:val="none"/>
        </w:rPr>
        <w:t>广西骨伤医院</w:t>
      </w:r>
      <w:r>
        <w:rPr>
          <w:rFonts w:hint="eastAsia" w:ascii="方正小标宋简体" w:hAnsi="宋体" w:eastAsia="方正小标宋简体" w:cs="Times New Roman"/>
          <w:b/>
          <w:sz w:val="44"/>
          <w:szCs w:val="44"/>
          <w:highlight w:val="none"/>
          <w:lang w:eastAsia="zh-CN"/>
        </w:rPr>
        <w:t>椎骨咬骨钳</w:t>
      </w:r>
      <w:r>
        <w:rPr>
          <w:rFonts w:hint="eastAsia" w:ascii="方正小标宋简体" w:hAnsi="宋体" w:eastAsia="方正小标宋简体" w:cs="Times New Roman"/>
          <w:b/>
          <w:sz w:val="44"/>
          <w:szCs w:val="44"/>
          <w:highlight w:val="none"/>
        </w:rPr>
        <w:t>采购项目招标文件</w:t>
      </w:r>
    </w:p>
    <w:p w14:paraId="0084AD7E">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14:paraId="46FAE122">
      <w:pPr>
        <w:snapToGrid w:val="0"/>
        <w:spacing w:before="156" w:beforeLines="50" w:line="360" w:lineRule="auto"/>
        <w:jc w:val="center"/>
        <w:rPr>
          <w:rFonts w:ascii="仿宋_GB2312" w:hAnsi="宋体" w:eastAsia="仿宋_GB2312" w:cs="Times New Roman"/>
          <w:color w:val="000000"/>
          <w:sz w:val="30"/>
          <w:szCs w:val="72"/>
          <w:highlight w:val="none"/>
        </w:rPr>
      </w:pPr>
    </w:p>
    <w:p w14:paraId="79C85D8D">
      <w:pPr>
        <w:spacing w:line="400" w:lineRule="exact"/>
        <w:rPr>
          <w:rFonts w:ascii="宋体" w:hAnsi="宋体" w:eastAsia="宋体" w:cs="Times New Roman"/>
          <w:b/>
          <w:color w:val="000000"/>
          <w:sz w:val="32"/>
          <w:szCs w:val="32"/>
          <w:highlight w:val="none"/>
        </w:rPr>
      </w:pPr>
    </w:p>
    <w:p w14:paraId="29FD0D26">
      <w:pPr>
        <w:spacing w:line="400" w:lineRule="exact"/>
        <w:jc w:val="center"/>
        <w:rPr>
          <w:rFonts w:ascii="宋体" w:hAnsi="宋体" w:eastAsia="宋体" w:cs="Times New Roman"/>
          <w:b/>
          <w:color w:val="000000"/>
          <w:sz w:val="32"/>
          <w:szCs w:val="32"/>
          <w:highlight w:val="none"/>
        </w:rPr>
      </w:pPr>
    </w:p>
    <w:p w14:paraId="65B2891B">
      <w:pPr>
        <w:spacing w:line="400" w:lineRule="exact"/>
        <w:jc w:val="center"/>
        <w:rPr>
          <w:rFonts w:ascii="宋体" w:hAnsi="宋体" w:eastAsia="宋体" w:cs="Times New Roman"/>
          <w:b/>
          <w:color w:val="000000"/>
          <w:sz w:val="32"/>
          <w:szCs w:val="32"/>
          <w:highlight w:val="none"/>
        </w:rPr>
      </w:pPr>
    </w:p>
    <w:p w14:paraId="7E6AB270">
      <w:pPr>
        <w:spacing w:line="400" w:lineRule="exact"/>
        <w:ind w:left="2941" w:leftChars="680" w:hanging="1513" w:hangingChars="471"/>
        <w:rPr>
          <w:rFonts w:hint="eastAsia"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项目名称：</w:t>
      </w:r>
      <w:bookmarkStart w:id="0" w:name="_Hlk90536625"/>
      <w:r>
        <w:rPr>
          <w:rFonts w:hint="eastAsia" w:ascii="仿宋_GB2312" w:hAnsi="宋体" w:eastAsia="仿宋_GB2312" w:cs="Times New Roman"/>
          <w:b/>
          <w:color w:val="000000"/>
          <w:sz w:val="32"/>
          <w:szCs w:val="32"/>
          <w:highlight w:val="none"/>
          <w:lang w:val="en-US" w:eastAsia="zh-CN"/>
        </w:rPr>
        <w:t>广西骨伤医院椎骨咬骨钳采购项目</w:t>
      </w:r>
    </w:p>
    <w:bookmarkEnd w:id="0"/>
    <w:p w14:paraId="30150888">
      <w:pPr>
        <w:spacing w:line="400" w:lineRule="exact"/>
        <w:jc w:val="center"/>
        <w:rPr>
          <w:rFonts w:ascii="仿宋_GB2312" w:hAnsi="宋体" w:eastAsia="仿宋_GB2312" w:cs="Times New Roman"/>
          <w:b/>
          <w:color w:val="000000"/>
          <w:sz w:val="32"/>
          <w:szCs w:val="32"/>
          <w:highlight w:val="none"/>
        </w:rPr>
      </w:pPr>
    </w:p>
    <w:p w14:paraId="7B640C5F">
      <w:pPr>
        <w:spacing w:line="400" w:lineRule="exact"/>
        <w:ind w:firstLine="1430" w:firstLineChars="445"/>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highlight w:val="none"/>
        </w:rPr>
        <w:t>项目编号：GXGSYY-CGB-YLSBK-2024-</w:t>
      </w:r>
      <w:r>
        <w:rPr>
          <w:rFonts w:hint="eastAsia" w:ascii="仿宋_GB2312" w:hAnsi="宋体" w:eastAsia="仿宋_GB2312" w:cs="Times New Roman"/>
          <w:b/>
          <w:color w:val="000000"/>
          <w:sz w:val="32"/>
          <w:szCs w:val="32"/>
          <w:highlight w:val="none"/>
          <w:lang w:val="en-US" w:eastAsia="zh-CN"/>
        </w:rPr>
        <w:t>23</w:t>
      </w:r>
    </w:p>
    <w:p w14:paraId="3698333A">
      <w:pPr>
        <w:spacing w:line="400" w:lineRule="exact"/>
        <w:jc w:val="center"/>
        <w:rPr>
          <w:rFonts w:ascii="仿宋_GB2312" w:hAnsi="宋体" w:eastAsia="仿宋_GB2312" w:cs="Times New Roman"/>
          <w:b/>
          <w:color w:val="000000"/>
          <w:sz w:val="32"/>
          <w:szCs w:val="32"/>
          <w:highlight w:val="none"/>
        </w:rPr>
      </w:pPr>
    </w:p>
    <w:p w14:paraId="0481C113">
      <w:pPr>
        <w:spacing w:line="400" w:lineRule="exact"/>
        <w:ind w:firstLine="1430" w:firstLineChars="445"/>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14:paraId="43C2859D">
      <w:pPr>
        <w:spacing w:line="400" w:lineRule="exact"/>
        <w:jc w:val="center"/>
        <w:rPr>
          <w:rFonts w:ascii="仿宋_GB2312" w:hAnsi="宋体" w:eastAsia="仿宋_GB2312" w:cs="Times New Roman"/>
          <w:b/>
          <w:color w:val="000000"/>
          <w:sz w:val="32"/>
          <w:szCs w:val="32"/>
          <w:highlight w:val="none"/>
        </w:rPr>
      </w:pPr>
    </w:p>
    <w:p w14:paraId="204E9F9A">
      <w:pPr>
        <w:spacing w:line="400" w:lineRule="exact"/>
        <w:jc w:val="center"/>
        <w:rPr>
          <w:rFonts w:ascii="仿宋_GB2312" w:hAnsi="宋体" w:eastAsia="仿宋_GB2312" w:cs="Times New Roman"/>
          <w:b/>
          <w:color w:val="000000"/>
          <w:sz w:val="32"/>
          <w:szCs w:val="32"/>
          <w:highlight w:val="none"/>
        </w:rPr>
      </w:pPr>
    </w:p>
    <w:p w14:paraId="029EB7F0">
      <w:pPr>
        <w:spacing w:line="400" w:lineRule="exact"/>
        <w:jc w:val="center"/>
        <w:rPr>
          <w:rFonts w:ascii="仿宋_GB2312" w:hAnsi="宋体" w:eastAsia="仿宋_GB2312" w:cs="Times New Roman"/>
          <w:b/>
          <w:color w:val="000000"/>
          <w:sz w:val="32"/>
          <w:szCs w:val="32"/>
          <w:highlight w:val="none"/>
        </w:rPr>
      </w:pPr>
    </w:p>
    <w:p w14:paraId="55D4E2BF">
      <w:pPr>
        <w:spacing w:line="400" w:lineRule="exact"/>
        <w:jc w:val="center"/>
        <w:rPr>
          <w:rFonts w:ascii="仿宋_GB2312" w:hAnsi="宋体" w:eastAsia="仿宋_GB2312" w:cs="Times New Roman"/>
          <w:b/>
          <w:color w:val="000000"/>
          <w:sz w:val="32"/>
          <w:szCs w:val="32"/>
          <w:highlight w:val="none"/>
        </w:rPr>
      </w:pPr>
    </w:p>
    <w:p w14:paraId="0BE7F1D7">
      <w:pPr>
        <w:spacing w:line="400" w:lineRule="exact"/>
        <w:jc w:val="center"/>
        <w:rPr>
          <w:rFonts w:ascii="仿宋_GB2312" w:hAnsi="宋体" w:eastAsia="仿宋_GB2312" w:cs="Times New Roman"/>
          <w:b/>
          <w:color w:val="000000"/>
          <w:sz w:val="32"/>
          <w:szCs w:val="32"/>
          <w:highlight w:val="none"/>
        </w:rPr>
      </w:pPr>
    </w:p>
    <w:p w14:paraId="62A4903A">
      <w:pPr>
        <w:spacing w:line="400" w:lineRule="exact"/>
        <w:jc w:val="center"/>
        <w:rPr>
          <w:rFonts w:ascii="仿宋_GB2312" w:hAnsi="宋体" w:eastAsia="仿宋_GB2312" w:cs="Times New Roman"/>
          <w:b/>
          <w:color w:val="000000"/>
          <w:sz w:val="32"/>
          <w:szCs w:val="32"/>
          <w:highlight w:val="none"/>
        </w:rPr>
      </w:pPr>
    </w:p>
    <w:p w14:paraId="03FFC47B">
      <w:pPr>
        <w:spacing w:line="400" w:lineRule="exact"/>
        <w:jc w:val="center"/>
        <w:rPr>
          <w:rFonts w:ascii="仿宋_GB2312" w:hAnsi="宋体" w:eastAsia="仿宋_GB2312" w:cs="Times New Roman"/>
          <w:b/>
          <w:color w:val="000000"/>
          <w:sz w:val="32"/>
          <w:szCs w:val="32"/>
          <w:highlight w:val="none"/>
        </w:rPr>
      </w:pPr>
    </w:p>
    <w:p w14:paraId="2CB42B98">
      <w:pPr>
        <w:spacing w:line="400" w:lineRule="exact"/>
        <w:jc w:val="center"/>
        <w:rPr>
          <w:rFonts w:ascii="仿宋_GB2312" w:hAnsi="宋体" w:eastAsia="仿宋_GB2312" w:cs="Times New Roman"/>
          <w:b/>
          <w:color w:val="000000"/>
          <w:sz w:val="32"/>
          <w:szCs w:val="32"/>
          <w:highlight w:val="none"/>
        </w:rPr>
      </w:pPr>
    </w:p>
    <w:p w14:paraId="54A3B3AE">
      <w:pPr>
        <w:spacing w:line="400" w:lineRule="exact"/>
        <w:jc w:val="center"/>
        <w:rPr>
          <w:rFonts w:ascii="仿宋_GB2312" w:hAnsi="宋体" w:eastAsia="仿宋_GB2312" w:cs="Times New Roman"/>
          <w:b/>
          <w:color w:val="000000"/>
          <w:sz w:val="32"/>
          <w:szCs w:val="32"/>
          <w:highlight w:val="none"/>
        </w:rPr>
      </w:pPr>
    </w:p>
    <w:p w14:paraId="2C1A864B">
      <w:pPr>
        <w:spacing w:line="400" w:lineRule="exact"/>
        <w:jc w:val="center"/>
        <w:rPr>
          <w:rFonts w:ascii="仿宋_GB2312" w:hAnsi="宋体" w:eastAsia="仿宋_GB2312" w:cs="Times New Roman"/>
          <w:b/>
          <w:color w:val="000000"/>
          <w:sz w:val="32"/>
          <w:szCs w:val="32"/>
          <w:highlight w:val="none"/>
        </w:rPr>
      </w:pPr>
    </w:p>
    <w:p w14:paraId="6455C8F0">
      <w:pPr>
        <w:spacing w:line="400" w:lineRule="exact"/>
        <w:jc w:val="center"/>
        <w:rPr>
          <w:rFonts w:ascii="仿宋_GB2312" w:hAnsi="宋体" w:eastAsia="仿宋_GB2312" w:cs="Times New Roman"/>
          <w:b/>
          <w:color w:val="000000"/>
          <w:sz w:val="32"/>
          <w:szCs w:val="32"/>
          <w:highlight w:val="none"/>
        </w:rPr>
      </w:pPr>
    </w:p>
    <w:p w14:paraId="4146612B">
      <w:pPr>
        <w:spacing w:line="400" w:lineRule="exact"/>
        <w:jc w:val="center"/>
        <w:rPr>
          <w:rFonts w:ascii="仿宋_GB2312" w:hAnsi="宋体" w:eastAsia="仿宋_GB2312" w:cs="Times New Roman"/>
          <w:b/>
          <w:color w:val="000000"/>
          <w:sz w:val="32"/>
          <w:szCs w:val="32"/>
          <w:highlight w:val="none"/>
        </w:rPr>
      </w:pPr>
    </w:p>
    <w:p w14:paraId="370B9D0F">
      <w:pPr>
        <w:spacing w:line="400" w:lineRule="exact"/>
        <w:jc w:val="center"/>
        <w:rPr>
          <w:rFonts w:ascii="仿宋_GB2312" w:hAnsi="宋体" w:eastAsia="仿宋_GB2312" w:cs="Times New Roman"/>
          <w:b/>
          <w:color w:val="000000"/>
          <w:sz w:val="32"/>
          <w:szCs w:val="32"/>
          <w:highlight w:val="none"/>
        </w:rPr>
      </w:pPr>
    </w:p>
    <w:p w14:paraId="29D9D98C">
      <w:pPr>
        <w:spacing w:line="400" w:lineRule="exact"/>
        <w:jc w:val="center"/>
        <w:rPr>
          <w:rFonts w:ascii="仿宋_GB2312" w:hAnsi="宋体" w:eastAsia="仿宋_GB2312" w:cs="Times New Roman"/>
          <w:b/>
          <w:color w:val="000000"/>
          <w:sz w:val="32"/>
          <w:szCs w:val="32"/>
          <w:highlight w:val="none"/>
        </w:rPr>
      </w:pPr>
    </w:p>
    <w:p w14:paraId="3223BADD">
      <w:pPr>
        <w:spacing w:line="400" w:lineRule="exact"/>
        <w:jc w:val="both"/>
        <w:rPr>
          <w:rFonts w:ascii="仿宋_GB2312" w:hAnsi="宋体" w:eastAsia="仿宋_GB2312" w:cs="Times New Roman"/>
          <w:b/>
          <w:color w:val="000000"/>
          <w:sz w:val="32"/>
          <w:szCs w:val="32"/>
          <w:highlight w:val="none"/>
        </w:rPr>
      </w:pPr>
    </w:p>
    <w:p w14:paraId="3BE6A631">
      <w:pPr>
        <w:spacing w:line="400" w:lineRule="exact"/>
        <w:jc w:val="both"/>
        <w:rPr>
          <w:rFonts w:ascii="仿宋_GB2312" w:hAnsi="宋体" w:eastAsia="仿宋_GB2312" w:cs="Times New Roman"/>
          <w:b/>
          <w:color w:val="000000"/>
          <w:sz w:val="32"/>
          <w:szCs w:val="32"/>
          <w:highlight w:val="none"/>
        </w:rPr>
      </w:pPr>
    </w:p>
    <w:p w14:paraId="2A2BA975">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4</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7</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22</w:t>
      </w:r>
      <w:r>
        <w:rPr>
          <w:rFonts w:hint="eastAsia" w:ascii="仿宋_GB2312" w:hAnsi="宋体" w:eastAsia="仿宋_GB2312" w:cs="Times New Roman"/>
          <w:b/>
          <w:color w:val="000000"/>
          <w:sz w:val="32"/>
          <w:szCs w:val="32"/>
          <w:highlight w:val="none"/>
        </w:rPr>
        <w:t>日</w:t>
      </w:r>
    </w:p>
    <w:p w14:paraId="32C85B1F">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zh-CN"/>
        </w:rPr>
      </w:pPr>
      <w:r>
        <w:rPr>
          <w:rFonts w:hint="eastAsia" w:ascii="Cambria" w:hAnsi="Cambria" w:eastAsia="宋体" w:cs="Times New Roman"/>
          <w:b/>
          <w:bCs/>
          <w:color w:val="000000"/>
          <w:sz w:val="32"/>
          <w:szCs w:val="32"/>
          <w:highlight w:val="none"/>
          <w:lang w:val="en-US" w:eastAsia="zh-CN"/>
        </w:rPr>
        <w:t>项目概况</w:t>
      </w:r>
    </w:p>
    <w:p w14:paraId="43E09C05">
      <w:pPr>
        <w:spacing w:line="400" w:lineRule="exact"/>
        <w:ind w:firstLine="420" w:firstLineChars="200"/>
        <w:rPr>
          <w:rFonts w:hint="eastAsia" w:ascii="宋体" w:hAnsi="宋体" w:eastAsia="宋体" w:cs="Times New Roman"/>
          <w:bCs/>
          <w:color w:val="000000"/>
          <w:szCs w:val="21"/>
          <w:highlight w:val="none"/>
          <w:lang w:val="zh-CN"/>
        </w:rPr>
      </w:pPr>
      <w:r>
        <w:rPr>
          <w:rFonts w:hint="eastAsia" w:ascii="宋体" w:hAnsi="宋体" w:eastAsia="宋体" w:cs="Times New Roman"/>
          <w:bCs/>
          <w:color w:val="000000"/>
          <w:szCs w:val="21"/>
          <w:highlight w:val="none"/>
        </w:rPr>
        <w:t>根据临床科室的要求以及临床操作的需要，我院拟对所需要</w:t>
      </w:r>
      <w:r>
        <w:rPr>
          <w:rFonts w:hint="eastAsia" w:ascii="宋体" w:hAnsi="宋体" w:eastAsia="宋体" w:cs="Times New Roman"/>
          <w:bCs/>
          <w:color w:val="000000"/>
          <w:szCs w:val="21"/>
          <w:highlight w:val="none"/>
          <w:lang w:eastAsia="zh-CN"/>
        </w:rPr>
        <w:t>的</w:t>
      </w:r>
      <w:r>
        <w:rPr>
          <w:rFonts w:hint="eastAsia" w:ascii="宋体" w:hAnsi="宋体" w:eastAsia="宋体" w:cs="Times New Roman"/>
          <w:bCs/>
          <w:color w:val="000000"/>
          <w:szCs w:val="21"/>
          <w:highlight w:val="none"/>
          <w:lang w:val="en-US" w:eastAsia="zh-CN"/>
        </w:rPr>
        <w:t>椎骨咬骨钳采购项目进行</w:t>
      </w:r>
      <w:r>
        <w:rPr>
          <w:rFonts w:hint="eastAsia" w:ascii="宋体" w:hAnsi="宋体" w:eastAsia="宋体" w:cs="Times New Roman"/>
          <w:bCs/>
          <w:color w:val="000000"/>
          <w:szCs w:val="21"/>
          <w:highlight w:val="none"/>
        </w:rPr>
        <w:t>院内议价，欢迎有意参与的公司前来参加。</w:t>
      </w:r>
    </w:p>
    <w:p w14:paraId="7CEB8D12">
      <w:pPr>
        <w:spacing w:line="400" w:lineRule="exact"/>
        <w:ind w:firstLine="420" w:firstLineChars="200"/>
        <w:rPr>
          <w:rFonts w:hint="eastAsia" w:ascii="宋体" w:hAnsi="宋体" w:eastAsia="宋体" w:cs="Times New Roman"/>
          <w:bCs/>
          <w:color w:val="000000"/>
          <w:szCs w:val="21"/>
          <w:highlight w:val="none"/>
          <w:lang w:val="zh-CN"/>
        </w:rPr>
      </w:pPr>
      <w:bookmarkStart w:id="1" w:name="_Toc28359089"/>
      <w:bookmarkStart w:id="2" w:name="_Toc28359012"/>
      <w:bookmarkStart w:id="3" w:name="_Toc44229878"/>
      <w:bookmarkStart w:id="4" w:name="_Toc35393798"/>
      <w:bookmarkStart w:id="5" w:name="_Toc35393629"/>
      <w:bookmarkStart w:id="6" w:name="_Toc47452205"/>
      <w:r>
        <w:rPr>
          <w:rFonts w:hint="eastAsia" w:ascii="宋体" w:hAnsi="宋体" w:eastAsia="宋体" w:cs="Times New Roman"/>
          <w:bCs/>
          <w:color w:val="000000"/>
          <w:szCs w:val="21"/>
          <w:highlight w:val="none"/>
          <w:lang w:val="zh-CN"/>
        </w:rPr>
        <w:t>一、项目基本情况</w:t>
      </w:r>
      <w:bookmarkEnd w:id="1"/>
      <w:bookmarkEnd w:id="2"/>
      <w:bookmarkEnd w:id="3"/>
      <w:bookmarkEnd w:id="4"/>
      <w:bookmarkEnd w:id="5"/>
      <w:bookmarkEnd w:id="6"/>
    </w:p>
    <w:p w14:paraId="31176D9D">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项目编号：GXGSYY-CGB-YLSBK-2024-</w:t>
      </w:r>
      <w:r>
        <w:rPr>
          <w:rFonts w:hint="eastAsia" w:ascii="宋体" w:hAnsi="宋体" w:eastAsia="宋体" w:cs="Times New Roman"/>
          <w:bCs/>
          <w:color w:val="000000"/>
          <w:szCs w:val="21"/>
          <w:highlight w:val="none"/>
          <w:lang w:val="en-US" w:eastAsia="zh-CN"/>
        </w:rPr>
        <w:t>23</w:t>
      </w:r>
    </w:p>
    <w:p w14:paraId="194E0695">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项目名称：</w:t>
      </w:r>
      <w:r>
        <w:rPr>
          <w:rFonts w:hint="eastAsia" w:ascii="宋体" w:hAnsi="宋体" w:eastAsia="宋体" w:cs="Times New Roman"/>
          <w:bCs/>
          <w:color w:val="000000"/>
          <w:szCs w:val="21"/>
          <w:highlight w:val="none"/>
          <w:lang w:val="en-US" w:eastAsia="zh-CN"/>
        </w:rPr>
        <w:t>广西骨伤医院椎骨咬骨钳采购项目</w:t>
      </w:r>
    </w:p>
    <w:p w14:paraId="329C17C8">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采购方式：院内议价</w:t>
      </w:r>
    </w:p>
    <w:p w14:paraId="499984E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jc w:val="both"/>
        <w:textAlignment w:val="auto"/>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4</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预算金额：</w:t>
      </w:r>
      <w:r>
        <w:rPr>
          <w:rFonts w:hint="eastAsia" w:ascii="宋体" w:hAnsi="宋体" w:eastAsia="宋体" w:cs="Times New Roman"/>
          <w:bCs/>
          <w:color w:val="000000"/>
          <w:szCs w:val="21"/>
          <w:highlight w:val="none"/>
          <w:lang w:eastAsia="zh-CN"/>
        </w:rPr>
        <w:t>椎骨咬骨钳</w:t>
      </w:r>
      <w:r>
        <w:rPr>
          <w:rFonts w:hint="eastAsia" w:ascii="宋体" w:hAnsi="宋体" w:eastAsia="宋体" w:cs="Times New Roman"/>
          <w:bCs/>
          <w:color w:val="000000"/>
          <w:szCs w:val="21"/>
          <w:highlight w:val="none"/>
          <w:lang w:val="en-US" w:eastAsia="zh-CN"/>
        </w:rPr>
        <w:t>14.8万元，3</w:t>
      </w:r>
      <w:bookmarkStart w:id="7" w:name="_GoBack"/>
      <w:bookmarkEnd w:id="7"/>
      <w:r>
        <w:rPr>
          <w:rFonts w:hint="eastAsia" w:ascii="宋体" w:hAnsi="宋体" w:eastAsia="宋体" w:cs="Times New Roman"/>
          <w:bCs/>
          <w:color w:val="000000"/>
          <w:szCs w:val="21"/>
          <w:highlight w:val="none"/>
          <w:lang w:val="en-US" w:eastAsia="zh-CN"/>
        </w:rPr>
        <w:t>把</w:t>
      </w:r>
    </w:p>
    <w:p w14:paraId="5C8DEE9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二、技术参数：</w:t>
      </w:r>
    </w:p>
    <w:p w14:paraId="25648F70">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1.配套大通道脊柱内镜使用，40°，窄口，长度为：240mm，直径为：5.5mm。该咬骨钳数量为2把；</w:t>
      </w:r>
    </w:p>
    <w:p w14:paraId="707CEA9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2.配套大通道脊柱内镜使用，40°，宽口，长度为：275mm，直径为：3.5mm。该咬骨钳数量为1把。</w:t>
      </w:r>
    </w:p>
    <w:p w14:paraId="2C9651C5">
      <w:pPr>
        <w:spacing w:line="400" w:lineRule="exact"/>
        <w:ind w:firstLine="422" w:firstLineChars="200"/>
        <w:rPr>
          <w:rFonts w:hint="eastAsia" w:ascii="宋体" w:hAnsi="宋体" w:eastAsia="宋体" w:cs="Times New Roman"/>
          <w:b/>
          <w:bCs w:val="0"/>
          <w:color w:val="FF0000"/>
          <w:szCs w:val="21"/>
          <w:highlight w:val="none"/>
          <w:lang w:val="en-US" w:eastAsia="zh-CN"/>
        </w:rPr>
      </w:pPr>
      <w:r>
        <w:rPr>
          <w:rFonts w:hint="eastAsia" w:ascii="宋体" w:hAnsi="宋体" w:eastAsia="宋体" w:cs="Times New Roman"/>
          <w:b/>
          <w:bCs w:val="0"/>
          <w:color w:val="FF0000"/>
          <w:szCs w:val="21"/>
          <w:highlight w:val="none"/>
          <w:lang w:val="en-US" w:eastAsia="zh-CN"/>
        </w:rPr>
        <w:t>详细需求，详见附件。</w:t>
      </w:r>
    </w:p>
    <w:p w14:paraId="6D011A90">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三</w:t>
      </w:r>
      <w:r>
        <w:rPr>
          <w:rFonts w:hint="eastAsia" w:ascii="宋体" w:hAnsi="宋体" w:eastAsia="宋体" w:cs="Times New Roman"/>
          <w:bCs/>
          <w:color w:val="000000"/>
          <w:szCs w:val="21"/>
          <w:highlight w:val="none"/>
        </w:rPr>
        <w:t>、参会的供应商或公司的资格要求：</w:t>
      </w:r>
    </w:p>
    <w:p w14:paraId="6ED0CAAC">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除应具备《政府采购法》第二十二条资格条件外，还必须满足：</w:t>
      </w:r>
    </w:p>
    <w:p w14:paraId="048D212E">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具有独立承担民事责任能力的在中华人民共和国境内注册的法人。</w:t>
      </w:r>
    </w:p>
    <w:p w14:paraId="3D3C34B7">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经营范围包含所投产品。</w:t>
      </w:r>
    </w:p>
    <w:p w14:paraId="2D555C3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为所投产品的制造商或销售代理商(提供授权书)。</w:t>
      </w:r>
    </w:p>
    <w:p w14:paraId="2FEF9855">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四、投标文件的编制</w:t>
      </w:r>
    </w:p>
    <w:p w14:paraId="05901C4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1.投标文件要求：每个投标人只能提交一份投标文件（一个正本五个副本，正本文件内所有资料均需加盖公司公章），所投材料恕不退回。</w:t>
      </w:r>
    </w:p>
    <w:p w14:paraId="3B9C23DB">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2.投标文件的组成  </w:t>
      </w:r>
    </w:p>
    <w:p w14:paraId="7069924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（1）投标人营业执照和相关资质、法定代表人授权委托书、产品授权书；</w:t>
      </w:r>
    </w:p>
    <w:p w14:paraId="628CBDB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（2）产品报价、清单以及产品彩页（产品报价内容应包含产品名称、品牌型号、价格、质保年限、生产厂家等相关信息）；</w:t>
      </w:r>
    </w:p>
    <w:p w14:paraId="5CECF65F">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（3）技术参数响应表，商务要求响应表；</w:t>
      </w:r>
    </w:p>
    <w:p w14:paraId="4B5B036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（4）投标人信誉证明，相关网站查询截图，及相关业绩材料。</w:t>
      </w:r>
    </w:p>
    <w:p w14:paraId="7F1C8E92">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五、投标人资格要求  </w:t>
      </w:r>
    </w:p>
    <w:p w14:paraId="4B26E2B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1.本次招标要求投标人须具备相关资质。  </w:t>
      </w:r>
    </w:p>
    <w:p w14:paraId="03E058F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2.信誉要求。</w:t>
      </w:r>
    </w:p>
    <w:p w14:paraId="11AA249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14:paraId="370972E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六、递交投标文件时间、地点、联系人：</w:t>
      </w:r>
    </w:p>
    <w:p w14:paraId="4F0BDC6D">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时间：2024年7月 日～2024年7月 日（周一至周五上午8:00～12：00，下午15：00～18：00，节假日除外）。</w:t>
      </w:r>
    </w:p>
    <w:p w14:paraId="53C773D7">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地址：南宁市青秀区东葛路1号锦华酒店副楼广西骨伤医院行政办公区401室。</w:t>
      </w:r>
    </w:p>
    <w:p w14:paraId="09DE628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联系人：李老师   0771-2622251     </w:t>
      </w:r>
    </w:p>
    <w:p w14:paraId="28113BD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七、议价会时间及地点：另行通知。</w:t>
      </w:r>
    </w:p>
    <w:p w14:paraId="0A81A9B6">
      <w:pPr>
        <w:spacing w:line="400" w:lineRule="exact"/>
        <w:ind w:firstLine="420" w:firstLineChars="200"/>
        <w:rPr>
          <w:rFonts w:hint="default" w:ascii="宋体" w:hAnsi="宋体" w:eastAsia="宋体" w:cs="Times New Roman"/>
          <w:bCs/>
          <w:color w:val="000000"/>
          <w:szCs w:val="21"/>
          <w:highlight w:val="none"/>
          <w:lang w:val="en-US" w:eastAsia="zh-CN"/>
        </w:rPr>
      </w:pPr>
    </w:p>
    <w:p w14:paraId="3BDCDC57">
      <w:pPr>
        <w:spacing w:line="400" w:lineRule="exact"/>
        <w:ind w:firstLine="420" w:firstLineChars="200"/>
        <w:rPr>
          <w:rFonts w:hint="default" w:ascii="宋体" w:hAnsi="宋体" w:eastAsia="宋体" w:cs="Times New Roman"/>
          <w:bCs/>
          <w:color w:val="000000"/>
          <w:szCs w:val="21"/>
          <w:highlight w:val="none"/>
          <w:lang w:val="en-US" w:eastAsia="zh-CN"/>
        </w:rPr>
      </w:pPr>
    </w:p>
    <w:p w14:paraId="0652DC5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2024年7月 日</w:t>
      </w:r>
    </w:p>
    <w:p w14:paraId="2A963C3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广西骨伤医院</w:t>
      </w:r>
    </w:p>
    <w:p w14:paraId="6DCC0394">
      <w:pPr>
        <w:spacing w:line="320" w:lineRule="exact"/>
        <w:rPr>
          <w:rFonts w:hint="eastAsia" w:ascii="宋体" w:hAnsi="宋体" w:eastAsia="宋体" w:cs="Times New Roman"/>
          <w:color w:val="000000"/>
          <w:szCs w:val="21"/>
          <w:highlight w:val="none"/>
        </w:rPr>
      </w:pPr>
    </w:p>
    <w:p w14:paraId="50ABF4E0">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en-US" w:eastAsia="zh-CN"/>
        </w:rPr>
      </w:pPr>
      <w:r>
        <w:rPr>
          <w:rFonts w:hint="eastAsia" w:ascii="Cambria" w:hAnsi="Cambria" w:eastAsia="宋体" w:cs="Times New Roman"/>
          <w:b/>
          <w:bCs/>
          <w:color w:val="000000"/>
          <w:sz w:val="32"/>
          <w:szCs w:val="32"/>
          <w:highlight w:val="none"/>
          <w:lang w:val="en-US" w:eastAsia="zh-CN"/>
        </w:rPr>
        <w:t>采购需求</w:t>
      </w:r>
    </w:p>
    <w:p w14:paraId="47B7BF4F">
      <w:pPr>
        <w:numPr>
          <w:ilvl w:val="0"/>
          <w:numId w:val="0"/>
        </w:numPr>
        <w:spacing w:line="320" w:lineRule="exact"/>
        <w:jc w:val="both"/>
        <w:rPr>
          <w:rFonts w:hint="default" w:ascii="宋体" w:hAnsi="宋体" w:eastAsia="宋体" w:cs="Times New Roman"/>
          <w:color w:val="000000"/>
          <w:szCs w:val="21"/>
          <w:highlight w:val="none"/>
          <w:lang w:val="en-US" w:eastAsia="zh-CN"/>
        </w:rPr>
      </w:pPr>
    </w:p>
    <w:p w14:paraId="2167A9F9">
      <w:pPr>
        <w:spacing w:line="320" w:lineRule="exact"/>
        <w:ind w:firstLine="422" w:firstLineChars="200"/>
        <w:rPr>
          <w:rFonts w:ascii="宋体" w:hAnsi="宋体" w:eastAsia="宋体" w:cs="Times New Roman"/>
          <w:color w:val="000000"/>
          <w:szCs w:val="21"/>
          <w:highlight w:val="none"/>
        </w:rPr>
      </w:pPr>
      <w:r>
        <w:rPr>
          <w:rFonts w:hint="eastAsia" w:ascii="宋体" w:hAnsi="宋体" w:eastAsia="宋体" w:cs="Times New Roman"/>
          <w:b/>
          <w:bCs/>
          <w:color w:val="000000"/>
          <w:szCs w:val="21"/>
          <w:highlight w:val="none"/>
          <w:lang w:val="en-US" w:eastAsia="zh-CN"/>
        </w:rPr>
        <w:t>1</w:t>
      </w:r>
      <w:r>
        <w:rPr>
          <w:rFonts w:ascii="宋体" w:hAnsi="宋体" w:eastAsia="宋体" w:cs="Times New Roman"/>
          <w:b/>
          <w:bCs/>
          <w:color w:val="000000"/>
          <w:szCs w:val="21"/>
          <w:highlight w:val="none"/>
        </w:rPr>
        <w:t>.</w:t>
      </w:r>
      <w:r>
        <w:rPr>
          <w:rFonts w:hint="eastAsia" w:ascii="宋体" w:hAnsi="宋体" w:eastAsia="宋体" w:cs="Times New Roman"/>
          <w:b/>
          <w:bCs/>
          <w:color w:val="000000"/>
          <w:szCs w:val="21"/>
          <w:highlight w:val="none"/>
        </w:rPr>
        <w:t>采购需求</w:t>
      </w:r>
      <w:r>
        <w:rPr>
          <w:rFonts w:hint="eastAsia" w:ascii="宋体" w:hAnsi="宋体" w:eastAsia="宋体" w:cs="Times New Roman"/>
          <w:b/>
          <w:bCs/>
          <w:color w:val="000000"/>
          <w:szCs w:val="21"/>
          <w:highlight w:val="none"/>
          <w:lang w:val="en-US" w:eastAsia="zh-CN"/>
        </w:rPr>
        <w:t>一览表</w:t>
      </w:r>
      <w:r>
        <w:rPr>
          <w:rFonts w:hint="eastAsia" w:ascii="宋体" w:hAnsi="宋体" w:eastAsia="宋体" w:cs="Times New Roman"/>
          <w:b/>
          <w:bCs/>
          <w:color w:val="000000"/>
          <w:szCs w:val="21"/>
          <w:highlight w:val="none"/>
        </w:rPr>
        <w:t>：</w:t>
      </w:r>
      <w:r>
        <w:rPr>
          <w:rFonts w:ascii="宋体" w:hAnsi="宋体" w:eastAsia="宋体" w:cs="Times New Roman"/>
          <w:color w:val="000000"/>
          <w:szCs w:val="21"/>
          <w:highlight w:val="none"/>
        </w:rPr>
        <w:t xml:space="preserve"> </w:t>
      </w:r>
    </w:p>
    <w:p w14:paraId="7AB61FD2">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14:paraId="6B0411B2">
      <w:pPr>
        <w:widowControl/>
        <w:ind w:firstLine="420" w:firstLineChars="200"/>
        <w:rPr>
          <w:rFonts w:ascii="宋体" w:hAnsi="宋体" w:eastAsia="宋体" w:cs="Times New Roman"/>
          <w:color w:val="000000"/>
          <w:szCs w:val="21"/>
          <w:highlight w:val="none"/>
        </w:rPr>
      </w:pPr>
    </w:p>
    <w:tbl>
      <w:tblPr>
        <w:tblStyle w:val="9"/>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1326"/>
        <w:gridCol w:w="5337"/>
      </w:tblGrid>
      <w:tr w14:paraId="4205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2B9B2437">
            <w:pPr>
              <w:spacing w:line="400" w:lineRule="exact"/>
              <w:rPr>
                <w:rFonts w:ascii="宋体" w:hAnsi="宋体" w:eastAsia="宋体" w:cs="Times New Roman"/>
                <w:b/>
                <w:bCs/>
                <w:szCs w:val="21"/>
                <w:highlight w:val="none"/>
              </w:rPr>
            </w:pPr>
            <w:r>
              <w:rPr>
                <w:rFonts w:hint="eastAsia" w:ascii="宋体" w:hAnsi="宋体" w:eastAsia="宋体" w:cs="Times New Roman"/>
                <w:b/>
                <w:bCs/>
                <w:szCs w:val="21"/>
                <w:highlight w:val="none"/>
              </w:rPr>
              <w:t>一、项目要求及技术需求</w:t>
            </w:r>
          </w:p>
        </w:tc>
      </w:tr>
      <w:tr w14:paraId="4570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40E26A3">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采购内容</w:t>
            </w:r>
          </w:p>
        </w:tc>
        <w:tc>
          <w:tcPr>
            <w:tcW w:w="1326" w:type="dxa"/>
            <w:shd w:val="clear" w:color="auto" w:fill="auto"/>
            <w:vAlign w:val="center"/>
          </w:tcPr>
          <w:p w14:paraId="44B68CA7">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数量</w:t>
            </w:r>
          </w:p>
        </w:tc>
        <w:tc>
          <w:tcPr>
            <w:tcW w:w="5337" w:type="dxa"/>
            <w:shd w:val="clear" w:color="auto" w:fill="auto"/>
          </w:tcPr>
          <w:p w14:paraId="2164C80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Times New Roman"/>
                <w:szCs w:val="21"/>
                <w:highlight w:val="none"/>
              </w:rPr>
            </w:pPr>
            <w:r>
              <w:rPr>
                <w:rFonts w:hint="eastAsia" w:ascii="宋体" w:hAnsi="宋体" w:eastAsia="宋体" w:cs="Times New Roman"/>
                <w:szCs w:val="21"/>
                <w:highlight w:val="none"/>
              </w:rPr>
              <w:t>项目要求及技术需求</w:t>
            </w:r>
          </w:p>
        </w:tc>
      </w:tr>
      <w:tr w14:paraId="18BF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D566F7F">
            <w:pPr>
              <w:spacing w:line="400" w:lineRule="exact"/>
              <w:jc w:val="center"/>
              <w:rPr>
                <w:rFonts w:hint="eastAsia" w:ascii="宋体" w:hAnsi="宋体" w:eastAsia="宋体" w:cs="Times New Roman"/>
                <w:szCs w:val="21"/>
                <w:highlight w:val="none"/>
                <w:lang w:eastAsia="zh-CN"/>
              </w:rPr>
            </w:pPr>
            <w:r>
              <w:rPr>
                <w:rFonts w:hint="eastAsia" w:ascii="宋体" w:hAnsi="宋体" w:eastAsia="宋体" w:cs="Times New Roman"/>
                <w:bCs/>
                <w:color w:val="000000"/>
                <w:szCs w:val="21"/>
                <w:highlight w:val="none"/>
                <w:lang w:val="en-US" w:eastAsia="zh-CN"/>
              </w:rPr>
              <w:t>椎骨咬骨钳</w:t>
            </w:r>
          </w:p>
        </w:tc>
        <w:tc>
          <w:tcPr>
            <w:tcW w:w="1326" w:type="dxa"/>
            <w:shd w:val="clear" w:color="auto" w:fill="auto"/>
            <w:vAlign w:val="center"/>
          </w:tcPr>
          <w:p w14:paraId="2CBDB2D6">
            <w:pPr>
              <w:spacing w:line="400" w:lineRule="exact"/>
              <w:jc w:val="center"/>
              <w:rPr>
                <w:rFonts w:hint="default" w:ascii="宋体" w:hAnsi="宋体" w:eastAsia="宋体" w:cs="Times New Roman"/>
                <w:bCs/>
                <w:szCs w:val="21"/>
                <w:highlight w:val="none"/>
                <w:lang w:val="en-US" w:eastAsia="zh-CN"/>
              </w:rPr>
            </w:pPr>
            <w:r>
              <w:rPr>
                <w:rFonts w:hint="eastAsia" w:ascii="宋体" w:hAnsi="宋体" w:eastAsia="宋体" w:cs="Times New Roman"/>
                <w:bCs/>
                <w:color w:val="000000"/>
                <w:szCs w:val="21"/>
                <w:highlight w:val="none"/>
                <w:lang w:val="en-US" w:eastAsia="zh-CN"/>
              </w:rPr>
              <w:t>3把</w:t>
            </w:r>
          </w:p>
        </w:tc>
        <w:tc>
          <w:tcPr>
            <w:tcW w:w="5337" w:type="dxa"/>
            <w:shd w:val="clear" w:color="auto" w:fill="auto"/>
          </w:tcPr>
          <w:p w14:paraId="7C0ADD6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1.配套大通道脊柱内镜使用，40°，窄口，长度为：240mm，直径为：5.5mm。该咬骨钳数量为2把；</w:t>
            </w:r>
          </w:p>
          <w:p w14:paraId="3393AB4E">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Times New Roman"/>
                <w:kern w:val="2"/>
                <w:sz w:val="21"/>
                <w:szCs w:val="21"/>
                <w:highlight w:val="none"/>
                <w:lang w:val="en-US" w:eastAsia="zh-CN" w:bidi="ar-SA"/>
              </w:rPr>
            </w:pPr>
            <w:r>
              <w:rPr>
                <w:rFonts w:hint="default" w:ascii="宋体" w:hAnsi="宋体" w:eastAsia="宋体" w:cs="宋体"/>
                <w:bCs/>
                <w:szCs w:val="21"/>
                <w:highlight w:val="none"/>
                <w:lang w:val="en-US" w:eastAsia="zh-CN"/>
              </w:rPr>
              <w:t>2.</w:t>
            </w:r>
            <w:r>
              <w:rPr>
                <w:rFonts w:hint="eastAsia" w:ascii="宋体" w:hAnsi="宋体" w:eastAsia="宋体" w:cs="宋体"/>
                <w:bCs/>
                <w:szCs w:val="21"/>
                <w:highlight w:val="none"/>
                <w:lang w:val="en-US" w:eastAsia="zh-CN"/>
              </w:rPr>
              <w:t>配套大通道脊柱内镜使用，40°，宽口，长度为：275mm，直径为：3.5mm。该咬骨钳数量为1把。</w:t>
            </w:r>
          </w:p>
        </w:tc>
      </w:tr>
      <w:tr w14:paraId="7F61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70C51E19">
            <w:pPr>
              <w:spacing w:line="400" w:lineRule="exact"/>
              <w:jc w:val="left"/>
              <w:rPr>
                <w:rFonts w:ascii="宋体" w:hAnsi="宋体" w:eastAsia="宋体" w:cs="Times New Roman"/>
                <w:b/>
                <w:szCs w:val="21"/>
                <w:highlight w:val="none"/>
              </w:rPr>
            </w:pPr>
            <w:r>
              <w:rPr>
                <w:rFonts w:hint="eastAsia" w:ascii="宋体" w:hAnsi="宋体" w:eastAsia="宋体" w:cs="Times New Roman"/>
                <w:b/>
                <w:szCs w:val="21"/>
                <w:highlight w:val="none"/>
              </w:rPr>
              <w:t>二、商务要求</w:t>
            </w:r>
          </w:p>
        </w:tc>
      </w:tr>
      <w:tr w14:paraId="51F2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1374FF20">
            <w:pPr>
              <w:jc w:val="left"/>
              <w:rPr>
                <w:rFonts w:ascii="宋体" w:hAnsi="宋体" w:eastAsia="宋体" w:cs="Times New Roman"/>
                <w:b/>
                <w:szCs w:val="21"/>
                <w:highlight w:val="none"/>
              </w:rPr>
            </w:pPr>
            <w:r>
              <w:rPr>
                <w:rFonts w:hint="eastAsia" w:ascii="宋体" w:hAnsi="宋体" w:eastAsia="宋体" w:cs="Times New Roman"/>
                <w:szCs w:val="21"/>
                <w:highlight w:val="none"/>
              </w:rPr>
              <w:t>▲</w:t>
            </w:r>
            <w:r>
              <w:rPr>
                <w:rFonts w:hint="eastAsia" w:ascii="Calibri" w:hAnsi="Calibri" w:eastAsia="宋体" w:cs="Times New Roman"/>
                <w:szCs w:val="24"/>
                <w:highlight w:val="none"/>
              </w:rPr>
              <w:t>报价要求</w:t>
            </w:r>
          </w:p>
        </w:tc>
        <w:tc>
          <w:tcPr>
            <w:tcW w:w="6663" w:type="dxa"/>
            <w:gridSpan w:val="2"/>
            <w:shd w:val="clear" w:color="auto" w:fill="auto"/>
            <w:vAlign w:val="center"/>
          </w:tcPr>
          <w:p w14:paraId="06A710E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default" w:ascii="宋体" w:hAnsi="宋体" w:eastAsia="宋体" w:cs="Times New Roman"/>
                <w:b/>
                <w:szCs w:val="21"/>
                <w:highlight w:val="none"/>
                <w:lang w:val="en-US" w:eastAsia="zh-CN"/>
              </w:rPr>
            </w:pPr>
            <w:r>
              <w:rPr>
                <w:rFonts w:hint="eastAsia" w:ascii="宋体" w:hAnsi="宋体" w:eastAsia="宋体" w:cs="宋体"/>
                <w:bCs/>
                <w:szCs w:val="21"/>
                <w:highlight w:val="none"/>
              </w:rPr>
              <w:t>报价为全包价，以人民币为结算单位，包括本项目所有系统、</w:t>
            </w:r>
            <w:r>
              <w:rPr>
                <w:rFonts w:hint="eastAsia" w:ascii="宋体" w:hAnsi="宋体" w:eastAsia="宋体" w:cs="宋体"/>
                <w:bCs/>
                <w:szCs w:val="21"/>
                <w:highlight w:val="none"/>
                <w:lang w:val="en-US" w:eastAsia="zh-CN"/>
              </w:rPr>
              <w:t>运输、</w:t>
            </w:r>
            <w:r>
              <w:rPr>
                <w:rFonts w:hint="eastAsia" w:ascii="宋体" w:hAnsi="宋体" w:eastAsia="宋体" w:cs="宋体"/>
                <w:bCs/>
                <w:szCs w:val="21"/>
                <w:highlight w:val="none"/>
              </w:rPr>
              <w:t>安装调试、</w:t>
            </w:r>
            <w:r>
              <w:rPr>
                <w:rFonts w:hint="eastAsia" w:ascii="宋体" w:hAnsi="宋体" w:eastAsia="宋体" w:cs="宋体"/>
                <w:bCs/>
                <w:szCs w:val="21"/>
                <w:highlight w:val="none"/>
                <w:lang w:val="en-US" w:eastAsia="zh-CN"/>
              </w:rPr>
              <w:t>人工费、</w:t>
            </w:r>
            <w:r>
              <w:rPr>
                <w:rFonts w:hint="eastAsia" w:ascii="宋体" w:hAnsi="宋体" w:eastAsia="宋体" w:cs="宋体"/>
                <w:bCs/>
                <w:szCs w:val="21"/>
                <w:highlight w:val="none"/>
              </w:rPr>
              <w:t>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rPr>
              <w:t>各种税费等全部费用</w:t>
            </w:r>
            <w:r>
              <w:rPr>
                <w:rFonts w:hint="eastAsia" w:ascii="宋体" w:hAnsi="宋体" w:eastAsia="宋体" w:cs="宋体"/>
                <w:bCs/>
                <w:szCs w:val="21"/>
                <w:lang w:eastAsia="zh-CN"/>
              </w:rPr>
              <w:t>。</w:t>
            </w:r>
            <w:r>
              <w:rPr>
                <w:rFonts w:hint="eastAsia" w:ascii="宋体" w:hAnsi="宋体" w:eastAsia="宋体" w:cs="宋体"/>
                <w:bCs/>
                <w:szCs w:val="21"/>
                <w:highlight w:val="none"/>
              </w:rPr>
              <w:t>在合同实施时，将不予支付成交供应商没有列入的项目费用，并认为此项目的费用已包括在总报价中。</w:t>
            </w:r>
            <w:r>
              <w:rPr>
                <w:rFonts w:hint="eastAsia" w:ascii="宋体" w:hAnsi="宋体" w:eastAsia="宋体" w:cs="宋体"/>
                <w:bCs/>
                <w:szCs w:val="21"/>
                <w:highlight w:val="none"/>
                <w:lang w:val="en-US" w:eastAsia="zh-CN"/>
              </w:rPr>
              <w:t>列出清单明细价格及总价。</w:t>
            </w:r>
          </w:p>
        </w:tc>
      </w:tr>
      <w:tr w14:paraId="2486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8E47380">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▲质保期</w:t>
            </w:r>
          </w:p>
        </w:tc>
        <w:tc>
          <w:tcPr>
            <w:tcW w:w="6663" w:type="dxa"/>
            <w:gridSpan w:val="2"/>
            <w:shd w:val="clear" w:color="auto" w:fill="auto"/>
            <w:vAlign w:val="center"/>
          </w:tcPr>
          <w:p w14:paraId="02BE3373">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按国家有关产品“三包”规定执行“三包”，交货验收合格之日起所有货物提供</w:t>
            </w:r>
            <w:r>
              <w:rPr>
                <w:rFonts w:hint="eastAsia" w:ascii="宋体" w:hAnsi="宋体" w:eastAsia="宋体" w:cs="Times New Roman"/>
                <w:b/>
                <w:bCs w:val="0"/>
                <w:szCs w:val="21"/>
                <w:highlight w:val="none"/>
                <w:lang w:val="en-US" w:eastAsia="zh-CN"/>
              </w:rPr>
              <w:t>2</w:t>
            </w:r>
            <w:r>
              <w:rPr>
                <w:rFonts w:hint="eastAsia" w:ascii="宋体" w:hAnsi="宋体" w:eastAsia="宋体" w:cs="Times New Roman"/>
                <w:bCs/>
                <w:szCs w:val="21"/>
                <w:highlight w:val="none"/>
              </w:rPr>
              <w:t>年的免费上门保修和包换、维护服务（各分项另有要求的以各分项要求为准）。质保期内免费上门维修、免费更换零部件。</w:t>
            </w:r>
          </w:p>
        </w:tc>
      </w:tr>
      <w:tr w14:paraId="42F8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11D8D1EA">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售后服务要求</w:t>
            </w:r>
          </w:p>
        </w:tc>
        <w:tc>
          <w:tcPr>
            <w:tcW w:w="6663" w:type="dxa"/>
            <w:gridSpan w:val="2"/>
            <w:shd w:val="clear" w:color="auto" w:fill="auto"/>
            <w:vAlign w:val="center"/>
          </w:tcPr>
          <w:p w14:paraId="413343FE">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免费送货上门、免费培训操作人员。</w:t>
            </w:r>
          </w:p>
          <w:p w14:paraId="21F8F131">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维修响应：中标供应商在接到用户维修电话后4小时内响应， 12小时内到达现场修理解决，并免费更换有缺陷的货物或零部件，24小时内恢复正常使用，若不能修复则应有合理应对方案。</w:t>
            </w:r>
          </w:p>
          <w:p w14:paraId="7AE89B22">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w:t>
            </w:r>
            <w:r>
              <w:rPr>
                <w:rFonts w:hint="eastAsia" w:ascii="宋体" w:hAnsi="宋体" w:eastAsia="宋体" w:cs="Times New Roman"/>
                <w:bCs/>
                <w:szCs w:val="21"/>
                <w:highlight w:val="none"/>
              </w:rPr>
              <w:t>.</w:t>
            </w:r>
            <w:r>
              <w:rPr>
                <w:rFonts w:ascii="宋体" w:hAnsi="宋体" w:eastAsia="宋体" w:cs="Times New Roman"/>
                <w:bCs/>
                <w:szCs w:val="21"/>
                <w:highlight w:val="none"/>
              </w:rPr>
              <w:t>中标人除承担运输、安装、调试、验收与培训等义务外，还将为采购方提供技术支持，包括保修期外的修理及技术指导、配件供应等。</w:t>
            </w:r>
          </w:p>
          <w:p w14:paraId="63CC5DDA">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4</w:t>
            </w:r>
            <w:r>
              <w:rPr>
                <w:rFonts w:hint="eastAsia" w:ascii="宋体" w:hAnsi="宋体" w:eastAsia="宋体" w:cs="Times New Roman"/>
                <w:bCs/>
                <w:szCs w:val="21"/>
                <w:highlight w:val="none"/>
              </w:rPr>
              <w:t>.</w:t>
            </w:r>
            <w:r>
              <w:rPr>
                <w:rFonts w:ascii="宋体" w:hAnsi="宋体" w:eastAsia="宋体" w:cs="Times New Roman"/>
                <w:bCs/>
                <w:szCs w:val="21"/>
                <w:highlight w:val="none"/>
              </w:rPr>
              <w:t>投标人应提出售后服务承诺书。</w:t>
            </w:r>
          </w:p>
        </w:tc>
      </w:tr>
      <w:tr w14:paraId="3AFB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0DC0CD8">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交货时间及地点</w:t>
            </w:r>
          </w:p>
        </w:tc>
        <w:tc>
          <w:tcPr>
            <w:tcW w:w="6663" w:type="dxa"/>
            <w:gridSpan w:val="2"/>
            <w:shd w:val="clear" w:color="auto" w:fill="auto"/>
            <w:vAlign w:val="center"/>
          </w:tcPr>
          <w:p w14:paraId="3F8B62C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交付时间：自签订合同之日起7日内。</w:t>
            </w:r>
          </w:p>
          <w:p w14:paraId="1F164A2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交货地点：广西</w:t>
            </w:r>
            <w:r>
              <w:rPr>
                <w:rFonts w:hint="eastAsia" w:ascii="宋体" w:hAnsi="宋体" w:eastAsia="宋体" w:cs="Times New Roman"/>
                <w:bCs/>
                <w:szCs w:val="21"/>
                <w:highlight w:val="none"/>
              </w:rPr>
              <w:t>骨伤医院</w:t>
            </w:r>
            <w:r>
              <w:rPr>
                <w:rFonts w:ascii="宋体" w:hAnsi="宋体" w:eastAsia="宋体" w:cs="Times New Roman"/>
                <w:bCs/>
                <w:szCs w:val="21"/>
                <w:highlight w:val="none"/>
              </w:rPr>
              <w:t>指定地点。</w:t>
            </w:r>
          </w:p>
        </w:tc>
      </w:tr>
      <w:tr w14:paraId="600E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607A1E1C">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付款条件</w:t>
            </w:r>
          </w:p>
        </w:tc>
        <w:tc>
          <w:tcPr>
            <w:tcW w:w="6663" w:type="dxa"/>
            <w:gridSpan w:val="2"/>
            <w:shd w:val="clear" w:color="auto" w:fill="auto"/>
            <w:vAlign w:val="center"/>
          </w:tcPr>
          <w:p w14:paraId="1300248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付款方式：</w:t>
            </w:r>
            <w:r>
              <w:rPr>
                <w:rFonts w:hint="eastAsia" w:ascii="宋体" w:hAnsi="宋体" w:eastAsia="宋体" w:cs="Times New Roman"/>
                <w:bCs/>
                <w:szCs w:val="21"/>
                <w:highlight w:val="none"/>
                <w:lang w:val="en-US" w:eastAsia="zh-CN"/>
              </w:rPr>
              <w:t>合同签订后采购人支付合同金额的50%作为预付款，整体</w:t>
            </w:r>
            <w:r>
              <w:rPr>
                <w:rFonts w:hint="eastAsia" w:ascii="宋体" w:hAnsi="宋体" w:eastAsia="宋体" w:cs="Times New Roman"/>
                <w:bCs/>
                <w:szCs w:val="21"/>
              </w:rPr>
              <w:t>验收合格后，采购人支付合同总金额的</w:t>
            </w:r>
            <w:r>
              <w:rPr>
                <w:rFonts w:hint="eastAsia" w:ascii="宋体" w:hAnsi="宋体" w:eastAsia="宋体" w:cs="Times New Roman"/>
                <w:bCs/>
                <w:szCs w:val="21"/>
                <w:lang w:val="en-US" w:eastAsia="zh-CN"/>
              </w:rPr>
              <w:t>50</w:t>
            </w:r>
            <w:r>
              <w:rPr>
                <w:rFonts w:ascii="宋体" w:hAnsi="宋体" w:eastAsia="宋体" w:cs="Times New Roman"/>
                <w:bCs/>
                <w:szCs w:val="21"/>
              </w:rPr>
              <w:t>%货款</w:t>
            </w:r>
            <w:r>
              <w:rPr>
                <w:rFonts w:hint="eastAsia" w:ascii="宋体" w:hAnsi="宋体" w:eastAsia="宋体" w:cs="Times New Roman"/>
                <w:bCs/>
                <w:szCs w:val="21"/>
                <w:lang w:eastAsia="zh-CN"/>
              </w:rPr>
              <w:t>，</w:t>
            </w:r>
            <w:r>
              <w:rPr>
                <w:rFonts w:hint="eastAsia" w:ascii="宋体" w:hAnsi="宋体" w:eastAsia="宋体" w:cs="Times New Roman"/>
                <w:bCs/>
                <w:szCs w:val="21"/>
              </w:rPr>
              <w:t>中标人开具发票给采购人。</w:t>
            </w:r>
          </w:p>
        </w:tc>
      </w:tr>
      <w:tr w14:paraId="07C0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2E23F39">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其它要求</w:t>
            </w:r>
          </w:p>
        </w:tc>
        <w:tc>
          <w:tcPr>
            <w:tcW w:w="6663" w:type="dxa"/>
            <w:gridSpan w:val="2"/>
            <w:shd w:val="clear" w:color="auto" w:fill="auto"/>
            <w:vAlign w:val="center"/>
          </w:tcPr>
          <w:p w14:paraId="05BAE4D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14:paraId="3D4E141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14:paraId="76C377B1">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14:paraId="1628668F">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4.若投标人不是投标产品生产厂家，必须提供产品生产厂家或国内代理商授权书。</w:t>
            </w:r>
          </w:p>
        </w:tc>
      </w:tr>
      <w:tr w14:paraId="60C5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5204A561">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备注</w:t>
            </w:r>
          </w:p>
        </w:tc>
        <w:tc>
          <w:tcPr>
            <w:tcW w:w="6663" w:type="dxa"/>
            <w:gridSpan w:val="2"/>
            <w:shd w:val="clear" w:color="auto" w:fill="auto"/>
            <w:vAlign w:val="center"/>
          </w:tcPr>
          <w:p w14:paraId="320C9251">
            <w:pPr>
              <w:keepNext w:val="0"/>
              <w:keepLines w:val="0"/>
              <w:pageBreakBefore w:val="0"/>
              <w:widowControl w:val="0"/>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lang w:val="en-US" w:eastAsia="zh-CN"/>
              </w:rPr>
              <w:t>不能响应的视为无效投标</w:t>
            </w:r>
            <w:r>
              <w:rPr>
                <w:rFonts w:hint="eastAsia" w:ascii="宋体" w:hAnsi="宋体" w:eastAsia="宋体" w:cs="Times New Roman"/>
                <w:bCs/>
                <w:szCs w:val="21"/>
                <w:highlight w:val="none"/>
              </w:rPr>
              <w:t>。</w:t>
            </w:r>
            <w:r>
              <w:rPr>
                <w:rFonts w:hint="eastAsia" w:ascii="宋体" w:hAnsi="宋体" w:eastAsia="宋体" w:cs="Times New Roman"/>
                <w:bCs/>
                <w:szCs w:val="21"/>
                <w:highlight w:val="none"/>
                <w:lang w:val="en-US" w:eastAsia="zh-CN"/>
              </w:rPr>
              <w:t>其他未注明的技术参数、商务要求偏离2项及以上的视为无效投标。</w:t>
            </w:r>
          </w:p>
        </w:tc>
      </w:tr>
    </w:tbl>
    <w:p w14:paraId="0407F746">
      <w:pPr>
        <w:spacing w:line="360" w:lineRule="atLeast"/>
        <w:ind w:firstLine="495"/>
        <w:rPr>
          <w:rFonts w:ascii="Calibri" w:hAnsi="Calibri" w:eastAsia="宋体" w:cs="Times New Roman"/>
          <w:szCs w:val="24"/>
          <w:highlight w:val="none"/>
        </w:rPr>
      </w:pPr>
    </w:p>
    <w:p w14:paraId="1B68944C">
      <w:pPr>
        <w:jc w:val="center"/>
        <w:rPr>
          <w:rFonts w:ascii="宋体" w:hAnsi="宋体" w:eastAsia="宋体"/>
          <w:b/>
          <w:bCs/>
          <w:sz w:val="32"/>
          <w:szCs w:val="32"/>
          <w:highlight w:val="none"/>
        </w:rPr>
      </w:pPr>
      <w:r>
        <w:rPr>
          <w:rFonts w:hint="eastAsia" w:ascii="宋体" w:hAnsi="宋体" w:eastAsia="宋体"/>
          <w:b/>
          <w:bCs/>
          <w:sz w:val="32"/>
          <w:szCs w:val="32"/>
          <w:highlight w:val="none"/>
        </w:rPr>
        <w:t>第</w:t>
      </w:r>
      <w:r>
        <w:rPr>
          <w:rFonts w:hint="eastAsia" w:ascii="宋体" w:hAnsi="宋体" w:eastAsia="宋体"/>
          <w:b/>
          <w:bCs/>
          <w:sz w:val="32"/>
          <w:szCs w:val="32"/>
          <w:highlight w:val="none"/>
          <w:lang w:val="en-US" w:eastAsia="zh-CN"/>
        </w:rPr>
        <w:t>三</w:t>
      </w:r>
      <w:r>
        <w:rPr>
          <w:rFonts w:hint="eastAsia" w:ascii="宋体" w:hAnsi="宋体" w:eastAsia="宋体"/>
          <w:b/>
          <w:bCs/>
          <w:sz w:val="32"/>
          <w:szCs w:val="32"/>
          <w:highlight w:val="none"/>
        </w:rPr>
        <w:t xml:space="preserve">章 </w:t>
      </w:r>
      <w:r>
        <w:rPr>
          <w:rFonts w:ascii="宋体" w:hAnsi="宋体" w:eastAsia="宋体"/>
          <w:b/>
          <w:bCs/>
          <w:sz w:val="32"/>
          <w:szCs w:val="32"/>
          <w:highlight w:val="none"/>
        </w:rPr>
        <w:t xml:space="preserve"> </w:t>
      </w:r>
      <w:r>
        <w:rPr>
          <w:rFonts w:hint="eastAsia" w:ascii="宋体" w:hAnsi="宋体" w:eastAsia="宋体"/>
          <w:b/>
          <w:bCs/>
          <w:sz w:val="32"/>
          <w:szCs w:val="32"/>
          <w:highlight w:val="none"/>
        </w:rPr>
        <w:t>评标办法及评分标准</w:t>
      </w:r>
    </w:p>
    <w:p w14:paraId="3CC47D1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一、评标办法：综合评分法</w:t>
      </w:r>
    </w:p>
    <w:p w14:paraId="46A2DB8E">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二、评审原则</w:t>
      </w:r>
    </w:p>
    <w:p w14:paraId="7259DB6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0分、技术服务分</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rPr>
        <w:t>0分、信誉业绩分10分。</w:t>
      </w:r>
    </w:p>
    <w:p w14:paraId="45AB8283">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三、评定方法</w:t>
      </w:r>
    </w:p>
    <w:p w14:paraId="74785BB0">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（一）对进入详评的，采用百分制综合评分法。</w:t>
      </w:r>
    </w:p>
    <w:p w14:paraId="269839A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（二）计分办法（按四舍五入取至百分位）：</w:t>
      </w:r>
    </w:p>
    <w:p w14:paraId="76E9F651">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1.价格分………………………………………………………………………</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7A0E2D6E">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（1）以进入评标的最低的评标报价为</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54B55806">
      <w:pPr>
        <w:spacing w:line="276" w:lineRule="auto"/>
        <w:ind w:firstLine="420" w:firstLineChars="200"/>
        <w:jc w:val="left"/>
        <w:rPr>
          <w:rFonts w:hint="eastAsia" w:ascii="宋体" w:hAnsi="宋体" w:eastAsia="宋体" w:cs="Times New Roman"/>
          <w:bCs/>
          <w:color w:val="000000"/>
          <w:szCs w:val="21"/>
          <w:highlight w:val="none"/>
        </w:rPr>
      </w:pPr>
    </w:p>
    <w:p w14:paraId="0FA559F5">
      <w:pPr>
        <w:spacing w:line="276" w:lineRule="auto"/>
        <w:ind w:firstLine="2940" w:firstLineChars="14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14:paraId="3A57C7B1">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    ----------------------------- ×</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546D273B">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 xml:space="preserve">                         某投标人评标报价（金额）</w:t>
      </w:r>
    </w:p>
    <w:p w14:paraId="00866271">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2.技术服务分………………………………………………………………………60分</w:t>
      </w:r>
    </w:p>
    <w:p w14:paraId="2FBF631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（1）设备性能分（满分40分）</w:t>
      </w:r>
    </w:p>
    <w:p w14:paraId="76A6B566">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投标文件技术参数无负偏离，得40分；</w:t>
      </w:r>
    </w:p>
    <w:p w14:paraId="6DA72DF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投标文件技术参数有1个负偏离，得25分。</w:t>
      </w:r>
    </w:p>
    <w:p w14:paraId="33DA9C5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投标文件技术参数有2个负偏离，得10分。</w:t>
      </w:r>
    </w:p>
    <w:p w14:paraId="0406F89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所有技术参数，供应商应提供所投产品彩页或相应技术参数的厂家使用说明书或第三方检测报告扫描件作为技术证明文件（如厂家的产品使用说明书等为英文版，请同时提供中文版），否则响应文件按无效响应处理。</w:t>
      </w:r>
    </w:p>
    <w:p w14:paraId="27085C9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（2）售后服务分（20分）</w:t>
      </w:r>
    </w:p>
    <w:p w14:paraId="4C4EED1E">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一般0.1～7分，良好7.1～14分，优秀14.1～20分，由评委在打分前根据投标人售后服方案的优劣集体讨论确定投标人售后服务方案的档次，并由评委在相应的档次内独立打分。</w:t>
      </w:r>
    </w:p>
    <w:p w14:paraId="4649AC6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注：不提供的不得分。投标人提供的方案未达相应评审档次全部标准的,相应降低一个档次。</w:t>
      </w:r>
    </w:p>
    <w:p w14:paraId="1F03791B">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3.信誉业绩分…………………………………………………………………………10分</w:t>
      </w:r>
    </w:p>
    <w:p w14:paraId="030A99A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投标产品自2021年以来同款产品业绩分，每提供一个合同得2分，满分10分。</w:t>
      </w:r>
    </w:p>
    <w:p w14:paraId="380FFDDD">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注：投标文件中提供有效的中标通知书或合同复印件（或扫描件）并加盖投标人电子签章，否则不予以计分。</w:t>
      </w:r>
    </w:p>
    <w:p w14:paraId="666042C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（三）总得分=1+2+3。</w:t>
      </w:r>
    </w:p>
    <w:p w14:paraId="05F9B80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四、中标候选人推荐原则</w:t>
      </w:r>
    </w:p>
    <w:p w14:paraId="4520952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标小组将根据得分由高到低排列次序（得分相同时，以投标报价由低到高顺序排列；得分相同且投标报价相同的，按技术指标优劣顺序排列）推荐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p w14:paraId="367CF582">
      <w:pPr>
        <w:spacing w:line="276" w:lineRule="auto"/>
        <w:ind w:firstLine="420" w:firstLineChars="200"/>
        <w:jc w:val="left"/>
        <w:rPr>
          <w:rFonts w:hint="eastAsia" w:ascii="宋体" w:hAnsi="宋体" w:eastAsia="宋体" w:cs="Times New Roman"/>
          <w:bCs/>
          <w:color w:val="000000"/>
          <w:szCs w:val="21"/>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15EE6"/>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1597E07"/>
    <w:rsid w:val="01E22EFD"/>
    <w:rsid w:val="04510818"/>
    <w:rsid w:val="075C1FDF"/>
    <w:rsid w:val="09A165E2"/>
    <w:rsid w:val="09D01A1F"/>
    <w:rsid w:val="11120D0D"/>
    <w:rsid w:val="111D540D"/>
    <w:rsid w:val="13942FD9"/>
    <w:rsid w:val="14955CA4"/>
    <w:rsid w:val="16245D2D"/>
    <w:rsid w:val="16E429B1"/>
    <w:rsid w:val="180568C1"/>
    <w:rsid w:val="1A6344CC"/>
    <w:rsid w:val="1C7043E5"/>
    <w:rsid w:val="1DBD60FC"/>
    <w:rsid w:val="1E5D3910"/>
    <w:rsid w:val="1FBE5383"/>
    <w:rsid w:val="20116292"/>
    <w:rsid w:val="21F941EF"/>
    <w:rsid w:val="226B1834"/>
    <w:rsid w:val="227406E1"/>
    <w:rsid w:val="22C5455D"/>
    <w:rsid w:val="248045A1"/>
    <w:rsid w:val="25841CAE"/>
    <w:rsid w:val="26F31699"/>
    <w:rsid w:val="29A95EC3"/>
    <w:rsid w:val="2A137C86"/>
    <w:rsid w:val="2A274666"/>
    <w:rsid w:val="2B351B2D"/>
    <w:rsid w:val="2CBF5B79"/>
    <w:rsid w:val="2D164FEC"/>
    <w:rsid w:val="2D930A38"/>
    <w:rsid w:val="2EC26F00"/>
    <w:rsid w:val="2EF60BC6"/>
    <w:rsid w:val="33F60984"/>
    <w:rsid w:val="34106055"/>
    <w:rsid w:val="35012A1E"/>
    <w:rsid w:val="375C49B1"/>
    <w:rsid w:val="38F46B41"/>
    <w:rsid w:val="39A3029B"/>
    <w:rsid w:val="39E64EBF"/>
    <w:rsid w:val="3BCC406B"/>
    <w:rsid w:val="3BEF5ADB"/>
    <w:rsid w:val="3D406274"/>
    <w:rsid w:val="3D6B227E"/>
    <w:rsid w:val="3D8435DB"/>
    <w:rsid w:val="3FF34E8C"/>
    <w:rsid w:val="403C5C82"/>
    <w:rsid w:val="412B09FA"/>
    <w:rsid w:val="42B96DF4"/>
    <w:rsid w:val="42F44377"/>
    <w:rsid w:val="44D83825"/>
    <w:rsid w:val="451B69DA"/>
    <w:rsid w:val="46B579F4"/>
    <w:rsid w:val="47025747"/>
    <w:rsid w:val="47BA31C6"/>
    <w:rsid w:val="486E744E"/>
    <w:rsid w:val="4AA30431"/>
    <w:rsid w:val="4B092EB1"/>
    <w:rsid w:val="4DBB0BB6"/>
    <w:rsid w:val="4FA4766E"/>
    <w:rsid w:val="4FF042E6"/>
    <w:rsid w:val="500718F9"/>
    <w:rsid w:val="51143AAD"/>
    <w:rsid w:val="52142CBA"/>
    <w:rsid w:val="52286336"/>
    <w:rsid w:val="542227FC"/>
    <w:rsid w:val="551E5F54"/>
    <w:rsid w:val="56310418"/>
    <w:rsid w:val="58A229AD"/>
    <w:rsid w:val="58C46E3D"/>
    <w:rsid w:val="5C5D5C99"/>
    <w:rsid w:val="5CA2200C"/>
    <w:rsid w:val="5FAF6675"/>
    <w:rsid w:val="60915A2A"/>
    <w:rsid w:val="612D786C"/>
    <w:rsid w:val="633A4A17"/>
    <w:rsid w:val="639F748E"/>
    <w:rsid w:val="644D16E1"/>
    <w:rsid w:val="669A1246"/>
    <w:rsid w:val="66AE6FB7"/>
    <w:rsid w:val="6A4E0CDE"/>
    <w:rsid w:val="6AA22B0C"/>
    <w:rsid w:val="6C532B86"/>
    <w:rsid w:val="6CE83C2A"/>
    <w:rsid w:val="6E0158CE"/>
    <w:rsid w:val="6E2F1C86"/>
    <w:rsid w:val="6E6F2D05"/>
    <w:rsid w:val="6F1D0FA2"/>
    <w:rsid w:val="70187912"/>
    <w:rsid w:val="731C766A"/>
    <w:rsid w:val="73B34837"/>
    <w:rsid w:val="75F53FDA"/>
    <w:rsid w:val="76F36957"/>
    <w:rsid w:val="771068B1"/>
    <w:rsid w:val="77764E10"/>
    <w:rsid w:val="7B8352E0"/>
    <w:rsid w:val="7C047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1"/>
    <w:pPr>
      <w:spacing w:before="28"/>
      <w:ind w:left="100"/>
      <w:outlineLvl w:val="3"/>
    </w:pPr>
    <w:rPr>
      <w:rFonts w:ascii="宋体" w:hAnsi="宋体" w:eastAsia="宋体" w:cs="宋体"/>
      <w:sz w:val="20"/>
      <w:szCs w:val="20"/>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line="380" w:lineRule="exact"/>
    </w:pPr>
    <w:rPr>
      <w:kern w:val="0"/>
      <w:sz w:val="24"/>
    </w:rPr>
  </w:style>
  <w:style w:type="paragraph" w:styleId="4">
    <w:name w:val="Date"/>
    <w:basedOn w:val="1"/>
    <w:next w:val="1"/>
    <w:link w:val="14"/>
    <w:autoRedefine/>
    <w:semiHidden/>
    <w:unhideWhenUsed/>
    <w:qFormat/>
    <w:uiPriority w:val="99"/>
    <w:pPr>
      <w:ind w:left="100" w:leftChars="2500"/>
    </w:p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6"/>
    <w:autoRedefine/>
    <w:qFormat/>
    <w:uiPriority w:val="99"/>
    <w:rPr>
      <w:sz w:val="18"/>
      <w:szCs w:val="18"/>
    </w:rPr>
  </w:style>
  <w:style w:type="character" w:customStyle="1" w:styleId="13">
    <w:name w:val="页脚 字符"/>
    <w:basedOn w:val="11"/>
    <w:link w:val="5"/>
    <w:autoRedefine/>
    <w:qFormat/>
    <w:uiPriority w:val="99"/>
    <w:rPr>
      <w:sz w:val="18"/>
      <w:szCs w:val="18"/>
    </w:rPr>
  </w:style>
  <w:style w:type="character" w:customStyle="1" w:styleId="14">
    <w:name w:val="日期 字符"/>
    <w:basedOn w:val="11"/>
    <w:link w:val="4"/>
    <w:autoRedefine/>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2687</Words>
  <Characters>2927</Characters>
  <Lines>24</Lines>
  <Paragraphs>6</Paragraphs>
  <TotalTime>0</TotalTime>
  <ScaleCrop>false</ScaleCrop>
  <LinksUpToDate>false</LinksUpToDate>
  <CharactersWithSpaces>2982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2024-07-26T00:32:46Z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9022C0B81CE34690BF09C8D56079BB51</vt:lpwstr>
  </property>
</Properties>
</file>