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E104E">
      <w:pPr>
        <w:spacing w:before="312" w:beforeLines="100" w:after="156" w:afterLines="50" w:line="600" w:lineRule="exact"/>
        <w:jc w:val="center"/>
        <w:rPr>
          <w:rFonts w:ascii="方正小标宋简体" w:hAnsi="宋体" w:eastAsia="方正小标宋简体" w:cs="Times New Roman"/>
          <w:b/>
          <w:sz w:val="44"/>
          <w:szCs w:val="44"/>
          <w:highlight w:val="none"/>
        </w:rPr>
      </w:pPr>
      <w:r>
        <w:rPr>
          <w:rFonts w:hint="eastAsia" w:ascii="方正小标宋简体" w:hAnsi="宋体" w:eastAsia="方正小标宋简体" w:cs="Times New Roman"/>
          <w:b/>
          <w:sz w:val="44"/>
          <w:szCs w:val="44"/>
          <w:highlight w:val="none"/>
        </w:rPr>
        <w:t>广西骨伤医院针灸训练模型（全身针灸仿真训练系统）采购项目招标文件</w:t>
      </w:r>
    </w:p>
    <w:p w14:paraId="0084AD7E">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14:paraId="46FAE122">
      <w:pPr>
        <w:snapToGrid w:val="0"/>
        <w:spacing w:before="156" w:beforeLines="50" w:line="360" w:lineRule="auto"/>
        <w:jc w:val="center"/>
        <w:rPr>
          <w:rFonts w:ascii="仿宋_GB2312" w:hAnsi="宋体" w:eastAsia="仿宋_GB2312" w:cs="Times New Roman"/>
          <w:color w:val="000000"/>
          <w:sz w:val="30"/>
          <w:szCs w:val="72"/>
          <w:highlight w:val="none"/>
        </w:rPr>
      </w:pPr>
    </w:p>
    <w:p w14:paraId="79C85D8D">
      <w:pPr>
        <w:spacing w:line="400" w:lineRule="exact"/>
        <w:rPr>
          <w:rFonts w:ascii="宋体" w:hAnsi="宋体" w:eastAsia="宋体" w:cs="Times New Roman"/>
          <w:b/>
          <w:color w:val="000000"/>
          <w:sz w:val="32"/>
          <w:szCs w:val="32"/>
          <w:highlight w:val="none"/>
        </w:rPr>
      </w:pPr>
    </w:p>
    <w:p w14:paraId="29FD0D26">
      <w:pPr>
        <w:spacing w:line="400" w:lineRule="exact"/>
        <w:jc w:val="center"/>
        <w:rPr>
          <w:rFonts w:ascii="宋体" w:hAnsi="宋体" w:eastAsia="宋体" w:cs="Times New Roman"/>
          <w:b/>
          <w:color w:val="000000"/>
          <w:sz w:val="32"/>
          <w:szCs w:val="32"/>
          <w:highlight w:val="none"/>
        </w:rPr>
      </w:pPr>
    </w:p>
    <w:p w14:paraId="65B2891B">
      <w:pPr>
        <w:spacing w:line="400" w:lineRule="exact"/>
        <w:jc w:val="center"/>
        <w:rPr>
          <w:rFonts w:ascii="宋体" w:hAnsi="宋体" w:eastAsia="宋体" w:cs="Times New Roman"/>
          <w:b/>
          <w:color w:val="000000"/>
          <w:sz w:val="32"/>
          <w:szCs w:val="32"/>
          <w:highlight w:val="none"/>
        </w:rPr>
      </w:pPr>
    </w:p>
    <w:p w14:paraId="7E6AB270">
      <w:pPr>
        <w:spacing w:line="400" w:lineRule="exact"/>
        <w:ind w:left="2941" w:leftChars="680" w:hanging="1513" w:hangingChars="471"/>
        <w:rPr>
          <w:rFonts w:hint="eastAsia"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项目名称：</w:t>
      </w:r>
      <w:bookmarkStart w:id="0" w:name="_Hlk90536625"/>
      <w:r>
        <w:rPr>
          <w:rFonts w:hint="eastAsia" w:ascii="仿宋_GB2312" w:hAnsi="宋体" w:eastAsia="仿宋_GB2312" w:cs="Times New Roman"/>
          <w:b/>
          <w:color w:val="000000"/>
          <w:sz w:val="32"/>
          <w:szCs w:val="32"/>
          <w:highlight w:val="none"/>
          <w:lang w:val="en-US" w:eastAsia="zh-CN"/>
        </w:rPr>
        <w:t>广西骨伤医院针灸训练模型（全身针灸仿真训练系统）采购项目</w:t>
      </w:r>
    </w:p>
    <w:bookmarkEnd w:id="0"/>
    <w:p w14:paraId="30150888">
      <w:pPr>
        <w:spacing w:line="400" w:lineRule="exact"/>
        <w:jc w:val="center"/>
        <w:rPr>
          <w:rFonts w:ascii="仿宋_GB2312" w:hAnsi="宋体" w:eastAsia="仿宋_GB2312" w:cs="Times New Roman"/>
          <w:b/>
          <w:color w:val="000000"/>
          <w:sz w:val="32"/>
          <w:szCs w:val="32"/>
          <w:highlight w:val="none"/>
        </w:rPr>
      </w:pPr>
    </w:p>
    <w:p w14:paraId="7B640C5F">
      <w:pPr>
        <w:spacing w:line="400" w:lineRule="exact"/>
        <w:ind w:firstLine="1430" w:firstLineChars="445"/>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highlight w:val="none"/>
        </w:rPr>
        <w:t>项目编号：GXGSYY-CGB-YLSBK-2024-</w:t>
      </w:r>
      <w:r>
        <w:rPr>
          <w:rFonts w:hint="eastAsia" w:ascii="仿宋_GB2312" w:hAnsi="宋体" w:eastAsia="仿宋_GB2312" w:cs="Times New Roman"/>
          <w:b/>
          <w:color w:val="000000"/>
          <w:sz w:val="32"/>
          <w:szCs w:val="32"/>
          <w:highlight w:val="none"/>
          <w:lang w:val="en-US" w:eastAsia="zh-CN"/>
        </w:rPr>
        <w:t>17</w:t>
      </w:r>
    </w:p>
    <w:p w14:paraId="3698333A">
      <w:pPr>
        <w:spacing w:line="400" w:lineRule="exact"/>
        <w:jc w:val="center"/>
        <w:rPr>
          <w:rFonts w:ascii="仿宋_GB2312" w:hAnsi="宋体" w:eastAsia="仿宋_GB2312" w:cs="Times New Roman"/>
          <w:b/>
          <w:color w:val="000000"/>
          <w:sz w:val="32"/>
          <w:szCs w:val="32"/>
          <w:highlight w:val="none"/>
        </w:rPr>
      </w:pPr>
    </w:p>
    <w:p w14:paraId="0481C113">
      <w:pPr>
        <w:spacing w:line="400" w:lineRule="exact"/>
        <w:ind w:firstLine="1430" w:firstLineChars="445"/>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14:paraId="43C2859D">
      <w:pPr>
        <w:spacing w:line="400" w:lineRule="exact"/>
        <w:jc w:val="center"/>
        <w:rPr>
          <w:rFonts w:ascii="仿宋_GB2312" w:hAnsi="宋体" w:eastAsia="仿宋_GB2312" w:cs="Times New Roman"/>
          <w:b/>
          <w:color w:val="000000"/>
          <w:sz w:val="32"/>
          <w:szCs w:val="32"/>
          <w:highlight w:val="none"/>
        </w:rPr>
      </w:pPr>
    </w:p>
    <w:p w14:paraId="204E9F9A">
      <w:pPr>
        <w:spacing w:line="400" w:lineRule="exact"/>
        <w:jc w:val="center"/>
        <w:rPr>
          <w:rFonts w:ascii="仿宋_GB2312" w:hAnsi="宋体" w:eastAsia="仿宋_GB2312" w:cs="Times New Roman"/>
          <w:b/>
          <w:color w:val="000000"/>
          <w:sz w:val="32"/>
          <w:szCs w:val="32"/>
          <w:highlight w:val="none"/>
        </w:rPr>
      </w:pPr>
    </w:p>
    <w:p w14:paraId="029EB7F0">
      <w:pPr>
        <w:spacing w:line="400" w:lineRule="exact"/>
        <w:jc w:val="center"/>
        <w:rPr>
          <w:rFonts w:ascii="仿宋_GB2312" w:hAnsi="宋体" w:eastAsia="仿宋_GB2312" w:cs="Times New Roman"/>
          <w:b/>
          <w:color w:val="000000"/>
          <w:sz w:val="32"/>
          <w:szCs w:val="32"/>
          <w:highlight w:val="none"/>
        </w:rPr>
      </w:pPr>
    </w:p>
    <w:p w14:paraId="55D4E2BF">
      <w:pPr>
        <w:spacing w:line="400" w:lineRule="exact"/>
        <w:jc w:val="center"/>
        <w:rPr>
          <w:rFonts w:ascii="仿宋_GB2312" w:hAnsi="宋体" w:eastAsia="仿宋_GB2312" w:cs="Times New Roman"/>
          <w:b/>
          <w:color w:val="000000"/>
          <w:sz w:val="32"/>
          <w:szCs w:val="32"/>
          <w:highlight w:val="none"/>
        </w:rPr>
      </w:pPr>
    </w:p>
    <w:p w14:paraId="0BE7F1D7">
      <w:pPr>
        <w:spacing w:line="400" w:lineRule="exact"/>
        <w:jc w:val="center"/>
        <w:rPr>
          <w:rFonts w:ascii="仿宋_GB2312" w:hAnsi="宋体" w:eastAsia="仿宋_GB2312" w:cs="Times New Roman"/>
          <w:b/>
          <w:color w:val="000000"/>
          <w:sz w:val="32"/>
          <w:szCs w:val="32"/>
          <w:highlight w:val="none"/>
        </w:rPr>
      </w:pPr>
    </w:p>
    <w:p w14:paraId="62A4903A">
      <w:pPr>
        <w:spacing w:line="400" w:lineRule="exact"/>
        <w:jc w:val="center"/>
        <w:rPr>
          <w:rFonts w:ascii="仿宋_GB2312" w:hAnsi="宋体" w:eastAsia="仿宋_GB2312" w:cs="Times New Roman"/>
          <w:b/>
          <w:color w:val="000000"/>
          <w:sz w:val="32"/>
          <w:szCs w:val="32"/>
          <w:highlight w:val="none"/>
        </w:rPr>
      </w:pPr>
    </w:p>
    <w:p w14:paraId="03FFC47B">
      <w:pPr>
        <w:spacing w:line="400" w:lineRule="exact"/>
        <w:jc w:val="center"/>
        <w:rPr>
          <w:rFonts w:ascii="仿宋_GB2312" w:hAnsi="宋体" w:eastAsia="仿宋_GB2312" w:cs="Times New Roman"/>
          <w:b/>
          <w:color w:val="000000"/>
          <w:sz w:val="32"/>
          <w:szCs w:val="32"/>
          <w:highlight w:val="none"/>
        </w:rPr>
      </w:pPr>
    </w:p>
    <w:p w14:paraId="2CB42B98">
      <w:pPr>
        <w:spacing w:line="400" w:lineRule="exact"/>
        <w:jc w:val="center"/>
        <w:rPr>
          <w:rFonts w:ascii="仿宋_GB2312" w:hAnsi="宋体" w:eastAsia="仿宋_GB2312" w:cs="Times New Roman"/>
          <w:b/>
          <w:color w:val="000000"/>
          <w:sz w:val="32"/>
          <w:szCs w:val="32"/>
          <w:highlight w:val="none"/>
        </w:rPr>
      </w:pPr>
    </w:p>
    <w:p w14:paraId="54A3B3AE">
      <w:pPr>
        <w:spacing w:line="400" w:lineRule="exact"/>
        <w:jc w:val="center"/>
        <w:rPr>
          <w:rFonts w:ascii="仿宋_GB2312" w:hAnsi="宋体" w:eastAsia="仿宋_GB2312" w:cs="Times New Roman"/>
          <w:b/>
          <w:color w:val="000000"/>
          <w:sz w:val="32"/>
          <w:szCs w:val="32"/>
          <w:highlight w:val="none"/>
        </w:rPr>
      </w:pPr>
    </w:p>
    <w:p w14:paraId="2C1A864B">
      <w:pPr>
        <w:spacing w:line="400" w:lineRule="exact"/>
        <w:jc w:val="center"/>
        <w:rPr>
          <w:rFonts w:ascii="仿宋_GB2312" w:hAnsi="宋体" w:eastAsia="仿宋_GB2312" w:cs="Times New Roman"/>
          <w:b/>
          <w:color w:val="000000"/>
          <w:sz w:val="32"/>
          <w:szCs w:val="32"/>
          <w:highlight w:val="none"/>
        </w:rPr>
      </w:pPr>
    </w:p>
    <w:p w14:paraId="6455C8F0">
      <w:pPr>
        <w:spacing w:line="400" w:lineRule="exact"/>
        <w:jc w:val="center"/>
        <w:rPr>
          <w:rFonts w:ascii="仿宋_GB2312" w:hAnsi="宋体" w:eastAsia="仿宋_GB2312" w:cs="Times New Roman"/>
          <w:b/>
          <w:color w:val="000000"/>
          <w:sz w:val="32"/>
          <w:szCs w:val="32"/>
          <w:highlight w:val="none"/>
        </w:rPr>
      </w:pPr>
    </w:p>
    <w:p w14:paraId="4146612B">
      <w:pPr>
        <w:spacing w:line="400" w:lineRule="exact"/>
        <w:jc w:val="center"/>
        <w:rPr>
          <w:rFonts w:ascii="仿宋_GB2312" w:hAnsi="宋体" w:eastAsia="仿宋_GB2312" w:cs="Times New Roman"/>
          <w:b/>
          <w:color w:val="000000"/>
          <w:sz w:val="32"/>
          <w:szCs w:val="32"/>
          <w:highlight w:val="none"/>
        </w:rPr>
      </w:pPr>
    </w:p>
    <w:p w14:paraId="370B9D0F">
      <w:pPr>
        <w:spacing w:line="400" w:lineRule="exact"/>
        <w:jc w:val="center"/>
        <w:rPr>
          <w:rFonts w:ascii="仿宋_GB2312" w:hAnsi="宋体" w:eastAsia="仿宋_GB2312" w:cs="Times New Roman"/>
          <w:b/>
          <w:color w:val="000000"/>
          <w:sz w:val="32"/>
          <w:szCs w:val="32"/>
          <w:highlight w:val="none"/>
        </w:rPr>
      </w:pPr>
    </w:p>
    <w:p w14:paraId="3223BADD">
      <w:pPr>
        <w:spacing w:line="400" w:lineRule="exact"/>
        <w:jc w:val="both"/>
        <w:rPr>
          <w:rFonts w:ascii="仿宋_GB2312" w:hAnsi="宋体" w:eastAsia="仿宋_GB2312" w:cs="Times New Roman"/>
          <w:b/>
          <w:color w:val="000000"/>
          <w:sz w:val="32"/>
          <w:szCs w:val="32"/>
          <w:highlight w:val="none"/>
        </w:rPr>
      </w:pPr>
    </w:p>
    <w:p w14:paraId="3BE6A631">
      <w:pPr>
        <w:spacing w:line="400" w:lineRule="exact"/>
        <w:jc w:val="both"/>
        <w:rPr>
          <w:rFonts w:ascii="仿宋_GB2312" w:hAnsi="宋体" w:eastAsia="仿宋_GB2312" w:cs="Times New Roman"/>
          <w:b/>
          <w:color w:val="000000"/>
          <w:sz w:val="32"/>
          <w:szCs w:val="32"/>
          <w:highlight w:val="none"/>
        </w:rPr>
      </w:pPr>
    </w:p>
    <w:p w14:paraId="2A2BA975">
      <w:pPr>
        <w:spacing w:line="400" w:lineRule="exact"/>
        <w:jc w:val="center"/>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4</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7</w:t>
      </w:r>
      <w:r>
        <w:rPr>
          <w:rFonts w:hint="eastAsia" w:ascii="仿宋_GB2312" w:hAnsi="宋体" w:eastAsia="仿宋_GB2312" w:cs="Times New Roman"/>
          <w:b/>
          <w:color w:val="000000"/>
          <w:sz w:val="32"/>
          <w:szCs w:val="32"/>
          <w:highlight w:val="none"/>
        </w:rPr>
        <w:t>月</w:t>
      </w:r>
      <w:r>
        <w:rPr>
          <w:rFonts w:hint="eastAsia" w:ascii="仿宋_GB2312" w:hAnsi="宋体" w:eastAsia="仿宋_GB2312" w:cs="Times New Roman"/>
          <w:b/>
          <w:color w:val="000000"/>
          <w:sz w:val="32"/>
          <w:szCs w:val="32"/>
          <w:highlight w:val="none"/>
          <w:lang w:val="en-US" w:eastAsia="zh-CN"/>
        </w:rPr>
        <w:t>22</w:t>
      </w:r>
      <w:r>
        <w:rPr>
          <w:rFonts w:hint="eastAsia" w:ascii="仿宋_GB2312" w:hAnsi="宋体" w:eastAsia="仿宋_GB2312" w:cs="Times New Roman"/>
          <w:b/>
          <w:color w:val="000000"/>
          <w:sz w:val="32"/>
          <w:szCs w:val="32"/>
          <w:highlight w:val="none"/>
        </w:rPr>
        <w:t>日</w:t>
      </w:r>
    </w:p>
    <w:p w14:paraId="32C85B1F">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zh-CN"/>
        </w:rPr>
      </w:pPr>
      <w:r>
        <w:rPr>
          <w:rFonts w:hint="eastAsia" w:ascii="Cambria" w:hAnsi="Cambria" w:eastAsia="宋体" w:cs="Times New Roman"/>
          <w:b/>
          <w:bCs/>
          <w:color w:val="000000"/>
          <w:sz w:val="32"/>
          <w:szCs w:val="32"/>
          <w:highlight w:val="none"/>
          <w:lang w:val="en-US" w:eastAsia="zh-CN"/>
        </w:rPr>
        <w:t>项目概况</w:t>
      </w:r>
    </w:p>
    <w:p w14:paraId="43E09C05">
      <w:pPr>
        <w:spacing w:line="400" w:lineRule="exact"/>
        <w:ind w:firstLine="420" w:firstLineChars="200"/>
        <w:rPr>
          <w:rFonts w:hint="eastAsia" w:ascii="宋体" w:hAnsi="宋体" w:eastAsia="宋体" w:cs="Times New Roman"/>
          <w:bCs/>
          <w:color w:val="000000"/>
          <w:szCs w:val="21"/>
          <w:highlight w:val="none"/>
          <w:lang w:val="zh-CN"/>
        </w:rPr>
      </w:pPr>
      <w:r>
        <w:rPr>
          <w:rFonts w:hint="eastAsia" w:ascii="宋体" w:hAnsi="宋体" w:eastAsia="宋体" w:cs="Times New Roman"/>
          <w:bCs/>
          <w:color w:val="000000"/>
          <w:szCs w:val="21"/>
          <w:highlight w:val="none"/>
        </w:rPr>
        <w:t>根据临床科室的要求以及临床操作的需要，我院拟对所需要</w:t>
      </w:r>
      <w:r>
        <w:rPr>
          <w:rFonts w:hint="eastAsia" w:ascii="宋体" w:hAnsi="宋体" w:eastAsia="宋体" w:cs="Times New Roman"/>
          <w:bCs/>
          <w:color w:val="000000"/>
          <w:szCs w:val="21"/>
          <w:highlight w:val="none"/>
          <w:lang w:eastAsia="zh-CN"/>
        </w:rPr>
        <w:t>的</w:t>
      </w:r>
      <w:r>
        <w:rPr>
          <w:rFonts w:hint="eastAsia" w:ascii="宋体" w:hAnsi="宋体" w:eastAsia="宋体" w:cs="Times New Roman"/>
          <w:bCs/>
          <w:color w:val="000000"/>
          <w:szCs w:val="21"/>
          <w:highlight w:val="none"/>
          <w:lang w:val="en-US" w:eastAsia="zh-CN"/>
        </w:rPr>
        <w:t>针灸训练模型（全身针灸仿真训练系统）采购项目进行</w:t>
      </w:r>
      <w:r>
        <w:rPr>
          <w:rFonts w:hint="eastAsia" w:ascii="宋体" w:hAnsi="宋体" w:eastAsia="宋体" w:cs="Times New Roman"/>
          <w:bCs/>
          <w:color w:val="000000"/>
          <w:szCs w:val="21"/>
          <w:highlight w:val="none"/>
        </w:rPr>
        <w:t>院内议价，欢迎有意参与的公司前来参加。</w:t>
      </w:r>
    </w:p>
    <w:p w14:paraId="7CEB8D12">
      <w:pPr>
        <w:spacing w:line="400" w:lineRule="exact"/>
        <w:ind w:firstLine="420" w:firstLineChars="200"/>
        <w:rPr>
          <w:rFonts w:hint="eastAsia" w:ascii="宋体" w:hAnsi="宋体" w:eastAsia="宋体" w:cs="Times New Roman"/>
          <w:bCs/>
          <w:color w:val="000000"/>
          <w:szCs w:val="21"/>
          <w:highlight w:val="none"/>
          <w:lang w:val="zh-CN"/>
        </w:rPr>
      </w:pPr>
      <w:bookmarkStart w:id="1" w:name="_Toc28359089"/>
      <w:bookmarkStart w:id="2" w:name="_Toc28359012"/>
      <w:bookmarkStart w:id="3" w:name="_Toc35393629"/>
      <w:bookmarkStart w:id="4" w:name="_Toc44229878"/>
      <w:bookmarkStart w:id="5" w:name="_Toc35393798"/>
      <w:bookmarkStart w:id="6" w:name="_Toc47452205"/>
      <w:r>
        <w:rPr>
          <w:rFonts w:hint="eastAsia" w:ascii="宋体" w:hAnsi="宋体" w:eastAsia="宋体" w:cs="Times New Roman"/>
          <w:bCs/>
          <w:color w:val="000000"/>
          <w:szCs w:val="21"/>
          <w:highlight w:val="none"/>
          <w:lang w:val="zh-CN"/>
        </w:rPr>
        <w:t>一、项目基本情况</w:t>
      </w:r>
      <w:bookmarkEnd w:id="1"/>
      <w:bookmarkEnd w:id="2"/>
      <w:bookmarkEnd w:id="3"/>
      <w:bookmarkEnd w:id="4"/>
      <w:bookmarkEnd w:id="5"/>
      <w:bookmarkEnd w:id="6"/>
    </w:p>
    <w:p w14:paraId="31176D9D">
      <w:pPr>
        <w:spacing w:line="400" w:lineRule="exact"/>
        <w:ind w:firstLine="420" w:firstLineChars="200"/>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项目编号：GXGSYY-CGB-YLSBK-2024-</w:t>
      </w:r>
      <w:r>
        <w:rPr>
          <w:rFonts w:hint="eastAsia" w:ascii="宋体" w:hAnsi="宋体" w:eastAsia="宋体" w:cs="Times New Roman"/>
          <w:bCs/>
          <w:color w:val="000000"/>
          <w:szCs w:val="21"/>
          <w:highlight w:val="none"/>
          <w:lang w:val="en-US" w:eastAsia="zh-CN"/>
        </w:rPr>
        <w:t>17</w:t>
      </w:r>
    </w:p>
    <w:p w14:paraId="194E0695">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项目名称：</w:t>
      </w:r>
      <w:r>
        <w:rPr>
          <w:rFonts w:hint="eastAsia" w:ascii="宋体" w:hAnsi="宋体" w:eastAsia="宋体" w:cs="Times New Roman"/>
          <w:bCs/>
          <w:color w:val="000000"/>
          <w:szCs w:val="21"/>
          <w:highlight w:val="none"/>
          <w:lang w:val="en-US" w:eastAsia="zh-CN"/>
        </w:rPr>
        <w:t>广西骨伤医院针灸训练模型（全身针灸仿真训练系统）采购项目</w:t>
      </w:r>
    </w:p>
    <w:p w14:paraId="329C17C8">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采购方式：院内议价</w:t>
      </w:r>
    </w:p>
    <w:p w14:paraId="7A4F4EA0">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4</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预算金额：</w:t>
      </w:r>
      <w:r>
        <w:rPr>
          <w:rFonts w:hint="eastAsia" w:ascii="宋体" w:hAnsi="宋体" w:eastAsia="宋体" w:cs="Times New Roman"/>
          <w:bCs/>
          <w:color w:val="000000"/>
          <w:szCs w:val="21"/>
          <w:highlight w:val="none"/>
          <w:lang w:val="en-US" w:eastAsia="zh-CN"/>
        </w:rPr>
        <w:t>23.7</w:t>
      </w:r>
      <w:r>
        <w:rPr>
          <w:rFonts w:hint="eastAsia" w:ascii="宋体" w:hAnsi="宋体" w:eastAsia="宋体" w:cs="Times New Roman"/>
          <w:bCs/>
          <w:color w:val="000000"/>
          <w:szCs w:val="21"/>
          <w:highlight w:val="none"/>
        </w:rPr>
        <w:t>万元</w:t>
      </w:r>
      <w:r>
        <w:rPr>
          <w:rFonts w:hint="eastAsia" w:ascii="宋体" w:hAnsi="宋体" w:eastAsia="宋体" w:cs="Times New Roman"/>
          <w:bCs/>
          <w:color w:val="000000"/>
          <w:szCs w:val="21"/>
          <w:highlight w:val="none"/>
          <w:lang w:val="en-US" w:eastAsia="zh-CN"/>
        </w:rPr>
        <w:t>,1</w:t>
      </w:r>
      <w:bookmarkStart w:id="7" w:name="_GoBack"/>
      <w:bookmarkEnd w:id="7"/>
      <w:r>
        <w:rPr>
          <w:rFonts w:hint="eastAsia" w:ascii="宋体" w:hAnsi="宋体" w:eastAsia="宋体" w:cs="Times New Roman"/>
          <w:bCs/>
          <w:color w:val="000000"/>
          <w:szCs w:val="21"/>
          <w:highlight w:val="none"/>
          <w:lang w:val="en-US" w:eastAsia="zh-CN"/>
        </w:rPr>
        <w:t>台</w:t>
      </w:r>
    </w:p>
    <w:p w14:paraId="5C8DEE9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二、技术参数：</w:t>
      </w:r>
    </w:p>
    <w:p w14:paraId="0C6AB93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1.全身针灸仿真训练系统包含：</w:t>
      </w:r>
    </w:p>
    <w:p w14:paraId="7B1D81D7">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1.1 全身针灸模拟人</w:t>
      </w:r>
    </w:p>
    <w:p w14:paraId="49C3834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1.2 落地式一体机</w:t>
      </w:r>
    </w:p>
    <w:p w14:paraId="47E9F707">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1.3 光电感应人体针灸穴位发光模型.</w:t>
      </w:r>
    </w:p>
    <w:p w14:paraId="507B976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 模型功能及特点：</w:t>
      </w:r>
    </w:p>
    <w:p w14:paraId="050D3D13">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2.1 针灸模拟人为整体结构（非四肢拼接而成），四肢均可自由活动。</w:t>
      </w:r>
    </w:p>
    <w:p w14:paraId="13C2FF82">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全身设有 214个穴位。（穴位点均以隐形标识，需在特定LED光源下方可查看）。</w:t>
      </w:r>
    </w:p>
    <w:p w14:paraId="707CEA9C">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w:t>
      </w:r>
    </w:p>
    <w:p w14:paraId="2C9651C5">
      <w:pPr>
        <w:spacing w:line="400" w:lineRule="exact"/>
        <w:ind w:firstLine="422" w:firstLineChars="200"/>
        <w:rPr>
          <w:rFonts w:hint="eastAsia" w:ascii="宋体" w:hAnsi="宋体" w:eastAsia="宋体" w:cs="Times New Roman"/>
          <w:b/>
          <w:bCs w:val="0"/>
          <w:color w:val="FF0000"/>
          <w:szCs w:val="21"/>
          <w:highlight w:val="none"/>
          <w:lang w:val="en-US" w:eastAsia="zh-CN"/>
        </w:rPr>
      </w:pPr>
      <w:r>
        <w:rPr>
          <w:rFonts w:hint="eastAsia" w:ascii="宋体" w:hAnsi="宋体" w:eastAsia="宋体" w:cs="Times New Roman"/>
          <w:b/>
          <w:bCs w:val="0"/>
          <w:color w:val="FF0000"/>
          <w:szCs w:val="21"/>
          <w:highlight w:val="none"/>
          <w:lang w:val="en-US" w:eastAsia="zh-CN"/>
        </w:rPr>
        <w:t>详细需求，详见附件。</w:t>
      </w:r>
    </w:p>
    <w:p w14:paraId="6D011A90">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三</w:t>
      </w:r>
      <w:r>
        <w:rPr>
          <w:rFonts w:hint="eastAsia" w:ascii="宋体" w:hAnsi="宋体" w:eastAsia="宋体" w:cs="Times New Roman"/>
          <w:bCs/>
          <w:color w:val="000000"/>
          <w:szCs w:val="21"/>
          <w:highlight w:val="none"/>
        </w:rPr>
        <w:t>、参会的供应商或公司的资格要求：</w:t>
      </w:r>
    </w:p>
    <w:p w14:paraId="6ED0CAAC">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除应具备《政府采购法》第二十二条资格条件外，还必须满足：</w:t>
      </w:r>
    </w:p>
    <w:p w14:paraId="048D212E">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具有独立承担民事责任能力的在中华人民共和国境内注册的法人。</w:t>
      </w:r>
    </w:p>
    <w:p w14:paraId="3D3C34B7">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经营范围包含所投产品。</w:t>
      </w:r>
    </w:p>
    <w:p w14:paraId="2D555C3C">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为所投产品的制造商或销售代理商(提供授权书)。</w:t>
      </w:r>
    </w:p>
    <w:p w14:paraId="2FEF9855">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四、投标文件的编制</w:t>
      </w:r>
    </w:p>
    <w:p w14:paraId="05901C4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1.投标文件要求：每个投标人只能提交一份投标文件（一个正本五个副本，正本文件内所有资料均需加盖公司公章），所投材料恕不退回。</w:t>
      </w:r>
    </w:p>
    <w:p w14:paraId="3B9C23DB">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2.投标文件的组成  </w:t>
      </w:r>
    </w:p>
    <w:p w14:paraId="7069924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（1）投标人营业执照和相关资质、法定代表人授权委托书、产品授权书；</w:t>
      </w:r>
    </w:p>
    <w:p w14:paraId="628CBDB4">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（2）产品报价、清单以及产品彩页（产品报价内容应包含产品名称、品牌型号、价格、质保年限、生产厂家等相关信息）；</w:t>
      </w:r>
    </w:p>
    <w:p w14:paraId="5CECF65F">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（3）技术参数响应表，商务要求响应表；</w:t>
      </w:r>
    </w:p>
    <w:p w14:paraId="4B5B0364">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（4）投标人信誉证明，相关网站查询截图，及相关业绩材料。</w:t>
      </w:r>
    </w:p>
    <w:p w14:paraId="7F1C8E92">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五、投标人资格要求  </w:t>
      </w:r>
    </w:p>
    <w:p w14:paraId="4B26E2B9">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1.本次招标要求投标人须具备相关资质。  </w:t>
      </w:r>
    </w:p>
    <w:p w14:paraId="03E058F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2.信誉要求。</w:t>
      </w:r>
    </w:p>
    <w:p w14:paraId="11AA249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14:paraId="370972E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六、递交投标文件时间、地点、联系人：</w:t>
      </w:r>
    </w:p>
    <w:p w14:paraId="4F0BDC6D">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时间：2024年7月 日～2024年7月 日（周一至周五上午8:00～12：00，下午15：00～18：00，节假日除外）。</w:t>
      </w:r>
    </w:p>
    <w:p w14:paraId="53C773D7">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地址：南宁市青秀区东葛路1号锦华酒店副楼广西骨伤医院行政办公区401室。</w:t>
      </w:r>
    </w:p>
    <w:p w14:paraId="09DE628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 xml:space="preserve">联系人：李老师   0771-2622251     </w:t>
      </w:r>
    </w:p>
    <w:p w14:paraId="28113BD9">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七、议价会时间及地点：另行通知。</w:t>
      </w:r>
    </w:p>
    <w:p w14:paraId="0A81A9B6">
      <w:pPr>
        <w:spacing w:line="400" w:lineRule="exact"/>
        <w:ind w:firstLine="420" w:firstLineChars="200"/>
        <w:rPr>
          <w:rFonts w:hint="default" w:ascii="宋体" w:hAnsi="宋体" w:eastAsia="宋体" w:cs="Times New Roman"/>
          <w:bCs/>
          <w:color w:val="000000"/>
          <w:szCs w:val="21"/>
          <w:highlight w:val="none"/>
          <w:lang w:val="en-US" w:eastAsia="zh-CN"/>
        </w:rPr>
      </w:pPr>
    </w:p>
    <w:p w14:paraId="3BDCDC57">
      <w:pPr>
        <w:spacing w:line="400" w:lineRule="exact"/>
        <w:ind w:firstLine="420" w:firstLineChars="200"/>
        <w:rPr>
          <w:rFonts w:hint="default" w:ascii="宋体" w:hAnsi="宋体" w:eastAsia="宋体" w:cs="Times New Roman"/>
          <w:bCs/>
          <w:color w:val="000000"/>
          <w:szCs w:val="21"/>
          <w:highlight w:val="none"/>
          <w:lang w:val="en-US" w:eastAsia="zh-CN"/>
        </w:rPr>
      </w:pPr>
    </w:p>
    <w:p w14:paraId="0652DC52">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2024年7月 日</w:t>
      </w:r>
    </w:p>
    <w:p w14:paraId="2A963C32">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广西骨伤医院</w:t>
      </w:r>
    </w:p>
    <w:p w14:paraId="6DCC0394">
      <w:pPr>
        <w:spacing w:line="320" w:lineRule="exact"/>
        <w:rPr>
          <w:rFonts w:hint="eastAsia" w:ascii="宋体" w:hAnsi="宋体" w:eastAsia="宋体" w:cs="Times New Roman"/>
          <w:color w:val="000000"/>
          <w:szCs w:val="21"/>
          <w:highlight w:val="none"/>
        </w:rPr>
      </w:pPr>
    </w:p>
    <w:p w14:paraId="50ABF4E0">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en-US" w:eastAsia="zh-CN"/>
        </w:rPr>
      </w:pPr>
      <w:r>
        <w:rPr>
          <w:rFonts w:hint="eastAsia" w:ascii="Cambria" w:hAnsi="Cambria" w:eastAsia="宋体" w:cs="Times New Roman"/>
          <w:b/>
          <w:bCs/>
          <w:color w:val="000000"/>
          <w:sz w:val="32"/>
          <w:szCs w:val="32"/>
          <w:highlight w:val="none"/>
          <w:lang w:val="en-US" w:eastAsia="zh-CN"/>
        </w:rPr>
        <w:t>采购需求</w:t>
      </w:r>
    </w:p>
    <w:p w14:paraId="47B7BF4F">
      <w:pPr>
        <w:numPr>
          <w:ilvl w:val="0"/>
          <w:numId w:val="0"/>
        </w:numPr>
        <w:spacing w:line="320" w:lineRule="exact"/>
        <w:jc w:val="both"/>
        <w:rPr>
          <w:rFonts w:hint="default" w:ascii="宋体" w:hAnsi="宋体" w:eastAsia="宋体" w:cs="Times New Roman"/>
          <w:color w:val="000000"/>
          <w:szCs w:val="21"/>
          <w:highlight w:val="none"/>
          <w:lang w:val="en-US" w:eastAsia="zh-CN"/>
        </w:rPr>
      </w:pPr>
    </w:p>
    <w:p w14:paraId="2167A9F9">
      <w:pPr>
        <w:spacing w:line="320" w:lineRule="exact"/>
        <w:ind w:firstLine="422" w:firstLineChars="200"/>
        <w:rPr>
          <w:rFonts w:ascii="宋体" w:hAnsi="宋体" w:eastAsia="宋体" w:cs="Times New Roman"/>
          <w:color w:val="000000"/>
          <w:szCs w:val="21"/>
          <w:highlight w:val="none"/>
        </w:rPr>
      </w:pPr>
      <w:r>
        <w:rPr>
          <w:rFonts w:hint="eastAsia" w:ascii="宋体" w:hAnsi="宋体" w:eastAsia="宋体" w:cs="Times New Roman"/>
          <w:b/>
          <w:bCs/>
          <w:color w:val="000000"/>
          <w:szCs w:val="21"/>
          <w:highlight w:val="none"/>
          <w:lang w:val="en-US" w:eastAsia="zh-CN"/>
        </w:rPr>
        <w:t>1</w:t>
      </w:r>
      <w:r>
        <w:rPr>
          <w:rFonts w:ascii="宋体" w:hAnsi="宋体" w:eastAsia="宋体" w:cs="Times New Roman"/>
          <w:b/>
          <w:bCs/>
          <w:color w:val="000000"/>
          <w:szCs w:val="21"/>
          <w:highlight w:val="none"/>
        </w:rPr>
        <w:t>.</w:t>
      </w:r>
      <w:r>
        <w:rPr>
          <w:rFonts w:hint="eastAsia" w:ascii="宋体" w:hAnsi="宋体" w:eastAsia="宋体" w:cs="Times New Roman"/>
          <w:b/>
          <w:bCs/>
          <w:color w:val="000000"/>
          <w:szCs w:val="21"/>
          <w:highlight w:val="none"/>
        </w:rPr>
        <w:t>采购需求</w:t>
      </w:r>
      <w:r>
        <w:rPr>
          <w:rFonts w:hint="eastAsia" w:ascii="宋体" w:hAnsi="宋体" w:eastAsia="宋体" w:cs="Times New Roman"/>
          <w:b/>
          <w:bCs/>
          <w:color w:val="000000"/>
          <w:szCs w:val="21"/>
          <w:highlight w:val="none"/>
          <w:lang w:val="en-US" w:eastAsia="zh-CN"/>
        </w:rPr>
        <w:t>一览表</w:t>
      </w:r>
      <w:r>
        <w:rPr>
          <w:rFonts w:hint="eastAsia" w:ascii="宋体" w:hAnsi="宋体" w:eastAsia="宋体" w:cs="Times New Roman"/>
          <w:b/>
          <w:bCs/>
          <w:color w:val="000000"/>
          <w:szCs w:val="21"/>
          <w:highlight w:val="none"/>
        </w:rPr>
        <w:t>：</w:t>
      </w:r>
      <w:r>
        <w:rPr>
          <w:rFonts w:ascii="宋体" w:hAnsi="宋体" w:eastAsia="宋体" w:cs="Times New Roman"/>
          <w:color w:val="000000"/>
          <w:szCs w:val="21"/>
          <w:highlight w:val="none"/>
        </w:rPr>
        <w:t xml:space="preserve"> </w:t>
      </w:r>
    </w:p>
    <w:p w14:paraId="7AB61FD2">
      <w:pPr>
        <w:ind w:firstLine="422" w:firstLineChars="200"/>
        <w:rPr>
          <w:rFonts w:ascii="宋体" w:hAnsi="宋体" w:eastAsia="宋体" w:cs="Times New Roman"/>
          <w:b/>
          <w:bCs/>
          <w:szCs w:val="21"/>
          <w:highlight w:val="none"/>
        </w:rPr>
      </w:pPr>
      <w:r>
        <w:rPr>
          <w:rFonts w:hint="eastAsia" w:ascii="宋体" w:hAnsi="宋体" w:eastAsia="宋体" w:cs="Times New Roman"/>
          <w:b/>
          <w:bCs/>
          <w:szCs w:val="21"/>
          <w:highlight w:val="none"/>
        </w:rPr>
        <w:t>采购预算：详见竞争性磋商公告</w:t>
      </w:r>
    </w:p>
    <w:p w14:paraId="6B0411B2">
      <w:pPr>
        <w:widowControl/>
        <w:ind w:firstLine="420" w:firstLineChars="200"/>
        <w:rPr>
          <w:rFonts w:ascii="宋体" w:hAnsi="宋体" w:eastAsia="宋体" w:cs="Times New Roman"/>
          <w:color w:val="000000"/>
          <w:szCs w:val="21"/>
          <w:highlight w:val="none"/>
        </w:rPr>
      </w:pPr>
    </w:p>
    <w:tbl>
      <w:tblPr>
        <w:tblStyle w:val="7"/>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14:paraId="4205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14:paraId="2B9B2437">
            <w:pPr>
              <w:spacing w:line="400" w:lineRule="exact"/>
              <w:rPr>
                <w:rFonts w:ascii="宋体" w:hAnsi="宋体" w:eastAsia="宋体" w:cs="Times New Roman"/>
                <w:b/>
                <w:bCs/>
                <w:szCs w:val="21"/>
                <w:highlight w:val="none"/>
              </w:rPr>
            </w:pPr>
            <w:r>
              <w:rPr>
                <w:rFonts w:hint="eastAsia" w:ascii="宋体" w:hAnsi="宋体" w:eastAsia="宋体" w:cs="Times New Roman"/>
                <w:b/>
                <w:bCs/>
                <w:szCs w:val="21"/>
                <w:highlight w:val="none"/>
              </w:rPr>
              <w:t>一、项目要求及技术需求</w:t>
            </w:r>
          </w:p>
        </w:tc>
      </w:tr>
      <w:tr w14:paraId="4570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040E26A3">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采购内容</w:t>
            </w:r>
          </w:p>
        </w:tc>
        <w:tc>
          <w:tcPr>
            <w:tcW w:w="709" w:type="dxa"/>
            <w:shd w:val="clear" w:color="auto" w:fill="auto"/>
            <w:vAlign w:val="center"/>
          </w:tcPr>
          <w:p w14:paraId="44B68CA7">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数量</w:t>
            </w:r>
          </w:p>
        </w:tc>
        <w:tc>
          <w:tcPr>
            <w:tcW w:w="5954" w:type="dxa"/>
            <w:shd w:val="clear" w:color="auto" w:fill="auto"/>
          </w:tcPr>
          <w:p w14:paraId="2164C80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Times New Roman"/>
                <w:szCs w:val="21"/>
                <w:highlight w:val="none"/>
              </w:rPr>
            </w:pPr>
            <w:r>
              <w:rPr>
                <w:rFonts w:hint="eastAsia" w:ascii="宋体" w:hAnsi="宋体" w:eastAsia="宋体" w:cs="Times New Roman"/>
                <w:szCs w:val="21"/>
                <w:highlight w:val="none"/>
              </w:rPr>
              <w:t>项目要求及技术需求</w:t>
            </w:r>
          </w:p>
        </w:tc>
      </w:tr>
      <w:tr w14:paraId="18BF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D566F7F">
            <w:pPr>
              <w:spacing w:line="400" w:lineRule="exact"/>
              <w:jc w:val="center"/>
              <w:rPr>
                <w:rFonts w:hint="eastAsia" w:ascii="宋体" w:hAnsi="宋体" w:eastAsia="宋体" w:cs="Times New Roman"/>
                <w:szCs w:val="21"/>
                <w:highlight w:val="none"/>
                <w:lang w:eastAsia="zh-CN"/>
              </w:rPr>
            </w:pPr>
            <w:r>
              <w:rPr>
                <w:rFonts w:hint="eastAsia" w:ascii="宋体" w:hAnsi="宋体" w:eastAsia="宋体" w:cs="Times New Roman"/>
                <w:bCs/>
                <w:color w:val="000000"/>
                <w:szCs w:val="21"/>
                <w:highlight w:val="none"/>
                <w:lang w:val="en-US" w:eastAsia="zh-CN"/>
              </w:rPr>
              <w:t>针灸训练模型（全身针灸仿真训练系统）</w:t>
            </w:r>
          </w:p>
        </w:tc>
        <w:tc>
          <w:tcPr>
            <w:tcW w:w="709" w:type="dxa"/>
            <w:shd w:val="clear" w:color="auto" w:fill="auto"/>
            <w:vAlign w:val="center"/>
          </w:tcPr>
          <w:p w14:paraId="2CBDB2D6">
            <w:pPr>
              <w:spacing w:line="400" w:lineRule="exact"/>
              <w:jc w:val="left"/>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1台</w:t>
            </w:r>
          </w:p>
        </w:tc>
        <w:tc>
          <w:tcPr>
            <w:tcW w:w="5954" w:type="dxa"/>
            <w:shd w:val="clear" w:color="auto" w:fill="auto"/>
          </w:tcPr>
          <w:p w14:paraId="28D7CBA6">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1.</w:t>
            </w:r>
            <w:r>
              <w:rPr>
                <w:rFonts w:hint="eastAsia" w:ascii="宋体" w:hAnsi="宋体" w:eastAsia="宋体" w:cs="宋体"/>
                <w:bCs/>
                <w:szCs w:val="21"/>
                <w:highlight w:val="none"/>
              </w:rPr>
              <w:t>全身针灸仿真训练系统包含：</w:t>
            </w:r>
          </w:p>
          <w:p w14:paraId="49A88B52">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1.1 全身针灸模拟人</w:t>
            </w:r>
          </w:p>
          <w:p w14:paraId="605F2142">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1.2 落地式一体机</w:t>
            </w:r>
          </w:p>
          <w:p w14:paraId="154325CE">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1.3 光电感应人体针灸穴位发光模型.</w:t>
            </w:r>
          </w:p>
          <w:p w14:paraId="7F913A71">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2. 模型功能及特点：</w:t>
            </w:r>
          </w:p>
          <w:p w14:paraId="07500BE1">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2.1 针灸模拟人为整体结构（非四肢拼接而成），四肢均可自由活动。</w:t>
            </w:r>
          </w:p>
          <w:p w14:paraId="3DB05C6C">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全身设有 214个穴位。（穴位点均以隐形标识，需在特定LED光源下方可查看）。</w:t>
            </w:r>
          </w:p>
          <w:p w14:paraId="2985B48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2.2 发光模型：一具带滑轮底座的身高为170CM的穴位可发光模型。整体左侧显示肌肉解剖状态，右侧为体表状态。材质为玻璃钢。模型体表设置有409个针灸穴位指示灯，以及14条经络线。</w:t>
            </w:r>
          </w:p>
          <w:p w14:paraId="2B9E576A">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2.3 针灸模拟人全身均为真实柔软的仿真皮肤、仿真实皮下与肌肉组织、手感真实触有弹性仿真皮肤有非常好的柔韧性。表面形状、触摸手感均与人体无异，非常的真实</w:t>
            </w:r>
          </w:p>
          <w:p w14:paraId="2E1D41F7">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2.4 模拟人教学使用后同一位置，扎针处皮肤会自行修复愈合不会出现明显孔位。同一点位置可反复上万次进针不留痕迹。</w:t>
            </w:r>
          </w:p>
          <w:p w14:paraId="2C26100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2.5 仿真模拟人体内有完整的全身骨骼仿真结构、四肢骨骼可活动，有良好的弯曲的功能。体内有完整的骨骼仿真结构,真实的展示各部位骨性标志。全身各部位关节为金属构件连接，灵活、牢固可任意摆放各种针灸取穴体位。</w:t>
            </w:r>
          </w:p>
          <w:p w14:paraId="548512E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2.6 体表解剖标志明显，有明确的脊柱骨凸点、肋骨凸点、乳头、肚脐等定位特征点，并可进行针刺定位。</w:t>
            </w:r>
          </w:p>
          <w:p w14:paraId="6A482C5A">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2.7 具有逼真的口腔(牙齿、舌、悬雍垂等)及气道(会厌、声门、气管等)。</w:t>
            </w:r>
          </w:p>
          <w:p w14:paraId="681CC7D1">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3. 软件功能：</w:t>
            </w:r>
          </w:p>
          <w:p w14:paraId="0DF1A20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3.1 查询功能：在主菜单栏内可选择查询方式（分为：穴位查询，经络查询，疾病查询，自定义查询）。</w:t>
            </w:r>
          </w:p>
          <w:p w14:paraId="50328FB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3.2 声音播报功能：在模型或软件内选择穴位后，系统会自动播报当前穴位名称。也可选择播报其余文字内容。</w:t>
            </w:r>
          </w:p>
          <w:p w14:paraId="4FB8BE2F">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3.3 穴位信息显示功能：选择穴位后，软件界面会出现当前穴位的解剖图谱，至少包含正前方，左侧方，皮肤层，肌肉层，骨骼层的穴位定位图谱。并且在软件下方的功能栏内可选择显示当前选择的穴位位置取法、主治病症、所属经络、联系脏腑等内容。</w:t>
            </w:r>
          </w:p>
          <w:p w14:paraId="41B0F812">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3.4 经络循行功能：选择穴位后，可点击软件功能栏进行查看当前经络循行情况，同时发光模型上会将该经络上的穴位点亮并闪烁提示。</w:t>
            </w:r>
          </w:p>
          <w:p w14:paraId="2EA3CF55">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3.5 模型控制功能：软件可控制发光模型上亮起任意选择的穴位。</w:t>
            </w:r>
          </w:p>
          <w:p w14:paraId="543EBC07">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3.6 软件系统内涵盖409个穴位的全面知识，直观，有文字描述，也有各穴位的相关图片，局部解剖图，针对常见疾病的针灸处方方法介绍。软件还可按分类快速查询人体穴位(特殊穴,部位,经络等)，进入经络穴位分类查询，进行疾病穴位分类查询，并有常见疾病针灸取治方案。</w:t>
            </w:r>
          </w:p>
          <w:p w14:paraId="1D2BEA27">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4. 交互功能：</w:t>
            </w:r>
          </w:p>
          <w:p w14:paraId="6BCF61A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4.1 中医针灸模拟人全身设有 214个隐形穴位。光电感应人体针灸穴位发光模型全身设有409个穴位，14条经络线。两具模型通过数据交换与软件系统进行交互。</w:t>
            </w:r>
          </w:p>
          <w:p w14:paraId="4BB19CA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4.2 使用者可根据所需要取穴的穴位在针灸模拟人定位取穴；如取穴正确，软件内会自动显示当前所刺身体部位，并同步播报该穴位名称、穴位代码、穴位经络、穴位部位，并且与站立式的发光模型交互，发光模型上穴位灯开始闪烁提示穴位位置。</w:t>
            </w:r>
          </w:p>
          <w:p w14:paraId="2D0AFC8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4.3 在软件内选择穴位或经络后，发光模型同步会闪烁提示当前所选择穴位或循行闪烁提示经络。</w:t>
            </w:r>
          </w:p>
          <w:p w14:paraId="49BF1B3C">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4.4 在针灸模拟人身上进行不同位置的取穴后，可将所选取过的穴位统一显示在发光模型上，学生对于穴位定位学习的教学成果有直观的感受。</w:t>
            </w:r>
          </w:p>
          <w:p w14:paraId="58E36A7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4.5 在发光模型上使用感应笔点击选择当前学习的穴位，进行穴位信息学习，并在全身针灸模拟人身上根据取穴方法进行真实取穴，与教学内容进行相互印证。例如针刺深度的体验，可在模拟人上进行提插感受穴位不同深度的针感区别。避免在真实治疗中，造成不必要的危险。</w:t>
            </w:r>
          </w:p>
          <w:p w14:paraId="647F7BF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5. 拓展功能：</w:t>
            </w:r>
          </w:p>
          <w:p w14:paraId="3803C19C">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5.1 针灸模拟人材料耐火耐高温，针灸模拟人可进行闪罐、走罐、针罐操作；可用真实罐具进行拔罐训练操作，并有真实的吸附反馈。</w:t>
            </w:r>
          </w:p>
          <w:p w14:paraId="254C3B1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5.2 可在模拟人上进行各种推拿手法的练习操作。</w:t>
            </w:r>
          </w:p>
          <w:p w14:paraId="21C01D9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5.3 配备：中医模拟病变组织模块。真实还原病变组织形态；由无毒耐用、高分子仿真材料制成，安全可靠，长时间贮存不变形；</w:t>
            </w:r>
          </w:p>
          <w:p w14:paraId="2CE48BB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5.4 可用于模拟人或真人身上，模拟不同部位的中医外科疾病，进行包扎、换药等操作；</w:t>
            </w:r>
          </w:p>
          <w:p w14:paraId="341A93E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5.5 模拟乳痈（三种）、丹毒（两种）、有头疽（两种）、臁疮（一种）。</w:t>
            </w:r>
          </w:p>
          <w:p w14:paraId="52535976">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Times New Roman"/>
                <w:kern w:val="2"/>
                <w:sz w:val="21"/>
                <w:szCs w:val="21"/>
                <w:highlight w:val="none"/>
                <w:lang w:val="en-US" w:eastAsia="zh-CN" w:bidi="ar-SA"/>
              </w:rPr>
            </w:pPr>
            <w:r>
              <w:rPr>
                <w:rFonts w:hint="eastAsia" w:ascii="宋体" w:hAnsi="宋体" w:eastAsia="宋体" w:cs="宋体"/>
                <w:bCs/>
                <w:szCs w:val="21"/>
                <w:highlight w:val="none"/>
              </w:rPr>
              <w:t>多发于乳房部结块、伴有乳头内陷，溃后脓出稠厚。丹毒（两种）有头疽（两种）：多发于脑后、项背部的皮肤厚韧的部位。臁疮（一种）。是指发生于小腿臁骨内外侧部位的慢性溃疡。</w:t>
            </w:r>
          </w:p>
        </w:tc>
      </w:tr>
      <w:tr w14:paraId="7F61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14:paraId="70C51E19">
            <w:pPr>
              <w:spacing w:line="400" w:lineRule="exact"/>
              <w:jc w:val="left"/>
              <w:rPr>
                <w:rFonts w:ascii="宋体" w:hAnsi="宋体" w:eastAsia="宋体" w:cs="Times New Roman"/>
                <w:b/>
                <w:szCs w:val="21"/>
                <w:highlight w:val="none"/>
              </w:rPr>
            </w:pPr>
            <w:r>
              <w:rPr>
                <w:rFonts w:hint="eastAsia" w:ascii="宋体" w:hAnsi="宋体" w:eastAsia="宋体" w:cs="Times New Roman"/>
                <w:b/>
                <w:szCs w:val="21"/>
                <w:highlight w:val="none"/>
              </w:rPr>
              <w:t>二、商务要求</w:t>
            </w:r>
          </w:p>
        </w:tc>
      </w:tr>
      <w:tr w14:paraId="51F2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1374FF20">
            <w:pPr>
              <w:jc w:val="left"/>
              <w:rPr>
                <w:rFonts w:ascii="宋体" w:hAnsi="宋体" w:eastAsia="宋体" w:cs="Times New Roman"/>
                <w:b/>
                <w:szCs w:val="21"/>
                <w:highlight w:val="none"/>
              </w:rPr>
            </w:pPr>
            <w:r>
              <w:rPr>
                <w:rFonts w:hint="eastAsia" w:ascii="宋体" w:hAnsi="宋体" w:eastAsia="宋体" w:cs="Times New Roman"/>
                <w:szCs w:val="21"/>
                <w:highlight w:val="none"/>
              </w:rPr>
              <w:t>▲</w:t>
            </w:r>
            <w:r>
              <w:rPr>
                <w:rFonts w:hint="eastAsia" w:ascii="Calibri" w:hAnsi="Calibri" w:eastAsia="宋体" w:cs="Times New Roman"/>
                <w:szCs w:val="24"/>
                <w:highlight w:val="none"/>
              </w:rPr>
              <w:t>报价要求</w:t>
            </w:r>
          </w:p>
        </w:tc>
        <w:tc>
          <w:tcPr>
            <w:tcW w:w="6663" w:type="dxa"/>
            <w:gridSpan w:val="2"/>
            <w:shd w:val="clear" w:color="auto" w:fill="auto"/>
            <w:vAlign w:val="center"/>
          </w:tcPr>
          <w:p w14:paraId="06A710E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ascii="宋体" w:hAnsi="宋体" w:eastAsia="宋体" w:cs="Times New Roman"/>
                <w:b/>
                <w:szCs w:val="21"/>
                <w:highlight w:val="none"/>
              </w:rPr>
            </w:pPr>
            <w:r>
              <w:rPr>
                <w:rFonts w:hint="eastAsia" w:ascii="宋体" w:hAnsi="宋体" w:eastAsia="宋体" w:cs="宋体"/>
                <w:bCs/>
                <w:szCs w:val="21"/>
                <w:highlight w:val="none"/>
              </w:rPr>
              <w:t>报价为全包价，以人民币为结算单位，包括本项目所有系统、</w:t>
            </w:r>
            <w:r>
              <w:rPr>
                <w:rFonts w:hint="eastAsia" w:ascii="宋体" w:hAnsi="宋体" w:eastAsia="宋体" w:cs="宋体"/>
                <w:bCs/>
                <w:szCs w:val="21"/>
                <w:highlight w:val="none"/>
                <w:lang w:val="en-US" w:eastAsia="zh-CN"/>
              </w:rPr>
              <w:t>运输、</w:t>
            </w:r>
            <w:r>
              <w:rPr>
                <w:rFonts w:hint="eastAsia" w:ascii="宋体" w:hAnsi="宋体" w:eastAsia="宋体" w:cs="宋体"/>
                <w:bCs/>
                <w:szCs w:val="21"/>
                <w:highlight w:val="none"/>
              </w:rPr>
              <w:t>安装调试、</w:t>
            </w:r>
            <w:r>
              <w:rPr>
                <w:rFonts w:hint="eastAsia" w:ascii="宋体" w:hAnsi="宋体" w:eastAsia="宋体" w:cs="宋体"/>
                <w:bCs/>
                <w:szCs w:val="21"/>
                <w:highlight w:val="none"/>
                <w:lang w:val="en-US" w:eastAsia="zh-CN"/>
              </w:rPr>
              <w:t>人工费、</w:t>
            </w:r>
            <w:r>
              <w:rPr>
                <w:rFonts w:hint="eastAsia" w:ascii="宋体" w:hAnsi="宋体" w:eastAsia="宋体" w:cs="宋体"/>
                <w:bCs/>
                <w:szCs w:val="21"/>
                <w:highlight w:val="none"/>
              </w:rPr>
              <w:t>验收、培训、售后服务、伴随的服务</w:t>
            </w:r>
            <w:r>
              <w:rPr>
                <w:rFonts w:hint="eastAsia" w:ascii="宋体" w:hAnsi="宋体" w:eastAsia="宋体" w:cs="宋体"/>
                <w:bCs/>
                <w:szCs w:val="21"/>
                <w:highlight w:val="none"/>
                <w:lang w:eastAsia="zh-CN"/>
              </w:rPr>
              <w:t>、</w:t>
            </w:r>
            <w:r>
              <w:rPr>
                <w:rFonts w:hint="eastAsia" w:ascii="宋体" w:hAnsi="宋体" w:eastAsia="宋体" w:cs="宋体"/>
                <w:bCs/>
                <w:szCs w:val="21"/>
              </w:rPr>
              <w:t>各种税费等全部费用</w:t>
            </w:r>
            <w:r>
              <w:rPr>
                <w:rFonts w:hint="eastAsia" w:ascii="宋体" w:hAnsi="宋体" w:eastAsia="宋体" w:cs="宋体"/>
                <w:bCs/>
                <w:szCs w:val="21"/>
                <w:lang w:eastAsia="zh-CN"/>
              </w:rPr>
              <w:t>。</w:t>
            </w:r>
            <w:r>
              <w:rPr>
                <w:rFonts w:hint="eastAsia" w:ascii="宋体" w:hAnsi="宋体" w:eastAsia="宋体" w:cs="宋体"/>
                <w:bCs/>
                <w:szCs w:val="21"/>
                <w:highlight w:val="none"/>
              </w:rPr>
              <w:t>在合同实施时，将不予支付成交供应商没有列入的项目费用，并认为此项目的费用已包括在总报价中。</w:t>
            </w:r>
          </w:p>
        </w:tc>
      </w:tr>
      <w:tr w14:paraId="2486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8E47380">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▲质保期</w:t>
            </w:r>
          </w:p>
        </w:tc>
        <w:tc>
          <w:tcPr>
            <w:tcW w:w="6663" w:type="dxa"/>
            <w:gridSpan w:val="2"/>
            <w:shd w:val="clear" w:color="auto" w:fill="auto"/>
            <w:vAlign w:val="center"/>
          </w:tcPr>
          <w:p w14:paraId="02BE3373">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按国家有关产品“三包”规定执行“三包”，交货验收合格之日起所有货物提供</w:t>
            </w:r>
            <w:r>
              <w:rPr>
                <w:rFonts w:hint="eastAsia" w:ascii="宋体" w:hAnsi="宋体" w:eastAsia="宋体" w:cs="Times New Roman"/>
                <w:b/>
                <w:bCs w:val="0"/>
                <w:szCs w:val="21"/>
                <w:highlight w:val="none"/>
                <w:lang w:val="en-US" w:eastAsia="zh-CN"/>
              </w:rPr>
              <w:t>2</w:t>
            </w:r>
            <w:r>
              <w:rPr>
                <w:rFonts w:hint="eastAsia" w:ascii="宋体" w:hAnsi="宋体" w:eastAsia="宋体" w:cs="Times New Roman"/>
                <w:bCs/>
                <w:szCs w:val="21"/>
                <w:highlight w:val="none"/>
              </w:rPr>
              <w:t>年的免费上门保修和包换、维护服务（各分项另有要求的以各分项要求为准）。质保期内免费上门维修、免费更换零部件。</w:t>
            </w:r>
          </w:p>
        </w:tc>
      </w:tr>
      <w:tr w14:paraId="42F8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11D8D1EA">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售后服务要求</w:t>
            </w:r>
          </w:p>
        </w:tc>
        <w:tc>
          <w:tcPr>
            <w:tcW w:w="6663" w:type="dxa"/>
            <w:gridSpan w:val="2"/>
            <w:shd w:val="clear" w:color="auto" w:fill="auto"/>
            <w:vAlign w:val="center"/>
          </w:tcPr>
          <w:p w14:paraId="413343FE">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免费送货上门、免费培训操作人员。</w:t>
            </w:r>
          </w:p>
          <w:p w14:paraId="21F8F131">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维修响应：中标供应商在接到用户维修电话后4小时内响应， 12小时内到达现场修理解决，并免费更换有缺陷的货物或零部件，24小时内恢复正常使用，若不能修复则应有合理应对方案。</w:t>
            </w:r>
          </w:p>
          <w:p w14:paraId="7AE89B22">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3</w:t>
            </w:r>
            <w:r>
              <w:rPr>
                <w:rFonts w:hint="eastAsia" w:ascii="宋体" w:hAnsi="宋体" w:eastAsia="宋体" w:cs="Times New Roman"/>
                <w:bCs/>
                <w:szCs w:val="21"/>
                <w:highlight w:val="none"/>
              </w:rPr>
              <w:t>.</w:t>
            </w:r>
            <w:r>
              <w:rPr>
                <w:rFonts w:ascii="宋体" w:hAnsi="宋体" w:eastAsia="宋体" w:cs="Times New Roman"/>
                <w:bCs/>
                <w:szCs w:val="21"/>
                <w:highlight w:val="none"/>
              </w:rPr>
              <w:t>中标人除承担运输、安装、调试、验收与培训等义务外，还将为采购方提供技术支持，包括保修期外的修理及技术指导、配件供应等。</w:t>
            </w:r>
          </w:p>
          <w:p w14:paraId="63CC5DDA">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4</w:t>
            </w:r>
            <w:r>
              <w:rPr>
                <w:rFonts w:hint="eastAsia" w:ascii="宋体" w:hAnsi="宋体" w:eastAsia="宋体" w:cs="Times New Roman"/>
                <w:bCs/>
                <w:szCs w:val="21"/>
                <w:highlight w:val="none"/>
              </w:rPr>
              <w:t>.</w:t>
            </w:r>
            <w:r>
              <w:rPr>
                <w:rFonts w:ascii="宋体" w:hAnsi="宋体" w:eastAsia="宋体" w:cs="Times New Roman"/>
                <w:bCs/>
                <w:szCs w:val="21"/>
                <w:highlight w:val="none"/>
              </w:rPr>
              <w:t>投标人应提出售后服务承诺书。</w:t>
            </w:r>
          </w:p>
        </w:tc>
      </w:tr>
      <w:tr w14:paraId="3AFB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0DC0CD8">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交货时间及地点</w:t>
            </w:r>
          </w:p>
        </w:tc>
        <w:tc>
          <w:tcPr>
            <w:tcW w:w="6663" w:type="dxa"/>
            <w:gridSpan w:val="2"/>
            <w:shd w:val="clear" w:color="auto" w:fill="auto"/>
            <w:vAlign w:val="center"/>
          </w:tcPr>
          <w:p w14:paraId="3F8B62C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交付时间：自签订合同之日起7日内。</w:t>
            </w:r>
          </w:p>
          <w:p w14:paraId="1F164A2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交货地点：广西</w:t>
            </w:r>
            <w:r>
              <w:rPr>
                <w:rFonts w:hint="eastAsia" w:ascii="宋体" w:hAnsi="宋体" w:eastAsia="宋体" w:cs="Times New Roman"/>
                <w:bCs/>
                <w:szCs w:val="21"/>
                <w:highlight w:val="none"/>
              </w:rPr>
              <w:t>骨伤医院</w:t>
            </w:r>
            <w:r>
              <w:rPr>
                <w:rFonts w:ascii="宋体" w:hAnsi="宋体" w:eastAsia="宋体" w:cs="Times New Roman"/>
                <w:bCs/>
                <w:szCs w:val="21"/>
                <w:highlight w:val="none"/>
              </w:rPr>
              <w:t>指定地点。</w:t>
            </w:r>
          </w:p>
        </w:tc>
      </w:tr>
      <w:tr w14:paraId="600E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607A1E1C">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付款条件</w:t>
            </w:r>
          </w:p>
        </w:tc>
        <w:tc>
          <w:tcPr>
            <w:tcW w:w="6663" w:type="dxa"/>
            <w:gridSpan w:val="2"/>
            <w:shd w:val="clear" w:color="auto" w:fill="auto"/>
            <w:vAlign w:val="center"/>
          </w:tcPr>
          <w:p w14:paraId="1300248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付款方式：</w:t>
            </w:r>
            <w:r>
              <w:rPr>
                <w:rFonts w:hint="eastAsia" w:ascii="宋体" w:hAnsi="宋体" w:eastAsia="宋体" w:cs="Times New Roman"/>
                <w:bCs/>
                <w:szCs w:val="21"/>
              </w:rPr>
              <w:t>合同签订后，采购人支付合同金额的50%预付款；按照采购人的到货验收制度到货验收后采购人支付合同金额的30%，整体项目验收合格后支付合同剩余20%合同款，中标人30日内开具发票给采购人。</w:t>
            </w:r>
          </w:p>
        </w:tc>
      </w:tr>
      <w:tr w14:paraId="07C0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02E23F39">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其它要求</w:t>
            </w:r>
          </w:p>
        </w:tc>
        <w:tc>
          <w:tcPr>
            <w:tcW w:w="6663" w:type="dxa"/>
            <w:gridSpan w:val="2"/>
            <w:shd w:val="clear" w:color="auto" w:fill="auto"/>
            <w:vAlign w:val="center"/>
          </w:tcPr>
          <w:p w14:paraId="05BAE4D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中标人保证向采购人提供的货物是全新、完整、未使用过的。</w:t>
            </w:r>
          </w:p>
          <w:p w14:paraId="3D4E141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投标时提供投标产品生产厂家公开发行的产品彩页或技术说明书（标明主要技术参数）、技术响应与彩页或技术说明书不一致的以彩页或技术说明书为准。</w:t>
            </w:r>
          </w:p>
          <w:p w14:paraId="76C377B1">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3.投标时必须提供产品有效的医疗器械注册证复印件或注册证受理证明复印件。</w:t>
            </w:r>
          </w:p>
          <w:p w14:paraId="1628668F">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4.若投标人不是投标产品生产厂家，必须提供产品生产厂家或国内代理商授权书。</w:t>
            </w:r>
          </w:p>
        </w:tc>
      </w:tr>
      <w:tr w14:paraId="60C5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5204A561">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备注</w:t>
            </w:r>
          </w:p>
        </w:tc>
        <w:tc>
          <w:tcPr>
            <w:tcW w:w="6663" w:type="dxa"/>
            <w:gridSpan w:val="2"/>
            <w:shd w:val="clear" w:color="auto" w:fill="auto"/>
            <w:vAlign w:val="center"/>
          </w:tcPr>
          <w:p w14:paraId="320C9251">
            <w:pPr>
              <w:keepNext w:val="0"/>
              <w:keepLines w:val="0"/>
              <w:pageBreakBefore w:val="0"/>
              <w:widowControl w:val="0"/>
              <w:kinsoku/>
              <w:wordWrap/>
              <w:overflowPunct/>
              <w:topLinePunct w:val="0"/>
              <w:autoSpaceDE/>
              <w:autoSpaceDN/>
              <w:bidi w:val="0"/>
              <w:spacing w:line="320" w:lineRule="exact"/>
              <w:jc w:val="left"/>
              <w:textAlignment w:val="auto"/>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rPr>
              <w:t>“▲”系指实质性要求条款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lang w:val="en-US" w:eastAsia="zh-CN"/>
              </w:rPr>
              <w:t>不能响应的视为无效投标</w:t>
            </w:r>
            <w:r>
              <w:rPr>
                <w:rFonts w:hint="eastAsia" w:ascii="宋体" w:hAnsi="宋体" w:eastAsia="宋体" w:cs="Times New Roman"/>
                <w:bCs/>
                <w:szCs w:val="21"/>
                <w:highlight w:val="none"/>
              </w:rPr>
              <w:t>。</w:t>
            </w:r>
            <w:r>
              <w:rPr>
                <w:rFonts w:hint="eastAsia" w:ascii="宋体" w:hAnsi="宋体" w:eastAsia="宋体" w:cs="Times New Roman"/>
                <w:bCs/>
                <w:szCs w:val="21"/>
                <w:highlight w:val="none"/>
                <w:lang w:val="en-US" w:eastAsia="zh-CN"/>
              </w:rPr>
              <w:t>其他未注明的技术参数、商务要求偏离3项及以上的视为无效投标。</w:t>
            </w:r>
          </w:p>
        </w:tc>
      </w:tr>
    </w:tbl>
    <w:p w14:paraId="0407F746">
      <w:pPr>
        <w:spacing w:line="360" w:lineRule="atLeast"/>
        <w:ind w:firstLine="495"/>
        <w:rPr>
          <w:rFonts w:ascii="Calibri" w:hAnsi="Calibri" w:eastAsia="宋体" w:cs="Times New Roman"/>
          <w:szCs w:val="24"/>
          <w:highlight w:val="none"/>
        </w:rPr>
      </w:pPr>
    </w:p>
    <w:p w14:paraId="1B68944C">
      <w:pPr>
        <w:jc w:val="center"/>
        <w:rPr>
          <w:rFonts w:ascii="宋体" w:hAnsi="宋体" w:eastAsia="宋体"/>
          <w:b/>
          <w:bCs/>
          <w:sz w:val="32"/>
          <w:szCs w:val="32"/>
          <w:highlight w:val="none"/>
        </w:rPr>
      </w:pPr>
      <w:r>
        <w:rPr>
          <w:rFonts w:hint="eastAsia" w:ascii="宋体" w:hAnsi="宋体" w:eastAsia="宋体"/>
          <w:b/>
          <w:bCs/>
          <w:sz w:val="32"/>
          <w:szCs w:val="32"/>
          <w:highlight w:val="none"/>
        </w:rPr>
        <w:t>第</w:t>
      </w:r>
      <w:r>
        <w:rPr>
          <w:rFonts w:hint="eastAsia" w:ascii="宋体" w:hAnsi="宋体" w:eastAsia="宋体"/>
          <w:b/>
          <w:bCs/>
          <w:sz w:val="32"/>
          <w:szCs w:val="32"/>
          <w:highlight w:val="none"/>
          <w:lang w:val="en-US" w:eastAsia="zh-CN"/>
        </w:rPr>
        <w:t>三</w:t>
      </w:r>
      <w:r>
        <w:rPr>
          <w:rFonts w:hint="eastAsia" w:ascii="宋体" w:hAnsi="宋体" w:eastAsia="宋体"/>
          <w:b/>
          <w:bCs/>
          <w:sz w:val="32"/>
          <w:szCs w:val="32"/>
          <w:highlight w:val="none"/>
        </w:rPr>
        <w:t xml:space="preserve">章 </w:t>
      </w:r>
      <w:r>
        <w:rPr>
          <w:rFonts w:ascii="宋体" w:hAnsi="宋体" w:eastAsia="宋体"/>
          <w:b/>
          <w:bCs/>
          <w:sz w:val="32"/>
          <w:szCs w:val="32"/>
          <w:highlight w:val="none"/>
        </w:rPr>
        <w:t xml:space="preserve"> </w:t>
      </w:r>
      <w:r>
        <w:rPr>
          <w:rFonts w:hint="eastAsia" w:ascii="宋体" w:hAnsi="宋体" w:eastAsia="宋体"/>
          <w:b/>
          <w:bCs/>
          <w:sz w:val="32"/>
          <w:szCs w:val="32"/>
          <w:highlight w:val="none"/>
        </w:rPr>
        <w:t>评标办法及评分标准</w:t>
      </w:r>
    </w:p>
    <w:p w14:paraId="2D8765E6">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一、评标办法：综合评分法</w:t>
      </w:r>
    </w:p>
    <w:p w14:paraId="279754DB">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二、评审原则</w:t>
      </w:r>
    </w:p>
    <w:p w14:paraId="00A18565">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0分、技术服务分</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rPr>
        <w:t>0分、信誉业绩分10分。</w:t>
      </w:r>
    </w:p>
    <w:p w14:paraId="14CC16E5">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三、评定方法</w:t>
      </w:r>
    </w:p>
    <w:p w14:paraId="6F2AB4D6">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（一）对进入详评的，采用百分制综合评分法。</w:t>
      </w:r>
    </w:p>
    <w:p w14:paraId="0D935C6E">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（二）计分办法（按四舍五入取至百分位）：</w:t>
      </w:r>
    </w:p>
    <w:p w14:paraId="2A9AB228">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1.价格分………………………………………………………………………</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24A366F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（1）以进入评标的最低的评标报价为</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2872708B">
      <w:pPr>
        <w:spacing w:line="276" w:lineRule="auto"/>
        <w:ind w:firstLine="420" w:firstLineChars="200"/>
        <w:jc w:val="left"/>
        <w:rPr>
          <w:rFonts w:hint="eastAsia" w:ascii="宋体" w:hAnsi="宋体" w:eastAsia="宋体" w:cs="Times New Roman"/>
          <w:bCs/>
          <w:color w:val="000000"/>
          <w:szCs w:val="21"/>
          <w:highlight w:val="none"/>
        </w:rPr>
      </w:pPr>
    </w:p>
    <w:p w14:paraId="0D403E69">
      <w:pPr>
        <w:spacing w:line="276" w:lineRule="auto"/>
        <w:ind w:firstLine="2940" w:firstLineChars="14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有效投标人最低评标报价（金额）</w:t>
      </w:r>
    </w:p>
    <w:p w14:paraId="4DCB0A96">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某有效投标人价格分=    ----------------------------- ×</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46645176">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 xml:space="preserve">                         某投标人评标报价（金额）</w:t>
      </w:r>
    </w:p>
    <w:p w14:paraId="00866271">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2.技术服务分………………………………………………………………………60分</w:t>
      </w:r>
    </w:p>
    <w:p w14:paraId="2FBF631A">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（1）设备性能分（满分40分）</w:t>
      </w:r>
    </w:p>
    <w:p w14:paraId="76A6B566">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投标文件技术参数无负偏离，得40分；</w:t>
      </w:r>
    </w:p>
    <w:p w14:paraId="6DA72DFA">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投标文件技术参数有1个负偏离，得25分。</w:t>
      </w:r>
    </w:p>
    <w:p w14:paraId="1BBF6E2B">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投标文件技术参数有2个负偏离，得10分。</w:t>
      </w:r>
    </w:p>
    <w:p w14:paraId="0406F898">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所有技术参数，供应商应提供所投产品彩页或相应技术参数的厂家使用说明书或第三方检测报告扫描件作为技术证明文件（如厂家的产品使用说明书等为英文版，请同时提供中文版），否则响应文件按无效响应处理。</w:t>
      </w:r>
    </w:p>
    <w:p w14:paraId="27085C99">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（2）售后服务分（20分）</w:t>
      </w:r>
    </w:p>
    <w:p w14:paraId="4C4EED1E">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一般0.1～7分，良好7.1～14分，优秀14.1～20分，由评委在打分前根据投标人售后服方案的优劣集体讨论确定投标人售后服务方案的档次，并由评委在相应的档次内独立打分。</w:t>
      </w:r>
    </w:p>
    <w:p w14:paraId="4649AC6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注：不提供的不得分。投标人提供的方案未达相应评审档次全部标准的,相应降低一个档次。</w:t>
      </w:r>
    </w:p>
    <w:p w14:paraId="1F03791B">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3.信誉业绩分…………………………………………………………………………10分</w:t>
      </w:r>
    </w:p>
    <w:p w14:paraId="030A99A8">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投标产品自2021年以来同款产品业绩分，每提供一个合同得2分，满分10分。</w:t>
      </w:r>
    </w:p>
    <w:p w14:paraId="380FFDDD">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注：投标文件中提供有效的中标通知书或合同复印件（或扫描件）并加盖投标人电子签章，否则不予以计分。</w:t>
      </w:r>
    </w:p>
    <w:p w14:paraId="666042C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（三）总得分=1+2+3。</w:t>
      </w:r>
    </w:p>
    <w:p w14:paraId="05F9B80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四、中标候选人推荐原则</w:t>
      </w:r>
    </w:p>
    <w:p w14:paraId="68C58E5C">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标小组将根据得分由高到低排列次序（得分相同时，以投标报价由低到高顺序排列；得分相同且投标报价相同的，按技术指标优劣顺序排列）推荐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15EE6"/>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4510818"/>
    <w:rsid w:val="075C1FDF"/>
    <w:rsid w:val="09A165E2"/>
    <w:rsid w:val="09D01A1F"/>
    <w:rsid w:val="0C4830D1"/>
    <w:rsid w:val="11120D0D"/>
    <w:rsid w:val="111D540D"/>
    <w:rsid w:val="13942FD9"/>
    <w:rsid w:val="16245D2D"/>
    <w:rsid w:val="16E429B1"/>
    <w:rsid w:val="180568C1"/>
    <w:rsid w:val="1A6344CC"/>
    <w:rsid w:val="1C7043E5"/>
    <w:rsid w:val="1DBD60FC"/>
    <w:rsid w:val="1E5D3910"/>
    <w:rsid w:val="1FBE5383"/>
    <w:rsid w:val="20116292"/>
    <w:rsid w:val="21F941EF"/>
    <w:rsid w:val="226B1834"/>
    <w:rsid w:val="227406E1"/>
    <w:rsid w:val="22C5455D"/>
    <w:rsid w:val="25841CAE"/>
    <w:rsid w:val="26F31699"/>
    <w:rsid w:val="28626985"/>
    <w:rsid w:val="29A95EC3"/>
    <w:rsid w:val="2A137C86"/>
    <w:rsid w:val="2A274666"/>
    <w:rsid w:val="2B351B2D"/>
    <w:rsid w:val="2CBF5B79"/>
    <w:rsid w:val="2D164FEC"/>
    <w:rsid w:val="2D930A38"/>
    <w:rsid w:val="2EC26F00"/>
    <w:rsid w:val="33F60984"/>
    <w:rsid w:val="34106055"/>
    <w:rsid w:val="38F46B41"/>
    <w:rsid w:val="39E64EBF"/>
    <w:rsid w:val="3BCC406B"/>
    <w:rsid w:val="3BEF5ADB"/>
    <w:rsid w:val="3C273C36"/>
    <w:rsid w:val="3D406274"/>
    <w:rsid w:val="3D6B227E"/>
    <w:rsid w:val="3D8435DB"/>
    <w:rsid w:val="3FF34E8C"/>
    <w:rsid w:val="403C5C82"/>
    <w:rsid w:val="412B09FA"/>
    <w:rsid w:val="42F44377"/>
    <w:rsid w:val="44D83825"/>
    <w:rsid w:val="451B69DA"/>
    <w:rsid w:val="46B579F4"/>
    <w:rsid w:val="47025747"/>
    <w:rsid w:val="47BA31C6"/>
    <w:rsid w:val="486E744E"/>
    <w:rsid w:val="4AA30431"/>
    <w:rsid w:val="4B092EB1"/>
    <w:rsid w:val="4DBB0BB6"/>
    <w:rsid w:val="4FA4766E"/>
    <w:rsid w:val="500718F9"/>
    <w:rsid w:val="52142CBA"/>
    <w:rsid w:val="52286336"/>
    <w:rsid w:val="542227FC"/>
    <w:rsid w:val="551E5F54"/>
    <w:rsid w:val="56310418"/>
    <w:rsid w:val="58C46E3D"/>
    <w:rsid w:val="5C5D5C99"/>
    <w:rsid w:val="5FAF6675"/>
    <w:rsid w:val="60915A2A"/>
    <w:rsid w:val="612D786C"/>
    <w:rsid w:val="633A4A17"/>
    <w:rsid w:val="639F748E"/>
    <w:rsid w:val="644D16E1"/>
    <w:rsid w:val="669A1246"/>
    <w:rsid w:val="66AE6FB7"/>
    <w:rsid w:val="6A4E0CDE"/>
    <w:rsid w:val="6AA22B0C"/>
    <w:rsid w:val="6C532B86"/>
    <w:rsid w:val="6CE83C2A"/>
    <w:rsid w:val="6DFD49C9"/>
    <w:rsid w:val="6E0158CE"/>
    <w:rsid w:val="6E2F1C86"/>
    <w:rsid w:val="6E6F2D05"/>
    <w:rsid w:val="6F1D0FA2"/>
    <w:rsid w:val="70187912"/>
    <w:rsid w:val="731C766A"/>
    <w:rsid w:val="73B34837"/>
    <w:rsid w:val="75F53FDA"/>
    <w:rsid w:val="76F36957"/>
    <w:rsid w:val="771068B1"/>
    <w:rsid w:val="77764E10"/>
    <w:rsid w:val="7B8352E0"/>
    <w:rsid w:val="7C047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Date"/>
    <w:basedOn w:val="1"/>
    <w:next w:val="1"/>
    <w:link w:val="12"/>
    <w:autoRedefine/>
    <w:semiHidden/>
    <w:unhideWhenUsed/>
    <w:qFormat/>
    <w:uiPriority w:val="99"/>
    <w:pPr>
      <w:ind w:left="100" w:leftChars="2500"/>
    </w:p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style>
  <w:style w:type="paragraph" w:styleId="6">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4"/>
    <w:autoRedefine/>
    <w:qFormat/>
    <w:uiPriority w:val="99"/>
    <w:rPr>
      <w:sz w:val="18"/>
      <w:szCs w:val="18"/>
    </w:rPr>
  </w:style>
  <w:style w:type="character" w:customStyle="1" w:styleId="11">
    <w:name w:val="页脚 字符"/>
    <w:basedOn w:val="9"/>
    <w:link w:val="3"/>
    <w:autoRedefine/>
    <w:qFormat/>
    <w:uiPriority w:val="99"/>
    <w:rPr>
      <w:sz w:val="18"/>
      <w:szCs w:val="18"/>
    </w:rPr>
  </w:style>
  <w:style w:type="character" w:customStyle="1" w:styleId="12">
    <w:name w:val="日期 字符"/>
    <w:basedOn w:val="9"/>
    <w:link w:val="2"/>
    <w:autoRedefine/>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4340</Words>
  <Characters>4637</Characters>
  <Lines>24</Lines>
  <Paragraphs>6</Paragraphs>
  <TotalTime>0</TotalTime>
  <ScaleCrop>false</ScaleCrop>
  <LinksUpToDate>false</LinksUpToDate>
  <CharactersWithSpaces>4730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7月LEO</cp:lastModifiedBy>
  <dcterms:modified xsi:type="dcterms:W3CDTF">2024-07-26T00:17:30Z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9022C0B81CE34690BF09C8D56079BB51</vt:lpwstr>
  </property>
</Properties>
</file>