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w:t>
      </w:r>
      <w:r>
        <w:rPr>
          <w:rFonts w:hint="eastAsia" w:ascii="方正小标宋简体" w:hAnsi="宋体" w:eastAsia="方正小标宋简体" w:cs="Times New Roman"/>
          <w:b/>
          <w:sz w:val="44"/>
          <w:szCs w:val="44"/>
          <w:highlight w:val="none"/>
          <w:lang w:eastAsia="zh-CN"/>
        </w:rPr>
        <w:t>关节镜镜头及其配套工具</w:t>
      </w:r>
      <w:r>
        <w:rPr>
          <w:rFonts w:hint="eastAsia" w:ascii="方正小标宋简体" w:hAnsi="宋体" w:eastAsia="方正小标宋简体" w:cs="Times New Roman"/>
          <w:b/>
          <w:sz w:val="44"/>
          <w:szCs w:val="44"/>
          <w:highlight w:val="none"/>
        </w:rPr>
        <w:t>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广西骨伤医院关节镜镜头及其配套工具采购项目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20</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关节镜镜头及其配套工具采购项目进行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89"/>
      <w:bookmarkStart w:id="2" w:name="_Toc35393798"/>
      <w:bookmarkStart w:id="3" w:name="_Toc47452205"/>
      <w:bookmarkStart w:id="4" w:name="_Toc28359012"/>
      <w:bookmarkStart w:id="5" w:name="_Toc44229878"/>
      <w:bookmarkStart w:id="6" w:name="_Toc35393629"/>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20</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广西骨伤医院关节镜镜头及其配套工具采购项目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14.2</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,1</w:t>
      </w:r>
      <w:bookmarkStart w:id="7" w:name="_GoBack"/>
      <w:bookmarkEnd w:id="7"/>
      <w:r>
        <w:rPr>
          <w:rFonts w:hint="eastAsia" w:ascii="宋体" w:hAnsi="宋体" w:eastAsia="宋体" w:cs="Times New Roman"/>
          <w:bCs/>
          <w:color w:val="000000"/>
          <w:szCs w:val="21"/>
          <w:highlight w:val="none"/>
          <w:lang w:val="en-US" w:eastAsia="zh-CN"/>
        </w:rPr>
        <w:t>套</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5108CAB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1.关节镜</w:t>
      </w:r>
      <w:r>
        <w:rPr>
          <w:rFonts w:hint="eastAsia" w:ascii="宋体" w:hAnsi="宋体" w:eastAsia="宋体" w:cs="Times New Roman"/>
          <w:bCs/>
          <w:color w:val="000000"/>
          <w:szCs w:val="21"/>
          <w:highlight w:val="none"/>
          <w:lang w:val="en-US" w:eastAsia="zh-CN"/>
        </w:rPr>
        <w:tab/>
      </w:r>
    </w:p>
    <w:p w14:paraId="4B5EB27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1.1HD高清镜头，视场角≥115°，镜头角度为30°，直径为4mm，长度≥160mm；</w:t>
      </w:r>
    </w:p>
    <w:p w14:paraId="3A8839D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1.2配有1个镜鞘和1个穿刺锥；</w:t>
      </w:r>
    </w:p>
    <w:p w14:paraId="74015556">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 配置蓝宝石物镜，高硬度，抗划伤、划痕；</w:t>
      </w:r>
    </w:p>
    <w:p w14:paraId="13C2FF8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1.4 具备可变焦功能，杜绝术中起雾现象，可用于膝、肩、髋等关节手术；</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9"/>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val="en-US" w:eastAsia="zh-CN"/>
              </w:rPr>
              <w:t>关节镜镜头及其配套工具</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28DF9DF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
                <w:bCs w:val="0"/>
                <w:szCs w:val="21"/>
                <w:highlight w:val="none"/>
              </w:rPr>
            </w:pPr>
            <w:r>
              <w:rPr>
                <w:rFonts w:hint="eastAsia" w:ascii="宋体" w:hAnsi="宋体" w:eastAsia="宋体" w:cs="宋体"/>
                <w:b/>
                <w:bCs w:val="0"/>
                <w:szCs w:val="21"/>
                <w:highlight w:val="none"/>
                <w:lang w:val="en-US" w:eastAsia="zh-CN"/>
              </w:rPr>
              <w:t>1.</w:t>
            </w:r>
            <w:r>
              <w:rPr>
                <w:rFonts w:hint="eastAsia" w:ascii="宋体" w:hAnsi="宋体" w:eastAsia="宋体" w:cs="宋体"/>
                <w:b/>
                <w:bCs w:val="0"/>
                <w:szCs w:val="21"/>
                <w:highlight w:val="none"/>
              </w:rPr>
              <w:t>关节镜</w:t>
            </w:r>
            <w:r>
              <w:rPr>
                <w:rFonts w:hint="eastAsia" w:ascii="宋体" w:hAnsi="宋体" w:eastAsia="宋体" w:cs="宋体"/>
                <w:b/>
                <w:bCs w:val="0"/>
                <w:szCs w:val="21"/>
                <w:highlight w:val="none"/>
              </w:rPr>
              <w:tab/>
            </w:r>
          </w:p>
          <w:p w14:paraId="3A38F3E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Times New Roman"/>
                <w:bCs/>
                <w:color w:val="000000"/>
                <w:szCs w:val="21"/>
                <w:highlight w:val="none"/>
              </w:rPr>
              <w:t>★</w:t>
            </w:r>
            <w:r>
              <w:rPr>
                <w:rFonts w:hint="default" w:ascii="宋体" w:hAnsi="宋体" w:eastAsia="宋体" w:cs="宋体"/>
                <w:bCs/>
                <w:szCs w:val="21"/>
                <w:highlight w:val="none"/>
                <w:lang w:val="en-US" w:eastAsia="zh-CN"/>
              </w:rPr>
              <w:t>1.1</w:t>
            </w:r>
            <w:r>
              <w:rPr>
                <w:rFonts w:hint="eastAsia" w:ascii="宋体" w:hAnsi="宋体" w:eastAsia="宋体" w:cs="宋体"/>
                <w:bCs/>
                <w:szCs w:val="21"/>
                <w:highlight w:val="none"/>
                <w:lang w:val="en-US" w:eastAsia="zh-CN"/>
              </w:rPr>
              <w:t>HD高清镜头</w:t>
            </w:r>
            <w:r>
              <w:rPr>
                <w:rFonts w:hint="eastAsia" w:ascii="宋体" w:hAnsi="宋体" w:eastAsia="宋体" w:cs="宋体"/>
                <w:bCs/>
                <w:szCs w:val="21"/>
                <w:highlight w:val="none"/>
              </w:rPr>
              <w:t>，视</w:t>
            </w:r>
            <w:r>
              <w:rPr>
                <w:rFonts w:hint="eastAsia" w:ascii="宋体" w:hAnsi="宋体" w:eastAsia="宋体" w:cs="宋体"/>
                <w:bCs/>
                <w:szCs w:val="21"/>
                <w:highlight w:val="none"/>
                <w:lang w:val="en-US" w:eastAsia="zh-CN"/>
              </w:rPr>
              <w:t>场</w:t>
            </w:r>
            <w:r>
              <w:rPr>
                <w:rFonts w:hint="eastAsia" w:ascii="宋体" w:hAnsi="宋体" w:eastAsia="宋体" w:cs="宋体"/>
                <w:bCs/>
                <w:szCs w:val="21"/>
                <w:highlight w:val="none"/>
              </w:rPr>
              <w:t>角≥1</w:t>
            </w: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5</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镜头角度为</w:t>
            </w:r>
            <w:r>
              <w:rPr>
                <w:rFonts w:hint="eastAsia" w:ascii="宋体" w:hAnsi="宋体" w:eastAsia="宋体" w:cs="宋体"/>
                <w:bCs/>
                <w:szCs w:val="21"/>
                <w:highlight w:val="none"/>
              </w:rPr>
              <w:t>30°</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直径为</w:t>
            </w:r>
            <w:r>
              <w:rPr>
                <w:rFonts w:hint="eastAsia" w:ascii="宋体" w:hAnsi="宋体" w:eastAsia="宋体" w:cs="宋体"/>
                <w:bCs/>
                <w:szCs w:val="21"/>
                <w:highlight w:val="none"/>
              </w:rPr>
              <w:t>4mm</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长度</w:t>
            </w:r>
            <w:r>
              <w:rPr>
                <w:rFonts w:hint="eastAsia" w:ascii="宋体" w:hAnsi="宋体" w:eastAsia="宋体" w:cs="宋体"/>
                <w:bCs/>
                <w:szCs w:val="21"/>
                <w:highlight w:val="none"/>
              </w:rPr>
              <w:t>≥160mm</w:t>
            </w:r>
            <w:r>
              <w:rPr>
                <w:rFonts w:hint="eastAsia" w:ascii="宋体" w:hAnsi="宋体" w:eastAsia="宋体" w:cs="宋体"/>
                <w:bCs/>
                <w:szCs w:val="21"/>
                <w:highlight w:val="none"/>
                <w:lang w:eastAsia="zh-CN"/>
              </w:rPr>
              <w:t>；</w:t>
            </w:r>
          </w:p>
          <w:p w14:paraId="25C4493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default" w:ascii="宋体" w:hAnsi="宋体" w:eastAsia="宋体" w:cs="宋体"/>
                <w:bCs/>
                <w:szCs w:val="21"/>
                <w:highlight w:val="none"/>
                <w:lang w:val="en-US" w:eastAsia="zh-CN"/>
              </w:rPr>
              <w:t>1.2</w:t>
            </w:r>
            <w:r>
              <w:rPr>
                <w:rFonts w:hint="eastAsia" w:ascii="宋体" w:hAnsi="宋体" w:eastAsia="宋体" w:cs="宋体"/>
                <w:bCs/>
                <w:szCs w:val="21"/>
                <w:highlight w:val="none"/>
                <w:lang w:val="en-US" w:eastAsia="zh-CN"/>
              </w:rPr>
              <w:t>配有1个</w:t>
            </w:r>
            <w:r>
              <w:rPr>
                <w:rFonts w:hint="eastAsia" w:ascii="宋体" w:hAnsi="宋体" w:eastAsia="宋体" w:cs="宋体"/>
                <w:bCs/>
                <w:szCs w:val="21"/>
                <w:highlight w:val="none"/>
              </w:rPr>
              <w:t>镜鞘和</w:t>
            </w:r>
            <w:r>
              <w:rPr>
                <w:rFonts w:hint="eastAsia" w:ascii="宋体" w:hAnsi="宋体" w:eastAsia="宋体" w:cs="宋体"/>
                <w:bCs/>
                <w:szCs w:val="21"/>
                <w:highlight w:val="none"/>
                <w:lang w:val="en-US" w:eastAsia="zh-CN"/>
              </w:rPr>
              <w:t>1个</w:t>
            </w:r>
            <w:r>
              <w:rPr>
                <w:rFonts w:hint="eastAsia" w:ascii="宋体" w:hAnsi="宋体" w:eastAsia="宋体" w:cs="宋体"/>
                <w:bCs/>
                <w:szCs w:val="21"/>
                <w:highlight w:val="none"/>
              </w:rPr>
              <w:t>穿刺锥</w:t>
            </w:r>
            <w:r>
              <w:rPr>
                <w:rFonts w:hint="eastAsia" w:ascii="宋体" w:hAnsi="宋体" w:eastAsia="宋体" w:cs="宋体"/>
                <w:bCs/>
                <w:szCs w:val="21"/>
                <w:highlight w:val="none"/>
                <w:lang w:eastAsia="zh-CN"/>
              </w:rPr>
              <w:t>；</w:t>
            </w:r>
          </w:p>
          <w:p w14:paraId="4D3018A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 xml:space="preserve"> </w:t>
            </w:r>
            <w:r>
              <w:rPr>
                <w:rFonts w:hint="eastAsia" w:ascii="宋体" w:hAnsi="宋体" w:eastAsia="宋体" w:cs="宋体"/>
                <w:bCs/>
                <w:szCs w:val="21"/>
                <w:highlight w:val="none"/>
                <w:lang w:val="en-US" w:eastAsia="zh-CN"/>
              </w:rPr>
              <w:t>配置</w:t>
            </w:r>
            <w:r>
              <w:rPr>
                <w:rFonts w:hint="eastAsia" w:ascii="宋体" w:hAnsi="宋体" w:eastAsia="宋体" w:cs="宋体"/>
                <w:bCs/>
                <w:szCs w:val="21"/>
                <w:highlight w:val="none"/>
              </w:rPr>
              <w:t>蓝宝石物镜，高硬度，抗划伤、划痕</w:t>
            </w:r>
            <w:r>
              <w:rPr>
                <w:rFonts w:hint="eastAsia" w:ascii="宋体" w:hAnsi="宋体" w:eastAsia="宋体" w:cs="宋体"/>
                <w:bCs/>
                <w:szCs w:val="21"/>
                <w:highlight w:val="none"/>
                <w:lang w:eastAsia="zh-CN"/>
              </w:rPr>
              <w:t>；</w:t>
            </w:r>
          </w:p>
          <w:p w14:paraId="0CE6D53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 xml:space="preserve"> </w:t>
            </w:r>
            <w:r>
              <w:rPr>
                <w:rFonts w:hint="eastAsia" w:ascii="宋体" w:hAnsi="宋体" w:eastAsia="宋体" w:cs="宋体"/>
                <w:bCs/>
                <w:szCs w:val="21"/>
                <w:highlight w:val="none"/>
                <w:lang w:val="en-US" w:eastAsia="zh-CN"/>
              </w:rPr>
              <w:t>具备</w:t>
            </w:r>
            <w:r>
              <w:rPr>
                <w:rFonts w:hint="eastAsia" w:ascii="宋体" w:hAnsi="宋体" w:eastAsia="宋体" w:cs="宋体"/>
                <w:bCs/>
                <w:szCs w:val="21"/>
                <w:highlight w:val="none"/>
              </w:rPr>
              <w:t>可变焦</w:t>
            </w:r>
            <w:r>
              <w:rPr>
                <w:rFonts w:hint="eastAsia" w:ascii="宋体" w:hAnsi="宋体" w:eastAsia="宋体" w:cs="宋体"/>
                <w:bCs/>
                <w:szCs w:val="21"/>
                <w:highlight w:val="none"/>
                <w:lang w:val="en-US" w:eastAsia="zh-CN"/>
              </w:rPr>
              <w:t>功能</w:t>
            </w:r>
            <w:r>
              <w:rPr>
                <w:rFonts w:hint="eastAsia" w:ascii="宋体" w:hAnsi="宋体" w:eastAsia="宋体" w:cs="宋体"/>
                <w:bCs/>
                <w:szCs w:val="21"/>
                <w:highlight w:val="none"/>
              </w:rPr>
              <w:t>，杜绝术中起雾现象，可用于膝、肩、髋等关节手术</w:t>
            </w:r>
            <w:r>
              <w:rPr>
                <w:rFonts w:hint="eastAsia" w:ascii="宋体" w:hAnsi="宋体" w:eastAsia="宋体" w:cs="宋体"/>
                <w:bCs/>
                <w:szCs w:val="21"/>
                <w:highlight w:val="none"/>
                <w:lang w:eastAsia="zh-CN"/>
              </w:rPr>
              <w:t>；</w:t>
            </w:r>
          </w:p>
          <w:p w14:paraId="4C2E92F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w:t>
            </w: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 xml:space="preserve"> 特殊玻璃—金属焊接工艺，密封防雾，可高温高压消毒</w:t>
            </w:r>
            <w:r>
              <w:rPr>
                <w:rFonts w:hint="eastAsia" w:ascii="宋体" w:hAnsi="宋体" w:eastAsia="宋体" w:cs="宋体"/>
                <w:bCs/>
                <w:szCs w:val="21"/>
                <w:highlight w:val="none"/>
                <w:lang w:eastAsia="zh-CN"/>
              </w:rPr>
              <w:t>；</w:t>
            </w:r>
          </w:p>
          <w:p w14:paraId="180411D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宋体"/>
                <w:b/>
                <w:bCs w:val="0"/>
                <w:szCs w:val="21"/>
                <w:highlight w:val="none"/>
                <w:lang w:val="en-US" w:eastAsia="zh-CN"/>
              </w:rPr>
            </w:pPr>
            <w:r>
              <w:rPr>
                <w:rFonts w:hint="default" w:ascii="宋体" w:hAnsi="宋体" w:eastAsia="宋体" w:cs="宋体"/>
                <w:b/>
                <w:bCs w:val="0"/>
                <w:szCs w:val="21"/>
                <w:highlight w:val="none"/>
                <w:lang w:val="en-US" w:eastAsia="zh-CN"/>
              </w:rPr>
              <w:t>2.</w:t>
            </w:r>
            <w:r>
              <w:rPr>
                <w:rFonts w:hint="eastAsia" w:ascii="宋体" w:hAnsi="宋体" w:eastAsia="宋体" w:cs="宋体"/>
                <w:b/>
                <w:bCs w:val="0"/>
                <w:szCs w:val="21"/>
                <w:highlight w:val="none"/>
                <w:lang w:val="en-US" w:eastAsia="zh-CN"/>
              </w:rPr>
              <w:t>肩关节镜牵引架</w:t>
            </w:r>
          </w:p>
          <w:p w14:paraId="7B6ECA5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2.1 外形尺寸（长x宽,单位：mm）:≥1300x1100；</w:t>
            </w:r>
          </w:p>
          <w:p w14:paraId="4F34F50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2.2 牵引臂伸缩范围（单位：mm）:750～1250；</w:t>
            </w:r>
          </w:p>
          <w:p w14:paraId="5705034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2.3 牵引臂仰俯角度：±20°；</w:t>
            </w:r>
          </w:p>
          <w:p w14:paraId="3D322E0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2.4 牵引钢丝承载拉力：≥750N；</w:t>
            </w:r>
          </w:p>
          <w:p w14:paraId="389E9A7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2.5 旋转盘调节角度：±60°；</w:t>
            </w:r>
          </w:p>
          <w:p w14:paraId="0A70D1E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2.6 边轨固定器安装尺寸：可定制/通用；</w:t>
            </w:r>
          </w:p>
          <w:p w14:paraId="6D5B6D5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2.7 器械车尺寸（长x宽x高,单位：mm）:≥750x730x770；</w:t>
            </w:r>
          </w:p>
          <w:p w14:paraId="4675424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
                <w:bCs w:val="0"/>
                <w:szCs w:val="21"/>
                <w:highlight w:val="none"/>
                <w:lang w:val="en-US" w:eastAsia="zh-CN"/>
              </w:rPr>
            </w:pPr>
            <w:r>
              <w:rPr>
                <w:rFonts w:hint="eastAsia" w:ascii="宋体" w:hAnsi="宋体" w:eastAsia="宋体" w:cs="宋体"/>
                <w:b/>
                <w:bCs w:val="0"/>
                <w:szCs w:val="21"/>
                <w:highlight w:val="none"/>
                <w:lang w:val="en-US" w:eastAsia="zh-CN"/>
              </w:rPr>
              <w:t>3. 机械助力盐水架</w:t>
            </w:r>
          </w:p>
          <w:p w14:paraId="25A98A0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3.1 主体型材：医用级铝镁合金，无磁性、防腐蚀性、密度小、重量轻）；</w:t>
            </w:r>
          </w:p>
          <w:p w14:paraId="5EE28EF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3.2 升降杆选材：轴承钢直线轴，表面镀铬，防锈，在承重的状态下不易变形；内部具有辅助弹力的提升按钮，可以轻松调节所需高度；</w:t>
            </w:r>
          </w:p>
          <w:p w14:paraId="6B37F51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3.3 挂钩选材：304不锈钢材质，保证在承重的状态下不变形，表面镀铬，永久防锈；</w:t>
            </w:r>
          </w:p>
          <w:p w14:paraId="5FEA939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3.4 挂钩：四个独立升降挂钩。最大总负荷共可承载≥40Kg；</w:t>
            </w:r>
          </w:p>
          <w:p w14:paraId="0A7EF6C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3.5 单钩承载≥10Kg；</w:t>
            </w:r>
          </w:p>
          <w:p w14:paraId="7B74E0D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3.6 高度：挂钩高度可调节范围：≥160cm±3cm，≤260cm±3cm；</w:t>
            </w:r>
          </w:p>
          <w:p w14:paraId="49BAD06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3.7 调节行程：920mm±10mm；</w:t>
            </w:r>
          </w:p>
          <w:p w14:paraId="33EF4D2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宋体"/>
                <w:b/>
                <w:bCs w:val="0"/>
                <w:szCs w:val="21"/>
                <w:highlight w:val="none"/>
                <w:lang w:val="en-US" w:eastAsia="zh-CN"/>
              </w:rPr>
            </w:pPr>
            <w:r>
              <w:rPr>
                <w:rFonts w:hint="default" w:ascii="宋体" w:hAnsi="宋体" w:eastAsia="宋体" w:cs="宋体"/>
                <w:b/>
                <w:bCs w:val="0"/>
                <w:szCs w:val="21"/>
                <w:highlight w:val="none"/>
                <w:lang w:val="en-US" w:eastAsia="zh-CN"/>
              </w:rPr>
              <w:t>4.</w:t>
            </w:r>
            <w:r>
              <w:rPr>
                <w:rFonts w:hint="eastAsia" w:ascii="宋体" w:hAnsi="宋体" w:eastAsia="宋体" w:cs="宋体"/>
                <w:b/>
                <w:bCs w:val="0"/>
                <w:szCs w:val="21"/>
                <w:highlight w:val="none"/>
                <w:lang w:val="en-US" w:eastAsia="zh-CN"/>
              </w:rPr>
              <w:t xml:space="preserve"> 基础器械</w:t>
            </w:r>
          </w:p>
          <w:p w14:paraId="707CD03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Times New Roman"/>
                <w:bCs/>
                <w:color w:val="000000"/>
                <w:szCs w:val="21"/>
                <w:highlight w:val="none"/>
              </w:rPr>
              <w:t>★</w:t>
            </w:r>
            <w:r>
              <w:rPr>
                <w:rFonts w:hint="eastAsia" w:ascii="宋体" w:hAnsi="宋体" w:eastAsia="宋体" w:cs="宋体"/>
                <w:bCs/>
                <w:szCs w:val="21"/>
                <w:highlight w:val="none"/>
                <w:lang w:val="en-US" w:eastAsia="zh-CN"/>
              </w:rPr>
              <w:t>4.1 定位器手柄：人体工程学手柄，导针带刻度，内孔≥2.5mm，定位锁清晰完整；</w:t>
            </w:r>
          </w:p>
          <w:p w14:paraId="5235C2D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Times New Roman"/>
                <w:bCs/>
                <w:color w:val="000000"/>
                <w:szCs w:val="21"/>
                <w:highlight w:val="none"/>
              </w:rPr>
              <w:t>★</w:t>
            </w:r>
            <w:r>
              <w:rPr>
                <w:rFonts w:hint="eastAsia" w:ascii="宋体" w:hAnsi="宋体" w:eastAsia="宋体" w:cs="宋体"/>
                <w:bCs/>
                <w:szCs w:val="21"/>
                <w:highlight w:val="none"/>
                <w:lang w:val="en-US" w:eastAsia="zh-CN"/>
              </w:rPr>
              <w:t>4.2 偏左定位钩：点对点式，头部左偏；</w:t>
            </w:r>
          </w:p>
          <w:p w14:paraId="68A47D6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Times New Roman"/>
                <w:bCs/>
                <w:color w:val="000000"/>
                <w:szCs w:val="21"/>
                <w:highlight w:val="none"/>
              </w:rPr>
              <w:t>★</w:t>
            </w:r>
            <w:r>
              <w:rPr>
                <w:rFonts w:hint="eastAsia" w:ascii="宋体" w:hAnsi="宋体" w:eastAsia="宋体" w:cs="宋体"/>
                <w:bCs/>
                <w:szCs w:val="21"/>
                <w:highlight w:val="none"/>
                <w:lang w:val="en-US" w:eastAsia="zh-CN"/>
              </w:rPr>
              <w:t>4.3 偏右定位钩：点对点式，头部右偏；</w:t>
            </w:r>
          </w:p>
          <w:p w14:paraId="5BA090A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4.4 勾刀：直径3mm，工作长度120mm；</w:t>
            </w:r>
          </w:p>
          <w:p w14:paraId="241D209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4.5 推结剪线器：工作长度145mm,剪切范围≤0.45mm；</w:t>
            </w:r>
          </w:p>
          <w:p w14:paraId="1E48006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4.6 推结棒：直径3.2mm，工作长度160mm；</w:t>
            </w:r>
          </w:p>
          <w:p w14:paraId="789EC10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4.7 剪线钳：开口式，直径3.2mm，工作长度160mm；</w:t>
            </w:r>
          </w:p>
          <w:p w14:paraId="265E6E6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4.8 夹持钳：上翘角度45º，工作长度160mm。</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3"/>
              <w:gridCol w:w="1439"/>
              <w:gridCol w:w="1392"/>
            </w:tblGrid>
            <w:tr w14:paraId="3DDC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28" w:type="dxa"/>
                  <w:gridSpan w:val="4"/>
                  <w:vAlign w:val="center"/>
                </w:tcPr>
                <w:p w14:paraId="2514A6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基础器械清单</w:t>
                  </w:r>
                </w:p>
              </w:tc>
            </w:tr>
            <w:tr w14:paraId="16D9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2967A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序号</w:t>
                  </w:r>
                </w:p>
              </w:tc>
              <w:tc>
                <w:tcPr>
                  <w:tcW w:w="2193" w:type="dxa"/>
                  <w:vAlign w:val="center"/>
                </w:tcPr>
                <w:p w14:paraId="2153332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名称</w:t>
                  </w:r>
                </w:p>
              </w:tc>
              <w:tc>
                <w:tcPr>
                  <w:tcW w:w="1439" w:type="dxa"/>
                  <w:vAlign w:val="center"/>
                </w:tcPr>
                <w:p w14:paraId="7EC43D2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数量</w:t>
                  </w:r>
                </w:p>
              </w:tc>
              <w:tc>
                <w:tcPr>
                  <w:tcW w:w="1392" w:type="dxa"/>
                  <w:vAlign w:val="center"/>
                </w:tcPr>
                <w:p w14:paraId="075745E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单位</w:t>
                  </w:r>
                </w:p>
              </w:tc>
            </w:tr>
            <w:tr w14:paraId="09C0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64E96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2193" w:type="dxa"/>
                  <w:vAlign w:val="center"/>
                </w:tcPr>
                <w:p w14:paraId="36F4BB1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半月板后根定位器</w:t>
                  </w:r>
                </w:p>
              </w:tc>
              <w:tc>
                <w:tcPr>
                  <w:tcW w:w="1439" w:type="dxa"/>
                  <w:vAlign w:val="center"/>
                </w:tcPr>
                <w:p w14:paraId="639EA68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4B98D69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个</w:t>
                  </w:r>
                </w:p>
              </w:tc>
            </w:tr>
            <w:tr w14:paraId="4860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F425E7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w:t>
                  </w:r>
                </w:p>
              </w:tc>
              <w:tc>
                <w:tcPr>
                  <w:tcW w:w="2193" w:type="dxa"/>
                  <w:vAlign w:val="center"/>
                </w:tcPr>
                <w:p w14:paraId="049D026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定位钩偏左</w:t>
                  </w:r>
                </w:p>
              </w:tc>
              <w:tc>
                <w:tcPr>
                  <w:tcW w:w="1439" w:type="dxa"/>
                  <w:vAlign w:val="center"/>
                </w:tcPr>
                <w:p w14:paraId="6E5D24C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64DAEB6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个</w:t>
                  </w:r>
                </w:p>
              </w:tc>
            </w:tr>
            <w:tr w14:paraId="3BC4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A2D688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w:t>
                  </w:r>
                </w:p>
              </w:tc>
              <w:tc>
                <w:tcPr>
                  <w:tcW w:w="2193" w:type="dxa"/>
                  <w:vAlign w:val="center"/>
                </w:tcPr>
                <w:p w14:paraId="7DA3D9D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定位钩偏右</w:t>
                  </w:r>
                </w:p>
              </w:tc>
              <w:tc>
                <w:tcPr>
                  <w:tcW w:w="1439" w:type="dxa"/>
                  <w:vAlign w:val="center"/>
                </w:tcPr>
                <w:p w14:paraId="12F4262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1237F06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个</w:t>
                  </w:r>
                </w:p>
              </w:tc>
            </w:tr>
            <w:tr w14:paraId="3742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8E44A7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w:t>
                  </w:r>
                </w:p>
              </w:tc>
              <w:tc>
                <w:tcPr>
                  <w:tcW w:w="2193" w:type="dxa"/>
                  <w:vAlign w:val="center"/>
                </w:tcPr>
                <w:p w14:paraId="33AA6E8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勾刀</w:t>
                  </w:r>
                </w:p>
              </w:tc>
              <w:tc>
                <w:tcPr>
                  <w:tcW w:w="1439" w:type="dxa"/>
                  <w:vAlign w:val="center"/>
                </w:tcPr>
                <w:p w14:paraId="7ECC864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141283D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个</w:t>
                  </w:r>
                </w:p>
              </w:tc>
            </w:tr>
            <w:tr w14:paraId="1706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16DE6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w:t>
                  </w:r>
                </w:p>
              </w:tc>
              <w:tc>
                <w:tcPr>
                  <w:tcW w:w="2193" w:type="dxa"/>
                  <w:vAlign w:val="center"/>
                </w:tcPr>
                <w:p w14:paraId="47E6038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推结剪线器</w:t>
                  </w:r>
                </w:p>
              </w:tc>
              <w:tc>
                <w:tcPr>
                  <w:tcW w:w="1439" w:type="dxa"/>
                  <w:vAlign w:val="center"/>
                </w:tcPr>
                <w:p w14:paraId="574E1F9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7268B04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把</w:t>
                  </w:r>
                </w:p>
              </w:tc>
            </w:tr>
            <w:tr w14:paraId="1FB9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193639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w:t>
                  </w:r>
                </w:p>
              </w:tc>
              <w:tc>
                <w:tcPr>
                  <w:tcW w:w="2193" w:type="dxa"/>
                  <w:vAlign w:val="center"/>
                </w:tcPr>
                <w:p w14:paraId="7AB6865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推结棒</w:t>
                  </w:r>
                </w:p>
              </w:tc>
              <w:tc>
                <w:tcPr>
                  <w:tcW w:w="1439" w:type="dxa"/>
                  <w:vAlign w:val="center"/>
                </w:tcPr>
                <w:p w14:paraId="508757F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2E15FB9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把</w:t>
                  </w:r>
                </w:p>
              </w:tc>
            </w:tr>
            <w:tr w14:paraId="1CDC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12D7F1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w:t>
                  </w:r>
                </w:p>
              </w:tc>
              <w:tc>
                <w:tcPr>
                  <w:tcW w:w="2193" w:type="dxa"/>
                  <w:vAlign w:val="center"/>
                </w:tcPr>
                <w:p w14:paraId="674D52B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剪线钳（开口）</w:t>
                  </w:r>
                </w:p>
              </w:tc>
              <w:tc>
                <w:tcPr>
                  <w:tcW w:w="1439" w:type="dxa"/>
                  <w:vAlign w:val="center"/>
                </w:tcPr>
                <w:p w14:paraId="212D85C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7AD936F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把</w:t>
                  </w:r>
                </w:p>
              </w:tc>
            </w:tr>
            <w:tr w14:paraId="02BD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F34B94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w:t>
                  </w:r>
                </w:p>
              </w:tc>
              <w:tc>
                <w:tcPr>
                  <w:tcW w:w="2193" w:type="dxa"/>
                  <w:vAlign w:val="center"/>
                </w:tcPr>
                <w:p w14:paraId="50EE62D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夹持钳</w:t>
                  </w:r>
                </w:p>
              </w:tc>
              <w:tc>
                <w:tcPr>
                  <w:tcW w:w="1439" w:type="dxa"/>
                  <w:vAlign w:val="center"/>
                </w:tcPr>
                <w:p w14:paraId="0C10798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w:t>
                  </w:r>
                </w:p>
              </w:tc>
              <w:tc>
                <w:tcPr>
                  <w:tcW w:w="1392" w:type="dxa"/>
                  <w:vAlign w:val="center"/>
                </w:tcPr>
                <w:p w14:paraId="7B599EC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把</w:t>
                  </w:r>
                </w:p>
              </w:tc>
            </w:tr>
          </w:tbl>
          <w:p w14:paraId="5FF000F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Times New Roman"/>
                <w:b/>
                <w:szCs w:val="21"/>
                <w:highlight w:val="none"/>
                <w:lang w:val="en-US" w:eastAsia="zh-CN"/>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r>
              <w:rPr>
                <w:rFonts w:hint="eastAsia" w:ascii="宋体" w:hAnsi="宋体" w:eastAsia="宋体" w:cs="宋体"/>
                <w:bCs/>
                <w:szCs w:val="21"/>
                <w:highlight w:val="none"/>
                <w:lang w:val="en-US" w:eastAsia="zh-CN"/>
              </w:rPr>
              <w:t>列出清单明细价格及总价。</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合同签订后采购人支付合同金额的50%作为预付款，整体</w:t>
            </w:r>
            <w:r>
              <w:rPr>
                <w:rFonts w:hint="eastAsia" w:ascii="宋体" w:hAnsi="宋体" w:eastAsia="宋体" w:cs="Times New Roman"/>
                <w:bCs/>
                <w:szCs w:val="21"/>
              </w:rPr>
              <w:t>验收合格后，采购人支付合同总金额的</w:t>
            </w:r>
            <w:r>
              <w:rPr>
                <w:rFonts w:hint="eastAsia" w:ascii="宋体" w:hAnsi="宋体" w:eastAsia="宋体" w:cs="Times New Roman"/>
                <w:bCs/>
                <w:szCs w:val="21"/>
                <w:lang w:val="en-US" w:eastAsia="zh-CN"/>
              </w:rPr>
              <w:t>50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4A47CD1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48A18E3F">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3F2851C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429DED5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5C484D92">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338F8B4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508028E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0D844E3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48E4A7EC">
      <w:pPr>
        <w:spacing w:line="276" w:lineRule="auto"/>
        <w:ind w:firstLine="420" w:firstLineChars="200"/>
        <w:jc w:val="left"/>
        <w:rPr>
          <w:rFonts w:hint="eastAsia" w:ascii="宋体" w:hAnsi="宋体" w:eastAsia="宋体" w:cs="Times New Roman"/>
          <w:bCs/>
          <w:color w:val="000000"/>
          <w:szCs w:val="21"/>
          <w:highlight w:val="none"/>
        </w:rPr>
      </w:pPr>
    </w:p>
    <w:p w14:paraId="1EBC4B95">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5CE1335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36C88CD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0BBACAC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09BD8E3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一般技术参数技术分（满分</w:t>
      </w:r>
      <w:r>
        <w:rPr>
          <w:rFonts w:hint="eastAsia" w:ascii="宋体" w:hAnsi="宋体" w:eastAsia="宋体" w:cs="Times New Roman"/>
          <w:bCs/>
          <w:color w:val="000000"/>
          <w:szCs w:val="21"/>
          <w:highlight w:val="none"/>
          <w:lang w:val="en-US" w:eastAsia="zh-CN"/>
        </w:rPr>
        <w:t>27.6</w:t>
      </w:r>
      <w:r>
        <w:rPr>
          <w:rFonts w:hint="eastAsia" w:ascii="宋体" w:hAnsi="宋体" w:eastAsia="宋体" w:cs="Times New Roman"/>
          <w:bCs/>
          <w:color w:val="000000"/>
          <w:szCs w:val="21"/>
          <w:highlight w:val="none"/>
        </w:rPr>
        <w:t>分）：所有进入详细评审的投标人得一般技术参数技术基本分</w:t>
      </w:r>
      <w:r>
        <w:rPr>
          <w:rFonts w:hint="eastAsia" w:ascii="宋体" w:hAnsi="宋体" w:eastAsia="宋体" w:cs="Times New Roman"/>
          <w:bCs/>
          <w:color w:val="000000"/>
          <w:szCs w:val="21"/>
          <w:highlight w:val="none"/>
          <w:lang w:val="en-US" w:eastAsia="zh-CN"/>
        </w:rPr>
        <w:t>27.6</w:t>
      </w:r>
      <w:r>
        <w:rPr>
          <w:rFonts w:hint="eastAsia" w:ascii="宋体" w:hAnsi="宋体" w:eastAsia="宋体" w:cs="Times New Roman"/>
          <w:bCs/>
          <w:color w:val="000000"/>
          <w:szCs w:val="21"/>
          <w:highlight w:val="none"/>
        </w:rPr>
        <w:t>分，一般技术参数是指技术规格中未标注“▲”及“★”的技术参数每有一项负偏离(或漏项)在基本分基础上扣</w:t>
      </w:r>
      <w:r>
        <w:rPr>
          <w:rFonts w:hint="eastAsia" w:ascii="宋体" w:hAnsi="宋体" w:eastAsia="宋体" w:cs="Times New Roman"/>
          <w:bCs/>
          <w:color w:val="000000"/>
          <w:szCs w:val="21"/>
          <w:highlight w:val="none"/>
          <w:lang w:val="en-US" w:eastAsia="zh-CN"/>
        </w:rPr>
        <w:t>1.2</w:t>
      </w:r>
      <w:r>
        <w:rPr>
          <w:rFonts w:hint="eastAsia" w:ascii="宋体" w:hAnsi="宋体" w:eastAsia="宋体" w:cs="Times New Roman"/>
          <w:bCs/>
          <w:color w:val="000000"/>
          <w:szCs w:val="21"/>
          <w:highlight w:val="none"/>
        </w:rPr>
        <w:t>分，扣完为止。</w:t>
      </w:r>
    </w:p>
    <w:p w14:paraId="48CB6B4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重要技术参数技术分（满分12.</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分）：所有进入详细评审的投标人得重要技术参数技术基本分12.</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分，重要技术参数是指技术规格中标注“★”的技术参数每有一项负偏离(或漏项)在基本分基础上扣</w:t>
      </w:r>
      <w:r>
        <w:rPr>
          <w:rFonts w:hint="eastAsia" w:ascii="宋体" w:hAnsi="宋体" w:eastAsia="宋体" w:cs="Times New Roman"/>
          <w:bCs/>
          <w:color w:val="000000"/>
          <w:szCs w:val="21"/>
          <w:highlight w:val="none"/>
          <w:lang w:val="en-US" w:eastAsia="zh-CN"/>
        </w:rPr>
        <w:t>3.1</w:t>
      </w:r>
      <w:r>
        <w:rPr>
          <w:rFonts w:hint="eastAsia" w:ascii="宋体" w:hAnsi="宋体" w:eastAsia="宋体" w:cs="Times New Roman"/>
          <w:bCs/>
          <w:color w:val="000000"/>
          <w:szCs w:val="21"/>
          <w:highlight w:val="none"/>
        </w:rPr>
        <w:t>分，扣完为止。</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重要技术参数和部分一般技术参数的有效信息，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2BD60323">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3E7A7E"/>
    <w:rsid w:val="075C1FDF"/>
    <w:rsid w:val="09A165E2"/>
    <w:rsid w:val="09D01A1F"/>
    <w:rsid w:val="11120D0D"/>
    <w:rsid w:val="111D540D"/>
    <w:rsid w:val="13942FD9"/>
    <w:rsid w:val="14955CA4"/>
    <w:rsid w:val="16245D2D"/>
    <w:rsid w:val="16E429B1"/>
    <w:rsid w:val="180568C1"/>
    <w:rsid w:val="1A6344CC"/>
    <w:rsid w:val="1C7043E5"/>
    <w:rsid w:val="1DBD60FC"/>
    <w:rsid w:val="1E5D3910"/>
    <w:rsid w:val="1FBE5383"/>
    <w:rsid w:val="20116292"/>
    <w:rsid w:val="21F941EF"/>
    <w:rsid w:val="226B1834"/>
    <w:rsid w:val="227406E1"/>
    <w:rsid w:val="22C5455D"/>
    <w:rsid w:val="25841CAE"/>
    <w:rsid w:val="26F31699"/>
    <w:rsid w:val="29A95EC3"/>
    <w:rsid w:val="2A137C86"/>
    <w:rsid w:val="2A274666"/>
    <w:rsid w:val="2B351B2D"/>
    <w:rsid w:val="2CBF5B79"/>
    <w:rsid w:val="2D164FEC"/>
    <w:rsid w:val="2D930A38"/>
    <w:rsid w:val="2EC26F00"/>
    <w:rsid w:val="2FFA6EC5"/>
    <w:rsid w:val="33F60984"/>
    <w:rsid w:val="34106055"/>
    <w:rsid w:val="351107D9"/>
    <w:rsid w:val="375C49B1"/>
    <w:rsid w:val="38F46B41"/>
    <w:rsid w:val="39E64EBF"/>
    <w:rsid w:val="3BCC406B"/>
    <w:rsid w:val="3BEF5ADB"/>
    <w:rsid w:val="3D406274"/>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1143AAD"/>
    <w:rsid w:val="52142CBA"/>
    <w:rsid w:val="52286336"/>
    <w:rsid w:val="542227FC"/>
    <w:rsid w:val="551E5F54"/>
    <w:rsid w:val="56310418"/>
    <w:rsid w:val="58C46E3D"/>
    <w:rsid w:val="5C5D5C99"/>
    <w:rsid w:val="5FAF6675"/>
    <w:rsid w:val="60915A2A"/>
    <w:rsid w:val="612D786C"/>
    <w:rsid w:val="633A4A17"/>
    <w:rsid w:val="639F748E"/>
    <w:rsid w:val="644D16E1"/>
    <w:rsid w:val="669A1246"/>
    <w:rsid w:val="66AE6FB7"/>
    <w:rsid w:val="6A4E0CDE"/>
    <w:rsid w:val="6AA22B0C"/>
    <w:rsid w:val="6C532B86"/>
    <w:rsid w:val="6CE83C2A"/>
    <w:rsid w:val="6E0158CE"/>
    <w:rsid w:val="6E2F1C86"/>
    <w:rsid w:val="6E6F2D05"/>
    <w:rsid w:val="6F1D0FA2"/>
    <w:rsid w:val="70187912"/>
    <w:rsid w:val="731C766A"/>
    <w:rsid w:val="73B34837"/>
    <w:rsid w:val="75F53FDA"/>
    <w:rsid w:val="76F36957"/>
    <w:rsid w:val="771068B1"/>
    <w:rsid w:val="77764E10"/>
    <w:rsid w:val="7B8352E0"/>
    <w:rsid w:val="7C047E00"/>
    <w:rsid w:val="7E351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1"/>
    <w:pPr>
      <w:spacing w:before="28"/>
      <w:ind w:left="100"/>
      <w:outlineLvl w:val="3"/>
    </w:pPr>
    <w:rPr>
      <w:rFonts w:ascii="宋体" w:hAnsi="宋体" w:eastAsia="宋体" w:cs="宋体"/>
      <w:sz w:val="20"/>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80" w:lineRule="exact"/>
    </w:pPr>
    <w:rPr>
      <w:kern w:val="0"/>
      <w:sz w:val="24"/>
    </w:rPr>
  </w:style>
  <w:style w:type="paragraph" w:styleId="4">
    <w:name w:val="Date"/>
    <w:basedOn w:val="1"/>
    <w:next w:val="1"/>
    <w:link w:val="14"/>
    <w:autoRedefine/>
    <w:semiHidden/>
    <w:unhideWhenUsed/>
    <w:qFormat/>
    <w:uiPriority w:val="99"/>
    <w:pPr>
      <w:ind w:left="100" w:leftChars="2500"/>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autoRedefine/>
    <w:qFormat/>
    <w:uiPriority w:val="99"/>
    <w:rPr>
      <w:sz w:val="18"/>
      <w:szCs w:val="18"/>
    </w:rPr>
  </w:style>
  <w:style w:type="character" w:customStyle="1" w:styleId="13">
    <w:name w:val="页脚 字符"/>
    <w:basedOn w:val="11"/>
    <w:link w:val="5"/>
    <w:autoRedefine/>
    <w:qFormat/>
    <w:uiPriority w:val="99"/>
    <w:rPr>
      <w:sz w:val="18"/>
      <w:szCs w:val="18"/>
    </w:rPr>
  </w:style>
  <w:style w:type="character" w:customStyle="1" w:styleId="14">
    <w:name w:val="日期 字符"/>
    <w:basedOn w:val="11"/>
    <w:link w:val="4"/>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3461</Words>
  <Characters>3869</Characters>
  <Lines>24</Lines>
  <Paragraphs>6</Paragraphs>
  <TotalTime>0</TotalTime>
  <ScaleCrop>false</ScaleCrop>
  <LinksUpToDate>false</LinksUpToDate>
  <CharactersWithSpaces>3955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