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6953FB">
      <w:pPr>
        <w:spacing w:line="600" w:lineRule="exact"/>
        <w:jc w:val="center"/>
        <w:rPr>
          <w:rFonts w:ascii="方正小标宋简体" w:hAnsi="宋体" w:eastAsia="方正小标宋简体" w:cs="Times New Roman"/>
          <w:b/>
          <w:sz w:val="72"/>
          <w:szCs w:val="72"/>
        </w:rPr>
      </w:pPr>
    </w:p>
    <w:p w14:paraId="449418A2">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14:paraId="0F61BA24">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14:paraId="4E8CC5C3">
      <w:pPr>
        <w:snapToGrid w:val="0"/>
        <w:spacing w:before="156" w:beforeLines="50" w:line="360" w:lineRule="auto"/>
        <w:jc w:val="center"/>
        <w:rPr>
          <w:rFonts w:ascii="仿宋_GB2312" w:hAnsi="宋体" w:eastAsia="仿宋_GB2312" w:cs="Times New Roman"/>
          <w:color w:val="000000"/>
          <w:sz w:val="30"/>
          <w:szCs w:val="72"/>
        </w:rPr>
      </w:pPr>
    </w:p>
    <w:p w14:paraId="0BB89F8C">
      <w:pPr>
        <w:spacing w:line="400" w:lineRule="exact"/>
        <w:rPr>
          <w:rFonts w:ascii="宋体" w:hAnsi="宋体" w:eastAsia="宋体" w:cs="Times New Roman"/>
          <w:b/>
          <w:color w:val="000000"/>
          <w:sz w:val="32"/>
          <w:szCs w:val="32"/>
        </w:rPr>
      </w:pPr>
    </w:p>
    <w:p w14:paraId="144BCB03">
      <w:pPr>
        <w:spacing w:line="400" w:lineRule="exact"/>
        <w:jc w:val="center"/>
        <w:rPr>
          <w:rFonts w:ascii="宋体" w:hAnsi="宋体" w:eastAsia="宋体" w:cs="Times New Roman"/>
          <w:b/>
          <w:color w:val="000000"/>
          <w:sz w:val="32"/>
          <w:szCs w:val="32"/>
        </w:rPr>
      </w:pPr>
    </w:p>
    <w:p w14:paraId="665951FB">
      <w:pPr>
        <w:spacing w:line="400" w:lineRule="exact"/>
        <w:jc w:val="center"/>
        <w:rPr>
          <w:rFonts w:ascii="宋体" w:hAnsi="宋体" w:eastAsia="宋体" w:cs="Times New Roman"/>
          <w:b/>
          <w:color w:val="000000"/>
          <w:sz w:val="32"/>
          <w:szCs w:val="32"/>
        </w:rPr>
      </w:pPr>
    </w:p>
    <w:p w14:paraId="268985AE">
      <w:pPr>
        <w:spacing w:line="400" w:lineRule="exact"/>
        <w:ind w:firstLine="643" w:firstLineChars="2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w:t>
      </w:r>
      <w:r>
        <w:rPr>
          <w:rFonts w:hint="eastAsia" w:ascii="仿宋_GB2312" w:hAnsi="宋体" w:eastAsia="仿宋_GB2312" w:cs="Times New Roman"/>
          <w:b/>
          <w:color w:val="000000"/>
          <w:sz w:val="32"/>
          <w:szCs w:val="32"/>
          <w:lang w:val="en-US" w:eastAsia="zh-CN"/>
        </w:rPr>
        <w:t>物资管理信息化系统</w:t>
      </w:r>
      <w:r>
        <w:rPr>
          <w:rFonts w:hint="eastAsia" w:ascii="仿宋_GB2312" w:hAnsi="宋体" w:eastAsia="仿宋_GB2312" w:cs="Times New Roman"/>
          <w:b/>
          <w:color w:val="000000"/>
          <w:sz w:val="32"/>
          <w:szCs w:val="32"/>
        </w:rPr>
        <w:t>采购项目</w:t>
      </w:r>
    </w:p>
    <w:p w14:paraId="366E3871">
      <w:pPr>
        <w:spacing w:line="400" w:lineRule="exact"/>
        <w:jc w:val="center"/>
        <w:rPr>
          <w:rFonts w:ascii="仿宋_GB2312" w:hAnsi="宋体" w:eastAsia="仿宋_GB2312" w:cs="Times New Roman"/>
          <w:b/>
          <w:color w:val="000000"/>
          <w:sz w:val="32"/>
          <w:szCs w:val="32"/>
        </w:rPr>
      </w:pPr>
    </w:p>
    <w:p w14:paraId="4B467F11">
      <w:pPr>
        <w:spacing w:line="400" w:lineRule="exact"/>
        <w:ind w:firstLine="643" w:firstLineChars="2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val="0"/>
          <w:bCs/>
          <w:color w:val="000000"/>
          <w:sz w:val="32"/>
          <w:szCs w:val="32"/>
        </w:rPr>
        <w:t>GXGSYY-CGB-CWYYB-2024-04</w:t>
      </w:r>
    </w:p>
    <w:p w14:paraId="58A7CE4F">
      <w:pPr>
        <w:spacing w:line="400" w:lineRule="exact"/>
        <w:jc w:val="center"/>
        <w:rPr>
          <w:rFonts w:ascii="仿宋_GB2312" w:hAnsi="宋体" w:eastAsia="仿宋_GB2312" w:cs="Times New Roman"/>
          <w:b/>
          <w:color w:val="000000"/>
          <w:sz w:val="32"/>
          <w:szCs w:val="32"/>
        </w:rPr>
      </w:pPr>
    </w:p>
    <w:p w14:paraId="75D83F0F">
      <w:pPr>
        <w:spacing w:line="400" w:lineRule="exact"/>
        <w:ind w:firstLine="643" w:firstLineChars="2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14:paraId="0E2D37FC">
      <w:pPr>
        <w:spacing w:line="400" w:lineRule="exact"/>
        <w:jc w:val="center"/>
        <w:rPr>
          <w:rFonts w:ascii="仿宋_GB2312" w:hAnsi="宋体" w:eastAsia="仿宋_GB2312" w:cs="Times New Roman"/>
          <w:b/>
          <w:color w:val="000000"/>
          <w:sz w:val="32"/>
          <w:szCs w:val="32"/>
        </w:rPr>
      </w:pPr>
    </w:p>
    <w:p w14:paraId="30F8106D">
      <w:pPr>
        <w:spacing w:line="400" w:lineRule="exact"/>
        <w:jc w:val="center"/>
        <w:rPr>
          <w:rFonts w:ascii="仿宋_GB2312" w:hAnsi="宋体" w:eastAsia="仿宋_GB2312" w:cs="Times New Roman"/>
          <w:b/>
          <w:color w:val="000000"/>
          <w:sz w:val="32"/>
          <w:szCs w:val="32"/>
        </w:rPr>
      </w:pPr>
    </w:p>
    <w:p w14:paraId="2D72707E">
      <w:pPr>
        <w:spacing w:line="400" w:lineRule="exact"/>
        <w:jc w:val="center"/>
        <w:rPr>
          <w:rFonts w:ascii="仿宋_GB2312" w:hAnsi="宋体" w:eastAsia="仿宋_GB2312" w:cs="Times New Roman"/>
          <w:b/>
          <w:color w:val="000000"/>
          <w:sz w:val="32"/>
          <w:szCs w:val="32"/>
        </w:rPr>
      </w:pPr>
    </w:p>
    <w:p w14:paraId="2AF3D68E">
      <w:pPr>
        <w:spacing w:line="400" w:lineRule="exact"/>
        <w:jc w:val="center"/>
        <w:rPr>
          <w:rFonts w:ascii="仿宋_GB2312" w:hAnsi="宋体" w:eastAsia="仿宋_GB2312" w:cs="Times New Roman"/>
          <w:b/>
          <w:color w:val="000000"/>
          <w:sz w:val="32"/>
          <w:szCs w:val="32"/>
        </w:rPr>
      </w:pPr>
    </w:p>
    <w:p w14:paraId="09E5150D">
      <w:pPr>
        <w:spacing w:line="400" w:lineRule="exact"/>
        <w:jc w:val="center"/>
        <w:rPr>
          <w:rFonts w:ascii="仿宋_GB2312" w:hAnsi="宋体" w:eastAsia="仿宋_GB2312" w:cs="Times New Roman"/>
          <w:b/>
          <w:color w:val="000000"/>
          <w:sz w:val="32"/>
          <w:szCs w:val="32"/>
        </w:rPr>
      </w:pPr>
    </w:p>
    <w:p w14:paraId="138DB1A5">
      <w:pPr>
        <w:spacing w:line="400" w:lineRule="exact"/>
        <w:jc w:val="center"/>
        <w:rPr>
          <w:rFonts w:ascii="仿宋_GB2312" w:hAnsi="宋体" w:eastAsia="仿宋_GB2312" w:cs="Times New Roman"/>
          <w:b/>
          <w:color w:val="000000"/>
          <w:sz w:val="32"/>
          <w:szCs w:val="32"/>
        </w:rPr>
      </w:pPr>
    </w:p>
    <w:p w14:paraId="277D74D4">
      <w:pPr>
        <w:spacing w:line="400" w:lineRule="exact"/>
        <w:jc w:val="center"/>
        <w:rPr>
          <w:rFonts w:ascii="仿宋_GB2312" w:hAnsi="宋体" w:eastAsia="仿宋_GB2312" w:cs="Times New Roman"/>
          <w:b/>
          <w:color w:val="000000"/>
          <w:sz w:val="32"/>
          <w:szCs w:val="32"/>
        </w:rPr>
      </w:pPr>
    </w:p>
    <w:p w14:paraId="7A25DD18">
      <w:pPr>
        <w:spacing w:line="400" w:lineRule="exact"/>
        <w:jc w:val="center"/>
        <w:rPr>
          <w:rFonts w:ascii="仿宋_GB2312" w:hAnsi="宋体" w:eastAsia="仿宋_GB2312" w:cs="Times New Roman"/>
          <w:b/>
          <w:color w:val="000000"/>
          <w:sz w:val="32"/>
          <w:szCs w:val="32"/>
        </w:rPr>
      </w:pPr>
    </w:p>
    <w:p w14:paraId="200EBF21">
      <w:pPr>
        <w:spacing w:line="400" w:lineRule="exact"/>
        <w:jc w:val="center"/>
        <w:rPr>
          <w:rFonts w:ascii="仿宋_GB2312" w:hAnsi="宋体" w:eastAsia="仿宋_GB2312" w:cs="Times New Roman"/>
          <w:b/>
          <w:color w:val="000000"/>
          <w:sz w:val="32"/>
          <w:szCs w:val="32"/>
        </w:rPr>
      </w:pPr>
    </w:p>
    <w:p w14:paraId="080FFDC3">
      <w:pPr>
        <w:spacing w:line="400" w:lineRule="exact"/>
        <w:jc w:val="center"/>
        <w:rPr>
          <w:rFonts w:ascii="仿宋_GB2312" w:hAnsi="宋体" w:eastAsia="仿宋_GB2312" w:cs="Times New Roman"/>
          <w:b/>
          <w:color w:val="000000"/>
          <w:sz w:val="32"/>
          <w:szCs w:val="32"/>
        </w:rPr>
      </w:pPr>
    </w:p>
    <w:p w14:paraId="66D3E088">
      <w:pPr>
        <w:spacing w:line="400" w:lineRule="exact"/>
        <w:jc w:val="center"/>
        <w:rPr>
          <w:rFonts w:ascii="仿宋_GB2312" w:hAnsi="宋体" w:eastAsia="仿宋_GB2312" w:cs="Times New Roman"/>
          <w:b/>
          <w:color w:val="000000"/>
          <w:sz w:val="32"/>
          <w:szCs w:val="32"/>
        </w:rPr>
      </w:pPr>
    </w:p>
    <w:p w14:paraId="527BA6E8">
      <w:pPr>
        <w:spacing w:line="400" w:lineRule="exact"/>
        <w:jc w:val="center"/>
        <w:rPr>
          <w:rFonts w:ascii="仿宋_GB2312" w:hAnsi="宋体" w:eastAsia="仿宋_GB2312" w:cs="Times New Roman"/>
          <w:b/>
          <w:color w:val="000000"/>
          <w:sz w:val="32"/>
          <w:szCs w:val="32"/>
        </w:rPr>
      </w:pPr>
    </w:p>
    <w:p w14:paraId="4D29E7E3">
      <w:pPr>
        <w:spacing w:line="400" w:lineRule="exact"/>
        <w:jc w:val="center"/>
        <w:rPr>
          <w:rFonts w:ascii="仿宋_GB2312" w:hAnsi="宋体" w:eastAsia="仿宋_GB2312" w:cs="Times New Roman"/>
          <w:b/>
          <w:color w:val="000000"/>
          <w:sz w:val="32"/>
          <w:szCs w:val="32"/>
        </w:rPr>
      </w:pPr>
    </w:p>
    <w:p w14:paraId="7C02B859">
      <w:pPr>
        <w:spacing w:line="400" w:lineRule="exact"/>
        <w:rPr>
          <w:rFonts w:ascii="仿宋_GB2312" w:hAnsi="宋体" w:eastAsia="仿宋_GB2312" w:cs="Times New Roman"/>
          <w:b/>
          <w:color w:val="000000"/>
          <w:sz w:val="32"/>
          <w:szCs w:val="32"/>
        </w:rPr>
      </w:pPr>
    </w:p>
    <w:p w14:paraId="0C49BF88">
      <w:pPr>
        <w:spacing w:line="400" w:lineRule="exact"/>
        <w:jc w:val="center"/>
        <w:rPr>
          <w:rFonts w:ascii="仿宋_GB2312" w:hAnsi="宋体" w:eastAsia="仿宋_GB2312" w:cs="Times New Roman"/>
          <w:b/>
          <w:color w:val="000000"/>
          <w:sz w:val="32"/>
          <w:szCs w:val="32"/>
        </w:rPr>
      </w:pPr>
    </w:p>
    <w:p w14:paraId="103FADD1">
      <w:pPr>
        <w:spacing w:line="400" w:lineRule="exact"/>
        <w:rPr>
          <w:rFonts w:ascii="仿宋_GB2312" w:hAnsi="宋体" w:eastAsia="仿宋_GB2312" w:cs="Times New Roman"/>
          <w:b/>
          <w:color w:val="000000"/>
          <w:sz w:val="32"/>
          <w:szCs w:val="32"/>
        </w:rPr>
      </w:pPr>
    </w:p>
    <w:p w14:paraId="204D7E17">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7</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X</w:t>
      </w:r>
      <w:r>
        <w:rPr>
          <w:rFonts w:hint="eastAsia" w:ascii="仿宋_GB2312" w:hAnsi="宋体" w:eastAsia="仿宋_GB2312" w:cs="Times New Roman"/>
          <w:b/>
          <w:color w:val="000000"/>
          <w:sz w:val="32"/>
          <w:szCs w:val="32"/>
        </w:rPr>
        <w:t>日</w:t>
      </w:r>
    </w:p>
    <w:p w14:paraId="17B3FD45">
      <w:pPr>
        <w:keepNext/>
        <w:keepLines/>
        <w:spacing w:before="260" w:after="260" w:line="416" w:lineRule="auto"/>
        <w:jc w:val="center"/>
        <w:outlineLvl w:val="1"/>
        <w:rPr>
          <w:rFonts w:ascii="Cambria" w:hAnsi="Cambria" w:eastAsia="宋体" w:cs="Times New Roman"/>
          <w:b/>
          <w:bCs/>
          <w:color w:val="000000"/>
          <w:sz w:val="32"/>
          <w:szCs w:val="32"/>
          <w:lang w:val="zh-CN" w:eastAsia="zh-CN"/>
        </w:rPr>
      </w:pPr>
      <w:bookmarkStart w:id="0" w:name="_Toc47452204"/>
      <w:r>
        <w:rPr>
          <w:rFonts w:hint="eastAsia" w:ascii="Cambria" w:hAnsi="Cambria" w:eastAsia="宋体" w:cs="Times New Roman"/>
          <w:b/>
          <w:bCs/>
          <w:color w:val="000000"/>
          <w:sz w:val="32"/>
          <w:szCs w:val="32"/>
          <w:lang w:val="zh-CN" w:eastAsia="zh-CN"/>
        </w:rPr>
        <w:t>第一章 竞争性磋商公告</w:t>
      </w:r>
      <w:bookmarkEnd w:id="0"/>
    </w:p>
    <w:p w14:paraId="7975E8F8">
      <w:pPr>
        <w:keepNext/>
        <w:keepLines/>
        <w:spacing w:line="320" w:lineRule="exact"/>
        <w:ind w:firstLine="422" w:firstLineChars="200"/>
        <w:outlineLvl w:val="1"/>
        <w:rPr>
          <w:rFonts w:ascii="宋体" w:hAnsi="宋体" w:eastAsia="宋体" w:cs="宋体"/>
          <w:b/>
          <w:color w:val="000000"/>
          <w:szCs w:val="21"/>
          <w:lang w:val="zh-CN" w:eastAsia="zh-CN"/>
        </w:rPr>
      </w:pPr>
      <w:bookmarkStart w:id="1" w:name="_Toc35393798"/>
      <w:bookmarkStart w:id="2" w:name="_Toc28359089"/>
      <w:bookmarkStart w:id="3" w:name="_Toc44229878"/>
      <w:bookmarkStart w:id="4" w:name="_Toc35393629"/>
      <w:bookmarkStart w:id="5" w:name="_Toc47452205"/>
      <w:bookmarkStart w:id="6" w:name="_Toc28359012"/>
      <w:r>
        <w:rPr>
          <w:rFonts w:hint="eastAsia" w:ascii="宋体" w:hAnsi="宋体" w:eastAsia="宋体" w:cs="宋体"/>
          <w:b/>
          <w:color w:val="000000"/>
          <w:szCs w:val="21"/>
          <w:lang w:val="zh-CN" w:eastAsia="zh-CN"/>
        </w:rPr>
        <w:t>一、项目基本情况</w:t>
      </w:r>
      <w:bookmarkEnd w:id="1"/>
      <w:bookmarkEnd w:id="2"/>
      <w:bookmarkEnd w:id="3"/>
      <w:bookmarkEnd w:id="4"/>
      <w:bookmarkEnd w:id="5"/>
      <w:bookmarkEnd w:id="6"/>
    </w:p>
    <w:p w14:paraId="6D646D26">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项目编号：GXGSYY-CGB-CWYYB-2024-04</w:t>
      </w:r>
    </w:p>
    <w:p w14:paraId="69CB38C5">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w:t>
      </w:r>
      <w:r>
        <w:rPr>
          <w:rFonts w:hint="eastAsia" w:ascii="宋体" w:hAnsi="宋体" w:eastAsia="宋体" w:cs="Times New Roman"/>
          <w:color w:val="000000"/>
          <w:szCs w:val="21"/>
          <w:lang w:val="en-US" w:eastAsia="zh-CN"/>
        </w:rPr>
        <w:t>物资管理信息化系统</w:t>
      </w:r>
      <w:r>
        <w:rPr>
          <w:rFonts w:hint="eastAsia" w:ascii="宋体" w:hAnsi="宋体" w:eastAsia="宋体" w:cs="Times New Roman"/>
          <w:color w:val="000000"/>
          <w:szCs w:val="21"/>
        </w:rPr>
        <w:t>采购项目</w:t>
      </w:r>
    </w:p>
    <w:p w14:paraId="08F6CDC5">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14:paraId="10140CF0">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w:t>
      </w:r>
      <w:r>
        <w:rPr>
          <w:rFonts w:hint="eastAsia" w:ascii="宋体" w:hAnsi="宋体" w:eastAsia="宋体" w:cs="Times New Roman"/>
          <w:color w:val="000000"/>
          <w:szCs w:val="21"/>
          <w:lang w:val="en-US" w:eastAsia="zh-CN"/>
        </w:rPr>
        <w:t>60</w:t>
      </w:r>
      <w:r>
        <w:rPr>
          <w:rFonts w:hint="eastAsia" w:ascii="宋体" w:hAnsi="宋体" w:eastAsia="宋体" w:cs="Times New Roman"/>
          <w:color w:val="000000"/>
          <w:szCs w:val="21"/>
        </w:rPr>
        <w:t>万元。</w:t>
      </w:r>
    </w:p>
    <w:p w14:paraId="213294A1">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最高限价：</w:t>
      </w:r>
      <w:r>
        <w:rPr>
          <w:rFonts w:hint="eastAsia" w:ascii="宋体" w:hAnsi="宋体" w:eastAsia="宋体" w:cs="Times New Roman"/>
          <w:color w:val="000000"/>
          <w:szCs w:val="21"/>
          <w:lang w:val="en-US" w:eastAsia="zh-CN"/>
        </w:rPr>
        <w:t>60</w:t>
      </w:r>
      <w:r>
        <w:rPr>
          <w:rFonts w:hint="eastAsia" w:ascii="宋体" w:hAnsi="宋体" w:eastAsia="宋体" w:cs="Times New Roman"/>
          <w:color w:val="000000"/>
          <w:szCs w:val="21"/>
        </w:rPr>
        <w:t>万元。</w:t>
      </w:r>
      <w:bookmarkStart w:id="7" w:name="_Toc28359090"/>
      <w:bookmarkStart w:id="8" w:name="_Toc28359013"/>
      <w:bookmarkStart w:id="9" w:name="_Toc35393799"/>
      <w:bookmarkStart w:id="10" w:name="_Toc47452206"/>
      <w:bookmarkStart w:id="11" w:name="_Toc35393630"/>
      <w:bookmarkStart w:id="12" w:name="_Toc44229879"/>
    </w:p>
    <w:p w14:paraId="6DC22D41">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1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14:paraId="1C36AE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14:paraId="562D671F">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标的名称</w:t>
            </w:r>
          </w:p>
        </w:tc>
        <w:tc>
          <w:tcPr>
            <w:tcW w:w="992" w:type="dxa"/>
            <w:tcBorders>
              <w:top w:val="single" w:color="auto" w:sz="4" w:space="0"/>
              <w:left w:val="nil"/>
              <w:bottom w:val="single" w:color="auto" w:sz="4" w:space="0"/>
              <w:right w:val="single" w:color="auto" w:sz="4" w:space="0"/>
            </w:tcBorders>
            <w:vAlign w:val="center"/>
          </w:tcPr>
          <w:p w14:paraId="2E0BE076">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14:paraId="0106EF27">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14:paraId="474276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tcPr>
          <w:p w14:paraId="6CC68BF7">
            <w:pPr>
              <w:spacing w:line="440" w:lineRule="exact"/>
              <w:rPr>
                <w:rFonts w:ascii="宋体" w:hAnsi="宋体" w:eastAsia="宋体" w:cs="Calibri"/>
                <w:color w:val="000000"/>
                <w:szCs w:val="21"/>
              </w:rPr>
            </w:pPr>
            <w:r>
              <w:rPr>
                <w:rFonts w:hint="eastAsia" w:ascii="宋体" w:hAnsi="宋体" w:eastAsia="宋体" w:cs="Calibri"/>
                <w:color w:val="000000"/>
                <w:szCs w:val="21"/>
              </w:rPr>
              <w:t>广西骨伤医院</w:t>
            </w:r>
            <w:r>
              <w:rPr>
                <w:rFonts w:hint="eastAsia" w:ascii="宋体" w:hAnsi="宋体" w:eastAsia="宋体" w:cs="Times New Roman"/>
                <w:color w:val="000000"/>
                <w:szCs w:val="21"/>
                <w:lang w:val="en-US" w:eastAsia="zh-CN"/>
              </w:rPr>
              <w:t>物资管理信息化系统</w:t>
            </w:r>
            <w:r>
              <w:rPr>
                <w:rFonts w:hint="eastAsia" w:ascii="宋体" w:hAnsi="宋体" w:eastAsia="宋体" w:cs="Calibri"/>
                <w:color w:val="000000"/>
                <w:szCs w:val="21"/>
              </w:rPr>
              <w:t>采购项目</w:t>
            </w:r>
          </w:p>
        </w:tc>
        <w:tc>
          <w:tcPr>
            <w:tcW w:w="992" w:type="dxa"/>
            <w:tcBorders>
              <w:top w:val="single" w:color="auto" w:sz="4" w:space="0"/>
              <w:left w:val="nil"/>
              <w:bottom w:val="single" w:color="auto" w:sz="4" w:space="0"/>
              <w:right w:val="single" w:color="auto" w:sz="4" w:space="0"/>
            </w:tcBorders>
          </w:tcPr>
          <w:p w14:paraId="2F040825">
            <w:pPr>
              <w:spacing w:line="440" w:lineRule="exact"/>
              <w:jc w:val="center"/>
              <w:rPr>
                <w:rFonts w:ascii="宋体" w:hAnsi="宋体" w:eastAsia="宋体" w:cs="Calibri"/>
                <w:color w:val="000000"/>
                <w:szCs w:val="21"/>
              </w:rPr>
            </w:pPr>
            <w:r>
              <w:rPr>
                <w:rFonts w:hint="eastAsia" w:ascii="宋体" w:hAnsi="宋体" w:eastAsia="宋体" w:cs="Calibri"/>
                <w:color w:val="000000"/>
                <w:szCs w:val="21"/>
              </w:rPr>
              <w:t>1项</w:t>
            </w:r>
          </w:p>
        </w:tc>
        <w:tc>
          <w:tcPr>
            <w:tcW w:w="5103" w:type="dxa"/>
            <w:tcBorders>
              <w:top w:val="single" w:color="auto" w:sz="4" w:space="0"/>
              <w:left w:val="nil"/>
              <w:bottom w:val="single" w:color="auto" w:sz="4" w:space="0"/>
              <w:right w:val="single" w:color="auto" w:sz="4" w:space="0"/>
            </w:tcBorders>
          </w:tcPr>
          <w:p w14:paraId="5FFD947D">
            <w:pPr>
              <w:spacing w:line="320" w:lineRule="exact"/>
              <w:ind w:firstLine="420" w:firstLineChars="200"/>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一、项目建设目标</w:t>
            </w:r>
          </w:p>
          <w:p w14:paraId="67F86F34">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全面梳理医院卫生材料、制剂原料、</w:t>
            </w:r>
            <w:r>
              <w:rPr>
                <w:rFonts w:hint="eastAsia" w:ascii="宋体" w:hAnsi="宋体" w:eastAsia="宋体" w:cs="Times New Roman"/>
                <w:color w:val="000000"/>
                <w:szCs w:val="21"/>
              </w:rPr>
              <w:t>办公用品、后勤材料</w:t>
            </w:r>
            <w:r>
              <w:rPr>
                <w:rFonts w:hint="eastAsia" w:ascii="宋体" w:hAnsi="宋体" w:eastAsia="宋体" w:cs="Times New Roman"/>
                <w:color w:val="000000"/>
                <w:szCs w:val="21"/>
                <w:lang w:val="en-US" w:eastAsia="zh-CN"/>
              </w:rPr>
              <w:t>等库存物资的业务流程，实现管理的规范化；建立物资流转的相关主体之间的联系，打破各业务平台间的技术壁垒，实现管理的一体化；加强对二级库物资的管理使用，提升管理的颗粒度，实现管理的精细化</w:t>
            </w:r>
            <w:r>
              <w:rPr>
                <w:rFonts w:hint="eastAsia" w:ascii="宋体" w:hAnsi="宋体" w:eastAsia="宋体" w:cs="Times New Roman"/>
                <w:color w:val="000000"/>
                <w:szCs w:val="21"/>
              </w:rPr>
              <w:t>。</w:t>
            </w:r>
          </w:p>
          <w:p w14:paraId="671793CA">
            <w:pPr>
              <w:spacing w:line="320" w:lineRule="exact"/>
              <w:ind w:firstLine="420" w:firstLineChars="200"/>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二、技术参数</w:t>
            </w:r>
          </w:p>
          <w:p w14:paraId="757C0153">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1.建立</w:t>
            </w:r>
            <w:r>
              <w:rPr>
                <w:rFonts w:hint="eastAsia" w:ascii="宋体" w:hAnsi="宋体" w:eastAsia="宋体" w:cs="Times New Roman"/>
                <w:color w:val="000000"/>
                <w:szCs w:val="21"/>
                <w:lang w:val="en-US" w:eastAsia="zh-CN"/>
              </w:rPr>
              <w:t>基于医院组织架构的物资</w:t>
            </w:r>
            <w:r>
              <w:rPr>
                <w:rFonts w:hint="eastAsia" w:ascii="宋体" w:hAnsi="宋体" w:eastAsia="宋体" w:cs="Times New Roman"/>
                <w:color w:val="000000"/>
                <w:szCs w:val="21"/>
              </w:rPr>
              <w:t>管理平台，</w:t>
            </w:r>
            <w:r>
              <w:rPr>
                <w:rFonts w:hint="eastAsia" w:ascii="宋体" w:hAnsi="宋体" w:eastAsia="宋体" w:cs="Times New Roman"/>
                <w:color w:val="000000"/>
                <w:szCs w:val="21"/>
                <w:lang w:val="en-US" w:eastAsia="zh-CN"/>
              </w:rPr>
              <w:t>涵盖卫生材料、制剂原料、</w:t>
            </w:r>
            <w:r>
              <w:rPr>
                <w:rFonts w:hint="eastAsia" w:ascii="宋体" w:hAnsi="宋体" w:eastAsia="宋体" w:cs="Times New Roman"/>
                <w:color w:val="000000"/>
                <w:szCs w:val="21"/>
              </w:rPr>
              <w:t>办公用品、后勤材料</w:t>
            </w:r>
            <w:r>
              <w:rPr>
                <w:rFonts w:hint="eastAsia" w:ascii="宋体" w:hAnsi="宋体" w:eastAsia="宋体" w:cs="Times New Roman"/>
                <w:color w:val="000000"/>
                <w:szCs w:val="21"/>
                <w:lang w:val="en-US" w:eastAsia="zh-CN"/>
              </w:rPr>
              <w:t>等库存物资</w:t>
            </w:r>
            <w:r>
              <w:rPr>
                <w:rFonts w:hint="eastAsia" w:ascii="宋体" w:hAnsi="宋体" w:eastAsia="宋体" w:cs="Times New Roman"/>
                <w:color w:val="000000"/>
                <w:szCs w:val="21"/>
              </w:rPr>
              <w:t>，实现全内容、全方位、全过程的闭环统一管理。</w:t>
            </w:r>
          </w:p>
          <w:p w14:paraId="76185566">
            <w:pPr>
              <w:snapToGrid w:val="0"/>
              <w:spacing w:line="320" w:lineRule="exact"/>
              <w:rPr>
                <w:rFonts w:ascii="宋体" w:hAnsi="宋体" w:eastAsia="宋体" w:cs="Calibri"/>
                <w:color w:val="000000"/>
                <w:szCs w:val="21"/>
              </w:rPr>
            </w:pPr>
            <w:r>
              <w:rPr>
                <w:rFonts w:hint="eastAsia" w:ascii="宋体" w:hAnsi="宋体" w:eastAsia="宋体" w:cs="Calibri"/>
                <w:color w:val="000000"/>
                <w:szCs w:val="21"/>
              </w:rPr>
              <w:t>......</w:t>
            </w:r>
          </w:p>
        </w:tc>
      </w:tr>
    </w:tbl>
    <w:p w14:paraId="2F20EC80">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7</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14:paraId="35CCE1E0">
      <w:pPr>
        <w:keepNext/>
        <w:keepLines/>
        <w:spacing w:line="320" w:lineRule="exact"/>
        <w:ind w:firstLine="422" w:firstLineChars="200"/>
        <w:outlineLvl w:val="1"/>
        <w:rPr>
          <w:rFonts w:ascii="宋体" w:hAnsi="宋体" w:eastAsia="宋体" w:cs="宋体"/>
          <w:b/>
          <w:color w:val="000000"/>
          <w:szCs w:val="21"/>
          <w:lang w:val="zh-CN" w:eastAsia="zh-CN"/>
        </w:rPr>
      </w:pPr>
      <w:r>
        <w:rPr>
          <w:rFonts w:hint="eastAsia" w:ascii="宋体" w:hAnsi="宋体" w:eastAsia="宋体" w:cs="宋体"/>
          <w:b/>
          <w:color w:val="000000"/>
          <w:szCs w:val="21"/>
          <w:lang w:val="zh-CN"/>
        </w:rPr>
        <w:t>二</w:t>
      </w:r>
      <w:r>
        <w:rPr>
          <w:rFonts w:hint="eastAsia" w:ascii="宋体" w:hAnsi="宋体" w:eastAsia="宋体" w:cs="宋体"/>
          <w:b/>
          <w:color w:val="000000"/>
          <w:szCs w:val="21"/>
          <w:lang w:val="zh-CN" w:eastAsia="zh-CN"/>
        </w:rPr>
        <w:t>、供应商的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14:paraId="0D280766">
      <w:pPr>
        <w:spacing w:line="320" w:lineRule="exact"/>
        <w:ind w:firstLine="420" w:firstLineChars="200"/>
        <w:rPr>
          <w:rFonts w:ascii="宋体" w:hAnsi="宋体" w:eastAsia="宋体" w:cs="Times New Roman"/>
          <w:color w:val="000000"/>
          <w:szCs w:val="21"/>
        </w:rPr>
      </w:pPr>
      <w:bookmarkStart w:id="13" w:name="_Toc28359014"/>
      <w:bookmarkStart w:id="14" w:name="_Toc28359091"/>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符合《中华人民共和国政府采购法》第</w:t>
      </w:r>
      <w:r>
        <w:rPr>
          <w:rFonts w:ascii="宋体" w:hAnsi="宋体" w:eastAsia="宋体" w:cs="Times New Roman"/>
          <w:color w:val="000000"/>
          <w:szCs w:val="21"/>
        </w:rPr>
        <w:t>22条之规定；</w:t>
      </w:r>
    </w:p>
    <w:p w14:paraId="021CB36D">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2.遵守《中华人民共和国招投标法》、《中华人民共和国政府采购法》、《中华人民共和国民法典》等相关法律法规；</w:t>
      </w:r>
    </w:p>
    <w:p w14:paraId="307CE88A">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3.国内注册，具有法人资格，具备相关项目经营范围的单位。</w:t>
      </w:r>
    </w:p>
    <w:p w14:paraId="7686F374">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14:paraId="21819BA4">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w:t>
      </w:r>
      <w:r>
        <w:rPr>
          <w:rFonts w:ascii="宋体" w:hAnsi="宋体" w:eastAsia="宋体" w:cs="Times New Roman"/>
          <w:color w:val="000000"/>
          <w:szCs w:val="21"/>
          <w:highlight w:val="none"/>
        </w:rPr>
        <w:t>202</w:t>
      </w:r>
      <w:r>
        <w:rPr>
          <w:rFonts w:hint="eastAsia" w:ascii="宋体" w:hAnsi="宋体" w:eastAsia="宋体" w:cs="Times New Roman"/>
          <w:color w:val="000000"/>
          <w:szCs w:val="21"/>
          <w:highlight w:val="none"/>
          <w:lang w:val="en-US" w:eastAsia="zh-CN"/>
        </w:rPr>
        <w:t>4</w:t>
      </w:r>
      <w:r>
        <w:rPr>
          <w:rFonts w:ascii="宋体" w:hAnsi="宋体" w:eastAsia="宋体" w:cs="Times New Roman"/>
          <w:color w:val="000000"/>
          <w:szCs w:val="21"/>
          <w:highlight w:val="none"/>
        </w:rPr>
        <w:t>年</w:t>
      </w:r>
      <w:r>
        <w:rPr>
          <w:rFonts w:hint="eastAsia" w:ascii="宋体" w:hAnsi="宋体" w:eastAsia="宋体" w:cs="Times New Roman"/>
          <w:color w:val="000000"/>
          <w:szCs w:val="21"/>
          <w:highlight w:val="none"/>
          <w:lang w:val="en-US" w:eastAsia="zh-CN"/>
        </w:rPr>
        <w:t>7</w:t>
      </w:r>
      <w:r>
        <w:rPr>
          <w:rFonts w:ascii="宋体" w:hAnsi="宋体" w:eastAsia="宋体" w:cs="Times New Roman"/>
          <w:color w:val="000000"/>
          <w:szCs w:val="21"/>
          <w:highlight w:val="none"/>
        </w:rPr>
        <w:t>月</w:t>
      </w:r>
      <w:r>
        <w:rPr>
          <w:rFonts w:hint="eastAsia" w:ascii="宋体" w:hAnsi="宋体" w:eastAsia="宋体" w:cs="Times New Roman"/>
          <w:color w:val="000000"/>
          <w:szCs w:val="21"/>
          <w:highlight w:val="none"/>
          <w:lang w:val="en-US" w:eastAsia="zh-CN"/>
        </w:rPr>
        <w:t xml:space="preserve"> X</w:t>
      </w:r>
      <w:r>
        <w:rPr>
          <w:rFonts w:ascii="宋体" w:hAnsi="宋体" w:eastAsia="宋体" w:cs="Times New Roman"/>
          <w:color w:val="000000"/>
          <w:szCs w:val="21"/>
          <w:highlight w:val="none"/>
        </w:rPr>
        <w:t>日18时00分。</w:t>
      </w:r>
    </w:p>
    <w:p w14:paraId="440842CC">
      <w:pPr>
        <w:spacing w:line="32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获取方式：在广西骨伤医院官方网站此公告附件处下载。</w:t>
      </w:r>
      <w:bookmarkEnd w:id="13"/>
      <w:bookmarkEnd w:id="14"/>
    </w:p>
    <w:p w14:paraId="0C26A08A">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w:t>
      </w:r>
      <w:r>
        <w:rPr>
          <w:rFonts w:hint="eastAsia" w:ascii="宋体" w:hAnsi="宋体" w:eastAsia="宋体" w:cs="宋体"/>
          <w:b/>
          <w:bCs/>
          <w:color w:val="000000"/>
          <w:szCs w:val="21"/>
          <w:highlight w:val="none"/>
        </w:rPr>
        <w:t>、响应文件提交</w:t>
      </w:r>
    </w:p>
    <w:p w14:paraId="3742F57D">
      <w:pPr>
        <w:spacing w:line="320" w:lineRule="exact"/>
        <w:ind w:firstLine="420" w:firstLineChars="20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1.响应文件提交开始时间：202</w:t>
      </w:r>
      <w:r>
        <w:rPr>
          <w:rFonts w:hint="eastAsia" w:ascii="宋体" w:hAnsi="宋体" w:eastAsia="宋体" w:cs="Times New Roman"/>
          <w:color w:val="000000"/>
          <w:szCs w:val="21"/>
          <w:highlight w:val="none"/>
          <w:lang w:val="en-US" w:eastAsia="zh-CN"/>
        </w:rPr>
        <w:t>4</w:t>
      </w:r>
      <w:r>
        <w:rPr>
          <w:rFonts w:hint="eastAsia" w:ascii="宋体" w:hAnsi="宋体" w:eastAsia="宋体" w:cs="Times New Roman"/>
          <w:color w:val="000000"/>
          <w:szCs w:val="21"/>
          <w:highlight w:val="none"/>
        </w:rPr>
        <w:t>年</w:t>
      </w:r>
      <w:r>
        <w:rPr>
          <w:rFonts w:hint="eastAsia" w:ascii="宋体" w:hAnsi="宋体" w:eastAsia="宋体" w:cs="Times New Roman"/>
          <w:color w:val="000000"/>
          <w:szCs w:val="21"/>
          <w:highlight w:val="none"/>
          <w:lang w:val="en-US" w:eastAsia="zh-CN"/>
        </w:rPr>
        <w:t>7</w:t>
      </w:r>
      <w:r>
        <w:rPr>
          <w:rFonts w:hint="eastAsia" w:ascii="宋体" w:hAnsi="宋体" w:eastAsia="宋体" w:cs="Times New Roman"/>
          <w:color w:val="000000"/>
          <w:szCs w:val="21"/>
          <w:highlight w:val="none"/>
        </w:rPr>
        <w:t>月</w:t>
      </w:r>
      <w:r>
        <w:rPr>
          <w:rFonts w:hint="eastAsia" w:ascii="宋体" w:hAnsi="宋体" w:eastAsia="宋体" w:cs="Times New Roman"/>
          <w:color w:val="000000"/>
          <w:szCs w:val="21"/>
          <w:highlight w:val="none"/>
          <w:lang w:val="en-US" w:eastAsia="zh-CN"/>
        </w:rPr>
        <w:t>X</w:t>
      </w:r>
      <w:r>
        <w:rPr>
          <w:rFonts w:hint="eastAsia" w:ascii="宋体" w:hAnsi="宋体" w:eastAsia="宋体" w:cs="Times New Roman"/>
          <w:color w:val="000000"/>
          <w:szCs w:val="21"/>
          <w:highlight w:val="none"/>
        </w:rPr>
        <w:t>日8时00分（北京时间）</w:t>
      </w:r>
    </w:p>
    <w:p w14:paraId="76440198">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highlight w:val="none"/>
        </w:rPr>
        <w:t>2.响应文件提交截止时间：202</w:t>
      </w:r>
      <w:r>
        <w:rPr>
          <w:rFonts w:hint="eastAsia" w:ascii="宋体" w:hAnsi="宋体" w:eastAsia="宋体" w:cs="Times New Roman"/>
          <w:color w:val="000000"/>
          <w:szCs w:val="21"/>
          <w:highlight w:val="none"/>
          <w:lang w:val="en-US" w:eastAsia="zh-CN"/>
        </w:rPr>
        <w:t>4</w:t>
      </w:r>
      <w:r>
        <w:rPr>
          <w:rFonts w:hint="eastAsia" w:ascii="宋体" w:hAnsi="宋体" w:eastAsia="宋体" w:cs="Times New Roman"/>
          <w:color w:val="000000"/>
          <w:szCs w:val="21"/>
          <w:highlight w:val="none"/>
        </w:rPr>
        <w:t>年</w:t>
      </w:r>
      <w:r>
        <w:rPr>
          <w:rFonts w:hint="eastAsia" w:ascii="宋体" w:hAnsi="宋体" w:eastAsia="宋体" w:cs="Times New Roman"/>
          <w:color w:val="000000"/>
          <w:szCs w:val="21"/>
          <w:highlight w:val="none"/>
          <w:lang w:val="en-US" w:eastAsia="zh-CN"/>
        </w:rPr>
        <w:t>7</w:t>
      </w:r>
      <w:r>
        <w:rPr>
          <w:rFonts w:hint="eastAsia" w:ascii="宋体" w:hAnsi="宋体" w:eastAsia="宋体" w:cs="Times New Roman"/>
          <w:color w:val="000000"/>
          <w:szCs w:val="21"/>
          <w:highlight w:val="none"/>
        </w:rPr>
        <w:t>月</w:t>
      </w:r>
      <w:r>
        <w:rPr>
          <w:rFonts w:hint="eastAsia" w:ascii="宋体" w:hAnsi="宋体" w:eastAsia="宋体" w:cs="Times New Roman"/>
          <w:color w:val="000000"/>
          <w:szCs w:val="21"/>
          <w:highlight w:val="none"/>
          <w:lang w:val="en-US" w:eastAsia="zh-CN"/>
        </w:rPr>
        <w:t>X</w:t>
      </w:r>
      <w:r>
        <w:rPr>
          <w:rFonts w:hint="eastAsia" w:ascii="宋体" w:hAnsi="宋体" w:eastAsia="宋体" w:cs="Times New Roman"/>
          <w:color w:val="000000"/>
          <w:szCs w:val="21"/>
          <w:highlight w:val="none"/>
        </w:rPr>
        <w:t>日 18时00分（北京时间）</w:t>
      </w:r>
    </w:p>
    <w:p w14:paraId="26134212">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3.首次响应文件提交地点：广西骨伤医院采购办（广西南宁市东葛路1号锦华大酒店</w:t>
      </w:r>
      <w:r>
        <w:rPr>
          <w:rFonts w:hint="eastAsia" w:ascii="宋体" w:hAnsi="宋体" w:eastAsia="宋体" w:cs="Calibri"/>
          <w:color w:val="000000"/>
          <w:szCs w:val="21"/>
          <w:lang w:val="en-US" w:eastAsia="zh-CN"/>
        </w:rPr>
        <w:t>前</w:t>
      </w:r>
      <w:r>
        <w:rPr>
          <w:rFonts w:hint="eastAsia" w:ascii="宋体" w:hAnsi="宋体" w:eastAsia="宋体" w:cs="Calibri"/>
          <w:color w:val="000000"/>
          <w:szCs w:val="21"/>
        </w:rPr>
        <w:t>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14:paraId="6B60CDD8">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五、开启</w:t>
      </w:r>
    </w:p>
    <w:p w14:paraId="62C01107">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1.时间：另行通知。</w:t>
      </w:r>
    </w:p>
    <w:p w14:paraId="054ED637">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2.地点：</w:t>
      </w:r>
      <w:r>
        <w:rPr>
          <w:rFonts w:hint="eastAsia" w:ascii="宋体" w:hAnsi="宋体" w:eastAsia="宋体" w:cs="Calibri"/>
          <w:szCs w:val="21"/>
        </w:rPr>
        <w:t>另行通知。</w:t>
      </w:r>
    </w:p>
    <w:p w14:paraId="2CD1F5E4">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14:paraId="358967D7">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14:paraId="56698E4F">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14:paraId="6F6721E1">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14:paraId="1F527EF0">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14:paraId="5C33907F">
      <w:pPr>
        <w:spacing w:line="320" w:lineRule="exact"/>
        <w:ind w:firstLine="420" w:firstLineChars="200"/>
        <w:rPr>
          <w:rFonts w:hint="default" w:ascii="Calibri" w:hAnsi="Calibri" w:eastAsia="宋体" w:cs="Times New Roman"/>
          <w:szCs w:val="24"/>
          <w:lang w:val="en-US" w:eastAsia="zh-CN"/>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hint="eastAsia" w:ascii="Calibri" w:hAnsi="Calibri" w:eastAsia="宋体" w:cs="Times New Roman"/>
          <w:szCs w:val="24"/>
          <w:u w:val="single"/>
          <w:lang w:val="en-US" w:eastAsia="zh-CN"/>
        </w:rPr>
        <w:t>0771-2622251</w:t>
      </w:r>
    </w:p>
    <w:p w14:paraId="1C0C117F">
      <w:pPr>
        <w:spacing w:line="320" w:lineRule="exact"/>
        <w:ind w:firstLine="420" w:firstLineChars="200"/>
        <w:rPr>
          <w:rFonts w:ascii="Calibri" w:hAnsi="Calibri" w:eastAsia="宋体" w:cs="Times New Roman"/>
          <w:szCs w:val="24"/>
        </w:rPr>
      </w:pPr>
    </w:p>
    <w:p w14:paraId="1E1A5E86">
      <w:pPr>
        <w:spacing w:line="320" w:lineRule="exact"/>
        <w:ind w:firstLine="420" w:firstLineChars="200"/>
        <w:rPr>
          <w:rFonts w:ascii="Calibri" w:hAnsi="Calibri" w:eastAsia="宋体" w:cs="Times New Roman"/>
          <w:szCs w:val="24"/>
        </w:rPr>
      </w:pPr>
    </w:p>
    <w:p w14:paraId="337602F4">
      <w:pPr>
        <w:spacing w:line="320" w:lineRule="exact"/>
        <w:ind w:firstLine="420" w:firstLineChars="200"/>
        <w:rPr>
          <w:rFonts w:ascii="Calibri" w:hAnsi="Calibri" w:eastAsia="宋体" w:cs="Times New Roman"/>
          <w:szCs w:val="24"/>
        </w:rPr>
      </w:pPr>
    </w:p>
    <w:p w14:paraId="0AFB24CE">
      <w:pPr>
        <w:spacing w:line="320" w:lineRule="exact"/>
        <w:ind w:firstLine="420" w:firstLineChars="200"/>
        <w:rPr>
          <w:rFonts w:ascii="Calibri" w:hAnsi="Calibri" w:eastAsia="宋体" w:cs="Times New Roman"/>
          <w:szCs w:val="24"/>
        </w:rPr>
      </w:pPr>
    </w:p>
    <w:p w14:paraId="52FC45F8">
      <w:pPr>
        <w:spacing w:line="320" w:lineRule="exact"/>
        <w:ind w:firstLine="420" w:firstLineChars="200"/>
        <w:rPr>
          <w:rFonts w:ascii="Calibri" w:hAnsi="Calibri" w:eastAsia="宋体" w:cs="Times New Roman"/>
          <w:szCs w:val="24"/>
        </w:rPr>
      </w:pPr>
    </w:p>
    <w:p w14:paraId="3E6150D5">
      <w:pPr>
        <w:spacing w:line="320" w:lineRule="exact"/>
        <w:ind w:firstLine="420" w:firstLineChars="200"/>
        <w:rPr>
          <w:rFonts w:ascii="Calibri" w:hAnsi="Calibri" w:eastAsia="宋体" w:cs="Times New Roman"/>
          <w:szCs w:val="24"/>
        </w:rPr>
      </w:pPr>
    </w:p>
    <w:p w14:paraId="4AE7AE41">
      <w:pPr>
        <w:keepNext/>
        <w:keepLines/>
        <w:spacing w:before="260" w:after="260" w:line="416" w:lineRule="auto"/>
        <w:jc w:val="center"/>
        <w:outlineLvl w:val="1"/>
        <w:rPr>
          <w:rFonts w:ascii="Cambria" w:hAnsi="Cambria" w:eastAsia="宋体" w:cs="Times New Roman"/>
          <w:b/>
          <w:bCs/>
          <w:color w:val="000000"/>
          <w:sz w:val="32"/>
          <w:szCs w:val="32"/>
          <w:lang w:val="zh-CN" w:eastAsia="zh-CN"/>
        </w:rPr>
      </w:pPr>
      <w:bookmarkStart w:id="15" w:name="_Toc47452213"/>
      <w:r>
        <w:rPr>
          <w:rFonts w:hint="eastAsia" w:ascii="Cambria" w:hAnsi="Cambria" w:eastAsia="宋体" w:cs="Times New Roman"/>
          <w:b/>
          <w:bCs/>
          <w:color w:val="000000"/>
          <w:sz w:val="32"/>
          <w:szCs w:val="32"/>
          <w:lang w:val="zh-CN" w:eastAsia="zh-CN"/>
        </w:rPr>
        <w:t>第二章 供应商须知</w:t>
      </w:r>
      <w:bookmarkEnd w:id="15"/>
    </w:p>
    <w:p w14:paraId="55F10278">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14:paraId="66414BA9">
      <w:pPr>
        <w:spacing w:line="400" w:lineRule="exact"/>
        <w:jc w:val="center"/>
        <w:rPr>
          <w:rFonts w:ascii="宋体" w:hAnsi="宋体" w:eastAsia="宋体" w:cs="Times New Roman"/>
          <w:b/>
          <w:color w:val="000000"/>
          <w:sz w:val="32"/>
          <w:szCs w:val="32"/>
        </w:rPr>
      </w:pPr>
    </w:p>
    <w:tbl>
      <w:tblPr>
        <w:tblStyle w:val="11"/>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3AC5B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72F2817B">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14:paraId="41129E2A">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14:paraId="3FED3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A9A0964">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14:paraId="11E30AD5">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14:paraId="6FF5A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F4865F2">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14:paraId="5F61F80E">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14:paraId="78A1C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9CE3F52">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14:paraId="1630059D">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14:paraId="017F5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3FB53B1">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14:paraId="035328CB">
            <w:pPr>
              <w:snapToGrid w:val="0"/>
              <w:spacing w:line="320" w:lineRule="exact"/>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资格证明文件</w:t>
            </w:r>
          </w:p>
          <w:p w14:paraId="4D4CFF7E">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14:paraId="310A9411">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rPr>
              <w:t>2.依法缴纳税收的相关材料（供应</w:t>
            </w:r>
            <w:r>
              <w:rPr>
                <w:rFonts w:hint="eastAsia" w:ascii="宋体" w:hAnsi="宋体" w:eastAsia="宋体" w:cs="宋体"/>
                <w:color w:val="000000"/>
                <w:szCs w:val="21"/>
                <w:highlight w:val="none"/>
              </w:rPr>
              <w:t>商</w:t>
            </w:r>
            <w:r>
              <w:rPr>
                <w:rFonts w:hint="eastAsia" w:ascii="宋体" w:hAnsi="宋体" w:eastAsia="宋体" w:cs="宋体"/>
                <w:color w:val="000000"/>
                <w:szCs w:val="21"/>
                <w:highlight w:val="none"/>
                <w:u w:val="single"/>
              </w:rPr>
              <w:t>202</w:t>
            </w:r>
            <w:r>
              <w:rPr>
                <w:rFonts w:hint="eastAsia" w:ascii="宋体" w:hAnsi="宋体" w:eastAsia="宋体" w:cs="宋体"/>
                <w:color w:val="000000"/>
                <w:szCs w:val="21"/>
                <w:highlight w:val="none"/>
                <w:u w:val="single"/>
                <w:lang w:val="en-US" w:eastAsia="zh-CN"/>
              </w:rPr>
              <w:t>3</w:t>
            </w:r>
            <w:r>
              <w:rPr>
                <w:rFonts w:hint="eastAsia" w:ascii="宋体" w:hAnsi="宋体" w:eastAsia="宋体" w:cs="宋体"/>
                <w:color w:val="000000"/>
                <w:szCs w:val="21"/>
                <w:highlight w:val="none"/>
              </w:rPr>
              <w:t>年</w:t>
            </w:r>
            <w:r>
              <w:rPr>
                <w:rFonts w:hint="eastAsia" w:ascii="宋体" w:hAnsi="宋体" w:eastAsia="宋体" w:cs="宋体"/>
                <w:color w:val="000000"/>
                <w:szCs w:val="21"/>
                <w:highlight w:val="none"/>
                <w:u w:val="single"/>
              </w:rPr>
              <w:t>6</w:t>
            </w:r>
            <w:r>
              <w:rPr>
                <w:rFonts w:hint="eastAsia" w:ascii="宋体" w:hAnsi="宋体" w:eastAsia="宋体" w:cs="宋体"/>
                <w:color w:val="000000"/>
                <w:szCs w:val="21"/>
                <w:highlight w:val="none"/>
              </w:rPr>
              <w:t>月至</w:t>
            </w:r>
            <w:r>
              <w:rPr>
                <w:rFonts w:hint="eastAsia" w:ascii="宋体" w:hAnsi="宋体" w:eastAsia="宋体" w:cs="宋体"/>
                <w:color w:val="000000"/>
                <w:szCs w:val="21"/>
                <w:highlight w:val="none"/>
                <w:u w:val="single"/>
              </w:rPr>
              <w:t>202</w:t>
            </w:r>
            <w:r>
              <w:rPr>
                <w:rFonts w:hint="eastAsia" w:ascii="宋体" w:hAnsi="宋体" w:eastAsia="宋体" w:cs="宋体"/>
                <w:color w:val="000000"/>
                <w:szCs w:val="21"/>
                <w:highlight w:val="none"/>
                <w:u w:val="single"/>
                <w:lang w:val="en-US" w:eastAsia="zh-CN"/>
              </w:rPr>
              <w:t>4</w:t>
            </w:r>
            <w:r>
              <w:rPr>
                <w:rFonts w:hint="eastAsia" w:ascii="宋体" w:hAnsi="宋体" w:eastAsia="宋体" w:cs="宋体"/>
                <w:color w:val="000000"/>
                <w:szCs w:val="21"/>
                <w:highlight w:val="none"/>
              </w:rPr>
              <w:t>年</w:t>
            </w:r>
            <w:r>
              <w:rPr>
                <w:rFonts w:ascii="宋体" w:hAnsi="宋体" w:eastAsia="宋体" w:cs="宋体"/>
                <w:color w:val="000000"/>
                <w:szCs w:val="21"/>
                <w:highlight w:val="none"/>
                <w:u w:val="single"/>
              </w:rPr>
              <w:t>4</w:t>
            </w:r>
            <w:r>
              <w:rPr>
                <w:rFonts w:hint="eastAsia" w:ascii="宋体" w:hAnsi="宋体" w:eastAsia="宋体" w:cs="宋体"/>
                <w:color w:val="000000"/>
                <w:szCs w:val="21"/>
                <w:highlight w:val="none"/>
              </w:rPr>
              <w:t>月内连续</w:t>
            </w:r>
            <w:r>
              <w:rPr>
                <w:rFonts w:hint="eastAsia" w:ascii="宋体" w:hAnsi="宋体" w:eastAsia="宋体" w:cs="宋体"/>
                <w:color w:val="000000"/>
                <w:szCs w:val="21"/>
                <w:highlight w:val="none"/>
                <w:u w:val="single"/>
              </w:rPr>
              <w:t>三</w:t>
            </w:r>
            <w:r>
              <w:rPr>
                <w:rFonts w:hint="eastAsia" w:ascii="宋体" w:hAnsi="宋体" w:eastAsia="宋体" w:cs="宋体"/>
                <w:color w:val="000000"/>
                <w:szCs w:val="21"/>
                <w:highlight w:val="none"/>
              </w:rPr>
              <w:t>个月的依法缴纳税收的凭据复印件；</w:t>
            </w:r>
            <w:r>
              <w:rPr>
                <w:rFonts w:hint="eastAsia" w:ascii="Calibri" w:hAnsi="Calibri" w:eastAsia="宋体" w:cs="Times New Roman"/>
                <w:szCs w:val="24"/>
                <w:highlight w:val="none"/>
              </w:rPr>
              <w:t>依法免税的供应商，必须提供相应文件证明其依法免税。</w:t>
            </w:r>
            <w:r>
              <w:rPr>
                <w:rFonts w:hint="eastAsia" w:ascii="宋体" w:hAnsi="宋体" w:eastAsia="宋体" w:cs="宋体"/>
                <w:color w:val="000000"/>
                <w:szCs w:val="21"/>
                <w:highlight w:val="none"/>
              </w:rPr>
              <w:t>从取得营业执照时间起到首次响应文件提交截止时间为止不足要求月数的，只需提供从取得营业执照起的依法缴纳税收</w:t>
            </w:r>
            <w:r>
              <w:rPr>
                <w:rFonts w:hint="eastAsia" w:ascii="Calibri" w:hAnsi="Calibri" w:eastAsia="宋体" w:cs="Times New Roman"/>
                <w:szCs w:val="24"/>
                <w:highlight w:val="none"/>
              </w:rPr>
              <w:t>相应证明文件</w:t>
            </w:r>
            <w:r>
              <w:rPr>
                <w:rFonts w:hint="eastAsia" w:ascii="宋体" w:hAnsi="宋体" w:eastAsia="宋体" w:cs="宋体"/>
                <w:color w:val="000000"/>
                <w:szCs w:val="21"/>
                <w:highlight w:val="none"/>
              </w:rPr>
              <w:t>）；（</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14:paraId="18BD298C">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3.依法缴纳社会保障资金的相关材料[供应商</w:t>
            </w:r>
            <w:r>
              <w:rPr>
                <w:rFonts w:hint="eastAsia" w:ascii="宋体" w:hAnsi="宋体" w:eastAsia="宋体" w:cs="宋体"/>
                <w:color w:val="000000"/>
                <w:szCs w:val="21"/>
                <w:highlight w:val="none"/>
                <w:u w:val="single"/>
              </w:rPr>
              <w:t>202</w:t>
            </w:r>
            <w:r>
              <w:rPr>
                <w:rFonts w:hint="eastAsia" w:ascii="宋体" w:hAnsi="宋体" w:eastAsia="宋体" w:cs="宋体"/>
                <w:color w:val="000000"/>
                <w:szCs w:val="21"/>
                <w:highlight w:val="none"/>
                <w:u w:val="single"/>
                <w:lang w:val="en-US" w:eastAsia="zh-CN"/>
              </w:rPr>
              <w:t>3</w:t>
            </w:r>
            <w:r>
              <w:rPr>
                <w:rFonts w:hint="eastAsia" w:ascii="宋体" w:hAnsi="宋体" w:eastAsia="宋体" w:cs="宋体"/>
                <w:color w:val="000000"/>
                <w:szCs w:val="21"/>
                <w:highlight w:val="none"/>
              </w:rPr>
              <w:t>年</w:t>
            </w:r>
            <w:r>
              <w:rPr>
                <w:rFonts w:ascii="宋体" w:hAnsi="宋体" w:eastAsia="宋体" w:cs="宋体"/>
                <w:color w:val="000000"/>
                <w:szCs w:val="21"/>
                <w:highlight w:val="none"/>
                <w:u w:val="single"/>
              </w:rPr>
              <w:t>6</w:t>
            </w:r>
            <w:r>
              <w:rPr>
                <w:rFonts w:hint="eastAsia" w:ascii="宋体" w:hAnsi="宋体" w:eastAsia="宋体" w:cs="宋体"/>
                <w:color w:val="000000"/>
                <w:szCs w:val="21"/>
                <w:highlight w:val="none"/>
              </w:rPr>
              <w:t>月至</w:t>
            </w:r>
            <w:r>
              <w:rPr>
                <w:rFonts w:hint="eastAsia" w:ascii="宋体" w:hAnsi="宋体" w:eastAsia="宋体" w:cs="宋体"/>
                <w:color w:val="000000"/>
                <w:szCs w:val="21"/>
                <w:highlight w:val="none"/>
                <w:u w:val="single"/>
              </w:rPr>
              <w:t>202</w:t>
            </w:r>
            <w:r>
              <w:rPr>
                <w:rFonts w:hint="eastAsia" w:ascii="宋体" w:hAnsi="宋体" w:eastAsia="宋体" w:cs="宋体"/>
                <w:color w:val="000000"/>
                <w:szCs w:val="21"/>
                <w:highlight w:val="none"/>
                <w:u w:val="single"/>
                <w:lang w:val="en-US" w:eastAsia="zh-CN"/>
              </w:rPr>
              <w:t>4</w:t>
            </w:r>
            <w:r>
              <w:rPr>
                <w:rFonts w:hint="eastAsia" w:ascii="宋体" w:hAnsi="宋体" w:eastAsia="宋体" w:cs="宋体"/>
                <w:color w:val="000000"/>
                <w:szCs w:val="21"/>
                <w:highlight w:val="none"/>
              </w:rPr>
              <w:t>年</w:t>
            </w:r>
            <w:r>
              <w:rPr>
                <w:rFonts w:hint="eastAsia" w:ascii="宋体" w:hAnsi="宋体" w:eastAsia="宋体" w:cs="宋体"/>
                <w:color w:val="000000"/>
                <w:szCs w:val="21"/>
                <w:highlight w:val="none"/>
                <w:u w:val="single"/>
              </w:rPr>
              <w:t xml:space="preserve"> </w:t>
            </w:r>
            <w:r>
              <w:rPr>
                <w:rFonts w:ascii="宋体" w:hAnsi="宋体" w:eastAsia="宋体" w:cs="宋体"/>
                <w:color w:val="000000"/>
                <w:szCs w:val="21"/>
                <w:highlight w:val="none"/>
                <w:u w:val="single"/>
              </w:rPr>
              <w:t>4</w:t>
            </w:r>
            <w:r>
              <w:rPr>
                <w:rFonts w:hint="eastAsia" w:ascii="宋体" w:hAnsi="宋体" w:eastAsia="宋体" w:cs="宋体"/>
                <w:color w:val="000000"/>
                <w:szCs w:val="21"/>
                <w:highlight w:val="none"/>
              </w:rPr>
              <w:t>月连续</w:t>
            </w:r>
            <w:r>
              <w:rPr>
                <w:rFonts w:hint="eastAsia" w:ascii="宋体" w:hAnsi="宋体" w:eastAsia="宋体" w:cs="宋体"/>
                <w:color w:val="000000"/>
                <w:szCs w:val="21"/>
                <w:highlight w:val="none"/>
                <w:u w:val="single"/>
              </w:rPr>
              <w:t>三</w:t>
            </w:r>
            <w:r>
              <w:rPr>
                <w:rFonts w:hint="eastAsia" w:ascii="宋体" w:hAnsi="宋体" w:eastAsia="宋体" w:cs="宋体"/>
                <w:color w:val="000000"/>
                <w:szCs w:val="21"/>
                <w:highlight w:val="none"/>
              </w:rPr>
              <w:t>个月的依法缴纳社会保障资金的缴费凭证（专用收据或社会保险缴纳清单）复印件；</w:t>
            </w:r>
            <w:r>
              <w:rPr>
                <w:rFonts w:hint="eastAsia" w:ascii="Calibri" w:hAnsi="Calibri" w:eastAsia="宋体" w:cs="Times New Roman"/>
                <w:szCs w:val="24"/>
                <w:highlight w:val="none"/>
              </w:rPr>
              <w:t>依法不需要缴纳社会保障资金的供应商，必须提供相应文件证明不需要缴纳社会保障资金。</w:t>
            </w:r>
            <w:r>
              <w:rPr>
                <w:rFonts w:hint="eastAsia" w:ascii="宋体" w:hAnsi="宋体" w:eastAsia="宋体" w:cs="宋体"/>
                <w:color w:val="000000"/>
                <w:szCs w:val="21"/>
                <w:highlight w:val="none"/>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highlight w:val="none"/>
              </w:rPr>
              <w:t>相应证明文件</w:t>
            </w:r>
            <w:r>
              <w:rPr>
                <w:rFonts w:hint="eastAsia" w:ascii="宋体" w:hAnsi="宋体" w:eastAsia="宋体" w:cs="宋体"/>
                <w:color w:val="000000"/>
                <w:szCs w:val="21"/>
                <w:highlight w:val="none"/>
              </w:rPr>
              <w:t>]；（</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14:paraId="1081F543">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highlight w:val="none"/>
              </w:rPr>
              <w:t>4.财务状况报告</w:t>
            </w:r>
            <w:r>
              <w:rPr>
                <w:rFonts w:hint="eastAsia" w:ascii="宋体" w:hAnsi="宋体" w:eastAsia="宋体" w:cs="Times New Roman"/>
                <w:color w:val="000000"/>
                <w:szCs w:val="21"/>
                <w:highlight w:val="none"/>
              </w:rPr>
              <w:t>（</w:t>
            </w:r>
            <w:r>
              <w:rPr>
                <w:rFonts w:hint="eastAsia" w:ascii="宋体" w:hAnsi="宋体" w:eastAsia="宋体" w:cs="宋体"/>
                <w:color w:val="000000"/>
                <w:szCs w:val="21"/>
                <w:highlight w:val="none"/>
              </w:rPr>
              <w:t>供应商</w:t>
            </w:r>
            <w:r>
              <w:rPr>
                <w:rFonts w:hint="eastAsia" w:ascii="宋体" w:hAnsi="宋体" w:eastAsia="宋体" w:cs="Times New Roman"/>
                <w:color w:val="000000"/>
                <w:szCs w:val="21"/>
                <w:highlight w:val="none"/>
                <w:u w:val="single"/>
              </w:rPr>
              <w:t>20</w:t>
            </w:r>
            <w:r>
              <w:rPr>
                <w:rFonts w:ascii="宋体" w:hAnsi="宋体" w:eastAsia="宋体" w:cs="Times New Roman"/>
                <w:color w:val="000000"/>
                <w:szCs w:val="21"/>
                <w:highlight w:val="none"/>
                <w:u w:val="single"/>
              </w:rPr>
              <w:t>2</w:t>
            </w:r>
            <w:r>
              <w:rPr>
                <w:rFonts w:hint="eastAsia" w:ascii="宋体" w:hAnsi="宋体" w:eastAsia="宋体" w:cs="Times New Roman"/>
                <w:color w:val="000000"/>
                <w:szCs w:val="21"/>
                <w:highlight w:val="none"/>
                <w:u w:val="single"/>
                <w:lang w:val="en-US" w:eastAsia="zh-CN"/>
              </w:rPr>
              <w:t>2</w:t>
            </w:r>
            <w:r>
              <w:rPr>
                <w:rFonts w:hint="eastAsia" w:ascii="宋体" w:hAnsi="宋体" w:eastAsia="宋体" w:cs="Times New Roman"/>
                <w:color w:val="000000"/>
                <w:szCs w:val="21"/>
                <w:highlight w:val="none"/>
                <w:u w:val="single"/>
              </w:rPr>
              <w:t>年、2</w:t>
            </w:r>
            <w:r>
              <w:rPr>
                <w:rFonts w:ascii="宋体" w:hAnsi="宋体" w:eastAsia="宋体" w:cs="Times New Roman"/>
                <w:color w:val="000000"/>
                <w:szCs w:val="21"/>
                <w:highlight w:val="none"/>
                <w:u w:val="single"/>
              </w:rPr>
              <w:t>02</w:t>
            </w:r>
            <w:r>
              <w:rPr>
                <w:rFonts w:hint="eastAsia" w:ascii="宋体" w:hAnsi="宋体" w:eastAsia="宋体" w:cs="Times New Roman"/>
                <w:color w:val="000000"/>
                <w:szCs w:val="21"/>
                <w:highlight w:val="none"/>
                <w:u w:val="single"/>
                <w:lang w:val="en-US" w:eastAsia="zh-CN"/>
              </w:rPr>
              <w:t>3</w:t>
            </w:r>
            <w:r>
              <w:rPr>
                <w:rFonts w:hint="eastAsia" w:ascii="宋体" w:hAnsi="宋体" w:eastAsia="宋体" w:cs="Times New Roman"/>
                <w:color w:val="000000"/>
                <w:szCs w:val="21"/>
                <w:highlight w:val="none"/>
              </w:rPr>
              <w:t>年财务状况报告复印件，</w:t>
            </w:r>
            <w:r>
              <w:rPr>
                <w:rFonts w:hint="eastAsia" w:ascii="宋体" w:hAnsi="宋体" w:eastAsia="宋体" w:cs="宋体"/>
                <w:color w:val="000000"/>
                <w:szCs w:val="21"/>
                <w:highlight w:val="none"/>
              </w:rPr>
              <w:t>供应商</w:t>
            </w:r>
            <w:r>
              <w:rPr>
                <w:rFonts w:hint="eastAsia" w:ascii="宋体" w:hAnsi="宋体" w:eastAsia="宋体" w:cs="Times New Roman"/>
                <w:color w:val="000000"/>
                <w:szCs w:val="21"/>
                <w:highlight w:val="none"/>
              </w:rPr>
              <w:t>是法人的，应提供经审计的财务报告或其基本开户银行出具的资信证明；</w:t>
            </w:r>
            <w:r>
              <w:rPr>
                <w:rFonts w:hint="eastAsia" w:ascii="宋体" w:hAnsi="宋体" w:eastAsia="宋体" w:cs="宋体"/>
                <w:color w:val="000000"/>
                <w:szCs w:val="21"/>
                <w:highlight w:val="none"/>
              </w:rPr>
              <w:t>供应商</w:t>
            </w:r>
            <w:r>
              <w:rPr>
                <w:rFonts w:hint="eastAsia" w:ascii="宋体" w:hAnsi="宋体" w:eastAsia="宋体" w:cs="Times New Roman"/>
                <w:color w:val="000000"/>
                <w:szCs w:val="21"/>
                <w:highlight w:val="none"/>
              </w:rPr>
              <w:t>是其他组织或自然人的，应提供经审计的财务报告或银行出具的资信证</w:t>
            </w:r>
            <w:r>
              <w:rPr>
                <w:rFonts w:hint="eastAsia" w:ascii="宋体" w:hAnsi="宋体" w:eastAsia="宋体" w:cs="Times New Roman"/>
                <w:color w:val="000000"/>
                <w:szCs w:val="21"/>
              </w:rPr>
              <w:t>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14:paraId="3C620D29">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14:paraId="7726F192">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14:paraId="60665114">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14:paraId="739C03EE">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14:paraId="69478CCA">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14:paraId="11C34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C6E480E">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14:paraId="473F1047">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14:paraId="5DADE28A">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14:paraId="6CB78D63">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14:paraId="37682673">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14:paraId="65919722">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14:paraId="4766A76E">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14:paraId="50661F7F">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14:paraId="792BF62E">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14:paraId="783101EE">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14:paraId="342E1087">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14:paraId="75EFAAF5">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14:paraId="05D8FCAB">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14:paraId="69562E1F">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14:paraId="39A78F22">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14:paraId="622EF06D">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14:paraId="7CCB7B29">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14:paraId="2C762D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AF1B2A1">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14:paraId="39680CD8">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14:paraId="668A38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97CA1C7">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14:paraId="3AC81D55">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14:paraId="7A901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1AFF7DA">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14:paraId="139C49DC">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五</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份。</w:t>
            </w:r>
          </w:p>
        </w:tc>
      </w:tr>
      <w:tr w14:paraId="582E2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C7AF748">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14:paraId="0F5FD694">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14:paraId="733D4C4A">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14:paraId="5C67784B">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14:paraId="78522F51">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14:paraId="498933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AD8F2D8">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14:paraId="7FCFB633">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磋商小组的人数：</w:t>
            </w:r>
            <w:r>
              <w:rPr>
                <w:rFonts w:hint="eastAsia"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3</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人及以上单数。</w:t>
            </w:r>
          </w:p>
        </w:tc>
      </w:tr>
      <w:tr w14:paraId="71E685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B5297FD">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14:paraId="73048147">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14:paraId="1013D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14:paraId="1B30A9E6">
            <w:pPr>
              <w:spacing w:line="320" w:lineRule="exact"/>
              <w:jc w:val="center"/>
              <w:rPr>
                <w:rFonts w:ascii="宋体" w:hAnsi="宋体" w:eastAsia="宋体" w:cs="宋体"/>
                <w:color w:val="000000"/>
                <w:szCs w:val="21"/>
                <w:highlight w:val="none"/>
              </w:rPr>
            </w:pPr>
            <w:r>
              <w:rPr>
                <w:rFonts w:ascii="宋体" w:hAnsi="宋体" w:eastAsia="宋体" w:cs="宋体"/>
                <w:color w:val="000000"/>
                <w:szCs w:val="21"/>
                <w:highlight w:val="none"/>
              </w:rPr>
              <w:t>21.2.1</w:t>
            </w:r>
          </w:p>
        </w:tc>
        <w:tc>
          <w:tcPr>
            <w:tcW w:w="7912" w:type="dxa"/>
            <w:vAlign w:val="center"/>
          </w:tcPr>
          <w:p w14:paraId="7C2B71AB">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商务条款评审中允许负偏离的条款数为</w:t>
            </w:r>
            <w:r>
              <w:rPr>
                <w:rFonts w:hint="eastAsia" w:ascii="宋体" w:hAnsi="宋体" w:eastAsia="宋体" w:cs="宋体"/>
                <w:color w:val="000000"/>
                <w:szCs w:val="21"/>
                <w:highlight w:val="none"/>
                <w:u w:val="single"/>
              </w:rPr>
              <w:t xml:space="preserve"> 0 </w:t>
            </w:r>
            <w:r>
              <w:rPr>
                <w:rFonts w:hint="eastAsia" w:ascii="宋体" w:hAnsi="宋体" w:eastAsia="宋体" w:cs="宋体"/>
                <w:color w:val="000000"/>
                <w:szCs w:val="21"/>
                <w:highlight w:val="none"/>
              </w:rPr>
              <w:t>项。</w:t>
            </w:r>
          </w:p>
          <w:p w14:paraId="54795594">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技术需求评审中允许负偏离的条款数为</w:t>
            </w:r>
            <w:r>
              <w:rPr>
                <w:rFonts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single"/>
                <w:lang w:val="en-US" w:eastAsia="zh-CN"/>
              </w:rPr>
              <w:t>不限</w:t>
            </w:r>
            <w:r>
              <w:rPr>
                <w:rFonts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项。</w:t>
            </w:r>
          </w:p>
        </w:tc>
      </w:tr>
      <w:tr w14:paraId="1E6881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0350724">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14:paraId="194D563B">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14:paraId="0C14D2AC">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14:paraId="3358B22B">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14:paraId="06C1E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58BE3DC">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14:paraId="0F91984B">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14:paraId="0D906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F901986">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14:paraId="53D5ECA9">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14:paraId="3E39713F">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hint="eastAsia" w:ascii="宋体" w:hAnsi="宋体" w:eastAsia="宋体" w:cs="宋体"/>
                <w:color w:val="000000"/>
                <w:szCs w:val="21"/>
                <w:lang w:val="en-US" w:eastAsia="zh-CN"/>
              </w:rPr>
              <w:t>0771-2622251</w:t>
            </w:r>
            <w:r>
              <w:rPr>
                <w:rFonts w:hint="eastAsia" w:ascii="宋体" w:hAnsi="宋体" w:eastAsia="宋体" w:cs="宋体"/>
                <w:color w:val="000000"/>
                <w:szCs w:val="21"/>
              </w:rPr>
              <w:t>；</w:t>
            </w:r>
          </w:p>
          <w:p w14:paraId="12984DD6">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w:t>
            </w:r>
            <w:r>
              <w:rPr>
                <w:rFonts w:hint="eastAsia" w:ascii="宋体" w:hAnsi="宋体" w:eastAsia="宋体" w:cs="宋体"/>
                <w:color w:val="000000"/>
                <w:szCs w:val="21"/>
                <w:lang w:val="en-US" w:eastAsia="zh-CN"/>
              </w:rPr>
              <w:t>前</w:t>
            </w:r>
            <w:r>
              <w:rPr>
                <w:rFonts w:hint="eastAsia" w:ascii="宋体" w:hAnsi="宋体" w:eastAsia="宋体" w:cs="宋体"/>
                <w:color w:val="000000"/>
                <w:szCs w:val="21"/>
              </w:rPr>
              <w:t>楼4楼4</w:t>
            </w:r>
            <w:r>
              <w:rPr>
                <w:rFonts w:ascii="宋体" w:hAnsi="宋体" w:eastAsia="宋体" w:cs="宋体"/>
                <w:color w:val="000000"/>
                <w:szCs w:val="21"/>
              </w:rPr>
              <w:t>01</w:t>
            </w:r>
            <w:r>
              <w:rPr>
                <w:rFonts w:hint="eastAsia" w:ascii="宋体" w:hAnsi="宋体" w:eastAsia="宋体" w:cs="宋体"/>
                <w:color w:val="000000"/>
                <w:szCs w:val="21"/>
              </w:rPr>
              <w:t>号；</w:t>
            </w:r>
          </w:p>
          <w:p w14:paraId="155060F6">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14:paraId="3C25E6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6A777D5">
            <w:pPr>
              <w:spacing w:line="320" w:lineRule="exact"/>
              <w:jc w:val="center"/>
              <w:rPr>
                <w:rFonts w:ascii="宋体" w:hAnsi="宋体" w:eastAsia="宋体" w:cs="宋体"/>
                <w:color w:val="000000"/>
                <w:szCs w:val="21"/>
              </w:rPr>
            </w:pPr>
          </w:p>
        </w:tc>
        <w:tc>
          <w:tcPr>
            <w:tcW w:w="7912" w:type="dxa"/>
            <w:vAlign w:val="center"/>
          </w:tcPr>
          <w:p w14:paraId="3685E368">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14:paraId="26CFC332">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14:paraId="21DF3DB9">
      <w:pPr>
        <w:spacing w:line="360" w:lineRule="atLeast"/>
        <w:ind w:firstLine="495"/>
        <w:rPr>
          <w:rFonts w:ascii="Calibri" w:hAnsi="Calibri" w:eastAsia="宋体" w:cs="Times New Roman"/>
          <w:szCs w:val="24"/>
        </w:rPr>
      </w:pPr>
    </w:p>
    <w:p w14:paraId="2694F8C8">
      <w:pPr>
        <w:spacing w:line="360" w:lineRule="atLeast"/>
        <w:ind w:firstLine="495"/>
        <w:rPr>
          <w:rFonts w:ascii="Calibri" w:hAnsi="Calibri" w:eastAsia="宋体" w:cs="Times New Roman"/>
          <w:szCs w:val="24"/>
        </w:rPr>
      </w:pPr>
    </w:p>
    <w:p w14:paraId="12067783">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14:paraId="2A990AD9">
      <w:pPr>
        <w:spacing w:line="400" w:lineRule="exact"/>
        <w:ind w:firstLine="562" w:firstLineChars="200"/>
        <w:jc w:val="center"/>
        <w:rPr>
          <w:rFonts w:ascii="宋体" w:hAnsi="宋体" w:eastAsia="宋体" w:cs="Times New Roman"/>
          <w:b/>
          <w:color w:val="000000"/>
          <w:sz w:val="28"/>
          <w:szCs w:val="28"/>
        </w:rPr>
      </w:pPr>
    </w:p>
    <w:p w14:paraId="7150EC07">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14:paraId="44E34BCB">
      <w:pPr>
        <w:spacing w:line="400" w:lineRule="exact"/>
        <w:ind w:firstLine="562" w:firstLineChars="200"/>
        <w:jc w:val="center"/>
        <w:rPr>
          <w:rFonts w:ascii="宋体" w:hAnsi="宋体" w:eastAsia="宋体" w:cs="Times New Roman"/>
          <w:b/>
          <w:color w:val="000000"/>
          <w:sz w:val="28"/>
          <w:szCs w:val="28"/>
        </w:rPr>
      </w:pPr>
    </w:p>
    <w:p w14:paraId="1571C36C">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14:paraId="71E178C0">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1.1本竞争性磋商文件仅适用于广西骨伤医院</w:t>
      </w:r>
      <w:r>
        <w:rPr>
          <w:rFonts w:hint="eastAsia" w:ascii="宋体" w:hAnsi="宋体" w:eastAsia="宋体" w:cs="Times New Roman"/>
          <w:color w:val="000000"/>
          <w:szCs w:val="21"/>
          <w:lang w:val="en-US" w:eastAsia="zh-CN"/>
        </w:rPr>
        <w:t>物资管理信息化系统</w:t>
      </w:r>
      <w:r>
        <w:rPr>
          <w:rFonts w:hint="eastAsia" w:ascii="宋体" w:hAnsi="宋体" w:eastAsia="宋体" w:cs="Times New Roman"/>
          <w:bCs/>
          <w:color w:val="000000"/>
          <w:szCs w:val="21"/>
        </w:rPr>
        <w:t>采购项目。</w:t>
      </w:r>
    </w:p>
    <w:p w14:paraId="1393CECB">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14:paraId="76048A55">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14:paraId="64C61F3C">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14:paraId="5CF8834E">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14:paraId="4FF8078E">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14:paraId="18048B81">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14:paraId="781437ED">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14:paraId="0131764B">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14:paraId="593B134E">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14:paraId="390D9D20">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14:paraId="67ECD7EB">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14:paraId="5143D1C8">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14:paraId="262004CB">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14:paraId="0F78CF78">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14:paraId="76AF1FED">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14:paraId="426681F3">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14:paraId="11AF3D8B">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14:paraId="6542FA6F">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14:paraId="0B72C825">
      <w:pPr>
        <w:spacing w:line="400" w:lineRule="exact"/>
        <w:ind w:firstLine="420" w:firstLineChars="200"/>
        <w:rPr>
          <w:rFonts w:ascii="宋体" w:hAnsi="宋体" w:eastAsia="宋体" w:cs="Times New Roman"/>
          <w:bCs/>
          <w:color w:val="000000"/>
          <w:szCs w:val="21"/>
        </w:rPr>
      </w:pPr>
    </w:p>
    <w:p w14:paraId="4CFBCE4E">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14:paraId="3B40136D">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14:paraId="23BD0609">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14:paraId="152FB7AF">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14:paraId="40208AAB">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14:paraId="51FD4E60">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14:paraId="24C78AEA">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14:paraId="31963207">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14:paraId="4ADFDAAF">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14:paraId="42F825CF">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14:paraId="5EC349C1">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14:paraId="042DA379">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14:paraId="12C00E59">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14:paraId="20EF8CAA">
      <w:pPr>
        <w:spacing w:line="400" w:lineRule="exact"/>
        <w:ind w:firstLine="420" w:firstLineChars="200"/>
        <w:rPr>
          <w:rFonts w:ascii="宋体" w:hAnsi="宋体" w:eastAsia="宋体" w:cs="Times New Roman"/>
          <w:bCs/>
          <w:color w:val="000000"/>
          <w:szCs w:val="21"/>
        </w:rPr>
      </w:pPr>
    </w:p>
    <w:p w14:paraId="015B2A92">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14:paraId="0896D996">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14:paraId="789D2DCE">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14:paraId="7E84774F">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14:paraId="28EF0E19">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14:paraId="7AD76724">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14:paraId="51A62242">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14:paraId="422F3B4A">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14:paraId="41333459">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14:paraId="1623E80D">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14:paraId="4B51FD18">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14:paraId="52E5AA8E">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14:paraId="24BFC537">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14:paraId="28276777">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14:paraId="1BB4D260">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14:paraId="3CA61693">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14:paraId="4F87403B">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14:paraId="415B7D70">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14:paraId="7561E9BE">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14:paraId="703F1B79">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14:paraId="2C0CDB80">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14:paraId="47D0DC1E">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14:paraId="5D530256">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14:paraId="102B7253">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14:paraId="76DB17AE">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14:paraId="40307E65">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14:paraId="03AFDE8E">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14:paraId="2AC1B35A">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14:paraId="63E1E8E7">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14:paraId="1BC49E47">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14:paraId="1ED3E8D5">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14:paraId="0A6D6DD6">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14:paraId="2A926CDD">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14:paraId="4F2E0FF2">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14:paraId="216372FF">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14:paraId="1EC00DAB">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14:paraId="40C55284">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14:paraId="60F13A23">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14:paraId="737C470F">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14:paraId="26E029C4">
      <w:pPr>
        <w:spacing w:line="400" w:lineRule="exact"/>
        <w:ind w:firstLine="420" w:firstLineChars="200"/>
        <w:rPr>
          <w:rFonts w:ascii="宋体" w:hAnsi="宋体" w:eastAsia="宋体" w:cs="Times New Roman"/>
          <w:bCs/>
          <w:color w:val="000000"/>
          <w:szCs w:val="21"/>
        </w:rPr>
      </w:pPr>
    </w:p>
    <w:p w14:paraId="3072BE9C">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14:paraId="260952E1">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14:paraId="75D09139">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14:paraId="13963834">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w:t>
      </w:r>
      <w:r>
        <w:rPr>
          <w:rFonts w:hint="eastAsia" w:ascii="宋体" w:hAnsi="宋体" w:eastAsia="宋体" w:cs="Calibri"/>
          <w:color w:val="000000"/>
          <w:szCs w:val="21"/>
          <w:highlight w:val="none"/>
        </w:rPr>
        <w:t>家共</w:t>
      </w:r>
      <w:r>
        <w:rPr>
          <w:rFonts w:hint="eastAsia" w:ascii="宋体" w:hAnsi="宋体" w:eastAsia="宋体" w:cs="Calibri"/>
          <w:color w:val="000000"/>
          <w:szCs w:val="21"/>
          <w:highlight w:val="none"/>
          <w:lang w:val="en-US" w:eastAsia="zh-CN"/>
        </w:rPr>
        <w:t>3</w:t>
      </w:r>
      <w:r>
        <w:rPr>
          <w:rFonts w:hint="eastAsia" w:ascii="宋体" w:hAnsi="宋体" w:eastAsia="宋体" w:cs="Calibri"/>
          <w:color w:val="000000"/>
          <w:szCs w:val="21"/>
          <w:highlight w:val="none"/>
        </w:rPr>
        <w:t>人及</w:t>
      </w:r>
      <w:r>
        <w:rPr>
          <w:rFonts w:hint="eastAsia" w:ascii="宋体" w:hAnsi="宋体" w:eastAsia="宋体" w:cs="Calibri"/>
          <w:color w:val="000000"/>
          <w:szCs w:val="21"/>
        </w:rPr>
        <w:t>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14:paraId="76178C46">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14:paraId="4F5DEF6B">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14:paraId="1CF6979F">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14:paraId="7F4E04E8">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14:paraId="21B7B16F">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14:paraId="7D104937">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14:paraId="49FB0148">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14:paraId="004D7BD5">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CCD74A3">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14:paraId="0895A23E">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14:paraId="01E909BB">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14:paraId="2109B615">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14:paraId="1A4C725E">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14:paraId="492F618E">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14:paraId="41FE3077">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14:paraId="653AE46B">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14:paraId="7278EB9E">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14:paraId="19B4BDEF">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14:paraId="0024D369">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14:paraId="1AC3DF81">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14:paraId="65DCED8C">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14:paraId="16179B03">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14:paraId="1B1D43E7">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14:paraId="5DB4E78A">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14:paraId="13E7DE34">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14:paraId="706630AB">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14:paraId="0FEC4A17">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14:paraId="0DE69DBB">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14:paraId="46DAB815">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14:paraId="30AD23F3">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14:paraId="592B6333">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14:paraId="2961A177">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14:paraId="14BCF724">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14:paraId="2F059D37">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14:paraId="7BE9777B">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14:paraId="7F747748">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14:paraId="5D1FFE3C">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14:paraId="7FDF9770">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14:paraId="140056CF">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14:paraId="74E657FE">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14:paraId="4F1A852B">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14:paraId="3B6413BC">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E903F34">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14:paraId="678E0DF3">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14:paraId="744DF809">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14:paraId="5EEDFD09">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1462721F">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21381304">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14:paraId="59E48F14">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14:paraId="37C8C673">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14:paraId="07CFDE1E">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14:paraId="09C51F92">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14:paraId="5A512981">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14:paraId="0C0AD04B">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14:paraId="7BCFCC95">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14:paraId="4B4BB354">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14:paraId="5604BA7D">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14:paraId="25969AF3">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14:paraId="4DA110AE">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14:paraId="2A95B284">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14:paraId="18BCDCD0">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14:paraId="700BB215">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14:paraId="572512E9">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14:paraId="78562BE4">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14:paraId="4D3A3E9B">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14:paraId="5C684291">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14:paraId="423C087B">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14:paraId="0A9D7357">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14:paraId="72B6C154">
      <w:pPr>
        <w:spacing w:line="400" w:lineRule="exact"/>
        <w:rPr>
          <w:rFonts w:ascii="宋体" w:hAnsi="宋体" w:eastAsia="宋体" w:cs="Times New Roman"/>
          <w:bCs/>
          <w:color w:val="000000"/>
          <w:szCs w:val="21"/>
        </w:rPr>
      </w:pPr>
    </w:p>
    <w:p w14:paraId="58EEF900">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14:paraId="2B5DDC9C">
      <w:pPr>
        <w:ind w:firstLine="420" w:firstLineChars="200"/>
        <w:rPr>
          <w:rFonts w:ascii="宋体" w:hAnsi="宋体" w:eastAsia="宋体" w:cs="Times New Roman"/>
          <w:color w:val="000000"/>
          <w:szCs w:val="21"/>
        </w:rPr>
      </w:pPr>
    </w:p>
    <w:p w14:paraId="51CC9FBB">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14:paraId="3F117AC0">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14:paraId="28FC567D">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14:paraId="5DD3A1F3">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14:paraId="636BA94B">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14:paraId="04DEBB29">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14:paraId="76237E31">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14:paraId="5A674657">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1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29"/>
        <w:gridCol w:w="993"/>
        <w:gridCol w:w="6022"/>
      </w:tblGrid>
      <w:tr w14:paraId="6A6F1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8144" w:type="dxa"/>
            <w:gridSpan w:val="3"/>
            <w:vAlign w:val="center"/>
          </w:tcPr>
          <w:p w14:paraId="3DD934AB">
            <w:pPr>
              <w:tabs>
                <w:tab w:val="left" w:pos="180"/>
                <w:tab w:val="left" w:pos="1620"/>
              </w:tabs>
              <w:spacing w:line="440" w:lineRule="exact"/>
              <w:jc w:val="left"/>
              <w:rPr>
                <w:rFonts w:ascii="宋体" w:hAnsi="宋体" w:eastAsia="宋体" w:cs="宋体"/>
                <w:color w:val="000000"/>
                <w:szCs w:val="21"/>
              </w:rPr>
            </w:pPr>
            <w:r>
              <w:rPr>
                <w:rFonts w:hint="eastAsia" w:ascii="宋体" w:hAnsi="宋体" w:eastAsia="宋体" w:cs="宋体"/>
                <w:color w:val="000000"/>
                <w:szCs w:val="21"/>
              </w:rPr>
              <w:t>一、采购</w:t>
            </w:r>
            <w:r>
              <w:rPr>
                <w:rFonts w:hint="eastAsia" w:ascii="宋体" w:hAnsi="宋体" w:eastAsia="宋体" w:cs="宋体"/>
                <w:color w:val="000000"/>
                <w:szCs w:val="21"/>
                <w:lang w:val="en-US" w:eastAsia="zh-CN"/>
              </w:rPr>
              <w:t>项目</w:t>
            </w:r>
            <w:r>
              <w:rPr>
                <w:rFonts w:hint="eastAsia" w:ascii="宋体" w:hAnsi="宋体" w:eastAsia="宋体" w:cs="宋体"/>
                <w:color w:val="000000"/>
                <w:szCs w:val="21"/>
              </w:rPr>
              <w:t>需求</w:t>
            </w:r>
          </w:p>
        </w:tc>
      </w:tr>
      <w:tr w14:paraId="00797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1129" w:type="dxa"/>
            <w:vAlign w:val="center"/>
          </w:tcPr>
          <w:p w14:paraId="2D680894">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993" w:type="dxa"/>
            <w:vAlign w:val="center"/>
          </w:tcPr>
          <w:p w14:paraId="506C51F3">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022" w:type="dxa"/>
            <w:vAlign w:val="center"/>
          </w:tcPr>
          <w:p w14:paraId="48BB2D4C">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w:t>
            </w:r>
          </w:p>
        </w:tc>
      </w:tr>
      <w:tr w14:paraId="70681F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1129" w:type="dxa"/>
            <w:vMerge w:val="restart"/>
            <w:vAlign w:val="center"/>
          </w:tcPr>
          <w:p w14:paraId="7EA47EC3">
            <w:pPr>
              <w:spacing w:line="320" w:lineRule="exact"/>
              <w:rPr>
                <w:rFonts w:ascii="宋体" w:hAnsi="宋体" w:eastAsia="宋体" w:cs="Times New Roman"/>
                <w:color w:val="000000"/>
                <w:szCs w:val="21"/>
                <w:u w:val="single"/>
              </w:rPr>
            </w:pP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val="en-US" w:eastAsia="zh-CN"/>
              </w:rPr>
              <w:t>物资管理信息化系统</w:t>
            </w:r>
            <w:r>
              <w:rPr>
                <w:rFonts w:hint="eastAsia" w:ascii="宋体" w:hAnsi="宋体" w:eastAsia="宋体" w:cs="Times New Roman"/>
                <w:color w:val="000000"/>
                <w:szCs w:val="21"/>
              </w:rPr>
              <w:t>采购项目</w:t>
            </w:r>
          </w:p>
          <w:p w14:paraId="50054D31">
            <w:pPr>
              <w:tabs>
                <w:tab w:val="left" w:pos="180"/>
                <w:tab w:val="left" w:pos="1620"/>
              </w:tabs>
              <w:spacing w:line="440" w:lineRule="exact"/>
              <w:rPr>
                <w:rFonts w:ascii="宋体" w:hAnsi="宋体" w:eastAsia="宋体" w:cs="宋体"/>
                <w:color w:val="000000"/>
                <w:szCs w:val="21"/>
              </w:rPr>
            </w:pPr>
          </w:p>
        </w:tc>
        <w:tc>
          <w:tcPr>
            <w:tcW w:w="993" w:type="dxa"/>
            <w:vAlign w:val="center"/>
          </w:tcPr>
          <w:p w14:paraId="414B45FC">
            <w:pPr>
              <w:tabs>
                <w:tab w:val="left" w:pos="180"/>
                <w:tab w:val="left" w:pos="1620"/>
              </w:tabs>
              <w:spacing w:line="440" w:lineRule="exact"/>
              <w:jc w:val="center"/>
              <w:rPr>
                <w:rFonts w:hint="eastAsia" w:ascii="宋体" w:hAnsi="宋体" w:eastAsia="宋体" w:cs="宋体"/>
                <w:color w:val="000000"/>
                <w:szCs w:val="21"/>
              </w:rPr>
            </w:pPr>
          </w:p>
        </w:tc>
        <w:tc>
          <w:tcPr>
            <w:tcW w:w="6022" w:type="dxa"/>
            <w:vAlign w:val="center"/>
          </w:tcPr>
          <w:p w14:paraId="338C784A">
            <w:pPr>
              <w:pStyle w:val="3"/>
              <w:numPr>
                <w:ilvl w:val="0"/>
                <w:numId w:val="0"/>
              </w:numPr>
              <w:spacing w:line="360" w:lineRule="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（一）项目建设目标</w:t>
            </w:r>
          </w:p>
          <w:p w14:paraId="2E14A392">
            <w:pPr>
              <w:pStyle w:val="19"/>
              <w:spacing w:line="360" w:lineRule="auto"/>
              <w:rPr>
                <w:rFonts w:ascii="新宋体" w:hAnsi="新宋体" w:eastAsia="新宋体"/>
                <w:color w:val="auto"/>
              </w:rPr>
            </w:pPr>
            <w:r>
              <w:rPr>
                <w:rFonts w:hint="eastAsia" w:ascii="新宋体" w:hAnsi="新宋体" w:eastAsia="新宋体"/>
                <w:color w:val="auto"/>
                <w:lang w:val="en-US" w:eastAsia="zh-CN"/>
              </w:rPr>
              <w:t>全面梳理医院卫生材料、制剂原料、</w:t>
            </w:r>
            <w:r>
              <w:rPr>
                <w:rFonts w:hint="eastAsia" w:ascii="新宋体" w:hAnsi="新宋体" w:eastAsia="新宋体"/>
                <w:color w:val="auto"/>
              </w:rPr>
              <w:t>办公用品、后勤材料</w:t>
            </w:r>
            <w:r>
              <w:rPr>
                <w:rFonts w:hint="eastAsia" w:ascii="新宋体" w:hAnsi="新宋体" w:eastAsia="新宋体"/>
                <w:color w:val="auto"/>
                <w:lang w:val="en-US" w:eastAsia="zh-CN"/>
              </w:rPr>
              <w:t>等库存物资的业务流程，实现管理的规范化；建立物资流转的相关主体之间的联系，打破各业务平台间的技术壁垒，实现管理的一体化；加强对二级库物资的管理使用，提升管理的颗粒度，实现管理的精细化</w:t>
            </w:r>
            <w:r>
              <w:rPr>
                <w:rFonts w:hint="eastAsia" w:ascii="新宋体" w:hAnsi="新宋体" w:eastAsia="新宋体"/>
                <w:color w:val="auto"/>
              </w:rPr>
              <w:t>。</w:t>
            </w:r>
          </w:p>
          <w:p w14:paraId="2FD78FA4">
            <w:pPr>
              <w:tabs>
                <w:tab w:val="left" w:pos="180"/>
                <w:tab w:val="left" w:pos="1620"/>
              </w:tabs>
              <w:spacing w:line="440" w:lineRule="exact"/>
              <w:jc w:val="center"/>
              <w:rPr>
                <w:rFonts w:hint="eastAsia" w:ascii="宋体" w:hAnsi="宋体" w:eastAsia="宋体" w:cs="宋体"/>
                <w:color w:val="000000"/>
                <w:szCs w:val="21"/>
              </w:rPr>
            </w:pPr>
          </w:p>
        </w:tc>
      </w:tr>
      <w:tr w14:paraId="4CBE5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1129" w:type="dxa"/>
            <w:vMerge w:val="continue"/>
          </w:tcPr>
          <w:p w14:paraId="2A22332E">
            <w:pPr>
              <w:tabs>
                <w:tab w:val="left" w:pos="180"/>
                <w:tab w:val="left" w:pos="1620"/>
              </w:tabs>
              <w:spacing w:line="440" w:lineRule="exact"/>
              <w:rPr>
                <w:rFonts w:ascii="宋体" w:hAnsi="宋体" w:eastAsia="宋体" w:cs="宋体"/>
                <w:color w:val="000000"/>
                <w:szCs w:val="21"/>
              </w:rPr>
            </w:pPr>
          </w:p>
        </w:tc>
        <w:tc>
          <w:tcPr>
            <w:tcW w:w="993" w:type="dxa"/>
          </w:tcPr>
          <w:p w14:paraId="2A4AF099">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1项</w:t>
            </w:r>
          </w:p>
        </w:tc>
        <w:tc>
          <w:tcPr>
            <w:tcW w:w="6022" w:type="dxa"/>
          </w:tcPr>
          <w:p w14:paraId="36FA1B8A">
            <w:pPr>
              <w:pStyle w:val="3"/>
              <w:numPr>
                <w:ilvl w:val="0"/>
                <w:numId w:val="0"/>
              </w:numPr>
              <w:spacing w:line="360" w:lineRule="auto"/>
              <w:rPr>
                <w:rFonts w:hint="default"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（二）技术参数需求</w:t>
            </w:r>
          </w:p>
          <w:p w14:paraId="18BD9A20">
            <w:pPr>
              <w:pStyle w:val="19"/>
              <w:numPr>
                <w:ilvl w:val="0"/>
                <w:numId w:val="0"/>
              </w:numPr>
              <w:spacing w:line="360" w:lineRule="auto"/>
              <w:ind w:leftChars="0" w:firstLine="420" w:firstLineChars="200"/>
              <w:rPr>
                <w:rFonts w:ascii="新宋体" w:hAnsi="新宋体" w:eastAsia="新宋体"/>
                <w:color w:val="auto"/>
              </w:rPr>
            </w:pPr>
            <w:r>
              <w:rPr>
                <w:rFonts w:hint="eastAsia" w:ascii="新宋体" w:hAnsi="新宋体" w:eastAsia="新宋体"/>
                <w:color w:val="auto"/>
              </w:rPr>
              <w:t>1.建立</w:t>
            </w:r>
            <w:r>
              <w:rPr>
                <w:rFonts w:hint="eastAsia" w:ascii="新宋体" w:hAnsi="新宋体" w:eastAsia="新宋体"/>
                <w:color w:val="auto"/>
                <w:lang w:val="en-US" w:eastAsia="zh-CN"/>
              </w:rPr>
              <w:t>基于医院组织架构的物资</w:t>
            </w:r>
            <w:r>
              <w:rPr>
                <w:rFonts w:hint="eastAsia" w:ascii="新宋体" w:hAnsi="新宋体" w:eastAsia="新宋体"/>
                <w:color w:val="auto"/>
              </w:rPr>
              <w:t>管理平台，</w:t>
            </w:r>
            <w:r>
              <w:rPr>
                <w:rFonts w:hint="eastAsia" w:ascii="新宋体" w:hAnsi="新宋体" w:eastAsia="新宋体"/>
                <w:color w:val="auto"/>
                <w:lang w:val="en-US" w:eastAsia="zh-CN"/>
              </w:rPr>
              <w:t>涵盖卫生材料、制剂原料、</w:t>
            </w:r>
            <w:r>
              <w:rPr>
                <w:rFonts w:hint="eastAsia" w:ascii="新宋体" w:hAnsi="新宋体" w:eastAsia="新宋体"/>
                <w:color w:val="auto"/>
              </w:rPr>
              <w:t>办公用品、后勤材料</w:t>
            </w:r>
            <w:r>
              <w:rPr>
                <w:rFonts w:hint="eastAsia" w:ascii="新宋体" w:hAnsi="新宋体" w:eastAsia="新宋体"/>
                <w:color w:val="auto"/>
                <w:lang w:val="en-US" w:eastAsia="zh-CN"/>
              </w:rPr>
              <w:t>等库存物资</w:t>
            </w:r>
            <w:r>
              <w:rPr>
                <w:rFonts w:hint="eastAsia" w:ascii="新宋体" w:hAnsi="新宋体" w:eastAsia="新宋体"/>
                <w:color w:val="auto"/>
              </w:rPr>
              <w:t>，实现全内容、全方位、全过程的闭环统一管理。</w:t>
            </w:r>
          </w:p>
          <w:p w14:paraId="096F786C">
            <w:pPr>
              <w:pStyle w:val="19"/>
              <w:spacing w:line="360" w:lineRule="auto"/>
              <w:rPr>
                <w:rFonts w:hint="eastAsia" w:ascii="新宋体" w:hAnsi="新宋体" w:eastAsia="新宋体"/>
                <w:color w:val="auto"/>
              </w:rPr>
            </w:pPr>
            <w:r>
              <w:rPr>
                <w:rFonts w:ascii="宋体" w:hAnsi="宋体" w:eastAsia="宋体" w:cs="Times New Roman"/>
                <w:bCs/>
                <w:color w:val="000000"/>
                <w:szCs w:val="21"/>
              </w:rPr>
              <w:t>▲</w:t>
            </w:r>
            <w:r>
              <w:rPr>
                <w:rFonts w:hint="eastAsia" w:ascii="新宋体" w:hAnsi="新宋体" w:eastAsia="新宋体"/>
                <w:color w:val="auto"/>
              </w:rPr>
              <w:t>2.支持采购业务从计划、订单、</w:t>
            </w:r>
            <w:r>
              <w:rPr>
                <w:rFonts w:hint="eastAsia" w:ascii="新宋体" w:hAnsi="新宋体" w:eastAsia="新宋体"/>
                <w:color w:val="auto"/>
                <w:lang w:val="en-US" w:eastAsia="zh-CN"/>
              </w:rPr>
              <w:t>验收</w:t>
            </w:r>
            <w:r>
              <w:rPr>
                <w:rFonts w:hint="eastAsia" w:ascii="新宋体" w:hAnsi="新宋体" w:eastAsia="新宋体"/>
                <w:color w:val="auto"/>
              </w:rPr>
              <w:t>、质检、入库、收票、到结算全过程的管理。通过发票的确认，传输至财务模块生成应付单据。职能科室按照应付</w:t>
            </w:r>
            <w:r>
              <w:rPr>
                <w:rFonts w:hint="eastAsia" w:ascii="新宋体" w:hAnsi="新宋体" w:eastAsia="新宋体"/>
                <w:color w:val="auto"/>
                <w:lang w:val="en-US" w:eastAsia="zh-CN"/>
              </w:rPr>
              <w:t>单据</w:t>
            </w:r>
            <w:r>
              <w:rPr>
                <w:rFonts w:hint="eastAsia" w:ascii="新宋体" w:hAnsi="新宋体" w:eastAsia="新宋体"/>
                <w:color w:val="auto"/>
              </w:rPr>
              <w:t>以及对应供应商发票发起付款申请，财务</w:t>
            </w:r>
            <w:r>
              <w:rPr>
                <w:rFonts w:hint="eastAsia" w:ascii="新宋体" w:hAnsi="新宋体" w:eastAsia="新宋体"/>
                <w:color w:val="auto"/>
                <w:lang w:val="en-US" w:eastAsia="zh-CN"/>
              </w:rPr>
              <w:t>部门</w:t>
            </w:r>
            <w:r>
              <w:rPr>
                <w:rFonts w:hint="eastAsia" w:ascii="新宋体" w:hAnsi="新宋体" w:eastAsia="新宋体"/>
                <w:color w:val="auto"/>
              </w:rPr>
              <w:t>审核确认后，生成对应付款</w:t>
            </w:r>
            <w:r>
              <w:rPr>
                <w:rFonts w:hint="eastAsia" w:ascii="新宋体" w:hAnsi="新宋体" w:eastAsia="新宋体"/>
                <w:color w:val="auto"/>
                <w:lang w:val="en-US" w:eastAsia="zh-CN"/>
              </w:rPr>
              <w:t>单据</w:t>
            </w:r>
            <w:r>
              <w:rPr>
                <w:rFonts w:hint="eastAsia" w:ascii="新宋体" w:hAnsi="新宋体" w:eastAsia="新宋体"/>
                <w:color w:val="auto"/>
              </w:rPr>
              <w:t>，并</w:t>
            </w:r>
            <w:r>
              <w:rPr>
                <w:rFonts w:hint="eastAsia" w:ascii="新宋体" w:hAnsi="新宋体" w:eastAsia="新宋体"/>
                <w:color w:val="auto"/>
                <w:lang w:val="en-US" w:eastAsia="zh-CN"/>
              </w:rPr>
              <w:t>依据医院流程</w:t>
            </w:r>
            <w:r>
              <w:rPr>
                <w:rFonts w:hint="eastAsia" w:ascii="新宋体" w:hAnsi="新宋体" w:eastAsia="新宋体"/>
                <w:color w:val="auto"/>
              </w:rPr>
              <w:t>审批付款结算。</w:t>
            </w:r>
          </w:p>
          <w:p w14:paraId="44570F2C">
            <w:pPr>
              <w:pStyle w:val="19"/>
              <w:spacing w:line="360" w:lineRule="auto"/>
              <w:rPr>
                <w:rFonts w:hint="eastAsia" w:ascii="新宋体" w:hAnsi="新宋体" w:eastAsia="新宋体"/>
                <w:color w:val="auto"/>
              </w:rPr>
            </w:pPr>
            <w:r>
              <w:rPr>
                <w:rFonts w:hint="eastAsia" w:ascii="新宋体" w:hAnsi="新宋体" w:eastAsia="新宋体"/>
                <w:color w:val="auto"/>
                <w:lang w:val="en-US" w:eastAsia="zh-CN"/>
              </w:rPr>
              <w:t>3.</w:t>
            </w:r>
            <w:r>
              <w:rPr>
                <w:rFonts w:hint="eastAsia" w:ascii="新宋体" w:hAnsi="新宋体" w:eastAsia="新宋体"/>
                <w:color w:val="auto"/>
              </w:rPr>
              <w:t>采购管理系统以订单为核心，对采购过程中各个环节及状态进行跟踪管理，区分出采购存货的计划状态，订单状态，到货状态，存量状态等。</w:t>
            </w:r>
          </w:p>
          <w:p w14:paraId="77EB6A72">
            <w:pPr>
              <w:pStyle w:val="19"/>
              <w:spacing w:line="360" w:lineRule="auto"/>
              <w:rPr>
                <w:rFonts w:hint="eastAsia" w:ascii="新宋体" w:hAnsi="新宋体" w:eastAsia="新宋体"/>
                <w:color w:val="auto"/>
              </w:rPr>
            </w:pPr>
            <w:r>
              <w:rPr>
                <w:rFonts w:hint="eastAsia" w:ascii="新宋体" w:hAnsi="新宋体" w:eastAsia="新宋体"/>
                <w:color w:val="auto"/>
                <w:lang w:val="en-US" w:eastAsia="zh-CN"/>
              </w:rPr>
              <w:t>4</w:t>
            </w:r>
            <w:r>
              <w:rPr>
                <w:rFonts w:hint="eastAsia" w:ascii="新宋体" w:hAnsi="新宋体" w:eastAsia="新宋体"/>
                <w:color w:val="auto"/>
              </w:rPr>
              <w:t>.通过需求供给规则的</w:t>
            </w:r>
            <w:r>
              <w:rPr>
                <w:rFonts w:hint="eastAsia" w:ascii="新宋体" w:hAnsi="新宋体" w:eastAsia="新宋体"/>
                <w:color w:val="auto"/>
                <w:lang w:val="en-US" w:eastAsia="zh-CN"/>
              </w:rPr>
              <w:t>设置</w:t>
            </w:r>
            <w:r>
              <w:rPr>
                <w:rFonts w:hint="eastAsia" w:ascii="新宋体" w:hAnsi="新宋体" w:eastAsia="新宋体"/>
                <w:color w:val="auto"/>
              </w:rPr>
              <w:t>，对所有科室的需求申请进行汇总平衡，支持院区</w:t>
            </w:r>
            <w:r>
              <w:rPr>
                <w:rFonts w:hint="eastAsia" w:ascii="新宋体" w:hAnsi="新宋体" w:eastAsia="新宋体"/>
                <w:color w:val="auto"/>
                <w:lang w:val="en-US" w:eastAsia="zh-CN"/>
              </w:rPr>
              <w:t>间</w:t>
            </w:r>
            <w:r>
              <w:rPr>
                <w:rFonts w:hint="eastAsia" w:ascii="新宋体" w:hAnsi="新宋体" w:eastAsia="新宋体"/>
                <w:color w:val="auto"/>
              </w:rPr>
              <w:t>的汇总平衡。支持集中采购，包括分收分结、集收集结、分收集结、集采合同采购等多种模式。</w:t>
            </w:r>
          </w:p>
          <w:p w14:paraId="74368976">
            <w:pPr>
              <w:pStyle w:val="19"/>
              <w:spacing w:line="360" w:lineRule="auto"/>
              <w:rPr>
                <w:rFonts w:hint="default" w:ascii="新宋体" w:hAnsi="新宋体" w:eastAsia="新宋体"/>
                <w:color w:val="auto"/>
                <w:lang w:val="en-US" w:eastAsia="zh-CN"/>
              </w:rPr>
            </w:pPr>
            <w:r>
              <w:rPr>
                <w:rFonts w:hint="eastAsia" w:ascii="新宋体" w:hAnsi="新宋体" w:eastAsia="新宋体"/>
                <w:color w:val="auto"/>
                <w:lang w:val="en-US" w:eastAsia="zh-CN"/>
              </w:rPr>
              <w:t>5.根据医院内控需要</w:t>
            </w:r>
            <w:r>
              <w:rPr>
                <w:rFonts w:hint="eastAsia" w:ascii="新宋体" w:hAnsi="新宋体" w:eastAsia="新宋体"/>
                <w:color w:val="auto"/>
              </w:rPr>
              <w:t>配置和定义采购审批流程，实现对医院每一种业务模式下的审批程序</w:t>
            </w:r>
            <w:r>
              <w:rPr>
                <w:rFonts w:hint="eastAsia" w:ascii="新宋体" w:hAnsi="新宋体" w:eastAsia="新宋体"/>
                <w:color w:val="auto"/>
                <w:lang w:val="en-US" w:eastAsia="zh-CN"/>
              </w:rPr>
              <w:t>的</w:t>
            </w:r>
            <w:r>
              <w:rPr>
                <w:rFonts w:hint="eastAsia" w:ascii="新宋体" w:hAnsi="新宋体" w:eastAsia="新宋体"/>
                <w:color w:val="auto"/>
              </w:rPr>
              <w:t>统一管理和规范，使医院对采购的发生和资金的流出进行科学的控制和管理。</w:t>
            </w:r>
          </w:p>
          <w:p w14:paraId="19F5F186">
            <w:pPr>
              <w:pStyle w:val="19"/>
              <w:spacing w:line="360" w:lineRule="auto"/>
              <w:rPr>
                <w:rFonts w:hint="eastAsia" w:ascii="新宋体" w:hAnsi="新宋体" w:eastAsia="新宋体"/>
                <w:color w:val="auto"/>
              </w:rPr>
            </w:pPr>
            <w:r>
              <w:rPr>
                <w:rFonts w:hint="eastAsia" w:ascii="新宋体" w:hAnsi="新宋体" w:eastAsia="新宋体"/>
                <w:color w:val="auto"/>
                <w:lang w:val="en-US" w:eastAsia="zh-CN"/>
              </w:rPr>
              <w:t>6</w:t>
            </w:r>
            <w:r>
              <w:rPr>
                <w:rFonts w:hint="eastAsia" w:ascii="新宋体" w:hAnsi="新宋体" w:eastAsia="新宋体"/>
                <w:color w:val="auto"/>
              </w:rPr>
              <w:t>.支持采购订单的预付款功能，支持按整单部分比例支付、部分金额支付</w:t>
            </w:r>
            <w:r>
              <w:rPr>
                <w:rFonts w:hint="eastAsia" w:ascii="新宋体" w:hAnsi="新宋体" w:eastAsia="新宋体"/>
                <w:color w:val="auto"/>
                <w:lang w:val="en-US" w:eastAsia="zh-CN"/>
              </w:rPr>
              <w:t>等</w:t>
            </w:r>
            <w:r>
              <w:rPr>
                <w:rFonts w:hint="eastAsia" w:ascii="新宋体" w:hAnsi="新宋体" w:eastAsia="新宋体"/>
                <w:color w:val="auto"/>
              </w:rPr>
              <w:t>方式，支持订单生成应付与预付自动核销、订单付款与已有的应付自动核销的双向核销。</w:t>
            </w:r>
          </w:p>
          <w:p w14:paraId="48CCB634">
            <w:pPr>
              <w:pStyle w:val="19"/>
              <w:spacing w:line="360" w:lineRule="auto"/>
              <w:rPr>
                <w:rFonts w:hint="default" w:ascii="新宋体" w:hAnsi="新宋体" w:eastAsia="新宋体" w:cs="Times New Roman"/>
                <w:color w:val="auto"/>
                <w:lang w:val="en-US" w:eastAsia="zh-CN"/>
              </w:rPr>
            </w:pPr>
            <w:r>
              <w:rPr>
                <w:rFonts w:hint="eastAsia" w:ascii="新宋体" w:hAnsi="新宋体" w:eastAsia="新宋体"/>
                <w:color w:val="auto"/>
                <w:lang w:val="en-US" w:eastAsia="zh-CN"/>
              </w:rPr>
              <w:t>7</w:t>
            </w:r>
            <w:r>
              <w:rPr>
                <w:rFonts w:hint="eastAsia" w:ascii="新宋体" w:hAnsi="新宋体" w:eastAsia="新宋体"/>
                <w:color w:val="auto"/>
              </w:rPr>
              <w:t>.通过采购暂估与结算的功能，处理跨月采购的核算</w:t>
            </w:r>
            <w:r>
              <w:rPr>
                <w:rFonts w:hint="eastAsia" w:ascii="新宋体" w:hAnsi="新宋体" w:eastAsia="新宋体"/>
                <w:color w:val="auto"/>
                <w:lang w:val="en-US" w:eastAsia="zh-CN"/>
              </w:rPr>
              <w:t>并实现发票管理</w:t>
            </w:r>
            <w:r>
              <w:rPr>
                <w:rFonts w:hint="eastAsia" w:ascii="新宋体" w:hAnsi="新宋体" w:eastAsia="新宋体"/>
                <w:color w:val="auto"/>
              </w:rPr>
              <w:t>。系统通过确认采购入库单，自动生成暂估结算单，</w:t>
            </w:r>
            <w:r>
              <w:rPr>
                <w:rFonts w:hint="eastAsia" w:ascii="新宋体" w:hAnsi="新宋体" w:eastAsia="新宋体"/>
                <w:color w:val="auto"/>
                <w:lang w:val="en-US" w:eastAsia="zh-CN"/>
              </w:rPr>
              <w:t>当</w:t>
            </w:r>
            <w:r>
              <w:rPr>
                <w:rFonts w:hint="eastAsia" w:ascii="新宋体" w:hAnsi="新宋体" w:eastAsia="新宋体"/>
                <w:color w:val="auto"/>
              </w:rPr>
              <w:t>收到发票，在系统中录入采购发票后，暂估结算单转换为采购结算单，没有采购发票的，仍挂暂估结算单。</w:t>
            </w:r>
            <w:r>
              <w:rPr>
                <w:rFonts w:hint="eastAsia" w:ascii="新宋体" w:hAnsi="新宋体" w:eastAsia="新宋体"/>
                <w:color w:val="auto"/>
                <w:lang w:val="en-US" w:eastAsia="zh-CN"/>
              </w:rPr>
              <w:t>对发票情况实行智能管理。</w:t>
            </w:r>
          </w:p>
          <w:p w14:paraId="5E5C7474">
            <w:pPr>
              <w:pStyle w:val="19"/>
              <w:spacing w:line="360" w:lineRule="auto"/>
              <w:rPr>
                <w:rFonts w:hint="eastAsia" w:ascii="新宋体" w:hAnsi="新宋体" w:eastAsia="新宋体" w:cs="Times New Roman"/>
                <w:color w:val="auto"/>
                <w:lang w:val="en-US" w:eastAsia="zh-CN"/>
              </w:rPr>
            </w:pPr>
            <w:r>
              <w:rPr>
                <w:rFonts w:hint="eastAsia" w:ascii="新宋体" w:hAnsi="新宋体" w:eastAsia="新宋体" w:cs="Times New Roman"/>
                <w:color w:val="auto"/>
                <w:lang w:val="en-US" w:eastAsia="zh-CN"/>
              </w:rPr>
              <w:t>8.系统包含供应商平台建设，信息数据与供应商平台互联互通，实现供应商管理，动态管理供应商基本情况、资质条件、合同期限、供货目录、供货价格等，实现价格预警（如未按合同价格供货自动预警）、非目录内入库预警、合同到期预警等，供应商平台免费提供给供应商使用，实现线上下单功能。</w:t>
            </w:r>
          </w:p>
          <w:p w14:paraId="56648443">
            <w:pPr>
              <w:pStyle w:val="19"/>
              <w:spacing w:line="360" w:lineRule="auto"/>
              <w:rPr>
                <w:rFonts w:hint="default" w:ascii="新宋体" w:hAnsi="新宋体" w:eastAsia="新宋体" w:cs="Times New Roman"/>
                <w:color w:val="auto"/>
                <w:lang w:val="en-US" w:eastAsia="zh-CN"/>
              </w:rPr>
            </w:pPr>
            <w:r>
              <w:rPr>
                <w:rFonts w:hint="eastAsia" w:ascii="新宋体" w:hAnsi="新宋体" w:eastAsia="新宋体" w:cs="Times New Roman"/>
                <w:color w:val="auto"/>
                <w:lang w:val="en-US" w:eastAsia="zh-CN"/>
              </w:rPr>
              <w:t>9.实现采购入库、自制入库、其他入库、盘盈入库等多种入库管理模式，适应医院实际库存业务情况。</w:t>
            </w:r>
          </w:p>
          <w:p w14:paraId="3A013D5E">
            <w:pPr>
              <w:pStyle w:val="19"/>
              <w:spacing w:line="360" w:lineRule="auto"/>
              <w:rPr>
                <w:rFonts w:hint="eastAsia" w:ascii="新宋体" w:hAnsi="新宋体" w:eastAsia="新宋体" w:cs="Times New Roman"/>
                <w:color w:val="auto"/>
                <w:lang w:val="en-US" w:eastAsia="zh-CN"/>
              </w:rPr>
            </w:pPr>
            <w:r>
              <w:rPr>
                <w:rFonts w:hint="eastAsia" w:ascii="新宋体" w:hAnsi="新宋体" w:eastAsia="新宋体"/>
                <w:color w:val="auto"/>
                <w:lang w:val="en-US" w:eastAsia="zh-CN"/>
              </w:rPr>
              <w:t>10.实现</w:t>
            </w:r>
            <w:r>
              <w:rPr>
                <w:rFonts w:hint="eastAsia" w:ascii="新宋体" w:hAnsi="新宋体" w:eastAsia="新宋体"/>
                <w:color w:val="auto"/>
              </w:rPr>
              <w:t>批次管理、效期的库存管理及跟踪。支持产品序列号库存管理、序列号跟踪。</w:t>
            </w:r>
          </w:p>
          <w:p w14:paraId="52DAFC49">
            <w:pPr>
              <w:pStyle w:val="19"/>
              <w:spacing w:line="360" w:lineRule="auto"/>
              <w:rPr>
                <w:rFonts w:hint="eastAsia" w:ascii="新宋体" w:hAnsi="新宋体" w:eastAsia="新宋体"/>
                <w:color w:val="auto"/>
              </w:rPr>
            </w:pPr>
            <w:r>
              <w:rPr>
                <w:rFonts w:hint="eastAsia" w:ascii="新宋体" w:hAnsi="新宋体" w:eastAsia="新宋体"/>
                <w:color w:val="auto"/>
                <w:lang w:val="en-US" w:eastAsia="zh-CN"/>
              </w:rPr>
              <w:t>11.</w:t>
            </w:r>
            <w:r>
              <w:rPr>
                <w:rFonts w:hint="eastAsia" w:ascii="新宋体" w:hAnsi="新宋体" w:eastAsia="新宋体"/>
                <w:color w:val="auto"/>
              </w:rPr>
              <w:t>为每</w:t>
            </w:r>
            <w:r>
              <w:rPr>
                <w:rFonts w:hint="eastAsia" w:ascii="新宋体" w:hAnsi="新宋体" w:eastAsia="新宋体"/>
                <w:color w:val="auto"/>
                <w:lang w:val="en-US" w:eastAsia="zh-CN"/>
              </w:rPr>
              <w:t>类</w:t>
            </w:r>
            <w:r>
              <w:rPr>
                <w:rFonts w:hint="eastAsia" w:ascii="新宋体" w:hAnsi="新宋体" w:eastAsia="新宋体"/>
                <w:color w:val="auto"/>
              </w:rPr>
              <w:t>物料设置不同的自由项属性，并进行现存量、可用量的管理。</w:t>
            </w:r>
          </w:p>
          <w:p w14:paraId="64E053A4">
            <w:pPr>
              <w:pStyle w:val="19"/>
              <w:spacing w:line="360" w:lineRule="auto"/>
              <w:ind w:firstLineChars="0"/>
              <w:rPr>
                <w:rFonts w:hint="eastAsia" w:ascii="新宋体" w:hAnsi="新宋体" w:eastAsia="新宋体"/>
                <w:color w:val="auto"/>
              </w:rPr>
            </w:pPr>
            <w:r>
              <w:rPr>
                <w:rFonts w:hint="eastAsia" w:ascii="新宋体" w:hAnsi="新宋体" w:eastAsia="新宋体"/>
                <w:color w:val="auto"/>
                <w:lang w:val="en-US" w:eastAsia="zh-CN"/>
              </w:rPr>
              <w:t>12.</w:t>
            </w:r>
            <w:r>
              <w:rPr>
                <w:rFonts w:hint="eastAsia" w:ascii="新宋体" w:hAnsi="新宋体" w:eastAsia="新宋体"/>
                <w:color w:val="auto"/>
              </w:rPr>
              <w:t>动态库存状态管理：现存量、预估量的管理。科室可以在需求申请单中看到所需耗材的预估量及现存量。</w:t>
            </w:r>
          </w:p>
          <w:p w14:paraId="60B91FA2">
            <w:pPr>
              <w:pStyle w:val="19"/>
              <w:spacing w:line="360" w:lineRule="auto"/>
              <w:rPr>
                <w:rFonts w:ascii="新宋体" w:hAnsi="新宋体" w:eastAsia="新宋体"/>
                <w:color w:val="auto"/>
              </w:rPr>
            </w:pPr>
            <w:r>
              <w:rPr>
                <w:rFonts w:hint="eastAsia" w:ascii="新宋体" w:hAnsi="新宋体" w:eastAsia="新宋体"/>
                <w:color w:val="auto"/>
                <w:lang w:val="en-US" w:eastAsia="zh-CN"/>
              </w:rPr>
              <w:t>13.实现条码管理（含管理所需支持硬件），物资条码的内容设计支持物资编码、物资批次、高值耗材序列号等。</w:t>
            </w:r>
            <w:r>
              <w:rPr>
                <w:rFonts w:hint="eastAsia" w:ascii="新宋体" w:hAnsi="新宋体" w:eastAsia="新宋体"/>
                <w:color w:val="auto"/>
              </w:rPr>
              <w:t>耗材入库、计费、出库</w:t>
            </w:r>
            <w:r>
              <w:rPr>
                <w:rFonts w:hint="eastAsia" w:ascii="新宋体" w:hAnsi="新宋体" w:eastAsia="新宋体"/>
                <w:color w:val="auto"/>
                <w:lang w:val="en-US" w:eastAsia="zh-CN"/>
              </w:rPr>
              <w:t>等</w:t>
            </w:r>
            <w:r>
              <w:rPr>
                <w:rFonts w:hint="eastAsia" w:ascii="新宋体" w:hAnsi="新宋体" w:eastAsia="新宋体"/>
                <w:color w:val="auto"/>
              </w:rPr>
              <w:t>全流程条码追溯管理。实现库存物资的自动再订购申请，实现基于库存量的自动补货业务。</w:t>
            </w:r>
          </w:p>
          <w:p w14:paraId="5F544E25">
            <w:pPr>
              <w:pStyle w:val="19"/>
              <w:spacing w:line="360" w:lineRule="auto"/>
              <w:rPr>
                <w:rFonts w:ascii="新宋体" w:hAnsi="新宋体" w:eastAsia="新宋体"/>
                <w:color w:val="auto"/>
              </w:rPr>
            </w:pPr>
            <w:r>
              <w:rPr>
                <w:rFonts w:hint="eastAsia" w:ascii="新宋体" w:hAnsi="新宋体" w:eastAsia="新宋体"/>
                <w:color w:val="auto"/>
                <w:lang w:val="en-US" w:eastAsia="zh-CN"/>
              </w:rPr>
              <w:t>14.</w:t>
            </w:r>
            <w:r>
              <w:rPr>
                <w:rFonts w:hint="eastAsia" w:ascii="新宋体" w:hAnsi="新宋体" w:eastAsia="新宋体"/>
                <w:color w:val="auto"/>
              </w:rPr>
              <w:t>通过条码追踪，实现对卫生材料的“采购、入库、开票、结算、出库、使用”的全流程跟踪。支持参照采购订单入库或订单</w:t>
            </w:r>
            <w:r>
              <w:rPr>
                <w:rFonts w:hint="eastAsia" w:ascii="新宋体" w:hAnsi="新宋体" w:eastAsia="新宋体"/>
                <w:color w:val="auto"/>
                <w:lang w:val="en-US" w:eastAsia="zh-CN"/>
              </w:rPr>
              <w:t>推送</w:t>
            </w:r>
            <w:r>
              <w:rPr>
                <w:rFonts w:hint="eastAsia" w:ascii="新宋体" w:hAnsi="新宋体" w:eastAsia="新宋体"/>
                <w:color w:val="auto"/>
              </w:rPr>
              <w:t>生成；支持参照采购到货单入库或到货单推式生成；支持货位、批次、自由项、序列号、保质期入库；支持拆分入库；支持条形码扫描，并保存。</w:t>
            </w:r>
          </w:p>
          <w:p w14:paraId="1B9CBBDF">
            <w:pPr>
              <w:pStyle w:val="19"/>
              <w:spacing w:line="360" w:lineRule="auto"/>
              <w:rPr>
                <w:rFonts w:ascii="新宋体" w:hAnsi="新宋体" w:eastAsia="新宋体"/>
                <w:color w:val="auto"/>
              </w:rPr>
            </w:pPr>
            <w:r>
              <w:rPr>
                <w:rFonts w:hint="eastAsia" w:ascii="新宋体" w:hAnsi="新宋体" w:eastAsia="新宋体"/>
                <w:color w:val="auto"/>
                <w:lang w:val="en-US" w:eastAsia="zh-CN"/>
              </w:rPr>
              <w:t>15.</w:t>
            </w:r>
            <w:r>
              <w:rPr>
                <w:rFonts w:hint="eastAsia" w:ascii="新宋体" w:hAnsi="新宋体" w:eastAsia="新宋体"/>
                <w:color w:val="auto"/>
              </w:rPr>
              <w:t>支持多计量转换：实现在采购、库存管理业务中多种单位之间的换算。</w:t>
            </w:r>
          </w:p>
          <w:p w14:paraId="22C21D94">
            <w:pPr>
              <w:pStyle w:val="19"/>
              <w:spacing w:line="360" w:lineRule="auto"/>
              <w:rPr>
                <w:rFonts w:hint="eastAsia" w:ascii="新宋体" w:hAnsi="新宋体" w:eastAsia="新宋体" w:cs="Times New Roman"/>
                <w:color w:val="auto"/>
                <w:lang w:val="en-US" w:eastAsia="zh-CN"/>
              </w:rPr>
            </w:pPr>
            <w:r>
              <w:rPr>
                <w:rFonts w:ascii="宋体" w:hAnsi="宋体" w:eastAsia="宋体" w:cs="Times New Roman"/>
                <w:bCs/>
                <w:color w:val="000000"/>
                <w:szCs w:val="21"/>
              </w:rPr>
              <w:t>▲</w:t>
            </w:r>
            <w:r>
              <w:rPr>
                <w:rFonts w:hint="eastAsia" w:ascii="新宋体" w:hAnsi="新宋体" w:eastAsia="新宋体" w:cs="Times New Roman"/>
                <w:color w:val="auto"/>
                <w:lang w:val="en-US" w:eastAsia="zh-CN"/>
              </w:rPr>
              <w:t>16.实现对物资的分类细化管理，设立科室二级库，通过与HIS系统联通，通过自动记账实现收费耗材的实耗实销，有效控制“溢库”现象。</w:t>
            </w:r>
          </w:p>
          <w:p w14:paraId="2C6E9E69">
            <w:pPr>
              <w:pStyle w:val="19"/>
              <w:spacing w:line="360" w:lineRule="auto"/>
              <w:rPr>
                <w:rFonts w:hint="eastAsia" w:ascii="新宋体" w:hAnsi="新宋体" w:eastAsia="新宋体"/>
                <w:color w:val="auto"/>
                <w:lang w:eastAsia="zh-CN"/>
              </w:rPr>
            </w:pPr>
            <w:r>
              <w:rPr>
                <w:rFonts w:ascii="宋体" w:hAnsi="宋体" w:eastAsia="宋体" w:cs="Times New Roman"/>
                <w:bCs/>
                <w:color w:val="000000"/>
                <w:szCs w:val="21"/>
              </w:rPr>
              <w:t>▲</w:t>
            </w:r>
            <w:r>
              <w:rPr>
                <w:rFonts w:hint="eastAsia" w:ascii="新宋体" w:hAnsi="新宋体" w:eastAsia="新宋体"/>
                <w:color w:val="auto"/>
                <w:lang w:val="en-US" w:eastAsia="zh-CN"/>
              </w:rPr>
              <w:t>17.</w:t>
            </w:r>
            <w:r>
              <w:rPr>
                <w:rFonts w:hint="eastAsia" w:ascii="新宋体" w:hAnsi="新宋体" w:eastAsia="新宋体"/>
                <w:color w:val="auto"/>
              </w:rPr>
              <w:t>能够处理医院一级、二级库物资（包含非医用耗材二级库）的领用申请、入库、出库、调拨业务、盘点等业务及报表分析，实现对出入库情况和库存物资定义个性化指标，如批次、包装单位、有效期、货位、状态等并能实现自动转换和针对性管理，支持自定义物资等的相关指标</w:t>
            </w:r>
            <w:r>
              <w:rPr>
                <w:rFonts w:hint="eastAsia" w:ascii="新宋体" w:hAnsi="新宋体" w:eastAsia="新宋体"/>
                <w:color w:val="auto"/>
                <w:lang w:eastAsia="zh-CN"/>
              </w:rPr>
              <w:t>。</w:t>
            </w:r>
          </w:p>
          <w:p w14:paraId="2FD1B652">
            <w:pPr>
              <w:pStyle w:val="19"/>
              <w:spacing w:line="360" w:lineRule="auto"/>
              <w:rPr>
                <w:rFonts w:hint="default" w:ascii="新宋体" w:hAnsi="新宋体" w:eastAsia="新宋体"/>
                <w:color w:val="auto"/>
                <w:lang w:val="en-US" w:eastAsia="zh-CN"/>
              </w:rPr>
            </w:pPr>
            <w:r>
              <w:rPr>
                <w:rFonts w:hint="eastAsia" w:ascii="新宋体" w:hAnsi="新宋体" w:eastAsia="新宋体"/>
                <w:color w:val="auto"/>
                <w:lang w:val="en-US" w:eastAsia="zh-CN"/>
              </w:rPr>
              <w:t>18.</w:t>
            </w:r>
            <w:r>
              <w:rPr>
                <w:rFonts w:hint="eastAsia" w:ascii="新宋体" w:hAnsi="新宋体" w:eastAsia="新宋体" w:cs="Times New Roman"/>
                <w:color w:val="auto"/>
                <w:kern w:val="2"/>
                <w:sz w:val="21"/>
                <w:szCs w:val="22"/>
                <w:lang w:val="en-US" w:eastAsia="zh-CN" w:bidi="ar-SA"/>
              </w:rPr>
              <w:t>实现退货智能管理，记录领用退回物资的相关信息。</w:t>
            </w:r>
          </w:p>
          <w:p w14:paraId="51667384">
            <w:pPr>
              <w:pStyle w:val="19"/>
              <w:spacing w:line="360" w:lineRule="auto"/>
              <w:rPr>
                <w:rFonts w:hint="eastAsia" w:ascii="新宋体" w:hAnsi="新宋体" w:eastAsia="新宋体"/>
                <w:color w:val="auto"/>
                <w:lang w:val="en-US" w:eastAsia="zh-CN"/>
              </w:rPr>
            </w:pPr>
            <w:r>
              <w:rPr>
                <w:rFonts w:hint="eastAsia" w:ascii="新宋体" w:hAnsi="新宋体" w:eastAsia="新宋体"/>
                <w:color w:val="auto"/>
                <w:lang w:val="en-US" w:eastAsia="zh-CN"/>
              </w:rPr>
              <w:t>19.设置价格调整规则，支持价格调整过程的可追溯。</w:t>
            </w:r>
          </w:p>
          <w:p w14:paraId="54F6640C">
            <w:pPr>
              <w:pStyle w:val="19"/>
              <w:spacing w:line="360" w:lineRule="auto"/>
              <w:rPr>
                <w:rFonts w:hint="default" w:ascii="新宋体" w:hAnsi="新宋体" w:eastAsia="新宋体"/>
                <w:color w:val="auto"/>
                <w:lang w:val="en-US" w:eastAsia="zh-CN"/>
              </w:rPr>
            </w:pPr>
            <w:r>
              <w:rPr>
                <w:rFonts w:hint="eastAsia" w:ascii="新宋体" w:hAnsi="新宋体" w:eastAsia="新宋体"/>
                <w:color w:val="auto"/>
                <w:lang w:val="en-US" w:eastAsia="zh-CN"/>
              </w:rPr>
              <w:t>20.支持单据扫描及智能匹配。</w:t>
            </w:r>
          </w:p>
          <w:p w14:paraId="426AACB4">
            <w:pPr>
              <w:pStyle w:val="19"/>
              <w:spacing w:line="360" w:lineRule="auto"/>
              <w:rPr>
                <w:rFonts w:hint="eastAsia" w:ascii="新宋体" w:hAnsi="新宋体" w:eastAsia="新宋体"/>
                <w:color w:val="auto"/>
              </w:rPr>
            </w:pPr>
            <w:r>
              <w:rPr>
                <w:rFonts w:hint="eastAsia" w:ascii="新宋体" w:hAnsi="新宋体" w:eastAsia="新宋体"/>
                <w:color w:val="auto"/>
                <w:lang w:val="en-US" w:eastAsia="zh-CN"/>
              </w:rPr>
              <w:t>21</w:t>
            </w:r>
            <w:r>
              <w:rPr>
                <w:rFonts w:hint="eastAsia" w:ascii="新宋体" w:hAnsi="新宋体" w:eastAsia="新宋体"/>
                <w:color w:val="auto"/>
              </w:rPr>
              <w:t>.支持全面盘点与各种针对性盘点</w:t>
            </w:r>
            <w:r>
              <w:rPr>
                <w:rFonts w:hint="eastAsia" w:ascii="新宋体" w:hAnsi="新宋体" w:eastAsia="新宋体"/>
                <w:color w:val="auto"/>
                <w:lang w:eastAsia="zh-CN"/>
              </w:rPr>
              <w:t>，</w:t>
            </w:r>
            <w:r>
              <w:rPr>
                <w:rFonts w:hint="eastAsia" w:ascii="新宋体" w:hAnsi="新宋体" w:eastAsia="新宋体"/>
                <w:color w:val="auto"/>
              </w:rPr>
              <w:t>相关业务流程自动衔接，提供全程控制与追溯，提供</w:t>
            </w:r>
            <w:r>
              <w:rPr>
                <w:rFonts w:hint="eastAsia" w:ascii="新宋体" w:hAnsi="新宋体" w:eastAsia="新宋体"/>
                <w:color w:val="auto"/>
                <w:lang w:val="en-US" w:eastAsia="zh-CN"/>
              </w:rPr>
              <w:t>各种口径下</w:t>
            </w:r>
            <w:r>
              <w:rPr>
                <w:rFonts w:hint="eastAsia" w:ascii="新宋体" w:hAnsi="新宋体" w:eastAsia="新宋体"/>
                <w:color w:val="auto"/>
              </w:rPr>
              <w:t>的</w:t>
            </w:r>
            <w:r>
              <w:rPr>
                <w:rFonts w:hint="eastAsia" w:ascii="新宋体" w:hAnsi="新宋体" w:eastAsia="新宋体"/>
                <w:color w:val="auto"/>
                <w:lang w:val="en-US" w:eastAsia="zh-CN"/>
              </w:rPr>
              <w:t>快速</w:t>
            </w:r>
            <w:r>
              <w:rPr>
                <w:rFonts w:hint="eastAsia" w:ascii="新宋体" w:hAnsi="新宋体" w:eastAsia="新宋体"/>
                <w:color w:val="auto"/>
              </w:rPr>
              <w:t>查询与分析。</w:t>
            </w:r>
          </w:p>
          <w:p w14:paraId="1D2FD604">
            <w:pPr>
              <w:pStyle w:val="19"/>
              <w:spacing w:line="360" w:lineRule="auto"/>
              <w:rPr>
                <w:rFonts w:ascii="新宋体" w:hAnsi="新宋体" w:eastAsia="新宋体"/>
                <w:color w:val="auto"/>
              </w:rPr>
            </w:pPr>
            <w:r>
              <w:rPr>
                <w:rFonts w:hint="eastAsia" w:ascii="新宋体" w:hAnsi="新宋体" w:eastAsia="新宋体"/>
                <w:color w:val="auto"/>
                <w:lang w:val="en-US" w:eastAsia="zh-CN"/>
              </w:rPr>
              <w:t>22.</w:t>
            </w:r>
            <w:r>
              <w:rPr>
                <w:rFonts w:hint="eastAsia" w:ascii="新宋体" w:hAnsi="新宋体" w:eastAsia="新宋体"/>
                <w:color w:val="auto"/>
              </w:rPr>
              <w:t>盘点时系统提供多种方式，如按仓库盘点、按批次盘点、按类别盘点、对保质期临近多少天的物资进行盘点等</w:t>
            </w:r>
            <w:r>
              <w:rPr>
                <w:rFonts w:hint="eastAsia" w:ascii="新宋体" w:hAnsi="新宋体" w:eastAsia="新宋体"/>
                <w:color w:val="auto"/>
                <w:lang w:eastAsia="zh-CN"/>
              </w:rPr>
              <w:t>。</w:t>
            </w:r>
            <w:r>
              <w:rPr>
                <w:rFonts w:hint="eastAsia" w:ascii="新宋体" w:hAnsi="新宋体" w:eastAsia="新宋体"/>
                <w:color w:val="auto"/>
              </w:rPr>
              <w:t>可以对各仓库或批次中的全部或部分物资进行盘点，盘盈、盘亏的结果自动生成。</w:t>
            </w:r>
          </w:p>
          <w:p w14:paraId="58B51184">
            <w:pPr>
              <w:pStyle w:val="19"/>
              <w:spacing w:line="360" w:lineRule="auto"/>
              <w:rPr>
                <w:rFonts w:hint="eastAsia" w:ascii="新宋体" w:hAnsi="新宋体" w:eastAsia="新宋体"/>
                <w:color w:val="auto"/>
              </w:rPr>
            </w:pPr>
            <w:r>
              <w:rPr>
                <w:rFonts w:ascii="宋体" w:hAnsi="宋体" w:eastAsia="宋体" w:cs="Times New Roman"/>
                <w:bCs/>
                <w:color w:val="000000"/>
                <w:szCs w:val="21"/>
              </w:rPr>
              <w:t>▲</w:t>
            </w:r>
            <w:r>
              <w:rPr>
                <w:rFonts w:hint="eastAsia" w:ascii="新宋体" w:hAnsi="新宋体" w:eastAsia="新宋体"/>
                <w:color w:val="auto"/>
                <w:lang w:val="en-US" w:eastAsia="zh-CN"/>
              </w:rPr>
              <w:t>23.</w:t>
            </w:r>
            <w:r>
              <w:rPr>
                <w:rFonts w:hint="eastAsia" w:ascii="新宋体" w:hAnsi="新宋体" w:eastAsia="新宋体"/>
                <w:color w:val="auto"/>
              </w:rPr>
              <w:t>支持</w:t>
            </w:r>
            <w:r>
              <w:rPr>
                <w:rFonts w:hint="eastAsia" w:ascii="新宋体" w:hAnsi="新宋体" w:eastAsia="新宋体"/>
                <w:color w:val="auto"/>
                <w:lang w:val="en-US" w:eastAsia="zh-CN"/>
              </w:rPr>
              <w:t>推送</w:t>
            </w:r>
            <w:r>
              <w:rPr>
                <w:rFonts w:hint="eastAsia" w:ascii="新宋体" w:hAnsi="新宋体" w:eastAsia="新宋体"/>
                <w:color w:val="auto"/>
              </w:rPr>
              <w:t>资质到期预警消息、库存预警消息、采购订单消息、配货入库成功消息、退货消息</w:t>
            </w:r>
            <w:r>
              <w:rPr>
                <w:rFonts w:hint="eastAsia" w:ascii="新宋体" w:hAnsi="新宋体" w:eastAsia="新宋体"/>
                <w:color w:val="auto"/>
                <w:lang w:val="en-US" w:eastAsia="zh-CN"/>
              </w:rPr>
              <w:t>等</w:t>
            </w:r>
            <w:r>
              <w:rPr>
                <w:rFonts w:hint="eastAsia" w:ascii="新宋体" w:hAnsi="新宋体" w:eastAsia="新宋体"/>
                <w:color w:val="auto"/>
              </w:rPr>
              <w:t>。</w:t>
            </w:r>
          </w:p>
          <w:p w14:paraId="6E3BF50D">
            <w:pPr>
              <w:pStyle w:val="19"/>
              <w:spacing w:line="360" w:lineRule="auto"/>
              <w:rPr>
                <w:rFonts w:ascii="新宋体" w:hAnsi="新宋体" w:eastAsia="新宋体"/>
                <w:color w:val="auto"/>
              </w:rPr>
            </w:pPr>
            <w:r>
              <w:rPr>
                <w:rFonts w:hint="eastAsia" w:ascii="新宋体" w:hAnsi="新宋体" w:eastAsia="新宋体"/>
                <w:color w:val="auto"/>
                <w:lang w:val="en-US" w:eastAsia="zh-CN"/>
              </w:rPr>
              <w:t>24.</w:t>
            </w:r>
            <w:r>
              <w:rPr>
                <w:rFonts w:hint="eastAsia" w:ascii="新宋体" w:hAnsi="新宋体" w:eastAsia="新宋体"/>
                <w:color w:val="auto"/>
              </w:rPr>
              <w:t>支持呆滞积压备查</w:t>
            </w:r>
            <w:r>
              <w:rPr>
                <w:rFonts w:hint="eastAsia" w:ascii="新宋体" w:hAnsi="新宋体" w:eastAsia="新宋体"/>
                <w:color w:val="auto"/>
                <w:lang w:eastAsia="zh-CN"/>
              </w:rPr>
              <w:t>，</w:t>
            </w:r>
            <w:r>
              <w:rPr>
                <w:rFonts w:hint="eastAsia" w:ascii="新宋体" w:hAnsi="新宋体" w:eastAsia="新宋体"/>
                <w:color w:val="auto"/>
                <w:lang w:val="en-US" w:eastAsia="zh-CN"/>
              </w:rPr>
              <w:t>支持</w:t>
            </w:r>
            <w:r>
              <w:rPr>
                <w:rFonts w:hint="eastAsia" w:ascii="新宋体" w:hAnsi="新宋体" w:eastAsia="新宋体"/>
                <w:color w:val="auto"/>
              </w:rPr>
              <w:t>查询各仓库呆滞积压物资的收发存明细情况。</w:t>
            </w:r>
          </w:p>
          <w:p w14:paraId="3C37F7E7">
            <w:pPr>
              <w:pStyle w:val="19"/>
              <w:spacing w:line="360" w:lineRule="auto"/>
              <w:rPr>
                <w:rFonts w:ascii="新宋体" w:hAnsi="新宋体" w:eastAsia="新宋体"/>
                <w:color w:val="auto"/>
              </w:rPr>
            </w:pPr>
            <w:r>
              <w:rPr>
                <w:rFonts w:hint="eastAsia" w:ascii="新宋体" w:hAnsi="新宋体" w:eastAsia="新宋体"/>
                <w:color w:val="auto"/>
              </w:rPr>
              <w:t>2</w:t>
            </w:r>
            <w:r>
              <w:rPr>
                <w:rFonts w:hint="eastAsia" w:ascii="新宋体" w:hAnsi="新宋体" w:eastAsia="新宋体"/>
                <w:color w:val="auto"/>
                <w:lang w:val="en-US" w:eastAsia="zh-CN"/>
              </w:rPr>
              <w:t>5</w:t>
            </w:r>
            <w:r>
              <w:rPr>
                <w:rFonts w:hint="eastAsia" w:ascii="新宋体" w:hAnsi="新宋体" w:eastAsia="新宋体"/>
                <w:color w:val="auto"/>
              </w:rPr>
              <w:t>.支持保质期预警</w:t>
            </w:r>
            <w:r>
              <w:rPr>
                <w:rFonts w:hint="eastAsia" w:ascii="新宋体" w:hAnsi="新宋体" w:eastAsia="新宋体"/>
                <w:color w:val="auto"/>
                <w:lang w:eastAsia="zh-CN"/>
              </w:rPr>
              <w:t>，</w:t>
            </w:r>
            <w:r>
              <w:rPr>
                <w:rFonts w:hint="eastAsia" w:ascii="新宋体" w:hAnsi="新宋体" w:eastAsia="新宋体"/>
                <w:color w:val="auto"/>
                <w:lang w:val="en-US" w:eastAsia="zh-CN"/>
              </w:rPr>
              <w:t>支持</w:t>
            </w:r>
            <w:r>
              <w:rPr>
                <w:rFonts w:hint="eastAsia" w:ascii="新宋体" w:hAnsi="新宋体" w:eastAsia="新宋体"/>
                <w:color w:val="auto"/>
              </w:rPr>
              <w:t>查询用户指定日期范围内将要失效或已失效的物资。支持查询展望期内存货的预计库存、可用量情况。支持安全库存预警。</w:t>
            </w:r>
          </w:p>
          <w:p w14:paraId="6D552FE9">
            <w:pPr>
              <w:pStyle w:val="19"/>
              <w:spacing w:line="360" w:lineRule="auto"/>
              <w:rPr>
                <w:rFonts w:hint="default" w:ascii="新宋体" w:hAnsi="新宋体" w:eastAsia="新宋体" w:cs="Times New Roman"/>
                <w:color w:val="auto"/>
                <w:lang w:val="en-US" w:eastAsia="zh-CN"/>
              </w:rPr>
            </w:pPr>
            <w:r>
              <w:rPr>
                <w:rFonts w:hint="eastAsia" w:ascii="新宋体" w:hAnsi="新宋体" w:eastAsia="新宋体" w:cs="Times New Roman"/>
                <w:color w:val="auto"/>
                <w:lang w:val="en-US" w:eastAsia="zh-CN"/>
              </w:rPr>
              <w:t>26.根据医院管理需求设计数据可视化展示界面，实现数据可钻取，可联动，数据中心接口开放可定制，数据更新间隔可定制，能根据服务器压力随时调整，节省数据库压力的同时兼顾数据稳定获取，可定时发送邮件，及时获取数据分析结果。支持分布式任务调度。</w:t>
            </w:r>
          </w:p>
          <w:p w14:paraId="4F9D871B">
            <w:pPr>
              <w:pStyle w:val="9"/>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rPr>
                <w:rFonts w:hint="eastAsia" w:ascii="宋体" w:hAnsi="宋体" w:eastAsia="宋体" w:cs="宋体"/>
                <w:color w:val="auto"/>
                <w:kern w:val="0"/>
                <w:sz w:val="21"/>
                <w:szCs w:val="21"/>
                <w:lang w:val="en-US" w:eastAsia="zh-CN" w:bidi="ar"/>
              </w:rPr>
            </w:pPr>
            <w:r>
              <w:rPr>
                <w:rFonts w:ascii="宋体" w:hAnsi="宋体" w:eastAsia="宋体" w:cs="Times New Roman"/>
                <w:bCs/>
                <w:color w:val="000000"/>
                <w:szCs w:val="21"/>
              </w:rPr>
              <w:t>▲</w:t>
            </w:r>
            <w:r>
              <w:rPr>
                <w:rFonts w:hint="eastAsia" w:ascii="宋体" w:hAnsi="宋体" w:eastAsia="宋体" w:cs="宋体"/>
                <w:color w:val="auto"/>
                <w:kern w:val="0"/>
                <w:sz w:val="21"/>
                <w:szCs w:val="21"/>
                <w:lang w:val="en-US" w:eastAsia="zh-CN" w:bidi="ar"/>
              </w:rPr>
              <w:t>27.报表分析：为医院提供专门的报表工具为各岗位人员提供及时准确的统计分析。</w:t>
            </w:r>
          </w:p>
          <w:p w14:paraId="7B3C6A95">
            <w:pPr>
              <w:pStyle w:val="3"/>
              <w:numPr>
                <w:ilvl w:val="0"/>
                <w:numId w:val="0"/>
              </w:numPr>
              <w:spacing w:line="360" w:lineRule="auto"/>
              <w:ind w:firstLine="420" w:firstLineChars="200"/>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28.系统集成：与医院HIS等系统集成及数据互联互通，做到物资库存闭环管理，</w:t>
            </w:r>
            <w:r>
              <w:rPr>
                <w:rFonts w:hint="eastAsia" w:ascii="新宋体" w:hAnsi="新宋体" w:eastAsia="新宋体" w:cs="Times New Roman"/>
                <w:color w:val="auto"/>
                <w:lang w:val="en-US" w:eastAsia="zh-CN"/>
              </w:rPr>
              <w:t>杜绝溢库问题。</w:t>
            </w:r>
          </w:p>
          <w:p w14:paraId="3172C672">
            <w:pPr>
              <w:rPr>
                <w:rFonts w:ascii="宋体" w:hAnsi="宋体" w:eastAsia="宋体" w:cs="Times New Roman"/>
                <w:kern w:val="0"/>
                <w:szCs w:val="21"/>
              </w:rPr>
            </w:pPr>
          </w:p>
        </w:tc>
      </w:tr>
      <w:tr w14:paraId="6ED66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144" w:type="dxa"/>
            <w:gridSpan w:val="3"/>
            <w:tcBorders>
              <w:top w:val="single" w:color="auto" w:sz="4" w:space="0"/>
              <w:left w:val="single" w:color="auto" w:sz="4" w:space="0"/>
              <w:bottom w:val="single" w:color="auto" w:sz="4" w:space="0"/>
              <w:right w:val="single" w:color="auto" w:sz="4" w:space="0"/>
            </w:tcBorders>
            <w:vAlign w:val="center"/>
          </w:tcPr>
          <w:p w14:paraId="7700E446">
            <w:pPr>
              <w:widowControl/>
              <w:spacing w:line="360" w:lineRule="auto"/>
              <w:rPr>
                <w:rFonts w:hint="eastAsia" w:ascii="宋体" w:hAnsi="宋体" w:eastAsia="宋体" w:cs="宋体"/>
                <w:bCs/>
                <w:szCs w:val="21"/>
                <w:lang w:val="en-US" w:eastAsia="zh-CN"/>
              </w:rPr>
            </w:pPr>
            <w:r>
              <w:rPr>
                <w:rFonts w:hint="eastAsia" w:ascii="宋体" w:hAnsi="宋体" w:eastAsia="宋体" w:cs="Times New Roman"/>
                <w:b/>
                <w:color w:val="000000"/>
                <w:szCs w:val="21"/>
              </w:rPr>
              <w:t>▲二、</w:t>
            </w:r>
            <w:r>
              <w:rPr>
                <w:rFonts w:hint="eastAsia" w:ascii="宋体" w:hAnsi="宋体" w:eastAsia="宋体" w:cs="宋体"/>
                <w:b/>
                <w:bCs/>
                <w:szCs w:val="21"/>
              </w:rPr>
              <w:t>商务</w:t>
            </w:r>
            <w:r>
              <w:rPr>
                <w:rFonts w:hint="eastAsia" w:ascii="宋体" w:hAnsi="宋体" w:eastAsia="宋体" w:cs="宋体"/>
                <w:b/>
                <w:bCs/>
                <w:szCs w:val="21"/>
                <w:lang w:val="en-US" w:eastAsia="zh-CN"/>
              </w:rPr>
              <w:t>要求</w:t>
            </w:r>
          </w:p>
        </w:tc>
      </w:tr>
      <w:tr w14:paraId="75E3E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14:paraId="229D8C37">
            <w:pPr>
              <w:jc w:val="center"/>
              <w:rPr>
                <w:rFonts w:ascii="Calibri" w:hAnsi="Calibri" w:eastAsia="宋体" w:cs="Times New Roman"/>
                <w:szCs w:val="24"/>
              </w:rPr>
            </w:pPr>
            <w:r>
              <w:rPr>
                <w:rFonts w:hint="eastAsia" w:ascii="Calibri" w:hAnsi="Calibri" w:eastAsia="宋体" w:cs="Times New Roman"/>
                <w:szCs w:val="24"/>
              </w:rPr>
              <w:t>报价要求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14:paraId="75F4E4C2">
            <w:pPr>
              <w:pStyle w:val="4"/>
              <w:jc w:val="left"/>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竞标报价为全包价，以人民币为结算单位，包括本项目所有系统开发、</w:t>
            </w:r>
            <w:r>
              <w:rPr>
                <w:rFonts w:hint="eastAsia" w:ascii="Calibri" w:hAnsi="宋体" w:eastAsia="宋体" w:cs="Times New Roman"/>
                <w:kern w:val="0"/>
                <w:szCs w:val="21"/>
              </w:rPr>
              <w:t>软件购置费、</w:t>
            </w:r>
            <w:r>
              <w:rPr>
                <w:rFonts w:hint="eastAsia" w:ascii="宋体" w:hAnsi="宋体" w:eastAsia="宋体" w:cs="宋体"/>
                <w:bCs/>
                <w:szCs w:val="21"/>
              </w:rPr>
              <w:t>修改、完善、升级</w:t>
            </w:r>
            <w:r>
              <w:rPr>
                <w:rFonts w:hint="eastAsia" w:ascii="宋体" w:hAnsi="宋体" w:eastAsia="宋体" w:cs="宋体"/>
                <w:bCs/>
                <w:szCs w:val="21"/>
                <w:lang w:eastAsia="zh-CN"/>
              </w:rPr>
              <w:t>、</w:t>
            </w:r>
            <w:r>
              <w:rPr>
                <w:rFonts w:hint="eastAsia" w:ascii="宋体" w:hAnsi="宋体" w:eastAsia="宋体" w:cs="宋体"/>
                <w:color w:val="auto"/>
                <w:sz w:val="21"/>
                <w:szCs w:val="21"/>
                <w:lang w:val="en-US" w:eastAsia="zh-CN"/>
              </w:rPr>
              <w:t>与第三方的所有接口费</w:t>
            </w:r>
            <w:r>
              <w:rPr>
                <w:rFonts w:hint="eastAsia" w:ascii="宋体" w:hAnsi="宋体" w:eastAsia="宋体" w:cs="宋体"/>
                <w:bCs/>
                <w:szCs w:val="21"/>
              </w:rPr>
              <w:t>等，安装调试、验收、培训、售后服务、伴随的服务及各种税费等全部费用。在合同实施时，采购人将不予支付成交供应商没有列入的项目费用，并认为此项目的费用已包括在总报价中。</w:t>
            </w:r>
          </w:p>
        </w:tc>
      </w:tr>
      <w:tr w14:paraId="3428A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14:paraId="62CA86B7">
            <w:pPr>
              <w:jc w:val="center"/>
              <w:rPr>
                <w:rFonts w:ascii="Calibri" w:hAnsi="Calibri" w:eastAsia="宋体" w:cs="Times New Roman"/>
                <w:szCs w:val="24"/>
              </w:rPr>
            </w:pPr>
            <w:r>
              <w:rPr>
                <w:rFonts w:hint="eastAsia" w:ascii="Calibri" w:hAnsi="Calibri" w:eastAsia="宋体" w:cs="Times New Roman"/>
                <w:szCs w:val="24"/>
              </w:rPr>
              <w:t>质保期</w:t>
            </w:r>
          </w:p>
        </w:tc>
        <w:tc>
          <w:tcPr>
            <w:tcW w:w="7015" w:type="dxa"/>
            <w:gridSpan w:val="2"/>
            <w:tcBorders>
              <w:top w:val="single" w:color="auto" w:sz="4" w:space="0"/>
              <w:left w:val="single" w:color="auto" w:sz="4" w:space="0"/>
              <w:bottom w:val="single" w:color="auto" w:sz="4" w:space="0"/>
              <w:right w:val="single" w:color="auto" w:sz="4" w:space="0"/>
            </w:tcBorders>
            <w:vAlign w:val="center"/>
          </w:tcPr>
          <w:p w14:paraId="534885A0">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自项目验收合格之日起1年。</w:t>
            </w:r>
          </w:p>
        </w:tc>
      </w:tr>
      <w:tr w14:paraId="66B22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14:paraId="2CA46A5F">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7015" w:type="dxa"/>
            <w:gridSpan w:val="2"/>
            <w:tcBorders>
              <w:top w:val="single" w:color="auto" w:sz="4" w:space="0"/>
              <w:left w:val="single" w:color="auto" w:sz="4" w:space="0"/>
              <w:bottom w:val="single" w:color="auto" w:sz="4" w:space="0"/>
              <w:right w:val="single" w:color="auto" w:sz="4" w:space="0"/>
            </w:tcBorders>
            <w:vAlign w:val="center"/>
          </w:tcPr>
          <w:p w14:paraId="6F2F4C1A">
            <w:pPr>
              <w:pStyle w:val="4"/>
              <w:jc w:val="left"/>
              <w:rPr>
                <w:rFonts w:hint="eastAsia" w:ascii="宋体" w:hAnsi="宋体" w:eastAsia="宋体" w:cs="宋体"/>
                <w:color w:val="auto"/>
                <w:sz w:val="21"/>
                <w:szCs w:val="21"/>
                <w:lang w:val="en-US" w:eastAsia="zh-CN"/>
              </w:rPr>
            </w:pPr>
            <w:r>
              <w:rPr>
                <w:rFonts w:hint="eastAsia" w:ascii="宋体" w:hAnsi="宋体" w:eastAsia="宋体" w:cs="Times New Roman"/>
                <w:color w:val="000000"/>
                <w:szCs w:val="21"/>
              </w:rPr>
              <w:t>1.交付时间： 合同签订之日起</w:t>
            </w:r>
            <w:r>
              <w:rPr>
                <w:rFonts w:hint="eastAsia" w:ascii="宋体" w:hAnsi="宋体" w:eastAsia="宋体" w:cs="宋体"/>
                <w:color w:val="auto"/>
                <w:sz w:val="21"/>
                <w:szCs w:val="21"/>
                <w:lang w:val="en-US" w:eastAsia="zh-CN"/>
              </w:rPr>
              <w:t>90个日历日内安装、调试完毕并交付使用；</w:t>
            </w:r>
          </w:p>
          <w:p w14:paraId="14443E65">
            <w:pPr>
              <w:snapToGrid w:val="0"/>
              <w:spacing w:line="320" w:lineRule="atLeast"/>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p>
        </w:tc>
      </w:tr>
      <w:tr w14:paraId="29A54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14:paraId="6B97014F">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14:paraId="20C3DC5B">
            <w:pPr>
              <w:pStyle w:val="4"/>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1.系统厂商应具有本项目所需支撑配套的系统计算机软件著作权证书并提供原厂授权相关证明文件；</w:t>
            </w:r>
          </w:p>
          <w:p w14:paraId="0592A6C4">
            <w:pPr>
              <w:rPr>
                <w:rFonts w:hint="default"/>
                <w:lang w:val="en-US" w:eastAsia="zh-CN"/>
              </w:rPr>
            </w:pPr>
            <w:r>
              <w:rPr>
                <w:rFonts w:hint="eastAsia" w:ascii="宋体" w:hAnsi="宋体" w:eastAsia="宋体" w:cs="宋体"/>
                <w:color w:val="auto"/>
                <w:sz w:val="21"/>
                <w:szCs w:val="21"/>
                <w:lang w:val="en-US" w:eastAsia="zh-CN"/>
              </w:rPr>
              <w:t>2.系统厂商应做好供应商信息保密管理并签订数据信息保密协议；</w:t>
            </w:r>
          </w:p>
          <w:p w14:paraId="6C224537">
            <w:pPr>
              <w:pStyle w:val="4"/>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3.软件售后服务要求：</w:t>
            </w:r>
          </w:p>
          <w:p w14:paraId="7FB683E4">
            <w:pPr>
              <w:pStyle w:val="4"/>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（1）按国家有关“三包”规定执行“三包”，软件及配套系统设备产品免费保修期至少1年及1年以上，系统的免费维护期1年及1年以上（自验收合格之日起计算）；</w:t>
            </w:r>
          </w:p>
          <w:p w14:paraId="5350EBE1">
            <w:pPr>
              <w:pStyle w:val="4"/>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（2）采购范围内的货物免费送货上门、免费安装调试合格、免费培训使用；</w:t>
            </w:r>
          </w:p>
          <w:p w14:paraId="2E98A006">
            <w:pPr>
              <w:pStyle w:val="4"/>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（3）系统交付验收时移交系统技术文档（数据库字典、系统操作说明书等）给医院信息网络中心；</w:t>
            </w:r>
          </w:p>
          <w:p w14:paraId="2D46F374">
            <w:pPr>
              <w:pStyle w:val="4"/>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（4）负责为医院培养2名技术工程师，项目结束后2名工程师能达到独立运维的能力；</w:t>
            </w:r>
          </w:p>
          <w:p w14:paraId="1F262048">
            <w:pPr>
              <w:spacing w:line="320" w:lineRule="exact"/>
              <w:ind w:firstLine="33" w:firstLineChars="16"/>
              <w:rPr>
                <w:rFonts w:hint="eastAsia" w:ascii="宋体" w:hAnsi="宋体" w:eastAsia="宋体" w:cs="宋体"/>
                <w:bCs/>
                <w:szCs w:val="21"/>
              </w:rPr>
            </w:pPr>
            <w:r>
              <w:rPr>
                <w:rFonts w:hint="eastAsia" w:ascii="宋体" w:hAnsi="宋体" w:eastAsia="宋体" w:cs="宋体"/>
                <w:color w:val="auto"/>
                <w:sz w:val="21"/>
                <w:szCs w:val="21"/>
                <w:lang w:val="en-US" w:eastAsia="zh-CN"/>
              </w:rPr>
              <w:t>（5）</w:t>
            </w:r>
            <w:r>
              <w:rPr>
                <w:rFonts w:hint="eastAsia" w:ascii="宋体" w:hAnsi="宋体" w:eastAsia="宋体" w:cs="宋体"/>
                <w:bCs/>
                <w:szCs w:val="21"/>
                <w:highlight w:val="none"/>
              </w:rPr>
              <w:t>故障响应时间：</w:t>
            </w:r>
            <w:r>
              <w:rPr>
                <w:rFonts w:hint="eastAsia" w:ascii="宋体" w:hAnsi="宋体" w:eastAsia="宋体" w:cs="Times New Roman"/>
                <w:highlight w:val="none"/>
              </w:rPr>
              <w:t>提供7*24小时的实时故障响应。供应商在接到故障报修要求时，应在</w:t>
            </w:r>
            <w:r>
              <w:rPr>
                <w:rFonts w:ascii="宋体" w:hAnsi="宋体" w:eastAsia="宋体" w:cs="Times New Roman"/>
                <w:highlight w:val="none"/>
              </w:rPr>
              <w:t>1小时内做出明确响应和安排，在2小时内为</w:t>
            </w:r>
            <w:r>
              <w:rPr>
                <w:rFonts w:hint="eastAsia" w:ascii="宋体" w:hAnsi="宋体" w:eastAsia="宋体" w:cs="Times New Roman"/>
                <w:highlight w:val="none"/>
              </w:rPr>
              <w:t>采购</w:t>
            </w:r>
            <w:r>
              <w:rPr>
                <w:rFonts w:ascii="宋体" w:hAnsi="宋体" w:eastAsia="宋体" w:cs="Times New Roman"/>
                <w:highlight w:val="none"/>
              </w:rPr>
              <w:t>人提供维修服务，并做出故障诊断报告。若需要现场服务才能解决问题，应</w:t>
            </w:r>
            <w:r>
              <w:rPr>
                <w:rFonts w:hint="eastAsia" w:ascii="宋体" w:hAnsi="宋体" w:eastAsia="宋体" w:cs="Times New Roman"/>
                <w:highlight w:val="none"/>
              </w:rPr>
              <w:t>指派</w:t>
            </w:r>
            <w:r>
              <w:rPr>
                <w:rFonts w:ascii="宋体" w:hAnsi="宋体" w:eastAsia="宋体" w:cs="Times New Roman"/>
                <w:highlight w:val="none"/>
              </w:rPr>
              <w:t>1名以上技术人员在6小时内到达现场</w:t>
            </w:r>
            <w:r>
              <w:rPr>
                <w:rFonts w:hint="eastAsia" w:ascii="宋体" w:hAnsi="宋体" w:eastAsia="宋体" w:cs="Times New Roman"/>
                <w:highlight w:val="none"/>
              </w:rPr>
              <w:t>，及时排查故障恢复运行。供应商应提供24小时技术支持咨询服务。</w:t>
            </w:r>
          </w:p>
          <w:p w14:paraId="35E62289">
            <w:pPr>
              <w:spacing w:line="320" w:lineRule="exact"/>
              <w:ind w:firstLine="33" w:firstLineChars="16"/>
              <w:rPr>
                <w:rFonts w:ascii="宋体" w:hAnsi="宋体" w:eastAsia="宋体" w:cs="宋体"/>
                <w:bCs/>
                <w:szCs w:val="21"/>
                <w:highlight w:val="none"/>
              </w:rPr>
            </w:pPr>
            <w:r>
              <w:rPr>
                <w:rFonts w:hint="eastAsia" w:ascii="宋体" w:hAnsi="宋体" w:eastAsia="宋体" w:cs="宋体"/>
                <w:bCs/>
                <w:szCs w:val="21"/>
                <w:highlight w:val="none"/>
                <w:lang w:val="en-US" w:eastAsia="zh-CN"/>
              </w:rPr>
              <w:t>4</w:t>
            </w:r>
            <w:r>
              <w:rPr>
                <w:rFonts w:hint="eastAsia" w:ascii="宋体" w:hAnsi="宋体" w:eastAsia="宋体" w:cs="宋体"/>
                <w:bCs/>
                <w:szCs w:val="21"/>
                <w:highlight w:val="none"/>
              </w:rPr>
              <w:t>.质保期内，免费进行软件修改、完善和升级。如系统设计存在重大缺陷，导致无法运行或效率低下，须对系统进行结构性调整开发至满足使用要求；质保期未完成修改、完善和升级开发的，质保期相应顺延。</w:t>
            </w:r>
          </w:p>
          <w:p w14:paraId="5AD436B7">
            <w:pPr>
              <w:spacing w:line="320" w:lineRule="exact"/>
              <w:ind w:firstLine="33" w:firstLineChars="16"/>
              <w:rPr>
                <w:rFonts w:ascii="宋体" w:hAnsi="宋体" w:eastAsia="宋体" w:cs="宋体"/>
                <w:bCs/>
                <w:szCs w:val="21"/>
                <w:highlight w:val="none"/>
              </w:rPr>
            </w:pPr>
            <w:r>
              <w:rPr>
                <w:rFonts w:hint="eastAsia" w:ascii="宋体" w:hAnsi="宋体" w:eastAsia="宋体" w:cs="宋体"/>
                <w:bCs/>
                <w:szCs w:val="21"/>
                <w:highlight w:val="none"/>
                <w:lang w:val="en-US" w:eastAsia="zh-CN"/>
              </w:rPr>
              <w:t>5</w:t>
            </w:r>
            <w:r>
              <w:rPr>
                <w:rFonts w:hint="eastAsia" w:ascii="宋体" w:hAnsi="宋体" w:eastAsia="宋体" w:cs="宋体"/>
                <w:bCs/>
                <w:szCs w:val="21"/>
                <w:highlight w:val="none"/>
              </w:rPr>
              <w:t>.服务期限内第三方因其它信息系统建设需进行数据交换时免费提供接口开发服务，并提供详细使用说明。</w:t>
            </w:r>
          </w:p>
          <w:p w14:paraId="0BC34163">
            <w:pPr>
              <w:spacing w:line="320" w:lineRule="exact"/>
              <w:ind w:firstLine="33" w:firstLineChars="16"/>
              <w:rPr>
                <w:rFonts w:ascii="宋体" w:hAnsi="宋体" w:eastAsia="宋体" w:cs="Times New Roman"/>
                <w:highlight w:val="none"/>
              </w:rPr>
            </w:pPr>
            <w:r>
              <w:rPr>
                <w:rFonts w:hint="eastAsia" w:ascii="宋体" w:hAnsi="宋体" w:eastAsia="宋体" w:cs="宋体"/>
                <w:bCs/>
                <w:szCs w:val="21"/>
                <w:highlight w:val="none"/>
                <w:lang w:val="en-US" w:eastAsia="zh-CN"/>
              </w:rPr>
              <w:t>6</w:t>
            </w:r>
            <w:r>
              <w:rPr>
                <w:rFonts w:hint="eastAsia" w:ascii="宋体" w:hAnsi="宋体" w:eastAsia="宋体" w:cs="宋体"/>
                <w:bCs/>
                <w:szCs w:val="21"/>
                <w:highlight w:val="none"/>
              </w:rPr>
              <w:t>.</w:t>
            </w:r>
            <w:r>
              <w:rPr>
                <w:rFonts w:hint="eastAsia" w:ascii="宋体" w:hAnsi="宋体" w:eastAsia="宋体" w:cs="Times New Roman"/>
                <w:highlight w:val="none"/>
              </w:rPr>
              <w:t>免费维护和技术支持的范围为：</w:t>
            </w:r>
          </w:p>
          <w:p w14:paraId="154633E1">
            <w:pPr>
              <w:spacing w:line="320" w:lineRule="exact"/>
              <w:ind w:firstLine="33" w:firstLineChars="16"/>
              <w:rPr>
                <w:rFonts w:ascii="宋体" w:hAnsi="宋体" w:eastAsia="宋体" w:cs="Times New Roman"/>
                <w:highlight w:val="none"/>
              </w:rPr>
            </w:pPr>
            <w:r>
              <w:rPr>
                <w:rFonts w:hint="eastAsia" w:ascii="宋体" w:hAnsi="宋体" w:eastAsia="宋体" w:cs="Times New Roman"/>
                <w:highlight w:val="none"/>
              </w:rPr>
              <w:t>（1）软件系统功能、操作等级别问题的技术支持服务。</w:t>
            </w:r>
          </w:p>
          <w:p w14:paraId="47539B9E">
            <w:pPr>
              <w:spacing w:line="320" w:lineRule="exact"/>
              <w:ind w:firstLine="33" w:firstLineChars="16"/>
              <w:rPr>
                <w:rFonts w:ascii="宋体" w:hAnsi="宋体" w:eastAsia="宋体" w:cs="Times New Roman"/>
                <w:highlight w:val="none"/>
              </w:rPr>
            </w:pPr>
            <w:r>
              <w:rPr>
                <w:rFonts w:hint="eastAsia" w:ascii="宋体" w:hAnsi="宋体" w:eastAsia="宋体" w:cs="Times New Roman"/>
                <w:highlight w:val="none"/>
              </w:rPr>
              <w:t>（2）软件系统本身的缺陷而引起的问题。</w:t>
            </w:r>
          </w:p>
          <w:p w14:paraId="19ABCB8B">
            <w:pPr>
              <w:spacing w:line="320" w:lineRule="exact"/>
              <w:ind w:firstLine="33" w:firstLineChars="16"/>
              <w:rPr>
                <w:rFonts w:ascii="宋体" w:hAnsi="宋体" w:eastAsia="宋体" w:cs="Times New Roman"/>
                <w:highlight w:val="none"/>
              </w:rPr>
            </w:pPr>
            <w:r>
              <w:rPr>
                <w:rFonts w:hint="eastAsia" w:ascii="宋体" w:hAnsi="宋体" w:eastAsia="宋体" w:cs="Times New Roman"/>
                <w:highlight w:val="none"/>
              </w:rPr>
              <w:t>（3）采购人需成交供应商协助解决的其他问题，双方可协商解决。质保期满后产品的正常维护、功能性改善升级、产品bug修复等常规问题解决免费，同功能模块跨版本升级费用需提供具体的功能改善、新增说明并提供报价清单，双方另行协商。</w:t>
            </w:r>
          </w:p>
          <w:p w14:paraId="4D197ABB">
            <w:pPr>
              <w:spacing w:line="320" w:lineRule="exact"/>
              <w:ind w:firstLine="33" w:firstLineChars="16"/>
              <w:rPr>
                <w:rFonts w:ascii="Calibri" w:hAnsi="Calibri" w:eastAsia="宋体" w:cs="宋体"/>
                <w:bCs/>
                <w:szCs w:val="21"/>
                <w:highlight w:val="none"/>
              </w:rPr>
            </w:pPr>
            <w:r>
              <w:rPr>
                <w:rFonts w:hint="eastAsia" w:ascii="宋体" w:hAnsi="宋体" w:eastAsia="宋体" w:cs="宋体"/>
                <w:bCs/>
                <w:szCs w:val="21"/>
                <w:highlight w:val="none"/>
                <w:lang w:val="en-US" w:eastAsia="zh-CN"/>
              </w:rPr>
              <w:t>7</w:t>
            </w:r>
            <w:r>
              <w:rPr>
                <w:rFonts w:ascii="宋体" w:hAnsi="宋体" w:eastAsia="宋体" w:cs="Times New Roman"/>
                <w:highlight w:val="none"/>
              </w:rPr>
              <w:t>.</w:t>
            </w:r>
            <w:r>
              <w:rPr>
                <w:rFonts w:hint="eastAsia" w:ascii="宋体" w:hAnsi="宋体" w:eastAsia="宋体" w:cs="Times New Roman"/>
                <w:highlight w:val="none"/>
              </w:rPr>
              <w:t>定期跟踪。供应商应提供每</w:t>
            </w:r>
            <w:r>
              <w:rPr>
                <w:rFonts w:ascii="宋体" w:hAnsi="宋体" w:eastAsia="宋体" w:cs="Times New Roman"/>
                <w:highlight w:val="none"/>
              </w:rPr>
              <w:t>3个月不少于1次现场巡检服务，及时发现和排除潜在问题或故障隐患，保证平台的稳定运行。</w:t>
            </w:r>
          </w:p>
          <w:p w14:paraId="6CBABE90">
            <w:pPr>
              <w:spacing w:line="320" w:lineRule="exact"/>
              <w:ind w:firstLine="33" w:firstLineChars="16"/>
              <w:rPr>
                <w:rFonts w:ascii="宋体" w:hAnsi="宋体" w:eastAsia="宋体" w:cs="宋体"/>
                <w:bCs/>
                <w:szCs w:val="21"/>
              </w:rPr>
            </w:pPr>
            <w:r>
              <w:rPr>
                <w:rFonts w:hint="eastAsia" w:ascii="宋体" w:hAnsi="宋体" w:eastAsia="宋体" w:cs="Times New Roman"/>
                <w:szCs w:val="21"/>
                <w:highlight w:val="none"/>
                <w:lang w:val="en-US" w:eastAsia="zh-CN"/>
              </w:rPr>
              <w:t>8</w:t>
            </w:r>
            <w:r>
              <w:rPr>
                <w:rFonts w:hint="eastAsia" w:ascii="宋体" w:hAnsi="宋体" w:eastAsia="宋体" w:cs="Times New Roman"/>
                <w:szCs w:val="21"/>
                <w:highlight w:val="none"/>
              </w:rPr>
              <w:t>.成交供应商必须严格遵守采购人各项管理规定，在任何情况下，禁止复制、传播、引用及非开发需要查询所接触到的采购人各类业务数据、工作要求和工作措施等信息，未经授权禁止向采购人主管部门以外的单位和个人演示该系统。</w:t>
            </w:r>
          </w:p>
        </w:tc>
      </w:tr>
      <w:tr w14:paraId="5C979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14:paraId="44320D14">
            <w:pPr>
              <w:spacing w:line="320" w:lineRule="exact"/>
              <w:jc w:val="center"/>
              <w:rPr>
                <w:rFonts w:ascii="宋体" w:hAnsi="宋体" w:eastAsia="宋体" w:cs="Times New Roman"/>
                <w:color w:val="000000"/>
                <w:szCs w:val="21"/>
                <w:highlight w:val="green"/>
              </w:rPr>
            </w:pPr>
            <w:r>
              <w:rPr>
                <w:rFonts w:hint="eastAsia" w:ascii="Calibri" w:hAnsi="Calibri" w:eastAsia="宋体" w:cs="Times New Roman"/>
                <w:szCs w:val="24"/>
                <w:highlight w:val="none"/>
              </w:rPr>
              <w:t>验收要求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14:paraId="3347EC74">
            <w:pPr>
              <w:spacing w:line="320" w:lineRule="atLeas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1.质量要求：</w:t>
            </w:r>
            <w:r>
              <w:rPr>
                <w:rFonts w:hint="eastAsia" w:ascii="宋体" w:hAnsi="宋体" w:eastAsia="宋体" w:cs="Courier New"/>
                <w:color w:val="000000"/>
                <w:szCs w:val="21"/>
                <w:highlight w:val="none"/>
              </w:rPr>
              <w:t>达到本招标文件要求的业务处理能力、系统满足功能要求和相应的技术规范</w:t>
            </w:r>
            <w:r>
              <w:rPr>
                <w:rFonts w:hint="eastAsia" w:ascii="宋体" w:hAnsi="宋体" w:eastAsia="宋体" w:cs="Times New Roman"/>
                <w:color w:val="000000"/>
                <w:szCs w:val="21"/>
                <w:highlight w:val="none"/>
              </w:rPr>
              <w:t>，达到</w:t>
            </w:r>
            <w:r>
              <w:rPr>
                <w:rFonts w:hint="eastAsia" w:ascii="宋体" w:hAnsi="宋体" w:eastAsia="宋体" w:cs="Times New Roman"/>
                <w:color w:val="auto"/>
                <w:szCs w:val="21"/>
                <w:highlight w:val="none"/>
              </w:rPr>
              <w:t>国家质量标准的验收规定</w:t>
            </w:r>
            <w:r>
              <w:rPr>
                <w:rFonts w:hint="eastAsia" w:ascii="宋体" w:hAnsi="宋体" w:eastAsia="宋体" w:cs="Times New Roman"/>
                <w:color w:val="000000"/>
                <w:szCs w:val="21"/>
                <w:highlight w:val="none"/>
              </w:rPr>
              <w:t>。</w:t>
            </w:r>
          </w:p>
          <w:p w14:paraId="702829DD">
            <w:pPr>
              <w:spacing w:line="320" w:lineRule="exact"/>
              <w:rPr>
                <w:rFonts w:ascii="宋体" w:hAnsi="宋体" w:eastAsia="宋体" w:cs="Times New Roman"/>
                <w:color w:val="000000"/>
                <w:szCs w:val="21"/>
                <w:highlight w:val="green"/>
              </w:rPr>
            </w:pPr>
            <w:r>
              <w:rPr>
                <w:rFonts w:hint="eastAsia" w:ascii="宋体" w:hAnsi="宋体" w:eastAsia="宋体" w:cs="Times New Roman"/>
                <w:color w:val="000000"/>
                <w:szCs w:val="21"/>
                <w:highlight w:val="none"/>
              </w:rPr>
              <w:t>2.</w:t>
            </w:r>
            <w:r>
              <w:rPr>
                <w:rFonts w:hint="eastAsia" w:ascii="Calibri" w:hAnsi="Calibri" w:eastAsia="宋体" w:cs="Times New Roman"/>
                <w:szCs w:val="24"/>
                <w:highlight w:val="none"/>
                <w:lang w:val="en-US" w:eastAsia="zh-CN"/>
              </w:rPr>
              <w:t>系统</w:t>
            </w:r>
            <w:r>
              <w:rPr>
                <w:rFonts w:ascii="Calibri" w:hAnsi="Calibri" w:eastAsia="宋体" w:cs="Times New Roman"/>
                <w:szCs w:val="24"/>
                <w:highlight w:val="none"/>
              </w:rPr>
              <w:t>验收：以</w:t>
            </w:r>
            <w:r>
              <w:rPr>
                <w:rFonts w:hint="eastAsia" w:ascii="Calibri" w:hAnsi="Calibri" w:eastAsia="宋体" w:cs="Times New Roman"/>
                <w:szCs w:val="24"/>
                <w:highlight w:val="none"/>
                <w:lang w:val="en-US" w:eastAsia="zh-CN"/>
              </w:rPr>
              <w:t>系统使用</w:t>
            </w:r>
            <w:r>
              <w:rPr>
                <w:rFonts w:ascii="Calibri" w:hAnsi="Calibri" w:eastAsia="宋体" w:cs="Times New Roman"/>
                <w:szCs w:val="24"/>
                <w:highlight w:val="none"/>
              </w:rPr>
              <w:t>部门的使用认可</w:t>
            </w:r>
            <w:r>
              <w:rPr>
                <w:rFonts w:hint="eastAsia" w:ascii="Calibri" w:hAnsi="Calibri" w:eastAsia="宋体" w:cs="Times New Roman"/>
                <w:szCs w:val="24"/>
                <w:highlight w:val="none"/>
              </w:rPr>
              <w:t>，验收小组签字验收合格</w:t>
            </w:r>
            <w:r>
              <w:rPr>
                <w:rFonts w:ascii="Calibri" w:hAnsi="Calibri" w:eastAsia="宋体" w:cs="Times New Roman"/>
                <w:szCs w:val="24"/>
                <w:highlight w:val="none"/>
              </w:rPr>
              <w:t>视为软件验收通过</w:t>
            </w:r>
            <w:r>
              <w:rPr>
                <w:rFonts w:hint="eastAsia" w:ascii="Calibri" w:hAnsi="Calibri" w:eastAsia="宋体" w:cs="Times New Roman"/>
                <w:szCs w:val="24"/>
                <w:highlight w:val="none"/>
              </w:rPr>
              <w:t>。</w:t>
            </w:r>
          </w:p>
        </w:tc>
      </w:tr>
      <w:tr w14:paraId="480E2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14:paraId="43531728">
            <w:pPr>
              <w:spacing w:line="320" w:lineRule="exact"/>
              <w:jc w:val="center"/>
              <w:rPr>
                <w:rFonts w:ascii="宋体" w:hAnsi="宋体" w:eastAsia="宋体" w:cs="宋体"/>
                <w:color w:val="000000"/>
                <w:szCs w:val="21"/>
                <w:highlight w:val="green"/>
              </w:rPr>
            </w:pPr>
            <w:r>
              <w:rPr>
                <w:rFonts w:hint="eastAsia" w:ascii="Calibri" w:hAnsi="Calibri" w:eastAsia="宋体" w:cs="Times New Roman"/>
                <w:szCs w:val="24"/>
                <w:highlight w:val="none"/>
              </w:rPr>
              <w:t>付款条件</w:t>
            </w:r>
          </w:p>
        </w:tc>
        <w:tc>
          <w:tcPr>
            <w:tcW w:w="7015" w:type="dxa"/>
            <w:gridSpan w:val="2"/>
            <w:tcBorders>
              <w:top w:val="single" w:color="auto" w:sz="4" w:space="0"/>
              <w:left w:val="single" w:color="auto" w:sz="4" w:space="0"/>
              <w:bottom w:val="single" w:color="auto" w:sz="4" w:space="0"/>
              <w:right w:val="single" w:color="auto" w:sz="4" w:space="0"/>
            </w:tcBorders>
            <w:vAlign w:val="center"/>
          </w:tcPr>
          <w:p w14:paraId="56FDEED3">
            <w:pPr>
              <w:spacing w:line="320" w:lineRule="exact"/>
              <w:jc w:val="left"/>
              <w:rPr>
                <w:rFonts w:ascii="宋体" w:hAnsi="宋体" w:eastAsia="宋体" w:cs="Times New Roman"/>
                <w:highlight w:val="none"/>
              </w:rPr>
            </w:pPr>
            <w:r>
              <w:rPr>
                <w:rFonts w:ascii="宋体" w:hAnsi="宋体" w:eastAsia="宋体" w:cs="Times New Roman"/>
                <w:highlight w:val="none"/>
              </w:rPr>
              <w:t>1</w:t>
            </w:r>
            <w:r>
              <w:rPr>
                <w:rFonts w:hint="eastAsia" w:ascii="宋体" w:hAnsi="宋体" w:eastAsia="宋体" w:cs="Times New Roman"/>
                <w:highlight w:val="none"/>
              </w:rPr>
              <w:t>.合同签订后10个工作日内采购人向成交供应商预付合同金额的</w:t>
            </w:r>
            <w:r>
              <w:rPr>
                <w:rFonts w:hint="eastAsia" w:ascii="宋体" w:hAnsi="宋体" w:eastAsia="宋体" w:cs="Times New Roman"/>
                <w:highlight w:val="none"/>
                <w:lang w:val="en-US" w:eastAsia="zh-CN"/>
              </w:rPr>
              <w:t>3</w:t>
            </w:r>
            <w:r>
              <w:rPr>
                <w:rFonts w:hint="eastAsia" w:ascii="宋体" w:hAnsi="宋体" w:eastAsia="宋体" w:cs="Times New Roman"/>
                <w:highlight w:val="none"/>
              </w:rPr>
              <w:t>0%作为前期开发</w:t>
            </w:r>
            <w:r>
              <w:rPr>
                <w:rFonts w:hint="eastAsia" w:ascii="宋体" w:hAnsi="宋体" w:eastAsia="宋体" w:cs="Times New Roman"/>
                <w:highlight w:val="none"/>
                <w:lang w:val="en-US" w:eastAsia="zh-CN"/>
              </w:rPr>
              <w:t>及部署</w:t>
            </w:r>
            <w:r>
              <w:rPr>
                <w:rFonts w:hint="eastAsia" w:ascii="宋体" w:hAnsi="宋体" w:eastAsia="宋体" w:cs="Times New Roman"/>
                <w:highlight w:val="none"/>
              </w:rPr>
              <w:t>经费，同时成交供应商向采购人开具等额发票。</w:t>
            </w:r>
          </w:p>
          <w:p w14:paraId="465E790A">
            <w:pPr>
              <w:spacing w:line="320" w:lineRule="exact"/>
              <w:jc w:val="left"/>
              <w:rPr>
                <w:rFonts w:ascii="宋体" w:hAnsi="宋体" w:eastAsia="宋体" w:cs="Times New Roman"/>
                <w:highlight w:val="none"/>
              </w:rPr>
            </w:pPr>
            <w:r>
              <w:rPr>
                <w:rFonts w:ascii="宋体" w:hAnsi="宋体" w:eastAsia="宋体" w:cs="Times New Roman"/>
                <w:highlight w:val="none"/>
              </w:rPr>
              <w:t>2.</w:t>
            </w:r>
            <w:r>
              <w:rPr>
                <w:rFonts w:hint="eastAsia" w:ascii="宋体" w:hAnsi="宋体" w:eastAsia="宋体" w:cs="Times New Roman"/>
                <w:highlight w:val="none"/>
                <w:lang w:val="en-US" w:eastAsia="zh-CN"/>
              </w:rPr>
              <w:t>系统正式上线</w:t>
            </w:r>
            <w:r>
              <w:rPr>
                <w:rFonts w:hint="eastAsia" w:ascii="宋体" w:hAnsi="宋体" w:eastAsia="宋体" w:cs="Times New Roman"/>
                <w:highlight w:val="none"/>
              </w:rPr>
              <w:t>经医院确认后</w:t>
            </w:r>
            <w:r>
              <w:rPr>
                <w:rFonts w:ascii="宋体" w:hAnsi="宋体" w:eastAsia="宋体" w:cs="Times New Roman"/>
                <w:highlight w:val="none"/>
              </w:rPr>
              <w:t>10日内付款</w:t>
            </w:r>
            <w:r>
              <w:rPr>
                <w:rFonts w:hint="eastAsia" w:ascii="宋体" w:hAnsi="宋体" w:eastAsia="宋体" w:cs="Times New Roman"/>
                <w:highlight w:val="none"/>
                <w:lang w:val="en-US" w:eastAsia="zh-CN"/>
              </w:rPr>
              <w:t>45</w:t>
            </w:r>
            <w:r>
              <w:rPr>
                <w:rFonts w:ascii="宋体" w:hAnsi="宋体" w:eastAsia="宋体" w:cs="Times New Roman"/>
                <w:highlight w:val="none"/>
              </w:rPr>
              <w:t>%</w:t>
            </w:r>
            <w:r>
              <w:rPr>
                <w:rFonts w:hint="eastAsia" w:ascii="宋体" w:hAnsi="宋体" w:eastAsia="宋体" w:cs="Times New Roman"/>
                <w:highlight w:val="none"/>
              </w:rPr>
              <w:t>，同时成交供应商向采购人开具等额发票。</w:t>
            </w:r>
          </w:p>
          <w:p w14:paraId="397040D2">
            <w:pPr>
              <w:spacing w:line="320" w:lineRule="exact"/>
              <w:jc w:val="left"/>
              <w:rPr>
                <w:rFonts w:ascii="Calibri" w:hAnsi="Calibri" w:eastAsia="宋体" w:cs="Times New Roman"/>
                <w:color w:val="000000"/>
                <w:szCs w:val="24"/>
                <w:highlight w:val="green"/>
              </w:rPr>
            </w:pPr>
            <w:r>
              <w:rPr>
                <w:rFonts w:hint="eastAsia" w:ascii="宋体" w:hAnsi="宋体" w:eastAsia="宋体" w:cs="Times New Roman"/>
                <w:highlight w:val="none"/>
              </w:rPr>
              <w:t>3</w:t>
            </w:r>
            <w:r>
              <w:rPr>
                <w:rFonts w:ascii="宋体" w:hAnsi="宋体" w:eastAsia="宋体" w:cs="Times New Roman"/>
                <w:highlight w:val="none"/>
              </w:rPr>
              <w:t>.</w:t>
            </w:r>
            <w:r>
              <w:rPr>
                <w:rFonts w:hint="eastAsia" w:ascii="宋体" w:hAnsi="宋体" w:eastAsia="宋体" w:cs="Times New Roman"/>
                <w:highlight w:val="none"/>
                <w:lang w:val="en-US" w:eastAsia="zh-CN"/>
              </w:rPr>
              <w:t>系统业务正式运营</w:t>
            </w:r>
            <w:r>
              <w:rPr>
                <w:rFonts w:hint="eastAsia" w:ascii="宋体" w:hAnsi="宋体" w:eastAsia="宋体" w:cs="Times New Roman"/>
                <w:highlight w:val="none"/>
              </w:rPr>
              <w:t>并验收合格后</w:t>
            </w:r>
            <w:r>
              <w:rPr>
                <w:rFonts w:ascii="宋体" w:hAnsi="宋体" w:eastAsia="宋体" w:cs="Times New Roman"/>
                <w:highlight w:val="none"/>
              </w:rPr>
              <w:t>10日内付款</w:t>
            </w:r>
            <w:r>
              <w:rPr>
                <w:rFonts w:hint="eastAsia" w:ascii="宋体" w:hAnsi="宋体" w:eastAsia="宋体" w:cs="Times New Roman"/>
                <w:highlight w:val="none"/>
                <w:lang w:val="en-US" w:eastAsia="zh-CN"/>
              </w:rPr>
              <w:t>25</w:t>
            </w:r>
            <w:r>
              <w:rPr>
                <w:rFonts w:ascii="宋体" w:hAnsi="宋体" w:eastAsia="宋体" w:cs="Times New Roman"/>
                <w:highlight w:val="none"/>
              </w:rPr>
              <w:t>%</w:t>
            </w:r>
            <w:r>
              <w:rPr>
                <w:rFonts w:hint="eastAsia" w:ascii="宋体" w:hAnsi="宋体" w:eastAsia="宋体" w:cs="Times New Roman"/>
                <w:highlight w:val="none"/>
              </w:rPr>
              <w:t>，同时成交供应商向采购人开具等额发票。</w:t>
            </w:r>
          </w:p>
        </w:tc>
      </w:tr>
      <w:tr w14:paraId="5E846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14:paraId="238ED3E9">
            <w:pPr>
              <w:snapToGrid w:val="0"/>
              <w:spacing w:line="360" w:lineRule="auto"/>
              <w:jc w:val="center"/>
              <w:rPr>
                <w:rFonts w:ascii="宋体" w:hAnsi="宋体" w:eastAsia="宋体" w:cs="宋体"/>
                <w:bCs/>
                <w:szCs w:val="21"/>
                <w:highlight w:val="none"/>
              </w:rPr>
            </w:pPr>
            <w:r>
              <w:rPr>
                <w:rFonts w:hint="eastAsia" w:ascii="Calibri" w:hAnsi="Calibri" w:eastAsia="宋体" w:cs="Times New Roman"/>
                <w:szCs w:val="24"/>
                <w:highlight w:val="none"/>
              </w:rPr>
              <w:t>保密要求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14:paraId="05D9312A">
            <w:pPr>
              <w:spacing w:line="320" w:lineRule="exact"/>
              <w:jc w:val="left"/>
              <w:rPr>
                <w:rFonts w:ascii="宋体" w:hAnsi="宋体" w:eastAsia="宋体" w:cs="宋体"/>
                <w:bCs/>
                <w:szCs w:val="21"/>
                <w:highlight w:val="none"/>
              </w:rPr>
            </w:pPr>
            <w:r>
              <w:rPr>
                <w:rFonts w:hint="eastAsia" w:ascii="宋体" w:hAnsi="宋体" w:eastAsia="宋体" w:cs="宋体"/>
                <w:bCs/>
                <w:szCs w:val="21"/>
                <w:highlight w:val="none"/>
              </w:rPr>
              <w:t>成交供应商在进行开发过程中，需要了解或知悉采购方的相关业务信息，为确保采购人业务信息的安全，成交供应商必须对本项目所有项目信息予以保密，未经采购人书面许可，成交供应商不得以任何形式向第三方透露本项目的任何内容。</w:t>
            </w:r>
          </w:p>
        </w:tc>
      </w:tr>
      <w:tr w14:paraId="69BF4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14:paraId="185D6CB8">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项目培训要求</w:t>
            </w:r>
          </w:p>
        </w:tc>
        <w:tc>
          <w:tcPr>
            <w:tcW w:w="7015" w:type="dxa"/>
            <w:gridSpan w:val="2"/>
            <w:tcBorders>
              <w:top w:val="single" w:color="auto" w:sz="4" w:space="0"/>
              <w:left w:val="single" w:color="auto" w:sz="4" w:space="0"/>
              <w:bottom w:val="single" w:color="auto" w:sz="4" w:space="0"/>
              <w:right w:val="single" w:color="auto" w:sz="4" w:space="0"/>
            </w:tcBorders>
          </w:tcPr>
          <w:p w14:paraId="758D2D47">
            <w:pPr>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供应商应提供完整的培训计划，并将详细的培训课程以及时间表交给采购人，培训结果最后以采购人认可为准。培训采购人工作人员学习和使用新方案，重点做好针对培训对象的不同进行培训内容的选择，免费培训对象包括操作员、技术人员、管理人员、维护人员等。</w:t>
            </w:r>
          </w:p>
          <w:p w14:paraId="2B092676">
            <w:pPr>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w:t>
            </w:r>
            <w:r>
              <w:rPr>
                <w:rFonts w:hint="eastAsia" w:ascii="宋体" w:hAnsi="宋体" w:eastAsia="宋体" w:cs="宋体"/>
                <w:color w:val="000000"/>
                <w:szCs w:val="21"/>
                <w:highlight w:val="none"/>
              </w:rPr>
              <w:t>操作员培训</w:t>
            </w:r>
          </w:p>
          <w:p w14:paraId="034853F8">
            <w:pPr>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供应商针对操作员进行全员培训，提供详细的培训计划，包括培训课程内容（以操作为主）、培训制度、培训考核办法等。</w:t>
            </w:r>
          </w:p>
          <w:p w14:paraId="054A05A5">
            <w:pPr>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2</w:t>
            </w:r>
            <w:r>
              <w:rPr>
                <w:rFonts w:ascii="宋体" w:hAnsi="宋体" w:eastAsia="宋体" w:cs="宋体"/>
                <w:color w:val="000000"/>
                <w:szCs w:val="21"/>
                <w:highlight w:val="none"/>
              </w:rPr>
              <w:t>.</w:t>
            </w:r>
            <w:r>
              <w:rPr>
                <w:rFonts w:hint="eastAsia" w:ascii="宋体" w:hAnsi="宋体" w:eastAsia="宋体" w:cs="宋体"/>
                <w:color w:val="000000"/>
                <w:szCs w:val="21"/>
                <w:highlight w:val="none"/>
              </w:rPr>
              <w:t>技术人员培训</w:t>
            </w:r>
          </w:p>
          <w:p w14:paraId="15849F86">
            <w:pPr>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（1）供应商应负责采购人技术人员的培训，提供详细的培训计划，并对参加培训的技术人员提出基本要求；</w:t>
            </w:r>
          </w:p>
          <w:p w14:paraId="675D0220">
            <w:pPr>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（2）培训内容应包括系统管理、维护，数据库及其他软件等。</w:t>
            </w:r>
          </w:p>
          <w:p w14:paraId="6D7E5688">
            <w:pPr>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3</w:t>
            </w:r>
            <w:r>
              <w:rPr>
                <w:rFonts w:ascii="宋体" w:hAnsi="宋体" w:eastAsia="宋体" w:cs="宋体"/>
                <w:color w:val="000000"/>
                <w:szCs w:val="21"/>
                <w:highlight w:val="none"/>
              </w:rPr>
              <w:t>.</w:t>
            </w:r>
            <w:r>
              <w:rPr>
                <w:rFonts w:hint="eastAsia" w:ascii="宋体" w:hAnsi="宋体" w:eastAsia="宋体" w:cs="宋体"/>
                <w:color w:val="000000"/>
                <w:szCs w:val="21"/>
                <w:highlight w:val="none"/>
              </w:rPr>
              <w:t>管理人员培训</w:t>
            </w:r>
          </w:p>
          <w:p w14:paraId="7FDB8D8B">
            <w:pPr>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（1）供应商应负责采购人管理人员的培训，提供详细的培训计划，并对参加培训的人员提出基本要求；</w:t>
            </w:r>
          </w:p>
          <w:p w14:paraId="167FE01D">
            <w:pPr>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（2）培训内容应包括系统流程和相关管理理念。</w:t>
            </w:r>
          </w:p>
          <w:p w14:paraId="6FDFA44B">
            <w:pPr>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4</w:t>
            </w:r>
            <w:r>
              <w:rPr>
                <w:rFonts w:ascii="宋体" w:hAnsi="宋体" w:eastAsia="宋体" w:cs="宋体"/>
                <w:color w:val="000000"/>
                <w:szCs w:val="21"/>
                <w:highlight w:val="none"/>
              </w:rPr>
              <w:t>.</w:t>
            </w:r>
            <w:r>
              <w:rPr>
                <w:rFonts w:hint="eastAsia" w:ascii="宋体" w:hAnsi="宋体" w:eastAsia="宋体" w:cs="宋体"/>
                <w:color w:val="000000"/>
                <w:szCs w:val="21"/>
                <w:highlight w:val="none"/>
              </w:rPr>
              <w:t>维护人员培训</w:t>
            </w:r>
          </w:p>
          <w:p w14:paraId="316C1B5F">
            <w:pPr>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系统试运行期间，供应商负责为采购人免费培训系统维护人员，通过培训，使维护人员能熟练规范的进行操作，对一般故障能进行处理和日常维护。</w:t>
            </w:r>
          </w:p>
        </w:tc>
      </w:tr>
      <w:tr w14:paraId="430D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14:paraId="479F9513">
            <w:pPr>
              <w:spacing w:line="320" w:lineRule="exact"/>
              <w:jc w:val="center"/>
              <w:rPr>
                <w:rFonts w:ascii="宋体" w:hAnsi="宋体" w:eastAsia="宋体" w:cs="宋体"/>
                <w:color w:val="000000"/>
                <w:szCs w:val="21"/>
                <w:highlight w:val="green"/>
              </w:rPr>
            </w:pPr>
            <w:r>
              <w:rPr>
                <w:rFonts w:hint="eastAsia" w:ascii="宋体" w:hAnsi="宋体" w:eastAsia="宋体" w:cs="宋体"/>
                <w:color w:val="000000"/>
                <w:szCs w:val="21"/>
                <w:highlight w:val="none"/>
              </w:rPr>
              <w:t>实施方案</w:t>
            </w:r>
          </w:p>
        </w:tc>
        <w:tc>
          <w:tcPr>
            <w:tcW w:w="7015" w:type="dxa"/>
            <w:gridSpan w:val="2"/>
            <w:tcBorders>
              <w:top w:val="single" w:color="auto" w:sz="4" w:space="0"/>
              <w:left w:val="single" w:color="auto" w:sz="4" w:space="0"/>
              <w:bottom w:val="single" w:color="auto" w:sz="4" w:space="0"/>
              <w:right w:val="single" w:color="auto" w:sz="4" w:space="0"/>
            </w:tcBorders>
          </w:tcPr>
          <w:p w14:paraId="02DE9DF1">
            <w:pPr>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w:t>
            </w:r>
            <w:r>
              <w:rPr>
                <w:rFonts w:hint="eastAsia" w:ascii="宋体" w:hAnsi="宋体" w:eastAsia="宋体" w:cs="宋体"/>
                <w:color w:val="000000"/>
                <w:szCs w:val="21"/>
                <w:highlight w:val="none"/>
              </w:rPr>
              <w:t>供应商需提供完整的实施方案，包含具体的实施进度和人员安排，保证整个项目建设的连续性。</w:t>
            </w:r>
          </w:p>
          <w:p w14:paraId="293AB1DD">
            <w:pPr>
              <w:spacing w:line="320" w:lineRule="exact"/>
              <w:jc w:val="left"/>
              <w:rPr>
                <w:rFonts w:ascii="宋体" w:hAnsi="宋体" w:eastAsia="宋体" w:cs="宋体"/>
                <w:color w:val="000000"/>
                <w:szCs w:val="21"/>
                <w:highlight w:val="green"/>
              </w:rPr>
            </w:pPr>
            <w:r>
              <w:rPr>
                <w:rFonts w:hint="eastAsia" w:ascii="宋体" w:hAnsi="宋体" w:eastAsia="宋体" w:cs="宋体"/>
                <w:color w:val="000000"/>
                <w:szCs w:val="21"/>
                <w:highlight w:val="none"/>
              </w:rPr>
              <w:t>2</w:t>
            </w:r>
            <w:r>
              <w:rPr>
                <w:rFonts w:ascii="宋体" w:hAnsi="宋体" w:eastAsia="宋体" w:cs="宋体"/>
                <w:color w:val="000000"/>
                <w:szCs w:val="21"/>
                <w:highlight w:val="none"/>
              </w:rPr>
              <w:t>.</w:t>
            </w:r>
            <w:r>
              <w:rPr>
                <w:rFonts w:hint="eastAsia"/>
                <w:highlight w:val="none"/>
              </w:rPr>
              <w:t xml:space="preserve"> </w:t>
            </w:r>
            <w:r>
              <w:rPr>
                <w:rFonts w:hint="eastAsia" w:ascii="宋体" w:hAnsi="宋体" w:eastAsia="宋体" w:cs="宋体"/>
                <w:color w:val="000000"/>
                <w:szCs w:val="21"/>
                <w:highlight w:val="none"/>
              </w:rPr>
              <w:t>合同签订后</w:t>
            </w:r>
            <w:r>
              <w:rPr>
                <w:rFonts w:hint="eastAsia" w:ascii="宋体" w:hAnsi="宋体" w:eastAsia="宋体" w:cs="宋体"/>
                <w:color w:val="000000"/>
                <w:szCs w:val="21"/>
                <w:highlight w:val="none"/>
                <w:lang w:val="en-US" w:eastAsia="zh-CN"/>
              </w:rPr>
              <w:t>2</w:t>
            </w:r>
            <w:r>
              <w:rPr>
                <w:rFonts w:ascii="宋体" w:hAnsi="宋体" w:eastAsia="宋体" w:cs="宋体"/>
                <w:color w:val="000000"/>
                <w:szCs w:val="21"/>
                <w:highlight w:val="none"/>
              </w:rPr>
              <w:t>个月内在科室试点运行，</w:t>
            </w:r>
            <w:r>
              <w:rPr>
                <w:rFonts w:hint="eastAsia" w:ascii="宋体" w:hAnsi="宋体" w:eastAsia="宋体" w:cs="宋体"/>
                <w:color w:val="000000"/>
                <w:szCs w:val="21"/>
                <w:highlight w:val="none"/>
                <w:lang w:val="en-US" w:eastAsia="zh-CN"/>
              </w:rPr>
              <w:t>3</w:t>
            </w:r>
            <w:r>
              <w:rPr>
                <w:rFonts w:ascii="宋体" w:hAnsi="宋体" w:eastAsia="宋体" w:cs="宋体"/>
                <w:color w:val="000000"/>
                <w:szCs w:val="21"/>
                <w:highlight w:val="none"/>
              </w:rPr>
              <w:t>个月内完成全部项目实施工作</w:t>
            </w:r>
            <w:r>
              <w:rPr>
                <w:rFonts w:hint="eastAsia" w:ascii="宋体" w:hAnsi="宋体" w:eastAsia="宋体" w:cs="宋体"/>
                <w:color w:val="000000"/>
                <w:szCs w:val="21"/>
                <w:highlight w:val="none"/>
              </w:rPr>
              <w:t>。</w:t>
            </w:r>
          </w:p>
        </w:tc>
      </w:tr>
    </w:tbl>
    <w:p w14:paraId="0A94FF51">
      <w:pPr>
        <w:spacing w:line="400" w:lineRule="exact"/>
        <w:ind w:firstLine="420" w:firstLineChars="200"/>
        <w:rPr>
          <w:rFonts w:ascii="宋体" w:hAnsi="宋体" w:eastAsia="宋体" w:cs="Times New Roman"/>
          <w:bCs/>
          <w:color w:val="000000"/>
          <w:szCs w:val="21"/>
        </w:rPr>
      </w:pPr>
    </w:p>
    <w:p w14:paraId="1122B413">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14:paraId="25BE4D54">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14:paraId="386D4E5A">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14:paraId="4DEE5D51">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w:t>
      </w:r>
      <w:bookmarkStart w:id="27" w:name="_GoBack"/>
      <w:r>
        <w:rPr>
          <w:rFonts w:hint="eastAsia" w:ascii="宋体" w:hAnsi="宋体" w:eastAsia="宋体" w:cs="Calibri"/>
          <w:color w:val="000000"/>
          <w:szCs w:val="21"/>
          <w:highlight w:val="none"/>
        </w:rPr>
        <w:t>专家共</w:t>
      </w:r>
      <w:r>
        <w:rPr>
          <w:rFonts w:hint="eastAsia" w:ascii="宋体" w:hAnsi="宋体" w:eastAsia="宋体" w:cs="Calibri"/>
          <w:color w:val="000000"/>
          <w:szCs w:val="21"/>
          <w:highlight w:val="none"/>
          <w:lang w:val="en-US" w:eastAsia="zh-CN"/>
        </w:rPr>
        <w:t>3</w:t>
      </w:r>
      <w:r>
        <w:rPr>
          <w:rFonts w:hint="eastAsia" w:ascii="宋体" w:hAnsi="宋体" w:eastAsia="宋体" w:cs="Calibri"/>
          <w:color w:val="000000"/>
          <w:szCs w:val="21"/>
          <w:highlight w:val="none"/>
        </w:rPr>
        <w:t>人及</w:t>
      </w:r>
      <w:bookmarkEnd w:id="27"/>
      <w:r>
        <w:rPr>
          <w:rFonts w:hint="eastAsia" w:ascii="宋体" w:hAnsi="宋体" w:eastAsia="宋体" w:cs="Calibri"/>
          <w:color w:val="000000"/>
          <w:szCs w:val="21"/>
        </w:rPr>
        <w:t>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14:paraId="0026D292">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14:paraId="0AE3F801">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14:paraId="189DE4FB">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14:paraId="42B52FDE">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14:paraId="11261969">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14:paraId="47531FBD">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14:paraId="48C92E00">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14:paraId="4A922E56">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14:paraId="276DD115">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14:paraId="52AA5B59">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14:paraId="2AA67AB4">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14:paraId="6EFFD92E">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14:paraId="029E7772">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4D474D6">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14:paraId="6091E8DC">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14:paraId="17385802">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14:paraId="5913A782">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14:paraId="405359D5">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14:paraId="7E97F9E1">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14:paraId="209EC5B6">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14:paraId="0EA4A136">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14:paraId="1633F7EA">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14:paraId="1BBCA9B1">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14:paraId="6535E736">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14:paraId="0385CF5A">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14:paraId="72DC5447">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14:paraId="06B10FF3">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14:paraId="449D9364">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14:paraId="56FDEB8B">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14:paraId="2574E5F1">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14:paraId="0D004A49">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14:paraId="00A3F35B">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14:paraId="373DF9FA">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14:paraId="0D3CE7FB">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14:paraId="6068DAEC">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14:paraId="12DD230F">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14:paraId="47583BA1">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14:paraId="29103137">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14:paraId="7281DFE7">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14:paraId="0003866B">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14:paraId="54439C3B">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14:paraId="1E3BE070">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14:paraId="293EA509">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14:paraId="474779E6">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14:paraId="298FCACC">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14:paraId="5DCBE495">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14:paraId="14E6C326">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14:paraId="2183D3CD">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14:paraId="2A72E4E8">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14:paraId="6CA2F18A">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14:paraId="6A428FDB">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14:paraId="08195123">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14:paraId="55184764">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14:paraId="3EE787AB">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14:paraId="215BDE25">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14:paraId="492D3697">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14:paraId="01384641">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14:paraId="13A316FA">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14:paraId="79ECBD80">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14:paraId="6A6B66D7">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14:paraId="770DDCAC">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14:paraId="6FE56B3D">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14:paraId="766EA8FA">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14:paraId="1DE7163E">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14:paraId="4C259AEF">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14:paraId="5D8839D8">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.经磋商确定最终采购需求和提交最后报价的供应商后，由磋商小组采用综合评分法对提交最后报价的供应商的响应文件和最后报价进行综合评分。</w:t>
      </w:r>
    </w:p>
    <w:p w14:paraId="735C880D">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.评审时，磋商小组各成员应当独立对每个有效响应的文件进行评价、打分，然后汇总每个供应商每项评分因素的得分。</w:t>
      </w:r>
    </w:p>
    <w:p w14:paraId="3E75AB1F">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（1）磋商小组按照竞争性磋商文件中规定的评审标准计算各供应商的报价得分。项目评审过程中，不得去掉最后报价中的最高报价和最低报价。</w:t>
      </w:r>
    </w:p>
    <w:p w14:paraId="6B0FF5BC">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（2）各供应商的得分为磋商小组所有成员的有效评分的算术平均数。</w:t>
      </w:r>
    </w:p>
    <w:p w14:paraId="3AC0769C">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14:paraId="4C9B507C">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14:paraId="2293D1EA">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评审依据：磋商小组将以磋商响应文件为评审依据，对供应商的报价、技术、商务等方面内容按百分制打分。（计分方法按四舍五入取至百分位）</w:t>
      </w:r>
    </w:p>
    <w:tbl>
      <w:tblPr>
        <w:tblStyle w:val="11"/>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9"/>
        <w:gridCol w:w="1105"/>
        <w:gridCol w:w="6633"/>
        <w:gridCol w:w="794"/>
      </w:tblGrid>
      <w:tr w14:paraId="31F38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89" w:type="dxa"/>
            <w:vAlign w:val="center"/>
          </w:tcPr>
          <w:p w14:paraId="564D78B6">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105" w:type="dxa"/>
            <w:vAlign w:val="center"/>
          </w:tcPr>
          <w:p w14:paraId="034DBE25">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633" w:type="dxa"/>
            <w:vAlign w:val="center"/>
          </w:tcPr>
          <w:p w14:paraId="517D775E">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794" w:type="dxa"/>
            <w:vAlign w:val="center"/>
          </w:tcPr>
          <w:p w14:paraId="44C46CAE">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14:paraId="1F335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89" w:type="dxa"/>
            <w:vAlign w:val="center"/>
          </w:tcPr>
          <w:p w14:paraId="1766297C">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105" w:type="dxa"/>
            <w:vAlign w:val="center"/>
          </w:tcPr>
          <w:p w14:paraId="2F51EA6D">
            <w:pPr>
              <w:widowControl/>
              <w:spacing w:line="400" w:lineRule="exact"/>
              <w:jc w:val="center"/>
              <w:rPr>
                <w:rFonts w:hint="eastAsia" w:ascii="宋体" w:hAnsi="宋体" w:eastAsia="宋体" w:cs="Tahoma"/>
                <w:color w:val="000000"/>
                <w:kern w:val="0"/>
                <w:szCs w:val="21"/>
                <w:lang w:eastAsia="zh-CN"/>
              </w:rPr>
            </w:pPr>
            <w:r>
              <w:rPr>
                <w:rFonts w:hint="eastAsia" w:ascii="宋体" w:hAnsi="宋体" w:eastAsia="宋体" w:cs="Tahoma"/>
                <w:color w:val="000000"/>
                <w:kern w:val="0"/>
                <w:szCs w:val="21"/>
              </w:rPr>
              <w:t>价格分</w:t>
            </w:r>
            <w:r>
              <w:rPr>
                <w:rFonts w:hint="eastAsia" w:ascii="宋体" w:hAnsi="宋体" w:eastAsia="宋体" w:cs="Tahoma"/>
                <w:color w:val="000000"/>
                <w:kern w:val="0"/>
                <w:szCs w:val="21"/>
                <w:lang w:eastAsia="zh-CN"/>
              </w:rPr>
              <w:t>（</w:t>
            </w:r>
            <w:r>
              <w:rPr>
                <w:rFonts w:hint="eastAsia" w:ascii="宋体" w:hAnsi="宋体" w:eastAsia="宋体" w:cs="Tahoma"/>
                <w:color w:val="000000"/>
                <w:kern w:val="0"/>
                <w:szCs w:val="21"/>
                <w:lang w:val="en-US" w:eastAsia="zh-CN"/>
              </w:rPr>
              <w:t>30分</w:t>
            </w:r>
            <w:r>
              <w:rPr>
                <w:rFonts w:hint="eastAsia" w:ascii="宋体" w:hAnsi="宋体" w:eastAsia="宋体" w:cs="Tahoma"/>
                <w:color w:val="000000"/>
                <w:kern w:val="0"/>
                <w:szCs w:val="21"/>
                <w:lang w:eastAsia="zh-CN"/>
              </w:rPr>
              <w:t>）</w:t>
            </w:r>
          </w:p>
        </w:tc>
        <w:tc>
          <w:tcPr>
            <w:tcW w:w="6633" w:type="dxa"/>
          </w:tcPr>
          <w:p w14:paraId="0A3EBE2B">
            <w:pPr>
              <w:spacing w:line="400" w:lineRule="exact"/>
              <w:rPr>
                <w:rFonts w:ascii="宋体" w:hAnsi="宋体" w:eastAsia="宋体" w:cs="Calibri"/>
                <w:color w:val="000000"/>
                <w:szCs w:val="21"/>
              </w:rPr>
            </w:pPr>
            <w:r>
              <w:rPr>
                <w:rFonts w:hint="eastAsia" w:ascii="宋体" w:hAnsi="宋体" w:eastAsia="宋体" w:cs="Courier New"/>
                <w:bCs/>
                <w:color w:val="000000"/>
                <w:szCs w:val="21"/>
              </w:rPr>
              <w:t>1.</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14:paraId="3227A91E">
            <w:pPr>
              <w:spacing w:line="400" w:lineRule="exact"/>
              <w:rPr>
                <w:rFonts w:ascii="宋体" w:hAnsi="宋体" w:eastAsia="宋体" w:cs="宋体"/>
                <w:color w:val="000000"/>
                <w:kern w:val="0"/>
                <w:szCs w:val="21"/>
              </w:rPr>
            </w:pPr>
            <w:r>
              <w:rPr>
                <w:rFonts w:hint="eastAsia" w:ascii="宋体" w:hAnsi="宋体" w:eastAsia="宋体" w:cs="Courier New"/>
                <w:bCs/>
                <w:color w:val="000000"/>
                <w:szCs w:val="21"/>
              </w:rPr>
              <w:t>2.政府采购政策性扣除计算方法</w:t>
            </w:r>
          </w:p>
          <w:p w14:paraId="76580E1D">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按照《政府采购促进中小企业发展暂行办法》（财库〔2011〕181号）的规定，供应商为小型和微型企业，并在其响应文件中提供《中小企业声明函》，且其所竞标产品全部为小型和微型企业产品的，对其最后报价给予6%的扣除。</w:t>
            </w:r>
          </w:p>
          <w:p w14:paraId="0B9BE86D">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78B1F057">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5F8E8C7D">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（4）政策性扣除计算方法。</w:t>
            </w:r>
          </w:p>
          <w:p w14:paraId="218E6BA3">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被评定为监狱企业或残疾人福利性单位或小型和微型企业且其所竞标全部产品为小型和微型企业产品的，该供应商的最后报价给予6%的扣除，扣除后的价格为评审价，即评审价=最后报价×（1-6%）；大中型企业和其他自然人、法人或者其他组织与小型、微型企业组成联合体竞标，且联合体协议中约定小型、微型企业的协议合同金额占到联合体协议合同总金额30%以上的，联合体最后报价给予2%的扣除，扣除后的价格为评审价，即评审价=最后报价×（1-2%）；除上述情况外，评审价=最后报价。</w:t>
            </w:r>
          </w:p>
          <w:p w14:paraId="34485A87">
            <w:pPr>
              <w:snapToGrid w:val="0"/>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（5）除上述情况外，评审价＝最后报价。</w:t>
            </w:r>
          </w:p>
          <w:p w14:paraId="1EE0870D">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（6）以进入比较与评价环节的最低的评审价为基准价，基准价得分为</w:t>
            </w:r>
            <w:r>
              <w:rPr>
                <w:rFonts w:hint="eastAsia" w:ascii="宋体" w:hAnsi="宋体" w:eastAsia="宋体" w:cs="Courier New"/>
                <w:bCs/>
                <w:color w:val="000000"/>
                <w:szCs w:val="21"/>
                <w:u w:val="single"/>
              </w:rPr>
              <w:t xml:space="preserve"> </w:t>
            </w:r>
            <w:r>
              <w:rPr>
                <w:rFonts w:ascii="宋体" w:hAnsi="宋体" w:eastAsia="宋体" w:cs="Courier New"/>
                <w:bCs/>
                <w:color w:val="000000"/>
                <w:szCs w:val="21"/>
                <w:u w:val="single"/>
              </w:rPr>
              <w:t>30</w:t>
            </w:r>
            <w:r>
              <w:rPr>
                <w:rFonts w:hint="eastAsia" w:ascii="宋体" w:hAnsi="宋体" w:eastAsia="宋体" w:cs="Courier New"/>
                <w:bCs/>
                <w:color w:val="000000"/>
                <w:szCs w:val="21"/>
                <w:u w:val="single"/>
              </w:rPr>
              <w:t>分</w:t>
            </w:r>
            <w:r>
              <w:rPr>
                <w:rFonts w:hint="eastAsia" w:ascii="宋体" w:hAnsi="宋体" w:eastAsia="宋体" w:cs="Courier New"/>
                <w:bCs/>
                <w:color w:val="000000"/>
                <w:szCs w:val="21"/>
              </w:rPr>
              <w:t>。</w:t>
            </w:r>
          </w:p>
          <w:p w14:paraId="35F2D11B">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（7）价格分计算公式：</w:t>
            </w:r>
          </w:p>
          <w:p w14:paraId="6DDFC828">
            <w:pPr>
              <w:ind w:firstLine="420" w:firstLineChars="200"/>
              <w:rPr>
                <w:rFonts w:hint="eastAsia" w:ascii="宋体" w:hAnsi="宋体" w:eastAsia="宋体" w:cs="Courier New"/>
                <w:bCs/>
                <w:color w:val="000000"/>
                <w:szCs w:val="21"/>
                <w:u w:val="single"/>
              </w:rPr>
            </w:pPr>
            <w:r>
              <w:rPr>
                <w:rFonts w:hint="eastAsia" w:ascii="宋体" w:hAnsi="宋体" w:eastAsia="宋体" w:cs="Courier New"/>
                <w:bCs/>
                <w:color w:val="000000"/>
                <w:szCs w:val="21"/>
              </w:rPr>
              <w:t>报价得分</w:t>
            </w:r>
            <w:r>
              <w:rPr>
                <w:rFonts w:hint="eastAsia" w:ascii="Calibri" w:hAnsi="Calibri" w:eastAsia="宋体" w:cs="Calibri"/>
                <w:bCs/>
                <w:color w:val="000000"/>
                <w:szCs w:val="21"/>
              </w:rPr>
              <w:t>=</w:t>
            </w:r>
            <w:r>
              <w:rPr>
                <w:rFonts w:hint="eastAsia" w:ascii="宋体" w:hAnsi="宋体" w:eastAsia="宋体" w:cs="Courier New"/>
                <w:bCs/>
                <w:color w:val="000000"/>
                <w:szCs w:val="21"/>
              </w:rPr>
              <w:t>（基准价</w:t>
            </w:r>
            <w:r>
              <w:rPr>
                <w:rFonts w:hint="eastAsia" w:ascii="Calibri" w:hAnsi="Calibri" w:eastAsia="宋体" w:cs="Calibri"/>
                <w:bCs/>
                <w:color w:val="000000"/>
                <w:szCs w:val="21"/>
              </w:rPr>
              <w:t>/</w:t>
            </w:r>
            <w:r>
              <w:rPr>
                <w:rFonts w:hint="eastAsia" w:ascii="宋体" w:hAnsi="宋体" w:eastAsia="宋体" w:cs="Courier New"/>
                <w:bCs/>
                <w:color w:val="000000"/>
                <w:szCs w:val="21"/>
              </w:rPr>
              <w:t>最后报价）×</w:t>
            </w:r>
            <w:r>
              <w:rPr>
                <w:rFonts w:ascii="Calibri" w:hAnsi="Calibri" w:eastAsia="宋体" w:cs="Calibri"/>
                <w:bCs/>
                <w:color w:val="000000"/>
                <w:szCs w:val="21"/>
                <w:u w:val="single"/>
              </w:rPr>
              <w:t>30</w:t>
            </w:r>
            <w:r>
              <w:rPr>
                <w:rFonts w:hint="eastAsia" w:ascii="宋体" w:hAnsi="宋体" w:eastAsia="宋体" w:cs="Courier New"/>
                <w:bCs/>
                <w:color w:val="000000"/>
                <w:szCs w:val="21"/>
                <w:u w:val="single"/>
              </w:rPr>
              <w:t>分</w:t>
            </w:r>
          </w:p>
        </w:tc>
        <w:tc>
          <w:tcPr>
            <w:tcW w:w="794" w:type="dxa"/>
            <w:vAlign w:val="center"/>
          </w:tcPr>
          <w:p w14:paraId="2B0DF142">
            <w:pPr>
              <w:widowControl/>
              <w:spacing w:line="400" w:lineRule="exact"/>
              <w:jc w:val="left"/>
              <w:rPr>
                <w:rFonts w:ascii="宋体" w:hAnsi="宋体" w:eastAsia="宋体" w:cs="Tahoma"/>
                <w:color w:val="000000"/>
                <w:kern w:val="0"/>
                <w:szCs w:val="21"/>
              </w:rPr>
            </w:pPr>
            <w:r>
              <w:rPr>
                <w:rFonts w:hint="eastAsia" w:ascii="宋体" w:hAnsi="宋体" w:eastAsia="宋体" w:cs="Tahoma"/>
                <w:color w:val="000000"/>
                <w:kern w:val="0"/>
                <w:szCs w:val="21"/>
              </w:rPr>
              <w:t xml:space="preserve"> 30分</w:t>
            </w:r>
          </w:p>
        </w:tc>
      </w:tr>
      <w:tr w14:paraId="5076A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89" w:type="dxa"/>
            <w:vAlign w:val="center"/>
          </w:tcPr>
          <w:p w14:paraId="7D159218">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105" w:type="dxa"/>
            <w:vAlign w:val="center"/>
          </w:tcPr>
          <w:p w14:paraId="18452812">
            <w:pPr>
              <w:widowControl/>
              <w:spacing w:line="400" w:lineRule="exact"/>
              <w:jc w:val="center"/>
              <w:rPr>
                <w:rFonts w:hint="eastAsia" w:ascii="宋体" w:hAnsi="宋体" w:eastAsia="宋体" w:cs="Tahoma"/>
                <w:color w:val="000000"/>
                <w:kern w:val="0"/>
                <w:szCs w:val="21"/>
                <w:lang w:eastAsia="zh-CN"/>
              </w:rPr>
            </w:pPr>
            <w:r>
              <w:rPr>
                <w:rFonts w:hint="eastAsia" w:ascii="宋体" w:hAnsi="宋体" w:eastAsia="宋体" w:cs="Times New Roman"/>
                <w:bCs/>
                <w:color w:val="000000"/>
                <w:kern w:val="0"/>
                <w:szCs w:val="21"/>
              </w:rPr>
              <w:t>技术分</w:t>
            </w:r>
            <w:r>
              <w:rPr>
                <w:rFonts w:hint="eastAsia" w:ascii="宋体" w:hAnsi="宋体" w:eastAsia="宋体" w:cs="Times New Roman"/>
                <w:bCs/>
                <w:color w:val="000000"/>
                <w:kern w:val="0"/>
                <w:szCs w:val="21"/>
                <w:lang w:eastAsia="zh-CN"/>
              </w:rPr>
              <w:t>（</w:t>
            </w:r>
            <w:r>
              <w:rPr>
                <w:rFonts w:hint="eastAsia" w:ascii="宋体" w:hAnsi="宋体" w:eastAsia="宋体" w:cs="Times New Roman"/>
                <w:bCs/>
                <w:color w:val="000000"/>
                <w:kern w:val="0"/>
                <w:szCs w:val="21"/>
                <w:lang w:val="en-US" w:eastAsia="zh-CN"/>
              </w:rPr>
              <w:t>58分</w:t>
            </w:r>
            <w:r>
              <w:rPr>
                <w:rFonts w:hint="eastAsia" w:ascii="宋体" w:hAnsi="宋体" w:eastAsia="宋体" w:cs="Times New Roman"/>
                <w:bCs/>
                <w:color w:val="000000"/>
                <w:kern w:val="0"/>
                <w:szCs w:val="21"/>
                <w:lang w:eastAsia="zh-CN"/>
              </w:rPr>
              <w:t>）</w:t>
            </w:r>
          </w:p>
        </w:tc>
        <w:tc>
          <w:tcPr>
            <w:tcW w:w="7427" w:type="dxa"/>
            <w:gridSpan w:val="2"/>
          </w:tcPr>
          <w:p w14:paraId="27F7E418">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14:paraId="56D66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0" w:hRule="atLeast"/>
          <w:jc w:val="center"/>
        </w:trPr>
        <w:tc>
          <w:tcPr>
            <w:tcW w:w="589" w:type="dxa"/>
            <w:vAlign w:val="center"/>
          </w:tcPr>
          <w:p w14:paraId="0B29852D">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.1</w:t>
            </w:r>
          </w:p>
        </w:tc>
        <w:tc>
          <w:tcPr>
            <w:tcW w:w="1105" w:type="dxa"/>
            <w:vAlign w:val="center"/>
          </w:tcPr>
          <w:p w14:paraId="7485F5EC">
            <w:pPr>
              <w:jc w:val="center"/>
              <w:rPr>
                <w:rFonts w:hint="eastAsia" w:ascii="宋体" w:hAnsi="宋体" w:eastAsia="宋体" w:cs="Arial"/>
                <w:szCs w:val="21"/>
                <w:highlight w:val="none"/>
                <w:lang w:eastAsia="zh-CN"/>
              </w:rPr>
            </w:pPr>
            <w:r>
              <w:rPr>
                <w:rFonts w:hint="eastAsia" w:ascii="宋体" w:hAnsi="宋体" w:eastAsia="宋体" w:cs="宋体"/>
                <w:color w:val="auto"/>
                <w:spacing w:val="2"/>
                <w:sz w:val="20"/>
                <w:szCs w:val="20"/>
                <w:lang w:val="en-US" w:eastAsia="zh-CN"/>
              </w:rPr>
              <w:t>技术需求</w:t>
            </w:r>
            <w:r>
              <w:rPr>
                <w:rFonts w:hint="eastAsia" w:ascii="宋体" w:hAnsi="宋体" w:eastAsia="宋体" w:cs="Times New Roman"/>
                <w:bCs/>
                <w:color w:val="000000"/>
                <w:szCs w:val="24"/>
                <w:highlight w:val="none"/>
              </w:rPr>
              <w:t>分</w:t>
            </w:r>
            <w:r>
              <w:rPr>
                <w:rFonts w:hint="eastAsia" w:ascii="宋体" w:hAnsi="宋体" w:eastAsia="宋体" w:cs="Times New Roman"/>
                <w:bCs/>
                <w:color w:val="000000"/>
                <w:szCs w:val="24"/>
                <w:highlight w:val="none"/>
                <w:lang w:eastAsia="zh-CN"/>
              </w:rPr>
              <w:t>（</w:t>
            </w:r>
            <w:r>
              <w:rPr>
                <w:rFonts w:hint="eastAsia" w:ascii="宋体" w:hAnsi="宋体" w:eastAsia="宋体" w:cs="Times New Roman"/>
                <w:bCs/>
                <w:color w:val="000000"/>
                <w:szCs w:val="24"/>
                <w:highlight w:val="none"/>
                <w:lang w:val="en-US" w:eastAsia="zh-CN"/>
              </w:rPr>
              <w:t>23分</w:t>
            </w:r>
            <w:r>
              <w:rPr>
                <w:rFonts w:hint="eastAsia" w:ascii="宋体" w:hAnsi="宋体" w:eastAsia="宋体" w:cs="Times New Roman"/>
                <w:bCs/>
                <w:color w:val="000000"/>
                <w:szCs w:val="24"/>
                <w:highlight w:val="none"/>
                <w:lang w:eastAsia="zh-CN"/>
              </w:rPr>
              <w:t>）</w:t>
            </w:r>
          </w:p>
        </w:tc>
        <w:tc>
          <w:tcPr>
            <w:tcW w:w="6633" w:type="dxa"/>
            <w:vAlign w:val="center"/>
          </w:tcPr>
          <w:p w14:paraId="1EC68F82">
            <w:pPr>
              <w:spacing w:line="400" w:lineRule="exact"/>
              <w:rPr>
                <w:rFonts w:hint="eastAsia" w:ascii="宋体" w:hAnsi="宋体" w:eastAsia="宋体" w:cs="Calibri"/>
                <w:color w:val="000000"/>
                <w:szCs w:val="21"/>
                <w:highlight w:val="none"/>
              </w:rPr>
            </w:pPr>
            <w:r>
              <w:rPr>
                <w:rFonts w:ascii="宋体" w:hAnsi="宋体" w:eastAsia="宋体" w:cs="Courier New"/>
                <w:bCs/>
                <w:color w:val="000000"/>
                <w:kern w:val="0"/>
                <w:szCs w:val="21"/>
                <w:highlight w:val="none"/>
              </w:rPr>
              <w:t xml:space="preserve"> </w:t>
            </w:r>
            <w:r>
              <w:rPr>
                <w:rFonts w:hint="eastAsia" w:ascii="宋体" w:hAnsi="宋体" w:eastAsia="宋体" w:cs="Calibri"/>
                <w:color w:val="000000"/>
                <w:szCs w:val="21"/>
                <w:highlight w:val="none"/>
              </w:rPr>
              <w:t>审查投标文件对招标文件《第</w:t>
            </w:r>
            <w:r>
              <w:rPr>
                <w:rFonts w:hint="eastAsia" w:ascii="宋体" w:hAnsi="宋体" w:eastAsia="宋体" w:cs="Calibri"/>
                <w:color w:val="000000"/>
                <w:szCs w:val="21"/>
                <w:highlight w:val="none"/>
                <w:lang w:val="en-US" w:eastAsia="zh-CN"/>
              </w:rPr>
              <w:t>三</w:t>
            </w:r>
            <w:r>
              <w:rPr>
                <w:rFonts w:hint="eastAsia" w:ascii="宋体" w:hAnsi="宋体" w:eastAsia="宋体" w:cs="Calibri"/>
                <w:color w:val="000000"/>
                <w:szCs w:val="21"/>
                <w:highlight w:val="none"/>
              </w:rPr>
              <w:t>章采购需求》技术参数中“一、采购</w:t>
            </w:r>
            <w:r>
              <w:rPr>
                <w:rFonts w:hint="eastAsia" w:ascii="宋体" w:hAnsi="宋体" w:eastAsia="宋体" w:cs="Calibri"/>
                <w:color w:val="000000"/>
                <w:szCs w:val="21"/>
                <w:highlight w:val="none"/>
                <w:lang w:val="en-US" w:eastAsia="zh-CN"/>
              </w:rPr>
              <w:t>项目</w:t>
            </w:r>
            <w:r>
              <w:rPr>
                <w:rFonts w:hint="eastAsia" w:ascii="宋体" w:hAnsi="宋体" w:eastAsia="宋体" w:cs="Calibri"/>
                <w:color w:val="000000"/>
                <w:szCs w:val="21"/>
                <w:highlight w:val="none"/>
              </w:rPr>
              <w:t>需求</w:t>
            </w:r>
            <w:r>
              <w:rPr>
                <w:rFonts w:hint="eastAsia" w:ascii="宋体" w:hAnsi="宋体" w:eastAsia="宋体" w:cs="Calibri"/>
                <w:color w:val="000000"/>
                <w:szCs w:val="21"/>
                <w:highlight w:val="none"/>
                <w:lang w:val="en-US" w:eastAsia="zh-CN"/>
              </w:rPr>
              <w:t>一览表</w:t>
            </w:r>
            <w:r>
              <w:rPr>
                <w:rFonts w:hint="eastAsia" w:ascii="宋体" w:hAnsi="宋体" w:eastAsia="宋体" w:cs="Calibri"/>
                <w:color w:val="000000"/>
                <w:szCs w:val="21"/>
                <w:highlight w:val="none"/>
                <w:lang w:eastAsia="zh-CN"/>
              </w:rPr>
              <w:t>（</w:t>
            </w:r>
            <w:r>
              <w:rPr>
                <w:rFonts w:hint="eastAsia" w:ascii="宋体" w:hAnsi="宋体" w:eastAsia="宋体" w:cs="Calibri"/>
                <w:color w:val="000000"/>
                <w:szCs w:val="21"/>
                <w:highlight w:val="none"/>
                <w:lang w:val="en-US" w:eastAsia="zh-CN"/>
              </w:rPr>
              <w:t>二</w:t>
            </w:r>
            <w:r>
              <w:rPr>
                <w:rFonts w:hint="eastAsia" w:ascii="宋体" w:hAnsi="宋体" w:eastAsia="宋体" w:cs="Calibri"/>
                <w:color w:val="000000"/>
                <w:szCs w:val="21"/>
                <w:highlight w:val="none"/>
                <w:lang w:eastAsia="zh-CN"/>
              </w:rPr>
              <w:t>）</w:t>
            </w:r>
            <w:r>
              <w:rPr>
                <w:rFonts w:hint="eastAsia" w:ascii="宋体" w:hAnsi="宋体" w:eastAsia="宋体" w:cs="Calibri"/>
                <w:color w:val="000000"/>
                <w:szCs w:val="21"/>
                <w:highlight w:val="none"/>
                <w:lang w:val="en-US" w:eastAsia="zh-CN"/>
              </w:rPr>
              <w:t>技术参数需求</w:t>
            </w:r>
            <w:r>
              <w:rPr>
                <w:rFonts w:hint="eastAsia" w:ascii="宋体" w:hAnsi="宋体" w:eastAsia="宋体" w:cs="Calibri"/>
                <w:color w:val="000000"/>
                <w:szCs w:val="21"/>
                <w:highlight w:val="none"/>
              </w:rPr>
              <w:t>”的响应程度进行打分：</w:t>
            </w:r>
          </w:p>
          <w:p w14:paraId="280DACD4">
            <w:pPr>
              <w:spacing w:line="400" w:lineRule="exact"/>
              <w:rPr>
                <w:rFonts w:hint="eastAsia" w:ascii="宋体" w:hAnsi="宋体" w:eastAsia="宋体" w:cs="Calibri"/>
                <w:color w:val="000000"/>
                <w:szCs w:val="21"/>
                <w:highlight w:val="none"/>
              </w:rPr>
            </w:pPr>
            <w:r>
              <w:rPr>
                <w:rFonts w:hint="eastAsia" w:ascii="宋体" w:hAnsi="宋体" w:eastAsia="宋体" w:cs="Calibri"/>
                <w:color w:val="000000"/>
                <w:szCs w:val="21"/>
                <w:highlight w:val="none"/>
              </w:rPr>
              <w:t>一般技术参数技术分（满分2</w:t>
            </w:r>
            <w:r>
              <w:rPr>
                <w:rFonts w:hint="eastAsia" w:ascii="宋体" w:hAnsi="宋体" w:eastAsia="宋体" w:cs="Calibri"/>
                <w:color w:val="000000"/>
                <w:szCs w:val="21"/>
                <w:highlight w:val="none"/>
                <w:lang w:val="en-US" w:eastAsia="zh-CN"/>
              </w:rPr>
              <w:t>3</w:t>
            </w:r>
            <w:r>
              <w:rPr>
                <w:rFonts w:hint="eastAsia" w:ascii="宋体" w:hAnsi="宋体" w:eastAsia="宋体" w:cs="Calibri"/>
                <w:color w:val="000000"/>
                <w:szCs w:val="21"/>
                <w:highlight w:val="none"/>
              </w:rPr>
              <w:t>分）：所有进入详细评审的投标人得一般技术参数技术基本分2</w:t>
            </w:r>
            <w:r>
              <w:rPr>
                <w:rFonts w:hint="eastAsia" w:ascii="宋体" w:hAnsi="宋体" w:eastAsia="宋体" w:cs="Calibri"/>
                <w:color w:val="000000"/>
                <w:szCs w:val="21"/>
                <w:highlight w:val="none"/>
                <w:lang w:val="en-US" w:eastAsia="zh-CN"/>
              </w:rPr>
              <w:t>3</w:t>
            </w:r>
            <w:r>
              <w:rPr>
                <w:rFonts w:hint="eastAsia" w:ascii="宋体" w:hAnsi="宋体" w:eastAsia="宋体" w:cs="Calibri"/>
                <w:color w:val="000000"/>
                <w:szCs w:val="21"/>
                <w:highlight w:val="none"/>
              </w:rPr>
              <w:t>分，一般技术参数是指技术规格中未标注“▲”的技术参数</w:t>
            </w:r>
            <w:r>
              <w:rPr>
                <w:rFonts w:hint="eastAsia" w:ascii="宋体" w:hAnsi="宋体" w:eastAsia="宋体" w:cs="Calibri"/>
                <w:color w:val="000000"/>
                <w:szCs w:val="21"/>
                <w:highlight w:val="none"/>
                <w:lang w:eastAsia="zh-CN"/>
              </w:rPr>
              <w:t>，</w:t>
            </w:r>
            <w:r>
              <w:rPr>
                <w:rFonts w:hint="eastAsia" w:ascii="宋体" w:hAnsi="宋体" w:eastAsia="宋体" w:cs="Calibri"/>
                <w:color w:val="000000"/>
                <w:szCs w:val="21"/>
                <w:highlight w:val="none"/>
              </w:rPr>
              <w:t>每有一项负偏离(或漏项)在基本分基础上扣</w:t>
            </w:r>
            <w:r>
              <w:rPr>
                <w:rFonts w:hint="eastAsia" w:ascii="宋体" w:hAnsi="宋体" w:eastAsia="宋体" w:cs="Calibri"/>
                <w:color w:val="000000"/>
                <w:szCs w:val="21"/>
                <w:highlight w:val="none"/>
                <w:lang w:val="en-US" w:eastAsia="zh-CN"/>
              </w:rPr>
              <w:t>2</w:t>
            </w:r>
            <w:r>
              <w:rPr>
                <w:rFonts w:hint="eastAsia" w:ascii="宋体" w:hAnsi="宋体" w:eastAsia="宋体" w:cs="Calibri"/>
                <w:color w:val="000000"/>
                <w:szCs w:val="21"/>
                <w:highlight w:val="none"/>
              </w:rPr>
              <w:t>分</w:t>
            </w:r>
            <w:r>
              <w:rPr>
                <w:rFonts w:hint="eastAsia" w:ascii="宋体" w:hAnsi="宋体" w:eastAsia="宋体" w:cs="Calibri"/>
                <w:color w:val="000000"/>
                <w:szCs w:val="21"/>
                <w:highlight w:val="none"/>
              </w:rPr>
              <w:t>，</w:t>
            </w:r>
            <w:r>
              <w:rPr>
                <w:rFonts w:hint="eastAsia" w:ascii="宋体" w:hAnsi="宋体" w:eastAsia="宋体" w:cs="Calibri"/>
                <w:color w:val="000000"/>
                <w:szCs w:val="21"/>
                <w:highlight w:val="none"/>
                <w:lang w:val="en-US" w:eastAsia="zh-CN"/>
              </w:rPr>
              <w:t>扣完为止</w:t>
            </w:r>
            <w:r>
              <w:rPr>
                <w:rFonts w:hint="eastAsia" w:ascii="宋体" w:hAnsi="宋体" w:eastAsia="宋体" w:cs="Calibri"/>
                <w:color w:val="000000"/>
                <w:szCs w:val="21"/>
                <w:highlight w:val="none"/>
              </w:rPr>
              <w:t>；</w:t>
            </w:r>
          </w:p>
          <w:p w14:paraId="7C6361D3">
            <w:pPr>
              <w:spacing w:line="400" w:lineRule="exact"/>
              <w:ind w:firstLine="420" w:firstLineChars="200"/>
              <w:rPr>
                <w:rFonts w:hint="eastAsia" w:ascii="宋体" w:hAnsi="宋体" w:eastAsia="宋体" w:cs="Calibri"/>
                <w:color w:val="000000"/>
                <w:szCs w:val="21"/>
                <w:highlight w:val="none"/>
              </w:rPr>
            </w:pPr>
            <w:r>
              <w:rPr>
                <w:rFonts w:hint="eastAsia" w:ascii="宋体" w:hAnsi="宋体" w:eastAsia="宋体" w:cs="Calibri"/>
                <w:color w:val="000000"/>
                <w:szCs w:val="21"/>
                <w:highlight w:val="none"/>
              </w:rPr>
              <w:t>注：</w:t>
            </w:r>
          </w:p>
          <w:p w14:paraId="0445A0B9">
            <w:pPr>
              <w:spacing w:line="400" w:lineRule="exact"/>
              <w:ind w:firstLine="420" w:firstLineChars="200"/>
              <w:rPr>
                <w:rFonts w:hint="eastAsia" w:ascii="宋体" w:hAnsi="宋体" w:eastAsia="宋体" w:cs="Calibri"/>
                <w:color w:val="000000"/>
                <w:szCs w:val="21"/>
                <w:highlight w:val="none"/>
              </w:rPr>
            </w:pPr>
            <w:r>
              <w:rPr>
                <w:rFonts w:hint="eastAsia" w:ascii="宋体" w:hAnsi="宋体" w:eastAsia="宋体" w:cs="Calibri"/>
                <w:color w:val="000000"/>
                <w:szCs w:val="21"/>
                <w:highlight w:val="none"/>
              </w:rPr>
              <w:t>(1)如涉及提供相关承诺或证明材料，未提供不得分。</w:t>
            </w:r>
          </w:p>
          <w:p w14:paraId="5A5CE6CC">
            <w:pPr>
              <w:spacing w:line="400" w:lineRule="exact"/>
              <w:ind w:firstLine="420" w:firstLineChars="200"/>
              <w:rPr>
                <w:rFonts w:ascii="宋体" w:hAnsi="宋体" w:eastAsia="宋体" w:cs="Courier New"/>
                <w:bCs/>
                <w:color w:val="000000"/>
                <w:kern w:val="0"/>
                <w:szCs w:val="21"/>
                <w:highlight w:val="none"/>
              </w:rPr>
            </w:pPr>
            <w:r>
              <w:rPr>
                <w:rFonts w:hint="eastAsia" w:ascii="宋体" w:hAnsi="宋体" w:eastAsia="宋体" w:cs="Calibri"/>
                <w:color w:val="000000"/>
                <w:szCs w:val="21"/>
                <w:highlight w:val="none"/>
              </w:rPr>
              <w:t>(</w:t>
            </w:r>
            <w:r>
              <w:rPr>
                <w:rFonts w:hint="eastAsia" w:ascii="宋体" w:hAnsi="宋体" w:eastAsia="宋体" w:cs="Calibri"/>
                <w:color w:val="000000"/>
                <w:szCs w:val="21"/>
                <w:highlight w:val="none"/>
                <w:lang w:val="en-US" w:eastAsia="zh-CN"/>
              </w:rPr>
              <w:t>2</w:t>
            </w:r>
            <w:r>
              <w:rPr>
                <w:rFonts w:hint="eastAsia" w:ascii="宋体" w:hAnsi="宋体" w:eastAsia="宋体" w:cs="Calibri"/>
                <w:color w:val="000000"/>
                <w:szCs w:val="21"/>
                <w:highlight w:val="none"/>
              </w:rPr>
              <w:t>)</w:t>
            </w:r>
            <w:r>
              <w:rPr>
                <w:rFonts w:hint="eastAsia" w:ascii="宋体" w:hAnsi="宋体" w:eastAsia="宋体" w:cs="Calibri"/>
                <w:color w:val="000000"/>
                <w:szCs w:val="21"/>
              </w:rPr>
              <w:t>▲</w:t>
            </w:r>
            <w:r>
              <w:rPr>
                <w:rFonts w:hint="eastAsia" w:ascii="宋体" w:hAnsi="宋体" w:eastAsia="宋体" w:cs="Calibri"/>
                <w:color w:val="000000"/>
                <w:szCs w:val="21"/>
                <w:highlight w:val="none"/>
              </w:rPr>
              <w:t>号条款为必须满足条款，不满足即废标。</w:t>
            </w:r>
          </w:p>
        </w:tc>
        <w:tc>
          <w:tcPr>
            <w:tcW w:w="794" w:type="dxa"/>
            <w:vAlign w:val="center"/>
          </w:tcPr>
          <w:p w14:paraId="6720C3F6">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23</w:t>
            </w:r>
            <w:r>
              <w:rPr>
                <w:rFonts w:hint="eastAsia" w:ascii="宋体" w:hAnsi="宋体" w:eastAsia="宋体" w:cs="Tahoma"/>
                <w:color w:val="000000"/>
                <w:kern w:val="0"/>
                <w:szCs w:val="21"/>
              </w:rPr>
              <w:t>分</w:t>
            </w:r>
          </w:p>
        </w:tc>
      </w:tr>
      <w:tr w14:paraId="6933D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589" w:type="dxa"/>
            <w:vAlign w:val="center"/>
          </w:tcPr>
          <w:p w14:paraId="111A3C42">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.2</w:t>
            </w:r>
          </w:p>
        </w:tc>
        <w:tc>
          <w:tcPr>
            <w:tcW w:w="1105" w:type="dxa"/>
            <w:vAlign w:val="center"/>
          </w:tcPr>
          <w:p w14:paraId="23991402">
            <w:pPr>
              <w:jc w:val="center"/>
              <w:rPr>
                <w:rFonts w:hint="eastAsia" w:ascii="宋体" w:hAnsi="宋体" w:eastAsia="宋体" w:cs="Times New Roman"/>
                <w:bCs/>
                <w:color w:val="000000"/>
                <w:szCs w:val="24"/>
                <w:highlight w:val="none"/>
                <w:lang w:eastAsia="zh-CN"/>
              </w:rPr>
            </w:pPr>
            <w:r>
              <w:rPr>
                <w:rFonts w:hint="eastAsia" w:ascii="宋体" w:hAnsi="宋体" w:eastAsia="宋体" w:cs="Times New Roman"/>
                <w:bCs/>
                <w:color w:val="000000"/>
                <w:szCs w:val="24"/>
                <w:highlight w:val="none"/>
                <w:lang w:val="en-US" w:eastAsia="zh-CN"/>
              </w:rPr>
              <w:t>服务方案分</w:t>
            </w:r>
            <w:r>
              <w:rPr>
                <w:rFonts w:hint="eastAsia" w:ascii="宋体" w:hAnsi="宋体" w:eastAsia="宋体" w:cs="Times New Roman"/>
                <w:bCs/>
                <w:color w:val="000000"/>
                <w:szCs w:val="24"/>
                <w:highlight w:val="none"/>
                <w:lang w:eastAsia="zh-CN"/>
              </w:rPr>
              <w:t>（</w:t>
            </w:r>
            <w:r>
              <w:rPr>
                <w:rFonts w:hint="eastAsia" w:ascii="宋体" w:hAnsi="宋体" w:eastAsia="宋体" w:cs="Times New Roman"/>
                <w:bCs/>
                <w:color w:val="000000"/>
                <w:szCs w:val="24"/>
                <w:highlight w:val="none"/>
                <w:lang w:val="en-US" w:eastAsia="zh-CN"/>
              </w:rPr>
              <w:t>12分</w:t>
            </w:r>
            <w:r>
              <w:rPr>
                <w:rFonts w:hint="eastAsia" w:ascii="宋体" w:hAnsi="宋体" w:eastAsia="宋体" w:cs="Times New Roman"/>
                <w:bCs/>
                <w:color w:val="000000"/>
                <w:szCs w:val="24"/>
                <w:highlight w:val="none"/>
                <w:lang w:eastAsia="zh-CN"/>
              </w:rPr>
              <w:t>）</w:t>
            </w:r>
          </w:p>
        </w:tc>
        <w:tc>
          <w:tcPr>
            <w:tcW w:w="6633" w:type="dxa"/>
            <w:vAlign w:val="center"/>
          </w:tcPr>
          <w:p w14:paraId="478A7CE0">
            <w:pPr>
              <w:pStyle w:val="20"/>
              <w:spacing w:before="36" w:line="325" w:lineRule="auto"/>
              <w:ind w:left="3"/>
              <w:jc w:val="both"/>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投标人应针对本项目特点提供为本项目制定的服务方案(包括服务质量、响应时间、安排进度、培训、技术水平、项目团队配置等。每一项根据以下标准进行打分，每项满分为2分，总共6项，满分为12分)。</w:t>
            </w:r>
          </w:p>
          <w:p w14:paraId="19126C59">
            <w:pPr>
              <w:pStyle w:val="20"/>
              <w:spacing w:before="22" w:line="219" w:lineRule="auto"/>
              <w:jc w:val="both"/>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(1)方案内容完全满足招标文件要求并且详细、切实可行的，得2分；</w:t>
            </w:r>
          </w:p>
          <w:p w14:paraId="225CAA65">
            <w:pPr>
              <w:pStyle w:val="20"/>
              <w:spacing w:before="108" w:line="278" w:lineRule="auto"/>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(2)所提供方案具备可行性，且较为全面，但稍有欠缺的，得1分 ；</w:t>
            </w:r>
          </w:p>
          <w:p w14:paraId="01FF672B">
            <w:pPr>
              <w:pStyle w:val="20"/>
              <w:spacing w:before="108" w:line="278" w:lineRule="auto"/>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(3)所提供方案较为可行，但不够全面详细，存在较多瑕疵的，得0.5分。</w:t>
            </w:r>
          </w:p>
          <w:p w14:paraId="7937673E">
            <w:pPr>
              <w:spacing w:line="400" w:lineRule="exact"/>
              <w:rPr>
                <w:rFonts w:ascii="宋体" w:hAnsi="宋体" w:eastAsia="宋体" w:cs="Courier New"/>
                <w:bCs/>
                <w:color w:val="000000"/>
                <w:kern w:val="0"/>
                <w:szCs w:val="21"/>
                <w:highlight w:val="none"/>
              </w:rPr>
            </w:pPr>
            <w:r>
              <w:rPr>
                <w:rFonts w:hint="eastAsia" w:ascii="宋体" w:hAnsi="宋体" w:eastAsia="宋体" w:cs="Calibri"/>
                <w:color w:val="000000"/>
                <w:kern w:val="2"/>
                <w:sz w:val="21"/>
                <w:szCs w:val="21"/>
                <w:lang w:val="en-US" w:eastAsia="zh-CN" w:bidi="ar-SA"/>
              </w:rPr>
              <w:t>(4)提供方案不具备可行性或内容非专门针对本项目或没有提供的，得0分。</w:t>
            </w:r>
          </w:p>
        </w:tc>
        <w:tc>
          <w:tcPr>
            <w:tcW w:w="794" w:type="dxa"/>
            <w:vAlign w:val="center"/>
          </w:tcPr>
          <w:p w14:paraId="4CFC7BEF">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hint="eastAsia" w:ascii="宋体" w:hAnsi="宋体" w:eastAsia="宋体" w:cs="Tahoma"/>
                <w:color w:val="000000"/>
                <w:kern w:val="0"/>
                <w:szCs w:val="21"/>
                <w:lang w:val="en-US" w:eastAsia="zh-CN"/>
              </w:rPr>
              <w:t>2</w:t>
            </w:r>
            <w:r>
              <w:rPr>
                <w:rFonts w:hint="eastAsia" w:ascii="宋体" w:hAnsi="宋体" w:eastAsia="宋体" w:cs="Tahoma"/>
                <w:color w:val="000000"/>
                <w:kern w:val="0"/>
                <w:szCs w:val="21"/>
              </w:rPr>
              <w:t>分</w:t>
            </w:r>
          </w:p>
        </w:tc>
      </w:tr>
      <w:tr w14:paraId="62C5F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89" w:type="dxa"/>
            <w:vAlign w:val="center"/>
          </w:tcPr>
          <w:p w14:paraId="1632D8CE">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2.3</w:t>
            </w:r>
          </w:p>
        </w:tc>
        <w:tc>
          <w:tcPr>
            <w:tcW w:w="1105" w:type="dxa"/>
            <w:vAlign w:val="center"/>
          </w:tcPr>
          <w:p w14:paraId="7B772B60">
            <w:pPr>
              <w:adjustRightInd w:val="0"/>
              <w:spacing w:line="400" w:lineRule="exact"/>
              <w:jc w:val="center"/>
              <w:textAlignment w:val="baseline"/>
              <w:rPr>
                <w:rFonts w:hint="eastAsia" w:ascii="宋体" w:hAnsi="宋体" w:eastAsia="宋体" w:cs="Times New Roman"/>
                <w:bCs/>
                <w:color w:val="000000"/>
                <w:kern w:val="0"/>
                <w:szCs w:val="21"/>
                <w:highlight w:val="none"/>
                <w:lang w:eastAsia="zh-CN"/>
              </w:rPr>
            </w:pPr>
            <w:r>
              <w:rPr>
                <w:rFonts w:hint="eastAsia" w:ascii="宋体" w:hAnsi="宋体" w:eastAsia="宋体" w:cs="Times New Roman"/>
                <w:bCs/>
                <w:color w:val="000000"/>
                <w:kern w:val="0"/>
                <w:szCs w:val="21"/>
                <w:highlight w:val="none"/>
              </w:rPr>
              <w:t>实施方案分</w:t>
            </w:r>
            <w:r>
              <w:rPr>
                <w:rFonts w:hint="eastAsia" w:ascii="宋体" w:hAnsi="宋体" w:eastAsia="宋体" w:cs="Times New Roman"/>
                <w:bCs/>
                <w:color w:val="000000"/>
                <w:kern w:val="0"/>
                <w:szCs w:val="21"/>
                <w:highlight w:val="none"/>
                <w:lang w:eastAsia="zh-CN"/>
              </w:rPr>
              <w:t>（</w:t>
            </w:r>
            <w:r>
              <w:rPr>
                <w:rFonts w:hint="eastAsia" w:ascii="宋体" w:hAnsi="宋体" w:eastAsia="宋体" w:cs="Times New Roman"/>
                <w:bCs/>
                <w:color w:val="000000"/>
                <w:kern w:val="0"/>
                <w:szCs w:val="21"/>
                <w:highlight w:val="none"/>
                <w:lang w:val="en-US" w:eastAsia="zh-CN"/>
              </w:rPr>
              <w:t>10分</w:t>
            </w:r>
            <w:r>
              <w:rPr>
                <w:rFonts w:hint="eastAsia" w:ascii="宋体" w:hAnsi="宋体" w:eastAsia="宋体" w:cs="Times New Roman"/>
                <w:bCs/>
                <w:color w:val="000000"/>
                <w:kern w:val="0"/>
                <w:szCs w:val="21"/>
                <w:highlight w:val="none"/>
                <w:lang w:eastAsia="zh-CN"/>
              </w:rPr>
              <w:t>）</w:t>
            </w:r>
          </w:p>
        </w:tc>
        <w:tc>
          <w:tcPr>
            <w:tcW w:w="6633" w:type="dxa"/>
            <w:vAlign w:val="center"/>
          </w:tcPr>
          <w:p w14:paraId="2587B1B4">
            <w:pPr>
              <w:pStyle w:val="20"/>
              <w:spacing w:before="7" w:line="335" w:lineRule="auto"/>
              <w:ind w:left="73"/>
              <w:rPr>
                <w:rFonts w:hint="eastAsia" w:ascii="宋体" w:hAnsi="宋体" w:eastAsia="宋体" w:cs="Calibri"/>
                <w:color w:val="000000"/>
                <w:kern w:val="2"/>
                <w:sz w:val="21"/>
                <w:szCs w:val="21"/>
                <w:highlight w:val="none"/>
                <w:lang w:val="en-US" w:eastAsia="zh-CN" w:bidi="ar-SA"/>
              </w:rPr>
            </w:pPr>
            <w:r>
              <w:rPr>
                <w:rFonts w:hint="eastAsia" w:ascii="宋体" w:hAnsi="宋体" w:eastAsia="宋体" w:cs="Calibri"/>
                <w:color w:val="000000"/>
                <w:kern w:val="2"/>
                <w:sz w:val="21"/>
                <w:szCs w:val="21"/>
                <w:highlight w:val="none"/>
                <w:lang w:val="en-US" w:eastAsia="zh-CN" w:bidi="ar-SA"/>
              </w:rPr>
              <w:t>投标人应针对本项目特点提供为本项目制定的实施方案(包括系统总体设计、功能设计、系统集成方案的完整性、规范化等。每一项根据以下标准进行打分，每项满分为</w:t>
            </w:r>
            <w:r>
              <w:rPr>
                <w:rFonts w:hint="eastAsia" w:cs="Calibri"/>
                <w:color w:val="000000"/>
                <w:kern w:val="2"/>
                <w:sz w:val="21"/>
                <w:szCs w:val="21"/>
                <w:highlight w:val="none"/>
                <w:lang w:val="en-US" w:eastAsia="zh-CN" w:bidi="ar-SA"/>
              </w:rPr>
              <w:t>2.5</w:t>
            </w:r>
            <w:r>
              <w:rPr>
                <w:rFonts w:hint="eastAsia" w:ascii="宋体" w:hAnsi="宋体" w:eastAsia="宋体" w:cs="Calibri"/>
                <w:color w:val="000000"/>
                <w:kern w:val="2"/>
                <w:sz w:val="21"/>
                <w:szCs w:val="21"/>
                <w:highlight w:val="none"/>
                <w:lang w:val="en-US" w:eastAsia="zh-CN" w:bidi="ar-SA"/>
              </w:rPr>
              <w:t>分，总共4项，满分为</w:t>
            </w:r>
            <w:r>
              <w:rPr>
                <w:rFonts w:hint="eastAsia" w:cs="Calibri"/>
                <w:color w:val="000000"/>
                <w:kern w:val="2"/>
                <w:sz w:val="21"/>
                <w:szCs w:val="21"/>
                <w:highlight w:val="none"/>
                <w:lang w:val="en-US" w:eastAsia="zh-CN" w:bidi="ar-SA"/>
              </w:rPr>
              <w:t>10</w:t>
            </w:r>
            <w:r>
              <w:rPr>
                <w:rFonts w:hint="eastAsia" w:ascii="宋体" w:hAnsi="宋体" w:eastAsia="宋体" w:cs="Calibri"/>
                <w:color w:val="000000"/>
                <w:kern w:val="2"/>
                <w:sz w:val="21"/>
                <w:szCs w:val="21"/>
                <w:highlight w:val="none"/>
                <w:lang w:val="en-US" w:eastAsia="zh-CN" w:bidi="ar-SA"/>
              </w:rPr>
              <w:t>分)。</w:t>
            </w:r>
          </w:p>
          <w:p w14:paraId="5137889B">
            <w:pPr>
              <w:pStyle w:val="20"/>
              <w:spacing w:before="21" w:line="283" w:lineRule="auto"/>
              <w:rPr>
                <w:rFonts w:hint="eastAsia" w:ascii="宋体" w:hAnsi="宋体" w:eastAsia="宋体" w:cs="Calibri"/>
                <w:color w:val="000000"/>
                <w:kern w:val="2"/>
                <w:sz w:val="21"/>
                <w:szCs w:val="21"/>
                <w:highlight w:val="none"/>
                <w:lang w:val="en-US" w:eastAsia="zh-CN" w:bidi="ar-SA"/>
              </w:rPr>
            </w:pPr>
            <w:r>
              <w:rPr>
                <w:rFonts w:hint="eastAsia" w:ascii="宋体" w:hAnsi="宋体" w:eastAsia="宋体" w:cs="Calibri"/>
                <w:color w:val="000000"/>
                <w:kern w:val="2"/>
                <w:sz w:val="21"/>
                <w:szCs w:val="21"/>
                <w:highlight w:val="none"/>
                <w:lang w:val="en-US" w:eastAsia="zh-CN" w:bidi="ar-SA"/>
              </w:rPr>
              <w:t>(1)方案内容完全满足招标文件要求并且详细、切实可行的，得</w:t>
            </w:r>
            <w:r>
              <w:rPr>
                <w:rFonts w:hint="eastAsia" w:cs="Calibri"/>
                <w:color w:val="000000"/>
                <w:kern w:val="2"/>
                <w:sz w:val="21"/>
                <w:szCs w:val="21"/>
                <w:highlight w:val="none"/>
                <w:lang w:val="en-US" w:eastAsia="zh-CN" w:bidi="ar-SA"/>
              </w:rPr>
              <w:t>2.5</w:t>
            </w:r>
            <w:r>
              <w:rPr>
                <w:rFonts w:hint="eastAsia" w:ascii="宋体" w:hAnsi="宋体" w:eastAsia="宋体" w:cs="Calibri"/>
                <w:color w:val="000000"/>
                <w:kern w:val="2"/>
                <w:sz w:val="21"/>
                <w:szCs w:val="21"/>
                <w:highlight w:val="none"/>
                <w:lang w:val="en-US" w:eastAsia="zh-CN" w:bidi="ar-SA"/>
              </w:rPr>
              <w:t>分；</w:t>
            </w:r>
          </w:p>
          <w:p w14:paraId="0E8DD774">
            <w:pPr>
              <w:pStyle w:val="20"/>
              <w:spacing w:before="96" w:line="284" w:lineRule="auto"/>
              <w:rPr>
                <w:rFonts w:hint="eastAsia" w:ascii="宋体" w:hAnsi="宋体" w:eastAsia="宋体" w:cs="Calibri"/>
                <w:color w:val="000000"/>
                <w:kern w:val="2"/>
                <w:sz w:val="21"/>
                <w:szCs w:val="21"/>
                <w:highlight w:val="none"/>
                <w:lang w:val="en-US" w:eastAsia="zh-CN" w:bidi="ar-SA"/>
              </w:rPr>
            </w:pPr>
            <w:r>
              <w:rPr>
                <w:rFonts w:hint="eastAsia" w:ascii="宋体" w:hAnsi="宋体" w:eastAsia="宋体" w:cs="Calibri"/>
                <w:color w:val="000000"/>
                <w:kern w:val="2"/>
                <w:sz w:val="21"/>
                <w:szCs w:val="21"/>
                <w:highlight w:val="none"/>
                <w:lang w:val="en-US" w:eastAsia="zh-CN" w:bidi="ar-SA"/>
              </w:rPr>
              <w:t>(2)所提供方案具备可行性，且较为全面，但稍有欠缺的，得</w:t>
            </w:r>
            <w:r>
              <w:rPr>
                <w:rFonts w:hint="eastAsia" w:cs="Calibri"/>
                <w:color w:val="000000"/>
                <w:kern w:val="2"/>
                <w:sz w:val="21"/>
                <w:szCs w:val="21"/>
                <w:highlight w:val="none"/>
                <w:lang w:val="en-US" w:eastAsia="zh-CN" w:bidi="ar-SA"/>
              </w:rPr>
              <w:t>1.5</w:t>
            </w:r>
            <w:r>
              <w:rPr>
                <w:rFonts w:hint="eastAsia" w:ascii="宋体" w:hAnsi="宋体" w:eastAsia="宋体" w:cs="Calibri"/>
                <w:color w:val="000000"/>
                <w:kern w:val="2"/>
                <w:sz w:val="21"/>
                <w:szCs w:val="21"/>
                <w:highlight w:val="none"/>
                <w:lang w:val="en-US" w:eastAsia="zh-CN" w:bidi="ar-SA"/>
              </w:rPr>
              <w:t>分；</w:t>
            </w:r>
          </w:p>
          <w:p w14:paraId="575AF357">
            <w:pPr>
              <w:pStyle w:val="20"/>
              <w:spacing w:before="97" w:line="284" w:lineRule="auto"/>
              <w:rPr>
                <w:rFonts w:hint="eastAsia" w:ascii="宋体" w:hAnsi="宋体" w:eastAsia="宋体" w:cs="宋体"/>
                <w:color w:val="auto"/>
                <w:sz w:val="20"/>
                <w:szCs w:val="20"/>
                <w:highlight w:val="none"/>
              </w:rPr>
            </w:pPr>
            <w:r>
              <w:rPr>
                <w:rFonts w:hint="eastAsia" w:ascii="宋体" w:hAnsi="宋体" w:eastAsia="宋体" w:cs="Calibri"/>
                <w:color w:val="000000"/>
                <w:kern w:val="2"/>
                <w:sz w:val="21"/>
                <w:szCs w:val="21"/>
                <w:highlight w:val="none"/>
                <w:lang w:val="en-US" w:eastAsia="zh-CN" w:bidi="ar-SA"/>
              </w:rPr>
              <w:t>(3)</w:t>
            </w:r>
            <w:r>
              <w:rPr>
                <w:rFonts w:hint="eastAsia" w:ascii="宋体" w:hAnsi="宋体" w:eastAsia="宋体" w:cs="宋体"/>
                <w:color w:val="auto"/>
                <w:spacing w:val="-3"/>
                <w:sz w:val="20"/>
                <w:szCs w:val="20"/>
                <w:highlight w:val="none"/>
              </w:rPr>
              <w:t>所提供方案较为可行，但不够全面详细，存</w:t>
            </w:r>
            <w:r>
              <w:rPr>
                <w:rFonts w:hint="eastAsia" w:ascii="宋体" w:hAnsi="宋体" w:eastAsia="宋体" w:cs="宋体"/>
                <w:color w:val="auto"/>
                <w:spacing w:val="-1"/>
                <w:sz w:val="20"/>
                <w:szCs w:val="20"/>
                <w:highlight w:val="none"/>
              </w:rPr>
              <w:t>在较多瑕疵的，得</w:t>
            </w:r>
            <w:r>
              <w:rPr>
                <w:rFonts w:hint="eastAsia" w:cs="宋体"/>
                <w:color w:val="auto"/>
                <w:spacing w:val="-1"/>
                <w:sz w:val="20"/>
                <w:szCs w:val="20"/>
                <w:highlight w:val="none"/>
                <w:lang w:val="en-US" w:eastAsia="zh-CN"/>
              </w:rPr>
              <w:t>0.5</w:t>
            </w:r>
            <w:r>
              <w:rPr>
                <w:rFonts w:hint="eastAsia" w:ascii="宋体" w:hAnsi="宋体" w:eastAsia="宋体" w:cs="宋体"/>
                <w:color w:val="auto"/>
                <w:spacing w:val="-1"/>
                <w:sz w:val="20"/>
                <w:szCs w:val="20"/>
                <w:highlight w:val="none"/>
              </w:rPr>
              <w:t>分。</w:t>
            </w:r>
          </w:p>
          <w:p w14:paraId="39FF2266">
            <w:pPr>
              <w:pStyle w:val="20"/>
              <w:spacing w:before="97" w:line="284" w:lineRule="auto"/>
              <w:rPr>
                <w:rFonts w:ascii="宋体" w:hAnsi="宋体" w:eastAsia="宋体" w:cs="Courier New"/>
                <w:bCs/>
                <w:color w:val="000000"/>
                <w:szCs w:val="21"/>
                <w:highlight w:val="none"/>
              </w:rPr>
            </w:pPr>
            <w:r>
              <w:rPr>
                <w:rFonts w:hint="eastAsia" w:ascii="宋体" w:hAnsi="宋体" w:eastAsia="宋体" w:cs="宋体"/>
                <w:color w:val="auto"/>
                <w:spacing w:val="-3"/>
                <w:sz w:val="20"/>
                <w:szCs w:val="20"/>
                <w:highlight w:val="none"/>
              </w:rPr>
              <w:t>(4)</w:t>
            </w:r>
            <w:r>
              <w:rPr>
                <w:rFonts w:hint="eastAsia" w:ascii="宋体" w:hAnsi="宋体" w:eastAsia="宋体" w:cs="Calibri"/>
                <w:color w:val="000000"/>
                <w:kern w:val="2"/>
                <w:sz w:val="21"/>
                <w:szCs w:val="21"/>
                <w:highlight w:val="none"/>
                <w:lang w:val="en-US" w:eastAsia="zh-CN" w:bidi="ar-SA"/>
              </w:rPr>
              <w:t>提供方案不具备可行性或内容非专门针对本项目或没有提供的，得0分。</w:t>
            </w:r>
          </w:p>
        </w:tc>
        <w:tc>
          <w:tcPr>
            <w:tcW w:w="794" w:type="dxa"/>
            <w:vAlign w:val="center"/>
          </w:tcPr>
          <w:p w14:paraId="6EC1A12C">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10</w:t>
            </w:r>
            <w:r>
              <w:rPr>
                <w:rFonts w:hint="eastAsia" w:ascii="宋体" w:hAnsi="宋体" w:eastAsia="宋体" w:cs="Tahoma"/>
                <w:color w:val="000000"/>
                <w:kern w:val="0"/>
                <w:szCs w:val="21"/>
              </w:rPr>
              <w:t>分</w:t>
            </w:r>
          </w:p>
        </w:tc>
      </w:tr>
      <w:tr w14:paraId="42BCA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589" w:type="dxa"/>
            <w:vAlign w:val="center"/>
          </w:tcPr>
          <w:p w14:paraId="34C7F98D">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2.4</w:t>
            </w:r>
          </w:p>
        </w:tc>
        <w:tc>
          <w:tcPr>
            <w:tcW w:w="1105" w:type="dxa"/>
            <w:vAlign w:val="center"/>
          </w:tcPr>
          <w:p w14:paraId="4921385E">
            <w:pPr>
              <w:adjustRightInd w:val="0"/>
              <w:spacing w:line="380" w:lineRule="exact"/>
              <w:ind w:left="-105" w:leftChars="-50" w:right="-105" w:rightChars="-50"/>
              <w:jc w:val="center"/>
              <w:textAlignment w:val="baseline"/>
              <w:rPr>
                <w:rFonts w:hint="eastAsia" w:ascii="Calibri" w:hAnsi="Calibri" w:eastAsia="宋体" w:cs="Times New Roman"/>
                <w:bCs/>
                <w:szCs w:val="24"/>
                <w:highlight w:val="none"/>
              </w:rPr>
            </w:pPr>
            <w:r>
              <w:rPr>
                <w:rFonts w:hint="eastAsia" w:ascii="Calibri" w:hAnsi="Calibri" w:eastAsia="宋体" w:cs="Times New Roman"/>
                <w:bCs/>
                <w:szCs w:val="24"/>
                <w:highlight w:val="none"/>
              </w:rPr>
              <w:t>售后服务</w:t>
            </w:r>
            <w:r>
              <w:rPr>
                <w:rFonts w:hint="eastAsia" w:ascii="Calibri" w:hAnsi="Calibri" w:eastAsia="宋体" w:cs="Times New Roman"/>
                <w:bCs/>
                <w:szCs w:val="24"/>
                <w:highlight w:val="none"/>
                <w:lang w:val="en-US" w:eastAsia="zh-CN"/>
              </w:rPr>
              <w:t>保障措施</w:t>
            </w:r>
            <w:r>
              <w:rPr>
                <w:rFonts w:hint="eastAsia" w:ascii="Calibri" w:hAnsi="Calibri" w:eastAsia="宋体" w:cs="Times New Roman"/>
                <w:bCs/>
                <w:szCs w:val="24"/>
                <w:highlight w:val="none"/>
              </w:rPr>
              <w:t>分</w:t>
            </w:r>
          </w:p>
          <w:p w14:paraId="3EE343DD">
            <w:pPr>
              <w:adjustRightInd w:val="0"/>
              <w:spacing w:line="380" w:lineRule="exact"/>
              <w:ind w:left="-105" w:leftChars="-50" w:right="-105" w:rightChars="-50"/>
              <w:jc w:val="center"/>
              <w:textAlignment w:val="baseline"/>
              <w:rPr>
                <w:rFonts w:hint="eastAsia" w:ascii="Calibri" w:hAnsi="Calibri" w:eastAsia="宋体" w:cs="Times New Roman"/>
                <w:bCs/>
                <w:szCs w:val="24"/>
                <w:highlight w:val="none"/>
                <w:lang w:eastAsia="zh-CN"/>
              </w:rPr>
            </w:pPr>
            <w:r>
              <w:rPr>
                <w:rFonts w:hint="eastAsia" w:ascii="Calibri" w:hAnsi="Calibri" w:eastAsia="宋体" w:cs="Times New Roman"/>
                <w:bCs/>
                <w:szCs w:val="24"/>
                <w:highlight w:val="none"/>
                <w:lang w:eastAsia="zh-CN"/>
              </w:rPr>
              <w:t>（</w:t>
            </w:r>
            <w:r>
              <w:rPr>
                <w:rFonts w:hint="eastAsia" w:ascii="Calibri" w:hAnsi="Calibri" w:eastAsia="宋体" w:cs="Times New Roman"/>
                <w:bCs/>
                <w:szCs w:val="24"/>
                <w:highlight w:val="none"/>
                <w:lang w:val="en-US" w:eastAsia="zh-CN"/>
              </w:rPr>
              <w:t>8分</w:t>
            </w:r>
            <w:r>
              <w:rPr>
                <w:rFonts w:hint="eastAsia" w:ascii="Calibri" w:hAnsi="Calibri" w:eastAsia="宋体" w:cs="Times New Roman"/>
                <w:bCs/>
                <w:szCs w:val="24"/>
                <w:highlight w:val="none"/>
                <w:lang w:eastAsia="zh-CN"/>
              </w:rPr>
              <w:t>）</w:t>
            </w:r>
          </w:p>
        </w:tc>
        <w:tc>
          <w:tcPr>
            <w:tcW w:w="6633" w:type="dxa"/>
            <w:vAlign w:val="center"/>
          </w:tcPr>
          <w:p w14:paraId="572AAF08">
            <w:pPr>
              <w:pStyle w:val="20"/>
              <w:spacing w:before="7" w:line="335" w:lineRule="auto"/>
              <w:ind w:left="73"/>
              <w:rPr>
                <w:rFonts w:hint="eastAsia" w:ascii="宋体" w:hAnsi="宋体" w:eastAsia="宋体" w:cs="Calibri"/>
                <w:color w:val="000000"/>
                <w:kern w:val="2"/>
                <w:sz w:val="21"/>
                <w:szCs w:val="21"/>
                <w:highlight w:val="none"/>
                <w:lang w:val="en-US" w:eastAsia="zh-CN" w:bidi="ar-SA"/>
              </w:rPr>
            </w:pPr>
            <w:r>
              <w:rPr>
                <w:rFonts w:hint="eastAsia" w:ascii="宋体" w:hAnsi="宋体" w:eastAsia="宋体" w:cs="Calibri"/>
                <w:color w:val="000000"/>
                <w:kern w:val="2"/>
                <w:sz w:val="21"/>
                <w:szCs w:val="21"/>
                <w:highlight w:val="none"/>
                <w:lang w:val="en-US" w:eastAsia="zh-CN" w:bidi="ar-SA"/>
              </w:rPr>
              <w:t>投标人应针对本项目特点，提供为本项目制定的售后服务保证措施(包括出现问题响应时间，技术支持，专业咨询服务，应急保障措施，针对本项目提供的售后服务承诺内容、售后服务方式、供应商的售后服务能力、验收及测试等);</w:t>
            </w:r>
          </w:p>
          <w:p w14:paraId="1A37AE7E">
            <w:pPr>
              <w:pStyle w:val="20"/>
              <w:spacing w:before="7" w:line="335" w:lineRule="auto"/>
              <w:ind w:left="73"/>
              <w:rPr>
                <w:rFonts w:hint="eastAsia" w:ascii="宋体" w:hAnsi="宋体" w:eastAsia="宋体" w:cs="Calibri"/>
                <w:color w:val="000000"/>
                <w:kern w:val="2"/>
                <w:sz w:val="21"/>
                <w:szCs w:val="21"/>
                <w:highlight w:val="none"/>
                <w:lang w:val="en-US" w:eastAsia="zh-CN" w:bidi="ar-SA"/>
              </w:rPr>
            </w:pPr>
            <w:r>
              <w:rPr>
                <w:rFonts w:hint="eastAsia" w:ascii="宋体" w:hAnsi="宋体" w:eastAsia="宋体" w:cs="Calibri"/>
                <w:color w:val="000000"/>
                <w:kern w:val="2"/>
                <w:sz w:val="21"/>
                <w:szCs w:val="21"/>
                <w:highlight w:val="none"/>
                <w:lang w:val="en-US" w:eastAsia="zh-CN" w:bidi="ar-SA"/>
              </w:rPr>
              <w:t>(1)以上售后服务保证措施全面、清晰明确，与采购人的需求契合度高得</w:t>
            </w:r>
            <w:r>
              <w:rPr>
                <w:rFonts w:hint="eastAsia" w:cs="Calibri"/>
                <w:color w:val="000000"/>
                <w:kern w:val="2"/>
                <w:sz w:val="21"/>
                <w:szCs w:val="21"/>
                <w:highlight w:val="none"/>
                <w:lang w:val="en-US" w:eastAsia="zh-CN" w:bidi="ar-SA"/>
              </w:rPr>
              <w:t>8</w:t>
            </w:r>
            <w:r>
              <w:rPr>
                <w:rFonts w:hint="eastAsia" w:ascii="宋体" w:hAnsi="宋体" w:eastAsia="宋体" w:cs="Calibri"/>
                <w:color w:val="000000"/>
                <w:kern w:val="2"/>
                <w:sz w:val="21"/>
                <w:szCs w:val="21"/>
                <w:highlight w:val="none"/>
                <w:lang w:val="en-US" w:eastAsia="zh-CN" w:bidi="ar-SA"/>
              </w:rPr>
              <w:t>分；</w:t>
            </w:r>
          </w:p>
          <w:p w14:paraId="4927621E">
            <w:pPr>
              <w:pStyle w:val="20"/>
              <w:spacing w:before="7" w:line="335" w:lineRule="auto"/>
              <w:ind w:left="73"/>
              <w:rPr>
                <w:rFonts w:hint="eastAsia" w:ascii="宋体" w:hAnsi="宋体" w:eastAsia="宋体" w:cs="Calibri"/>
                <w:color w:val="000000"/>
                <w:kern w:val="2"/>
                <w:sz w:val="21"/>
                <w:szCs w:val="21"/>
                <w:highlight w:val="none"/>
                <w:lang w:val="en-US" w:eastAsia="zh-CN" w:bidi="ar-SA"/>
              </w:rPr>
            </w:pPr>
            <w:r>
              <w:rPr>
                <w:rFonts w:hint="eastAsia" w:ascii="宋体" w:hAnsi="宋体" w:eastAsia="宋体" w:cs="Calibri"/>
                <w:color w:val="000000"/>
                <w:kern w:val="2"/>
                <w:sz w:val="21"/>
                <w:szCs w:val="21"/>
                <w:highlight w:val="none"/>
                <w:lang w:val="en-US" w:eastAsia="zh-CN" w:bidi="ar-SA"/>
              </w:rPr>
              <w:t>(2)售后服务保证措施设置能保证按照项目要求正常进行、存在细小瑕疵得</w:t>
            </w:r>
            <w:r>
              <w:rPr>
                <w:rFonts w:hint="eastAsia" w:cs="Calibri"/>
                <w:color w:val="000000"/>
                <w:kern w:val="2"/>
                <w:sz w:val="21"/>
                <w:szCs w:val="21"/>
                <w:highlight w:val="none"/>
                <w:lang w:val="en-US" w:eastAsia="zh-CN" w:bidi="ar-SA"/>
              </w:rPr>
              <w:t>5</w:t>
            </w:r>
            <w:r>
              <w:rPr>
                <w:rFonts w:hint="eastAsia" w:ascii="宋体" w:hAnsi="宋体" w:eastAsia="宋体" w:cs="Calibri"/>
                <w:color w:val="000000"/>
                <w:kern w:val="2"/>
                <w:sz w:val="21"/>
                <w:szCs w:val="21"/>
                <w:highlight w:val="none"/>
                <w:lang w:val="en-US" w:eastAsia="zh-CN" w:bidi="ar-SA"/>
              </w:rPr>
              <w:t>分；</w:t>
            </w:r>
          </w:p>
          <w:p w14:paraId="00ECBFD9">
            <w:pPr>
              <w:pStyle w:val="20"/>
              <w:spacing w:before="7" w:line="335" w:lineRule="auto"/>
              <w:ind w:left="73"/>
              <w:rPr>
                <w:rFonts w:hint="eastAsia" w:ascii="宋体" w:hAnsi="宋体" w:eastAsia="宋体" w:cs="Calibri"/>
                <w:color w:val="000000"/>
                <w:kern w:val="2"/>
                <w:sz w:val="21"/>
                <w:szCs w:val="21"/>
                <w:highlight w:val="none"/>
                <w:lang w:val="en-US" w:eastAsia="zh-CN" w:bidi="ar-SA"/>
              </w:rPr>
            </w:pPr>
            <w:r>
              <w:rPr>
                <w:rFonts w:hint="eastAsia" w:ascii="宋体" w:hAnsi="宋体" w:eastAsia="宋体" w:cs="Calibri"/>
                <w:color w:val="000000"/>
                <w:kern w:val="2"/>
                <w:sz w:val="21"/>
                <w:szCs w:val="21"/>
                <w:highlight w:val="none"/>
                <w:lang w:val="en-US" w:eastAsia="zh-CN" w:bidi="ar-SA"/>
              </w:rPr>
              <w:t>(3)售后服务保证措施设置能基本保证项目实施，但存在缺陷得2分；</w:t>
            </w:r>
          </w:p>
          <w:p w14:paraId="7F9BB6F4">
            <w:pPr>
              <w:pStyle w:val="20"/>
              <w:spacing w:before="7" w:line="335" w:lineRule="auto"/>
              <w:ind w:left="73"/>
              <w:rPr>
                <w:rFonts w:ascii="宋体" w:hAnsi="宋体" w:eastAsia="宋体" w:cs="仿宋"/>
                <w:szCs w:val="21"/>
                <w:highlight w:val="none"/>
              </w:rPr>
            </w:pPr>
            <w:r>
              <w:rPr>
                <w:rFonts w:hint="eastAsia" w:ascii="宋体" w:hAnsi="宋体" w:eastAsia="宋体" w:cs="Calibri"/>
                <w:color w:val="000000"/>
                <w:kern w:val="2"/>
                <w:sz w:val="21"/>
                <w:szCs w:val="21"/>
                <w:highlight w:val="none"/>
                <w:lang w:val="en-US" w:eastAsia="zh-CN" w:bidi="ar-SA"/>
              </w:rPr>
              <w:t>(4)不详细或不满足得0分。</w:t>
            </w:r>
          </w:p>
        </w:tc>
        <w:tc>
          <w:tcPr>
            <w:tcW w:w="794" w:type="dxa"/>
            <w:vAlign w:val="center"/>
          </w:tcPr>
          <w:p w14:paraId="48299E11">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8</w:t>
            </w:r>
            <w:r>
              <w:rPr>
                <w:rFonts w:hint="eastAsia" w:ascii="宋体" w:hAnsi="宋体" w:eastAsia="宋体" w:cs="Tahoma"/>
                <w:color w:val="000000"/>
                <w:kern w:val="0"/>
                <w:szCs w:val="21"/>
              </w:rPr>
              <w:t>分</w:t>
            </w:r>
          </w:p>
        </w:tc>
      </w:tr>
      <w:tr w14:paraId="4FAAF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589" w:type="dxa"/>
            <w:vAlign w:val="center"/>
          </w:tcPr>
          <w:p w14:paraId="53224782">
            <w:pPr>
              <w:adjustRightInd w:val="0"/>
              <w:spacing w:line="400" w:lineRule="exact"/>
              <w:ind w:left="-105" w:leftChars="-50" w:right="-105" w:rightChars="-50"/>
              <w:jc w:val="center"/>
              <w:textAlignment w:val="baseline"/>
              <w:rPr>
                <w:rFonts w:hint="default" w:ascii="宋体" w:hAnsi="宋体" w:eastAsia="宋体" w:cs="Times New Roman"/>
                <w:bCs/>
                <w:color w:val="000000"/>
                <w:kern w:val="0"/>
                <w:szCs w:val="21"/>
                <w:lang w:val="en-US" w:eastAsia="zh-CN"/>
              </w:rPr>
            </w:pPr>
            <w:r>
              <w:rPr>
                <w:rFonts w:hint="eastAsia" w:ascii="宋体" w:hAnsi="宋体" w:eastAsia="宋体" w:cs="Times New Roman"/>
                <w:bCs/>
                <w:color w:val="000000"/>
                <w:kern w:val="0"/>
                <w:szCs w:val="21"/>
                <w:lang w:val="en-US" w:eastAsia="zh-CN"/>
              </w:rPr>
              <w:t>2.5</w:t>
            </w:r>
          </w:p>
        </w:tc>
        <w:tc>
          <w:tcPr>
            <w:tcW w:w="1105" w:type="dxa"/>
            <w:vAlign w:val="center"/>
          </w:tcPr>
          <w:p w14:paraId="15AC68EA">
            <w:pPr>
              <w:adjustRightInd w:val="0"/>
              <w:spacing w:line="380" w:lineRule="exact"/>
              <w:ind w:left="-105" w:leftChars="-50" w:right="-105" w:rightChars="-50"/>
              <w:jc w:val="center"/>
              <w:textAlignment w:val="baseline"/>
              <w:rPr>
                <w:rFonts w:hint="default" w:ascii="Calibri" w:hAnsi="Calibri" w:eastAsia="宋体" w:cs="Times New Roman"/>
                <w:bCs/>
                <w:szCs w:val="24"/>
                <w:highlight w:val="none"/>
                <w:lang w:val="en-US" w:eastAsia="zh-CN"/>
              </w:rPr>
            </w:pPr>
            <w:r>
              <w:rPr>
                <w:rFonts w:hint="eastAsia" w:ascii="Calibri" w:hAnsi="Calibri" w:eastAsia="宋体" w:cs="Times New Roman"/>
                <w:bCs/>
                <w:szCs w:val="24"/>
                <w:highlight w:val="none"/>
                <w:lang w:val="en-US" w:eastAsia="zh-CN"/>
              </w:rPr>
              <w:t>质量保障承诺分（5分）</w:t>
            </w:r>
          </w:p>
        </w:tc>
        <w:tc>
          <w:tcPr>
            <w:tcW w:w="6633" w:type="dxa"/>
            <w:vAlign w:val="center"/>
          </w:tcPr>
          <w:p w14:paraId="7ABC72F5">
            <w:pPr>
              <w:pStyle w:val="20"/>
              <w:spacing w:before="7" w:line="335" w:lineRule="auto"/>
              <w:ind w:left="73"/>
              <w:rPr>
                <w:rFonts w:hint="eastAsia" w:ascii="宋体" w:hAnsi="宋体" w:eastAsia="宋体" w:cs="Calibri"/>
                <w:color w:val="000000"/>
                <w:kern w:val="2"/>
                <w:sz w:val="21"/>
                <w:szCs w:val="21"/>
                <w:highlight w:val="none"/>
                <w:lang w:val="en-US" w:eastAsia="zh-CN" w:bidi="ar-SA"/>
              </w:rPr>
            </w:pPr>
            <w:r>
              <w:rPr>
                <w:rFonts w:hint="eastAsia" w:ascii="宋体" w:hAnsi="宋体" w:eastAsia="宋体" w:cs="Calibri"/>
                <w:color w:val="000000"/>
                <w:kern w:val="2"/>
                <w:sz w:val="21"/>
                <w:szCs w:val="21"/>
                <w:highlight w:val="none"/>
                <w:lang w:val="en-US" w:eastAsia="zh-CN" w:bidi="ar-SA"/>
              </w:rPr>
              <w:t>综合审查投标人针对本项目提供的服务方案和项目执行过程中的质量保证承诺，需包括但不限于项目整体环节的质量承诺，详细的质量保障计划，积极响应采购人的需求的承诺等；</w:t>
            </w:r>
          </w:p>
          <w:p w14:paraId="7508C576">
            <w:pPr>
              <w:pStyle w:val="20"/>
              <w:spacing w:before="7" w:line="335" w:lineRule="auto"/>
              <w:ind w:left="73"/>
              <w:rPr>
                <w:rFonts w:hint="eastAsia" w:ascii="宋体" w:hAnsi="宋体" w:eastAsia="宋体" w:cs="Calibri"/>
                <w:color w:val="000000"/>
                <w:kern w:val="2"/>
                <w:sz w:val="21"/>
                <w:szCs w:val="21"/>
                <w:highlight w:val="none"/>
                <w:lang w:val="en-US" w:eastAsia="zh-CN" w:bidi="ar-SA"/>
              </w:rPr>
            </w:pPr>
            <w:r>
              <w:rPr>
                <w:rFonts w:hint="eastAsia" w:ascii="宋体" w:hAnsi="宋体" w:eastAsia="宋体" w:cs="Calibri"/>
                <w:color w:val="000000"/>
                <w:kern w:val="2"/>
                <w:sz w:val="21"/>
                <w:szCs w:val="21"/>
                <w:highlight w:val="none"/>
                <w:lang w:val="en-US" w:eastAsia="zh-CN" w:bidi="ar-SA"/>
              </w:rPr>
              <w:t>(1)质量保证承诺全面、清晰明确，与采购人的需求契合度高得得</w:t>
            </w:r>
            <w:r>
              <w:rPr>
                <w:rFonts w:hint="eastAsia" w:cs="Calibri"/>
                <w:color w:val="000000"/>
                <w:kern w:val="2"/>
                <w:sz w:val="21"/>
                <w:szCs w:val="21"/>
                <w:highlight w:val="none"/>
                <w:lang w:val="en-US" w:eastAsia="zh-CN" w:bidi="ar-SA"/>
              </w:rPr>
              <w:t>5</w:t>
            </w:r>
            <w:r>
              <w:rPr>
                <w:rFonts w:hint="eastAsia" w:ascii="宋体" w:hAnsi="宋体" w:eastAsia="宋体" w:cs="Calibri"/>
                <w:color w:val="000000"/>
                <w:kern w:val="2"/>
                <w:sz w:val="21"/>
                <w:szCs w:val="21"/>
                <w:highlight w:val="none"/>
                <w:lang w:val="en-US" w:eastAsia="zh-CN" w:bidi="ar-SA"/>
              </w:rPr>
              <w:t>分；</w:t>
            </w:r>
          </w:p>
          <w:p w14:paraId="7ADA550C">
            <w:pPr>
              <w:pStyle w:val="20"/>
              <w:spacing w:before="7" w:line="335" w:lineRule="auto"/>
              <w:ind w:left="73"/>
              <w:rPr>
                <w:rFonts w:hint="eastAsia" w:ascii="宋体" w:hAnsi="宋体" w:eastAsia="宋体" w:cs="Calibri"/>
                <w:color w:val="000000"/>
                <w:kern w:val="2"/>
                <w:sz w:val="21"/>
                <w:szCs w:val="21"/>
                <w:highlight w:val="none"/>
                <w:lang w:val="en-US" w:eastAsia="zh-CN" w:bidi="ar-SA"/>
              </w:rPr>
            </w:pPr>
            <w:r>
              <w:rPr>
                <w:rFonts w:hint="eastAsia" w:ascii="宋体" w:hAnsi="宋体" w:eastAsia="宋体" w:cs="Calibri"/>
                <w:color w:val="000000"/>
                <w:kern w:val="2"/>
                <w:sz w:val="21"/>
                <w:szCs w:val="21"/>
                <w:highlight w:val="none"/>
                <w:lang w:val="en-US" w:eastAsia="zh-CN" w:bidi="ar-SA"/>
              </w:rPr>
              <w:t>(2)质量保证承诺设置能保证按照项目要求正常进行、存在细小瑕疵得</w:t>
            </w:r>
            <w:r>
              <w:rPr>
                <w:rFonts w:hint="eastAsia" w:cs="Calibri"/>
                <w:color w:val="000000"/>
                <w:kern w:val="2"/>
                <w:sz w:val="21"/>
                <w:szCs w:val="21"/>
                <w:highlight w:val="none"/>
                <w:lang w:val="en-US" w:eastAsia="zh-CN" w:bidi="ar-SA"/>
              </w:rPr>
              <w:t>3</w:t>
            </w:r>
            <w:r>
              <w:rPr>
                <w:rFonts w:hint="eastAsia" w:ascii="宋体" w:hAnsi="宋体" w:eastAsia="宋体" w:cs="Calibri"/>
                <w:color w:val="000000"/>
                <w:kern w:val="2"/>
                <w:sz w:val="21"/>
                <w:szCs w:val="21"/>
                <w:highlight w:val="none"/>
                <w:lang w:val="en-US" w:eastAsia="zh-CN" w:bidi="ar-SA"/>
              </w:rPr>
              <w:t>分；</w:t>
            </w:r>
          </w:p>
          <w:p w14:paraId="0D5D512B">
            <w:pPr>
              <w:pStyle w:val="20"/>
              <w:spacing w:before="7" w:line="335" w:lineRule="auto"/>
              <w:ind w:left="73"/>
              <w:rPr>
                <w:rFonts w:hint="eastAsia" w:ascii="宋体" w:hAnsi="宋体" w:eastAsia="宋体" w:cs="Calibri"/>
                <w:color w:val="000000"/>
                <w:kern w:val="2"/>
                <w:sz w:val="21"/>
                <w:szCs w:val="21"/>
                <w:highlight w:val="none"/>
                <w:lang w:val="en-US" w:eastAsia="zh-CN" w:bidi="ar-SA"/>
              </w:rPr>
            </w:pPr>
            <w:r>
              <w:rPr>
                <w:rFonts w:hint="eastAsia" w:ascii="宋体" w:hAnsi="宋体" w:eastAsia="宋体" w:cs="Calibri"/>
                <w:color w:val="000000"/>
                <w:kern w:val="2"/>
                <w:sz w:val="21"/>
                <w:szCs w:val="21"/>
                <w:highlight w:val="none"/>
                <w:lang w:val="en-US" w:eastAsia="zh-CN" w:bidi="ar-SA"/>
              </w:rPr>
              <w:t>(3)质量保证承诺设置能基本保证项目实施，但存在缺陷得1分；</w:t>
            </w:r>
          </w:p>
          <w:p w14:paraId="3D0A8003">
            <w:pPr>
              <w:pStyle w:val="20"/>
              <w:spacing w:before="7" w:line="335" w:lineRule="auto"/>
              <w:ind w:left="73"/>
              <w:rPr>
                <w:rFonts w:hint="eastAsia" w:ascii="宋体" w:hAnsi="宋体" w:eastAsia="宋体" w:cs="宋体"/>
                <w:color w:val="auto"/>
                <w:sz w:val="20"/>
                <w:szCs w:val="20"/>
              </w:rPr>
            </w:pPr>
            <w:r>
              <w:rPr>
                <w:rFonts w:hint="eastAsia" w:ascii="宋体" w:hAnsi="宋体" w:eastAsia="宋体" w:cs="Calibri"/>
                <w:color w:val="000000"/>
                <w:kern w:val="2"/>
                <w:sz w:val="21"/>
                <w:szCs w:val="21"/>
                <w:highlight w:val="none"/>
                <w:lang w:val="en-US" w:eastAsia="zh-CN" w:bidi="ar-SA"/>
              </w:rPr>
              <w:t>(4)不详细或不满足得0分。</w:t>
            </w:r>
          </w:p>
        </w:tc>
        <w:tc>
          <w:tcPr>
            <w:tcW w:w="794" w:type="dxa"/>
            <w:vAlign w:val="center"/>
          </w:tcPr>
          <w:p w14:paraId="29643FE7">
            <w:pPr>
              <w:spacing w:line="400" w:lineRule="exact"/>
              <w:jc w:val="center"/>
              <w:rPr>
                <w:rFonts w:hint="default" w:ascii="宋体" w:hAnsi="宋体" w:eastAsia="宋体" w:cs="Tahoma"/>
                <w:color w:val="000000"/>
                <w:kern w:val="0"/>
                <w:szCs w:val="21"/>
                <w:lang w:val="en-US" w:eastAsia="zh-CN"/>
              </w:rPr>
            </w:pPr>
            <w:r>
              <w:rPr>
                <w:rFonts w:hint="eastAsia" w:ascii="宋体" w:hAnsi="宋体" w:eastAsia="宋体" w:cs="Tahoma"/>
                <w:color w:val="000000"/>
                <w:kern w:val="0"/>
                <w:szCs w:val="21"/>
                <w:lang w:val="en-US" w:eastAsia="zh-CN"/>
              </w:rPr>
              <w:t>5分</w:t>
            </w:r>
          </w:p>
        </w:tc>
      </w:tr>
      <w:tr w14:paraId="53297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589" w:type="dxa"/>
            <w:vAlign w:val="center"/>
          </w:tcPr>
          <w:p w14:paraId="6A051C86">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105" w:type="dxa"/>
            <w:vAlign w:val="center"/>
          </w:tcPr>
          <w:p w14:paraId="1516197C">
            <w:pPr>
              <w:widowControl/>
              <w:spacing w:line="400" w:lineRule="exact"/>
              <w:jc w:val="center"/>
              <w:rPr>
                <w:rFonts w:hint="eastAsia" w:ascii="宋体" w:hAnsi="宋体" w:eastAsia="宋体" w:cs="Courier New"/>
                <w:bCs/>
                <w:color w:val="000000"/>
                <w:szCs w:val="21"/>
                <w:lang w:eastAsia="zh-CN"/>
              </w:rPr>
            </w:pPr>
            <w:r>
              <w:rPr>
                <w:rFonts w:hint="eastAsia" w:ascii="宋体" w:hAnsi="宋体" w:eastAsia="宋体" w:cs="Courier New"/>
                <w:bCs/>
                <w:color w:val="000000"/>
                <w:szCs w:val="21"/>
              </w:rPr>
              <w:t>商务分</w:t>
            </w:r>
            <w:r>
              <w:rPr>
                <w:rFonts w:hint="eastAsia" w:ascii="宋体" w:hAnsi="宋体" w:eastAsia="宋体" w:cs="Courier New"/>
                <w:bCs/>
                <w:color w:val="000000"/>
                <w:szCs w:val="21"/>
                <w:lang w:eastAsia="zh-CN"/>
              </w:rPr>
              <w:t>（</w:t>
            </w:r>
            <w:r>
              <w:rPr>
                <w:rFonts w:hint="eastAsia" w:ascii="宋体" w:hAnsi="宋体" w:eastAsia="宋体" w:cs="Courier New"/>
                <w:bCs/>
                <w:color w:val="000000"/>
                <w:szCs w:val="21"/>
                <w:lang w:val="en-US" w:eastAsia="zh-CN"/>
              </w:rPr>
              <w:t>12分</w:t>
            </w:r>
            <w:r>
              <w:rPr>
                <w:rFonts w:hint="eastAsia" w:ascii="宋体" w:hAnsi="宋体" w:eastAsia="宋体" w:cs="Courier New"/>
                <w:bCs/>
                <w:color w:val="000000"/>
                <w:szCs w:val="21"/>
                <w:lang w:eastAsia="zh-CN"/>
              </w:rPr>
              <w:t>）</w:t>
            </w:r>
          </w:p>
        </w:tc>
        <w:tc>
          <w:tcPr>
            <w:tcW w:w="7427" w:type="dxa"/>
            <w:gridSpan w:val="2"/>
            <w:vAlign w:val="center"/>
          </w:tcPr>
          <w:p w14:paraId="17C1A8EC">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14:paraId="413CF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jc w:val="center"/>
        </w:trPr>
        <w:tc>
          <w:tcPr>
            <w:tcW w:w="589" w:type="dxa"/>
            <w:vAlign w:val="center"/>
          </w:tcPr>
          <w:p w14:paraId="1D9D4E8C">
            <w:pPr>
              <w:widowControl/>
              <w:spacing w:line="400" w:lineRule="exact"/>
              <w:jc w:val="center"/>
              <w:rPr>
                <w:rFonts w:ascii="宋体" w:hAnsi="宋体" w:eastAsia="宋体" w:cs="Tahoma"/>
                <w:color w:val="000000"/>
                <w:kern w:val="0"/>
                <w:szCs w:val="21"/>
                <w:highlight w:val="none"/>
              </w:rPr>
            </w:pPr>
            <w:r>
              <w:rPr>
                <w:rFonts w:ascii="宋体" w:hAnsi="宋体" w:eastAsia="宋体" w:cs="Tahoma"/>
                <w:color w:val="000000"/>
                <w:kern w:val="0"/>
                <w:szCs w:val="21"/>
                <w:highlight w:val="none"/>
              </w:rPr>
              <w:t>3</w:t>
            </w:r>
            <w:r>
              <w:rPr>
                <w:rFonts w:hint="eastAsia" w:ascii="宋体" w:hAnsi="宋体" w:eastAsia="宋体" w:cs="Tahoma"/>
                <w:color w:val="000000"/>
                <w:kern w:val="0"/>
                <w:szCs w:val="21"/>
                <w:highlight w:val="none"/>
                <w:lang w:val="en-US" w:eastAsia="zh-CN"/>
              </w:rPr>
              <w:t>.</w:t>
            </w:r>
            <w:r>
              <w:rPr>
                <w:rFonts w:ascii="宋体" w:hAnsi="宋体" w:eastAsia="宋体" w:cs="Tahoma"/>
                <w:color w:val="000000"/>
                <w:kern w:val="0"/>
                <w:szCs w:val="21"/>
                <w:highlight w:val="none"/>
              </w:rPr>
              <w:t>1</w:t>
            </w:r>
          </w:p>
        </w:tc>
        <w:tc>
          <w:tcPr>
            <w:tcW w:w="1105" w:type="dxa"/>
            <w:vAlign w:val="center"/>
          </w:tcPr>
          <w:p w14:paraId="4CDA6F9F">
            <w:pPr>
              <w:widowControl/>
              <w:spacing w:line="400" w:lineRule="exact"/>
              <w:jc w:val="center"/>
              <w:rPr>
                <w:rFonts w:hint="eastAsia" w:ascii="宋体" w:hAnsi="宋体" w:eastAsia="宋体" w:cs="Tahoma"/>
                <w:color w:val="000000"/>
                <w:kern w:val="0"/>
                <w:szCs w:val="21"/>
                <w:highlight w:val="none"/>
                <w:lang w:eastAsia="zh-CN"/>
              </w:rPr>
            </w:pPr>
            <w:r>
              <w:rPr>
                <w:rFonts w:ascii="宋体" w:hAnsi="宋体" w:eastAsia="宋体" w:cs="Arial"/>
                <w:szCs w:val="21"/>
                <w:highlight w:val="none"/>
              </w:rPr>
              <w:t>业绩</w:t>
            </w:r>
            <w:r>
              <w:rPr>
                <w:rFonts w:hint="eastAsia" w:ascii="宋体" w:hAnsi="宋体" w:eastAsia="宋体" w:cs="Arial"/>
                <w:szCs w:val="21"/>
                <w:highlight w:val="none"/>
              </w:rPr>
              <w:t>分</w:t>
            </w:r>
            <w:r>
              <w:rPr>
                <w:rFonts w:hint="eastAsia" w:ascii="宋体" w:hAnsi="宋体" w:eastAsia="宋体" w:cs="Arial"/>
                <w:szCs w:val="21"/>
                <w:highlight w:val="none"/>
                <w:lang w:eastAsia="zh-CN"/>
              </w:rPr>
              <w:t>（</w:t>
            </w:r>
            <w:r>
              <w:rPr>
                <w:rFonts w:hint="eastAsia" w:ascii="宋体" w:hAnsi="宋体" w:eastAsia="宋体" w:cs="Arial"/>
                <w:szCs w:val="21"/>
                <w:highlight w:val="none"/>
                <w:lang w:val="en-US" w:eastAsia="zh-CN"/>
              </w:rPr>
              <w:t>5分</w:t>
            </w:r>
            <w:r>
              <w:rPr>
                <w:rFonts w:hint="eastAsia" w:ascii="宋体" w:hAnsi="宋体" w:eastAsia="宋体" w:cs="Arial"/>
                <w:szCs w:val="21"/>
                <w:highlight w:val="none"/>
                <w:lang w:eastAsia="zh-CN"/>
              </w:rPr>
              <w:t>）</w:t>
            </w:r>
          </w:p>
        </w:tc>
        <w:tc>
          <w:tcPr>
            <w:tcW w:w="6633" w:type="dxa"/>
            <w:vAlign w:val="center"/>
          </w:tcPr>
          <w:p w14:paraId="37458A17">
            <w:pPr>
              <w:rPr>
                <w:rFonts w:ascii="宋体" w:hAnsi="宋体" w:eastAsia="宋体" w:cs="Arial"/>
                <w:szCs w:val="21"/>
                <w:highlight w:val="none"/>
              </w:rPr>
            </w:pPr>
            <w:r>
              <w:rPr>
                <w:rFonts w:hint="eastAsia" w:ascii="宋体" w:hAnsi="宋体" w:eastAsia="宋体" w:cs="Arial"/>
                <w:szCs w:val="21"/>
                <w:highlight w:val="none"/>
              </w:rPr>
              <w:t>供应商20</w:t>
            </w:r>
            <w:r>
              <w:rPr>
                <w:rFonts w:hint="eastAsia" w:ascii="宋体" w:hAnsi="宋体" w:eastAsia="宋体" w:cs="Arial"/>
                <w:szCs w:val="21"/>
                <w:highlight w:val="none"/>
                <w:lang w:val="en-US" w:eastAsia="zh-CN"/>
              </w:rPr>
              <w:t>22</w:t>
            </w:r>
            <w:r>
              <w:rPr>
                <w:rFonts w:hint="eastAsia" w:ascii="宋体" w:hAnsi="宋体" w:eastAsia="宋体" w:cs="Arial"/>
                <w:szCs w:val="21"/>
                <w:highlight w:val="none"/>
              </w:rPr>
              <w:t>年1月1日以来具有同类服务项目的销售业绩的，每项得</w:t>
            </w:r>
            <w:r>
              <w:rPr>
                <w:rFonts w:hint="eastAsia" w:ascii="宋体" w:hAnsi="宋体" w:eastAsia="宋体" w:cs="Arial"/>
                <w:szCs w:val="21"/>
                <w:highlight w:val="none"/>
                <w:lang w:val="en-US" w:eastAsia="zh-CN"/>
              </w:rPr>
              <w:t>1</w:t>
            </w:r>
            <w:r>
              <w:rPr>
                <w:rFonts w:hint="eastAsia" w:ascii="宋体" w:hAnsi="宋体" w:eastAsia="宋体" w:cs="Arial"/>
                <w:szCs w:val="21"/>
                <w:highlight w:val="none"/>
              </w:rPr>
              <w:t>分。（以响应文件中提供</w:t>
            </w:r>
            <w:r>
              <w:rPr>
                <w:rFonts w:ascii="宋体" w:hAnsi="宋体" w:eastAsia="宋体" w:cs="Arial"/>
                <w:szCs w:val="21"/>
                <w:highlight w:val="none"/>
              </w:rPr>
              <w:t>提供合同复印件</w:t>
            </w:r>
            <w:r>
              <w:rPr>
                <w:rFonts w:hint="eastAsia" w:ascii="宋体" w:hAnsi="宋体" w:eastAsia="宋体" w:cs="Arial"/>
                <w:szCs w:val="21"/>
                <w:highlight w:val="none"/>
              </w:rPr>
              <w:t>及验收报告复印件</w:t>
            </w:r>
            <w:r>
              <w:rPr>
                <w:rFonts w:ascii="宋体" w:hAnsi="宋体" w:eastAsia="宋体" w:cs="Arial"/>
                <w:szCs w:val="21"/>
                <w:highlight w:val="none"/>
              </w:rPr>
              <w:t>作为证明材料，不提供不得分。</w:t>
            </w:r>
            <w:r>
              <w:rPr>
                <w:rFonts w:hint="eastAsia" w:ascii="宋体" w:hAnsi="宋体" w:eastAsia="宋体" w:cs="Arial"/>
                <w:szCs w:val="21"/>
                <w:highlight w:val="none"/>
              </w:rPr>
              <w:t>）</w:t>
            </w:r>
          </w:p>
        </w:tc>
        <w:tc>
          <w:tcPr>
            <w:tcW w:w="794" w:type="dxa"/>
            <w:vAlign w:val="center"/>
          </w:tcPr>
          <w:p w14:paraId="736A6F50">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 xml:space="preserve"> </w:t>
            </w:r>
            <w:r>
              <w:rPr>
                <w:rFonts w:hint="eastAsia" w:ascii="宋体" w:hAnsi="宋体" w:eastAsia="宋体" w:cs="Tahoma"/>
                <w:color w:val="000000"/>
                <w:kern w:val="0"/>
                <w:szCs w:val="21"/>
                <w:lang w:val="en-US" w:eastAsia="zh-CN"/>
              </w:rPr>
              <w:t>5</w:t>
            </w:r>
            <w:r>
              <w:rPr>
                <w:rFonts w:hint="eastAsia" w:ascii="宋体" w:hAnsi="宋体" w:eastAsia="宋体" w:cs="Tahoma"/>
                <w:color w:val="000000"/>
                <w:kern w:val="0"/>
                <w:szCs w:val="21"/>
              </w:rPr>
              <w:t>分</w:t>
            </w:r>
          </w:p>
        </w:tc>
      </w:tr>
      <w:tr w14:paraId="13C04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589" w:type="dxa"/>
            <w:vAlign w:val="center"/>
          </w:tcPr>
          <w:p w14:paraId="1788C80B">
            <w:pPr>
              <w:spacing w:line="400" w:lineRule="exact"/>
              <w:jc w:val="center"/>
              <w:rPr>
                <w:rFonts w:ascii="宋体" w:hAnsi="宋体" w:eastAsia="宋体" w:cs="Tahoma"/>
                <w:color w:val="000000"/>
                <w:kern w:val="0"/>
                <w:szCs w:val="21"/>
                <w:highlight w:val="none"/>
              </w:rPr>
            </w:pPr>
            <w:r>
              <w:rPr>
                <w:rFonts w:ascii="宋体" w:hAnsi="宋体" w:eastAsia="宋体" w:cs="Tahoma"/>
                <w:color w:val="000000"/>
                <w:kern w:val="0"/>
                <w:szCs w:val="21"/>
                <w:highlight w:val="none"/>
              </w:rPr>
              <w:t>3.2</w:t>
            </w:r>
          </w:p>
        </w:tc>
        <w:tc>
          <w:tcPr>
            <w:tcW w:w="1105" w:type="dxa"/>
            <w:vAlign w:val="center"/>
          </w:tcPr>
          <w:p w14:paraId="10084B76">
            <w:pPr>
              <w:widowControl/>
              <w:spacing w:line="400" w:lineRule="exact"/>
              <w:jc w:val="center"/>
              <w:rPr>
                <w:rFonts w:hint="eastAsia" w:ascii="宋体" w:hAnsi="宋体" w:eastAsia="宋体" w:cs="Tahoma"/>
                <w:color w:val="000000"/>
                <w:kern w:val="0"/>
                <w:szCs w:val="21"/>
                <w:highlight w:val="none"/>
                <w:lang w:eastAsia="zh-CN"/>
              </w:rPr>
            </w:pPr>
            <w:r>
              <w:rPr>
                <w:rFonts w:ascii="宋体" w:hAnsi="宋体" w:eastAsia="宋体" w:cs="Arial"/>
                <w:szCs w:val="21"/>
                <w:highlight w:val="none"/>
              </w:rPr>
              <w:t>实力信誉</w:t>
            </w:r>
            <w:r>
              <w:rPr>
                <w:rFonts w:hint="eastAsia" w:ascii="宋体" w:hAnsi="宋体" w:eastAsia="宋体" w:cs="Arial"/>
                <w:szCs w:val="21"/>
                <w:highlight w:val="none"/>
              </w:rPr>
              <w:t>分</w:t>
            </w:r>
            <w:r>
              <w:rPr>
                <w:rFonts w:hint="eastAsia" w:ascii="宋体" w:hAnsi="宋体" w:eastAsia="宋体" w:cs="Arial"/>
                <w:szCs w:val="21"/>
                <w:highlight w:val="none"/>
                <w:lang w:eastAsia="zh-CN"/>
              </w:rPr>
              <w:t>（</w:t>
            </w:r>
            <w:r>
              <w:rPr>
                <w:rFonts w:hint="eastAsia" w:ascii="宋体" w:hAnsi="宋体" w:eastAsia="宋体" w:cs="Arial"/>
                <w:szCs w:val="21"/>
                <w:highlight w:val="none"/>
                <w:lang w:val="en-US" w:eastAsia="zh-CN"/>
              </w:rPr>
              <w:t>7分</w:t>
            </w:r>
            <w:r>
              <w:rPr>
                <w:rFonts w:hint="eastAsia" w:ascii="宋体" w:hAnsi="宋体" w:eastAsia="宋体" w:cs="Arial"/>
                <w:szCs w:val="21"/>
                <w:highlight w:val="none"/>
                <w:lang w:eastAsia="zh-CN"/>
              </w:rPr>
              <w:t>）</w:t>
            </w:r>
          </w:p>
        </w:tc>
        <w:tc>
          <w:tcPr>
            <w:tcW w:w="6633" w:type="dxa"/>
            <w:vAlign w:val="center"/>
          </w:tcPr>
          <w:p w14:paraId="0AD84C9D">
            <w:pPr>
              <w:rPr>
                <w:rFonts w:ascii="宋体" w:hAnsi="宋体" w:eastAsia="宋体" w:cs="Arial"/>
                <w:szCs w:val="21"/>
                <w:highlight w:val="none"/>
              </w:rPr>
            </w:pPr>
            <w:r>
              <w:rPr>
                <w:rFonts w:hint="eastAsia" w:ascii="宋体" w:hAnsi="宋体" w:eastAsia="宋体" w:cs="Arial"/>
                <w:szCs w:val="21"/>
                <w:highlight w:val="none"/>
              </w:rPr>
              <w:t>（1）具有系统实施、系统维护、服务支持的服务人员队伍，服务团队不低于3人</w:t>
            </w:r>
            <w:r>
              <w:rPr>
                <w:rFonts w:hint="eastAsia" w:ascii="宋体" w:hAnsi="宋体" w:eastAsia="宋体" w:cs="Arial"/>
                <w:szCs w:val="21"/>
                <w:highlight w:val="none"/>
                <w:lang w:eastAsia="zh-CN"/>
              </w:rPr>
              <w:t>，</w:t>
            </w:r>
            <w:r>
              <w:rPr>
                <w:rFonts w:hint="eastAsia" w:ascii="宋体" w:hAnsi="宋体" w:eastAsia="宋体" w:cs="Arial"/>
                <w:szCs w:val="21"/>
                <w:highlight w:val="none"/>
              </w:rPr>
              <w:t>以202</w:t>
            </w:r>
            <w:r>
              <w:rPr>
                <w:rFonts w:hint="eastAsia" w:ascii="宋体" w:hAnsi="宋体" w:eastAsia="宋体" w:cs="Arial"/>
                <w:szCs w:val="21"/>
                <w:highlight w:val="none"/>
                <w:lang w:val="en-US" w:eastAsia="zh-CN"/>
              </w:rPr>
              <w:t>1</w:t>
            </w:r>
            <w:r>
              <w:rPr>
                <w:rFonts w:hint="eastAsia" w:ascii="宋体" w:hAnsi="宋体" w:eastAsia="宋体" w:cs="Arial"/>
                <w:szCs w:val="21"/>
                <w:highlight w:val="none"/>
              </w:rPr>
              <w:t>年</w:t>
            </w:r>
            <w:r>
              <w:rPr>
                <w:rFonts w:ascii="宋体" w:hAnsi="宋体" w:eastAsia="宋体" w:cs="Arial"/>
                <w:szCs w:val="21"/>
                <w:highlight w:val="none"/>
              </w:rPr>
              <w:t>6</w:t>
            </w:r>
            <w:r>
              <w:rPr>
                <w:rFonts w:hint="eastAsia" w:ascii="宋体" w:hAnsi="宋体" w:eastAsia="宋体" w:cs="Arial"/>
                <w:szCs w:val="21"/>
                <w:highlight w:val="none"/>
              </w:rPr>
              <w:t>月至今任意三个月供应商为技术人员缴纳社保的证明材料复印件并加盖供应商公章为准，无社保证明不得分；满足条件的服务人数每增加1人得1分，满分</w:t>
            </w:r>
            <w:r>
              <w:rPr>
                <w:rFonts w:ascii="宋体" w:hAnsi="宋体" w:eastAsia="宋体" w:cs="Arial"/>
                <w:szCs w:val="21"/>
                <w:highlight w:val="none"/>
              </w:rPr>
              <w:t>2</w:t>
            </w:r>
            <w:r>
              <w:rPr>
                <w:rFonts w:hint="eastAsia" w:ascii="宋体" w:hAnsi="宋体" w:eastAsia="宋体" w:cs="Arial"/>
                <w:szCs w:val="21"/>
                <w:highlight w:val="none"/>
              </w:rPr>
              <w:t>分；</w:t>
            </w:r>
          </w:p>
          <w:p w14:paraId="1A763A70">
            <w:pPr>
              <w:rPr>
                <w:rFonts w:ascii="宋体" w:hAnsi="宋体" w:eastAsia="宋体" w:cs="Arial"/>
                <w:szCs w:val="21"/>
                <w:highlight w:val="none"/>
              </w:rPr>
            </w:pPr>
            <w:r>
              <w:rPr>
                <w:rFonts w:hint="eastAsia" w:ascii="宋体" w:hAnsi="宋体" w:eastAsia="宋体" w:cs="Arial"/>
                <w:szCs w:val="21"/>
                <w:highlight w:val="none"/>
              </w:rPr>
              <w:t>（2）供应商通过ISO9001质量体系认证的得2分（响应文件中提供证书复印件）；</w:t>
            </w:r>
          </w:p>
          <w:p w14:paraId="06F21710">
            <w:pPr>
              <w:rPr>
                <w:rFonts w:ascii="宋体" w:hAnsi="宋体" w:eastAsia="宋体" w:cs="Arial"/>
                <w:szCs w:val="21"/>
                <w:highlight w:val="none"/>
              </w:rPr>
            </w:pPr>
            <w:r>
              <w:rPr>
                <w:rFonts w:hint="eastAsia" w:ascii="宋体" w:hAnsi="宋体" w:eastAsia="宋体" w:cs="Arial"/>
                <w:szCs w:val="21"/>
                <w:highlight w:val="none"/>
              </w:rPr>
              <w:t>（3）供应商具有自主知识产权的计算机软件著作权登记证书，得</w:t>
            </w:r>
            <w:r>
              <w:rPr>
                <w:rFonts w:ascii="宋体" w:hAnsi="宋体" w:eastAsia="宋体" w:cs="Arial"/>
                <w:szCs w:val="21"/>
                <w:highlight w:val="none"/>
              </w:rPr>
              <w:t>1分</w:t>
            </w:r>
            <w:r>
              <w:rPr>
                <w:rFonts w:hint="eastAsia" w:ascii="宋体" w:hAnsi="宋体" w:eastAsia="宋体" w:cs="Arial"/>
                <w:szCs w:val="21"/>
                <w:highlight w:val="none"/>
              </w:rPr>
              <w:t>（响应文件中提供证书复印件）；</w:t>
            </w:r>
          </w:p>
          <w:p w14:paraId="789CB66D">
            <w:pPr>
              <w:rPr>
                <w:rFonts w:ascii="宋体" w:hAnsi="宋体" w:eastAsia="宋体" w:cs="Arial"/>
                <w:szCs w:val="21"/>
                <w:highlight w:val="none"/>
              </w:rPr>
            </w:pPr>
            <w:r>
              <w:rPr>
                <w:rFonts w:hint="eastAsia" w:ascii="宋体" w:hAnsi="宋体" w:eastAsia="宋体" w:cs="Arial"/>
                <w:szCs w:val="21"/>
                <w:highlight w:val="none"/>
              </w:rPr>
              <w:t>（4）供应商具有商务诚信等级评价证书，得</w:t>
            </w:r>
            <w:r>
              <w:rPr>
                <w:rFonts w:ascii="宋体" w:hAnsi="宋体" w:eastAsia="宋体" w:cs="Arial"/>
                <w:szCs w:val="21"/>
                <w:highlight w:val="none"/>
              </w:rPr>
              <w:t>1分</w:t>
            </w:r>
            <w:r>
              <w:rPr>
                <w:rFonts w:hint="eastAsia" w:ascii="宋体" w:hAnsi="宋体" w:eastAsia="宋体" w:cs="Arial"/>
                <w:szCs w:val="21"/>
                <w:highlight w:val="none"/>
              </w:rPr>
              <w:t>（响应文件中提供证书复印件）；</w:t>
            </w:r>
          </w:p>
          <w:p w14:paraId="65A57B52">
            <w:pPr>
              <w:rPr>
                <w:rFonts w:ascii="宋体" w:hAnsi="宋体" w:eastAsia="宋体" w:cs="Arial"/>
                <w:szCs w:val="21"/>
                <w:highlight w:val="none"/>
              </w:rPr>
            </w:pPr>
            <w:r>
              <w:rPr>
                <w:rFonts w:hint="eastAsia" w:ascii="宋体" w:hAnsi="宋体" w:eastAsia="宋体" w:cs="Arial"/>
                <w:szCs w:val="21"/>
                <w:highlight w:val="none"/>
              </w:rPr>
              <w:t>（5）</w:t>
            </w:r>
            <w:r>
              <w:rPr>
                <w:rFonts w:hint="eastAsia" w:ascii="宋体" w:hAnsi="宋体" w:eastAsia="宋体" w:cs="Arial"/>
                <w:szCs w:val="21"/>
                <w:highlight w:val="none"/>
                <w:lang w:val="en-US" w:eastAsia="zh-CN"/>
              </w:rPr>
              <w:t>物资管理信息化</w:t>
            </w:r>
            <w:r>
              <w:rPr>
                <w:rFonts w:hint="eastAsia" w:ascii="宋体" w:hAnsi="宋体" w:eastAsia="宋体" w:cs="Arial"/>
                <w:szCs w:val="21"/>
                <w:highlight w:val="none"/>
              </w:rPr>
              <w:t>系统通过软件测试，得</w:t>
            </w:r>
            <w:r>
              <w:rPr>
                <w:rFonts w:ascii="宋体" w:hAnsi="宋体" w:eastAsia="宋体" w:cs="Arial"/>
                <w:szCs w:val="21"/>
                <w:highlight w:val="none"/>
              </w:rPr>
              <w:t>1分</w:t>
            </w:r>
            <w:r>
              <w:rPr>
                <w:rFonts w:hint="eastAsia" w:ascii="宋体" w:hAnsi="宋体" w:eastAsia="宋体" w:cs="Arial"/>
                <w:szCs w:val="21"/>
                <w:highlight w:val="none"/>
              </w:rPr>
              <w:t>（响应文件中提供证书复印件）；</w:t>
            </w:r>
          </w:p>
        </w:tc>
        <w:tc>
          <w:tcPr>
            <w:tcW w:w="794" w:type="dxa"/>
            <w:vAlign w:val="center"/>
          </w:tcPr>
          <w:p w14:paraId="3A330ECB">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7</w:t>
            </w:r>
            <w:r>
              <w:rPr>
                <w:rFonts w:hint="eastAsia" w:ascii="宋体" w:hAnsi="宋体" w:eastAsia="宋体" w:cs="Tahoma"/>
                <w:color w:val="000000"/>
                <w:kern w:val="0"/>
                <w:szCs w:val="21"/>
              </w:rPr>
              <w:t>分</w:t>
            </w:r>
          </w:p>
        </w:tc>
      </w:tr>
      <w:tr w14:paraId="5D6C6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27" w:type="dxa"/>
            <w:gridSpan w:val="3"/>
          </w:tcPr>
          <w:p w14:paraId="2B1E8D70">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794" w:type="dxa"/>
            <w:vAlign w:val="center"/>
          </w:tcPr>
          <w:p w14:paraId="73CE81EE">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14:paraId="56B30743">
      <w:pPr>
        <w:ind w:firstLine="420" w:firstLineChars="200"/>
        <w:jc w:val="left"/>
        <w:rPr>
          <w:rFonts w:ascii="宋体" w:hAnsi="宋体" w:eastAsia="宋体"/>
          <w:szCs w:val="21"/>
        </w:rPr>
      </w:pPr>
    </w:p>
    <w:p w14:paraId="70282CD4">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14:paraId="56BD0D48">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14:paraId="56244A82">
      <w:pPr>
        <w:spacing w:line="400" w:lineRule="exact"/>
        <w:ind w:firstLine="420" w:firstLineChars="200"/>
        <w:jc w:val="left"/>
        <w:rPr>
          <w:rFonts w:ascii="宋体" w:hAnsi="宋体" w:eastAsia="宋体"/>
          <w:szCs w:val="21"/>
        </w:rPr>
      </w:pPr>
    </w:p>
    <w:p w14:paraId="13496D02">
      <w:pPr>
        <w:spacing w:line="400" w:lineRule="exact"/>
        <w:ind w:firstLine="420" w:firstLineChars="200"/>
        <w:jc w:val="left"/>
        <w:rPr>
          <w:rFonts w:ascii="宋体" w:hAnsi="宋体" w:eastAsia="宋体"/>
          <w:szCs w:val="21"/>
        </w:rPr>
      </w:pPr>
    </w:p>
    <w:p w14:paraId="3511871C">
      <w:pPr>
        <w:spacing w:line="400" w:lineRule="exact"/>
        <w:ind w:firstLine="420" w:firstLineChars="200"/>
        <w:jc w:val="left"/>
        <w:rPr>
          <w:rFonts w:ascii="宋体" w:hAnsi="宋体" w:eastAsia="宋体"/>
          <w:szCs w:val="21"/>
        </w:rPr>
      </w:pPr>
    </w:p>
    <w:p w14:paraId="5B169DF6">
      <w:pPr>
        <w:spacing w:line="400" w:lineRule="exact"/>
        <w:ind w:firstLine="420" w:firstLineChars="200"/>
        <w:jc w:val="left"/>
        <w:rPr>
          <w:rFonts w:ascii="宋体" w:hAnsi="宋体" w:eastAsia="宋体"/>
          <w:szCs w:val="21"/>
        </w:rPr>
      </w:pPr>
    </w:p>
    <w:p w14:paraId="06B17294">
      <w:pPr>
        <w:spacing w:line="400" w:lineRule="exact"/>
        <w:ind w:firstLine="420" w:firstLineChars="200"/>
        <w:jc w:val="left"/>
        <w:rPr>
          <w:rFonts w:ascii="宋体" w:hAnsi="宋体" w:eastAsia="宋体"/>
          <w:szCs w:val="21"/>
        </w:rPr>
      </w:pPr>
    </w:p>
    <w:p w14:paraId="2A5D80F0">
      <w:pPr>
        <w:spacing w:line="400" w:lineRule="exact"/>
        <w:ind w:firstLine="420" w:firstLineChars="200"/>
        <w:jc w:val="left"/>
        <w:rPr>
          <w:rFonts w:ascii="宋体" w:hAnsi="宋体" w:eastAsia="宋体"/>
          <w:szCs w:val="21"/>
        </w:rPr>
      </w:pPr>
    </w:p>
    <w:p w14:paraId="78B132A9">
      <w:pPr>
        <w:spacing w:line="400" w:lineRule="exact"/>
        <w:ind w:firstLine="420" w:firstLineChars="200"/>
        <w:jc w:val="left"/>
        <w:rPr>
          <w:rFonts w:ascii="宋体" w:hAnsi="宋体" w:eastAsia="宋体"/>
          <w:szCs w:val="21"/>
        </w:rPr>
      </w:pPr>
    </w:p>
    <w:p w14:paraId="6EC3964C">
      <w:pPr>
        <w:spacing w:line="400" w:lineRule="exact"/>
        <w:ind w:firstLine="420" w:firstLineChars="200"/>
        <w:jc w:val="left"/>
        <w:rPr>
          <w:rFonts w:ascii="宋体" w:hAnsi="宋体" w:eastAsia="宋体"/>
          <w:szCs w:val="21"/>
        </w:rPr>
      </w:pPr>
    </w:p>
    <w:p w14:paraId="58356FEC">
      <w:pPr>
        <w:keepNext/>
        <w:keepLines/>
        <w:spacing w:before="260" w:after="260" w:line="415" w:lineRule="auto"/>
        <w:jc w:val="center"/>
        <w:outlineLvl w:val="1"/>
        <w:rPr>
          <w:rFonts w:hint="eastAsia" w:ascii="宋体" w:hAnsi="宋体" w:eastAsia="宋体" w:cs="宋体"/>
          <w:b/>
          <w:bCs/>
          <w:color w:val="000000"/>
          <w:sz w:val="32"/>
          <w:szCs w:val="32"/>
        </w:rPr>
      </w:pPr>
    </w:p>
    <w:p w14:paraId="124506DB">
      <w:pPr>
        <w:keepNext/>
        <w:keepLines/>
        <w:spacing w:before="260" w:after="260" w:line="415" w:lineRule="auto"/>
        <w:jc w:val="center"/>
        <w:outlineLvl w:val="1"/>
        <w:rPr>
          <w:rFonts w:hint="eastAsia" w:ascii="宋体" w:hAnsi="宋体" w:eastAsia="宋体" w:cs="宋体"/>
          <w:b/>
          <w:bCs/>
          <w:color w:val="000000"/>
          <w:sz w:val="32"/>
          <w:szCs w:val="32"/>
        </w:rPr>
      </w:pPr>
    </w:p>
    <w:p w14:paraId="2B69F6E8">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14:paraId="499A0ABC">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14:paraId="3BE18191">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14:paraId="1E7EC934">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14:paraId="1F420DA6">
      <w:pPr>
        <w:snapToGrid w:val="0"/>
        <w:spacing w:before="156" w:beforeLines="50" w:after="50"/>
        <w:rPr>
          <w:rFonts w:ascii="宋体" w:hAnsi="宋体" w:eastAsia="宋体" w:cs="Calibri"/>
          <w:bCs/>
          <w:color w:val="000000"/>
          <w:sz w:val="24"/>
          <w:szCs w:val="24"/>
        </w:rPr>
      </w:pPr>
      <w:r>
        <w:rPr>
          <w:rFonts w:hint="eastAsia" w:ascii="宋体" w:hAnsi="宋体" w:eastAsia="宋体" w:cs="Calibri"/>
          <w:color w:val="000000"/>
          <w:sz w:val="24"/>
          <w:szCs w:val="24"/>
        </w:rPr>
        <w:t xml:space="preserve"> </w:t>
      </w:r>
      <w:r>
        <w:rPr>
          <w:rFonts w:hint="eastAsia" w:ascii="宋体" w:hAnsi="宋体" w:eastAsia="宋体" w:cs="Calibri"/>
          <w:bCs/>
          <w:color w:val="000000"/>
          <w:sz w:val="24"/>
          <w:szCs w:val="24"/>
        </w:rPr>
        <w:t xml:space="preserve"> </w:t>
      </w:r>
    </w:p>
    <w:p w14:paraId="7A7F6538">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14:paraId="2A635F96">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0C4BDAD6">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32D7566D">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0578DE44">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14:paraId="220593CA">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645EE2F7">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14:paraId="35E2CA88">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6A9F3041">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14:paraId="49640A80">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2EF0E3D6">
      <w:pPr>
        <w:snapToGrid w:val="0"/>
        <w:spacing w:before="156" w:beforeLines="50" w:after="50"/>
        <w:rPr>
          <w:rFonts w:ascii="仿宋_GB2312" w:hAnsi="Calibri" w:eastAsia="仿宋_GB2312" w:cs="Calibri"/>
          <w:bCs/>
          <w:color w:val="000000"/>
          <w:sz w:val="32"/>
          <w:szCs w:val="32"/>
        </w:rPr>
      </w:pPr>
    </w:p>
    <w:p w14:paraId="0ED84D0F">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14:paraId="0D1BC37B">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27ECE502">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14:paraId="4B4CE66B">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14:paraId="6808E0DD">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3637ED17">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5BFAA602">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39D871A8">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14:paraId="4C7ECB0B">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14:paraId="4E8D139F">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14:paraId="6B2B6298">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14:paraId="399D19FE">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14:paraId="3D6F33A2">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14:paraId="1571D1FC">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14:paraId="18333F34">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14:paraId="4A699970">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14:paraId="59270D5E">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26C2970B">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14:paraId="4EF88113">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14:paraId="63DE377E">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14:paraId="51AF98E1">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76BD9D61">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73694770">
      <w:pPr>
        <w:snapToGrid w:val="0"/>
        <w:spacing w:before="156" w:beforeLines="50" w:after="50"/>
        <w:rPr>
          <w:rFonts w:ascii="仿宋_GB2312" w:hAnsi="Calibri" w:eastAsia="仿宋_GB2312" w:cs="Calibri"/>
          <w:color w:val="000000"/>
          <w:sz w:val="32"/>
          <w:szCs w:val="32"/>
        </w:rPr>
      </w:pPr>
    </w:p>
    <w:p w14:paraId="1910B804">
      <w:pPr>
        <w:snapToGrid w:val="0"/>
        <w:spacing w:before="156" w:beforeLines="50" w:after="50"/>
        <w:rPr>
          <w:rFonts w:ascii="仿宋_GB2312" w:hAnsi="Calibri" w:eastAsia="仿宋_GB2312" w:cs="Calibri"/>
          <w:color w:val="000000"/>
          <w:sz w:val="32"/>
          <w:szCs w:val="32"/>
        </w:rPr>
      </w:pPr>
    </w:p>
    <w:p w14:paraId="37251005">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246AEB6D">
      <w:pPr>
        <w:snapToGrid w:val="0"/>
        <w:spacing w:before="156" w:beforeLines="50" w:after="50"/>
        <w:jc w:val="center"/>
        <w:rPr>
          <w:rFonts w:ascii="仿宋_GB2312" w:hAnsi="Calibri" w:eastAsia="仿宋_GB2312" w:cs="Calibri"/>
          <w:bCs/>
          <w:color w:val="000000"/>
          <w:sz w:val="32"/>
          <w:szCs w:val="32"/>
        </w:rPr>
      </w:pPr>
      <w:r>
        <w:rPr>
          <w:rFonts w:hint="eastAsia" w:ascii="仿宋_GB2312" w:hAnsi="Calibri" w:eastAsia="仿宋_GB2312" w:cs="Calibri"/>
          <w:color w:val="000000"/>
          <w:sz w:val="32"/>
          <w:szCs w:val="32"/>
        </w:rPr>
        <w:t>年    月    日</w:t>
      </w:r>
    </w:p>
    <w:p w14:paraId="6D0BB233">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5550B5E0">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2B48198D">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一、资格证明文件格式</w:t>
      </w:r>
    </w:p>
    <w:p w14:paraId="58E24533">
      <w:pPr>
        <w:snapToGrid w:val="0"/>
        <w:spacing w:before="156"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14:paraId="1FC1B0B7">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14:paraId="639BF76E">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14:paraId="60B9CD9A">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14:paraId="6934DC99">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14:paraId="268BF36C">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78956AEF">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365C5793">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444A5D9C">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6CE043EB">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30E5AD20">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14:paraId="20B4174E">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3637B5AF">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14:paraId="3E835966">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73FE0101">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14:paraId="4FB2D67E">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6D2039C9">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14:paraId="22CC292B">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283A1DFA">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277BADCE">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2F9063EE">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13ACD7EA">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14:paraId="3CC29DE6">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14:paraId="37BBA39B">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14:paraId="605B23F1">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14:paraId="5DB8D394">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3DC4AEE8">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4C59D272">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02077533">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57A04102">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697D7413">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55D59810">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41BFBD0D">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7616B9EF">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06BDAC4E">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3DE12C82">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7D5CA123">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59B20F64">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5CF6A985">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325F0492">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14:paraId="0C6A1E45">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14:paraId="4A4447C3">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14:paraId="0ABAE651">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14:paraId="77C81C37">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14:paraId="300E094F">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14:paraId="64D5D37C">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14:paraId="1FB569D5">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6E7B5727">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14:paraId="1BEBBF16">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14:paraId="60B090BC">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14:paraId="01389A4A">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14:paraId="2E97DD03">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14:paraId="7B83112D">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14:paraId="5C3A41E8">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14:paraId="3C11E8D9">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14:paraId="564AB5C3">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14:paraId="548E5DD2">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14:paraId="6FC38696">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14:paraId="553920B5">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14:paraId="46B18997">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5526B106">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4251541">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14:paraId="7481E10C">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14:paraId="06D7A10A">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14:paraId="42AE115C">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14:paraId="18D163BC">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14:paraId="2D6C43BB">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14:paraId="3479D868">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14:paraId="580884A4">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14:paraId="6DEDFE27">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14:paraId="02AAF8D8">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14:paraId="3398CB8A">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14:paraId="2E82DB45">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二、</w:t>
      </w:r>
      <w:r>
        <w:rPr>
          <w:rFonts w:hint="eastAsia" w:ascii="宋体" w:hAnsi="宋体" w:eastAsia="宋体" w:cs="Calibri"/>
          <w:b/>
          <w:color w:val="000000"/>
          <w:sz w:val="32"/>
          <w:szCs w:val="32"/>
        </w:rPr>
        <w:t xml:space="preserve">报价商务技术文件格式 </w:t>
      </w:r>
    </w:p>
    <w:p w14:paraId="3BE0DA2C">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14:paraId="7959A9CE">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14:paraId="2AA85F7C">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14:paraId="4E9C2571">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14:paraId="1BA29FFD">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14:paraId="12AF5A22">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14:paraId="6FEA4638">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751F0D9D">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2480751D">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23A85DA6">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15F05C20">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14:paraId="43E6A6F3">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14:paraId="482C7F00">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50FF558D">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14:paraId="71D507D0">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19081F09">
      <w:pPr>
        <w:snapToGrid w:val="0"/>
        <w:spacing w:before="156" w:beforeLines="50" w:after="50"/>
        <w:ind w:firstLine="720" w:firstLineChars="225"/>
        <w:rPr>
          <w:rFonts w:ascii="仿宋_GB2312" w:hAnsi="Calibri" w:eastAsia="仿宋_GB2312" w:cs="Calibri"/>
          <w:bCs/>
          <w:color w:val="000000"/>
          <w:sz w:val="32"/>
          <w:szCs w:val="32"/>
        </w:rPr>
      </w:pPr>
    </w:p>
    <w:p w14:paraId="5B139F25">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14:paraId="3CF32A86">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0F079925">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3A669D93">
      <w:pPr>
        <w:snapToGrid w:val="0"/>
        <w:spacing w:before="50" w:after="50"/>
        <w:ind w:firstLine="720" w:firstLineChars="225"/>
        <w:rPr>
          <w:rFonts w:ascii="仿宋_GB2312" w:hAnsi="Calibri" w:eastAsia="仿宋_GB2312" w:cs="Calibri"/>
          <w:bCs/>
          <w:color w:val="000000"/>
          <w:sz w:val="32"/>
          <w:szCs w:val="32"/>
        </w:rPr>
      </w:pPr>
    </w:p>
    <w:p w14:paraId="6AA3DAE0">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14:paraId="033E6819">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14:paraId="5D47D850">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14:paraId="565D0464">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14:paraId="5B8B4A79">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3E46B14C">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14:paraId="2738B3D0">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14:paraId="200883BB">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14:paraId="7DA5D7A9">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14:paraId="0AE4DDEF">
      <w:pPr>
        <w:snapToGrid w:val="0"/>
        <w:spacing w:before="50" w:after="50" w:line="440" w:lineRule="exact"/>
        <w:rPr>
          <w:rFonts w:ascii="仿宋_GB2312" w:hAnsi="Calibri" w:eastAsia="仿宋_GB2312" w:cs="Calibri"/>
          <w:color w:val="000000"/>
          <w:sz w:val="32"/>
          <w:szCs w:val="32"/>
          <w:u w:val="single"/>
        </w:rPr>
      </w:pPr>
    </w:p>
    <w:p w14:paraId="2BAD9E3B">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14:paraId="6808995F">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0D7E6229">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11"/>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617"/>
        <w:gridCol w:w="617"/>
        <w:gridCol w:w="2194"/>
        <w:gridCol w:w="1184"/>
        <w:gridCol w:w="1184"/>
      </w:tblGrid>
      <w:tr w14:paraId="77F61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5BEED657">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712" w:type="dxa"/>
            <w:tcBorders>
              <w:top w:val="single" w:color="auto" w:sz="4" w:space="0"/>
              <w:left w:val="nil"/>
              <w:bottom w:val="single" w:color="auto" w:sz="4" w:space="0"/>
              <w:right w:val="single" w:color="auto" w:sz="4" w:space="0"/>
            </w:tcBorders>
            <w:vAlign w:val="center"/>
          </w:tcPr>
          <w:p w14:paraId="7F72AD37">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服务名称</w:t>
            </w:r>
          </w:p>
        </w:tc>
        <w:tc>
          <w:tcPr>
            <w:tcW w:w="617" w:type="dxa"/>
            <w:tcBorders>
              <w:top w:val="single" w:color="auto" w:sz="4" w:space="0"/>
              <w:left w:val="nil"/>
              <w:bottom w:val="single" w:color="auto" w:sz="4" w:space="0"/>
              <w:right w:val="single" w:color="auto" w:sz="4" w:space="0"/>
            </w:tcBorders>
            <w:vAlign w:val="center"/>
          </w:tcPr>
          <w:p w14:paraId="613F2231">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617" w:type="dxa"/>
            <w:tcBorders>
              <w:top w:val="single" w:color="auto" w:sz="4" w:space="0"/>
              <w:left w:val="nil"/>
              <w:bottom w:val="single" w:color="auto" w:sz="4" w:space="0"/>
              <w:right w:val="single" w:color="auto" w:sz="4" w:space="0"/>
            </w:tcBorders>
            <w:vAlign w:val="center"/>
          </w:tcPr>
          <w:p w14:paraId="1EBF4558">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2194" w:type="dxa"/>
            <w:tcBorders>
              <w:top w:val="single" w:color="auto" w:sz="4" w:space="0"/>
              <w:left w:val="nil"/>
              <w:bottom w:val="single" w:color="auto" w:sz="4" w:space="0"/>
              <w:right w:val="single" w:color="auto" w:sz="4" w:space="0"/>
            </w:tcBorders>
            <w:vAlign w:val="center"/>
          </w:tcPr>
          <w:p w14:paraId="3B41AA2A">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14:paraId="4DFA39FE">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14:paraId="2C0A7356">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14:paraId="583D3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414C94AB">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712" w:type="dxa"/>
            <w:tcBorders>
              <w:top w:val="single" w:color="auto" w:sz="4" w:space="0"/>
              <w:left w:val="nil"/>
              <w:bottom w:val="single" w:color="auto" w:sz="4" w:space="0"/>
              <w:right w:val="single" w:color="auto" w:sz="4" w:space="0"/>
            </w:tcBorders>
            <w:vAlign w:val="center"/>
          </w:tcPr>
          <w:p w14:paraId="5470906E">
            <w:pPr>
              <w:spacing w:line="440" w:lineRule="exact"/>
              <w:jc w:val="center"/>
              <w:rPr>
                <w:rFonts w:ascii="仿宋_GB2312" w:hAnsi="Calibri" w:eastAsia="仿宋_GB2312" w:cs="Calibri"/>
                <w:color w:val="000000"/>
                <w:sz w:val="32"/>
                <w:szCs w:val="32"/>
              </w:rPr>
            </w:pPr>
          </w:p>
        </w:tc>
        <w:tc>
          <w:tcPr>
            <w:tcW w:w="617" w:type="dxa"/>
            <w:tcBorders>
              <w:top w:val="single" w:color="auto" w:sz="4" w:space="0"/>
              <w:left w:val="nil"/>
              <w:bottom w:val="single" w:color="auto" w:sz="4" w:space="0"/>
              <w:right w:val="single" w:color="auto" w:sz="4" w:space="0"/>
            </w:tcBorders>
            <w:vAlign w:val="center"/>
          </w:tcPr>
          <w:p w14:paraId="0AA93D67">
            <w:pPr>
              <w:spacing w:line="440" w:lineRule="exact"/>
              <w:jc w:val="center"/>
              <w:rPr>
                <w:rFonts w:ascii="仿宋_GB2312" w:hAnsi="Calibri" w:eastAsia="仿宋_GB2312" w:cs="Calibri"/>
                <w:color w:val="000000"/>
                <w:sz w:val="32"/>
                <w:szCs w:val="32"/>
              </w:rPr>
            </w:pPr>
          </w:p>
        </w:tc>
        <w:tc>
          <w:tcPr>
            <w:tcW w:w="617" w:type="dxa"/>
            <w:tcBorders>
              <w:top w:val="single" w:color="auto" w:sz="4" w:space="0"/>
              <w:left w:val="nil"/>
              <w:bottom w:val="single" w:color="auto" w:sz="4" w:space="0"/>
              <w:right w:val="single" w:color="auto" w:sz="4" w:space="0"/>
            </w:tcBorders>
          </w:tcPr>
          <w:p w14:paraId="1BAA3B1D">
            <w:pPr>
              <w:spacing w:line="440" w:lineRule="exact"/>
              <w:rPr>
                <w:rFonts w:ascii="仿宋_GB2312" w:hAnsi="Calibri" w:eastAsia="仿宋_GB2312" w:cs="Calibri"/>
                <w:color w:val="000000"/>
                <w:sz w:val="32"/>
                <w:szCs w:val="32"/>
              </w:rPr>
            </w:pPr>
          </w:p>
        </w:tc>
        <w:tc>
          <w:tcPr>
            <w:tcW w:w="2194" w:type="dxa"/>
            <w:tcBorders>
              <w:top w:val="single" w:color="auto" w:sz="4" w:space="0"/>
              <w:left w:val="nil"/>
              <w:bottom w:val="single" w:color="auto" w:sz="4" w:space="0"/>
              <w:right w:val="single" w:color="auto" w:sz="4" w:space="0"/>
            </w:tcBorders>
          </w:tcPr>
          <w:p w14:paraId="61A6395A">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14:paraId="76A753A2">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14:paraId="586CADF0">
            <w:pPr>
              <w:spacing w:line="440" w:lineRule="exact"/>
              <w:rPr>
                <w:rFonts w:ascii="仿宋_GB2312" w:hAnsi="Calibri" w:eastAsia="仿宋_GB2312" w:cs="Calibri"/>
                <w:color w:val="000000"/>
                <w:sz w:val="32"/>
                <w:szCs w:val="32"/>
              </w:rPr>
            </w:pPr>
          </w:p>
        </w:tc>
      </w:tr>
      <w:tr w14:paraId="170FA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7"/>
            <w:tcBorders>
              <w:top w:val="single" w:color="auto" w:sz="4" w:space="0"/>
              <w:left w:val="single" w:color="auto" w:sz="4" w:space="0"/>
              <w:bottom w:val="single" w:color="auto" w:sz="4" w:space="0"/>
              <w:right w:val="single" w:color="auto" w:sz="4" w:space="0"/>
            </w:tcBorders>
            <w:vAlign w:val="center"/>
          </w:tcPr>
          <w:p w14:paraId="25E35C69">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14:paraId="272951D4">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5A90B757">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14:paraId="5F7CB2B5">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14:paraId="07ABD485">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14:paraId="281D3751">
      <w:pPr>
        <w:snapToGrid w:val="0"/>
        <w:spacing w:before="50" w:after="50" w:line="440" w:lineRule="exact"/>
        <w:ind w:right="-817" w:rightChars="-389"/>
        <w:rPr>
          <w:rFonts w:ascii="仿宋_GB2312" w:hAnsi="Calibri" w:eastAsia="仿宋_GB2312" w:cs="Calibri"/>
          <w:color w:val="000000"/>
          <w:sz w:val="32"/>
          <w:szCs w:val="32"/>
        </w:rPr>
      </w:pPr>
    </w:p>
    <w:p w14:paraId="336EDDC6">
      <w:pPr>
        <w:snapToGrid w:val="0"/>
        <w:spacing w:before="50" w:after="50" w:line="440" w:lineRule="exact"/>
        <w:ind w:right="-817" w:rightChars="-389"/>
        <w:rPr>
          <w:rFonts w:ascii="仿宋_GB2312" w:hAnsi="Calibri" w:eastAsia="仿宋_GB2312" w:cs="Calibri"/>
          <w:color w:val="000000"/>
          <w:sz w:val="32"/>
          <w:szCs w:val="32"/>
        </w:rPr>
      </w:pPr>
    </w:p>
    <w:p w14:paraId="20BE759E">
      <w:pPr>
        <w:snapToGrid w:val="0"/>
        <w:spacing w:before="50" w:after="50" w:line="440" w:lineRule="exact"/>
        <w:ind w:right="-817" w:rightChars="-389"/>
        <w:rPr>
          <w:rFonts w:ascii="仿宋_GB2312" w:hAnsi="Calibri" w:eastAsia="仿宋_GB2312" w:cs="Calibri"/>
          <w:color w:val="000000"/>
          <w:sz w:val="32"/>
          <w:szCs w:val="32"/>
        </w:rPr>
      </w:pPr>
    </w:p>
    <w:p w14:paraId="05BE43B5">
      <w:pPr>
        <w:snapToGrid w:val="0"/>
        <w:spacing w:before="50" w:after="50" w:line="440" w:lineRule="exact"/>
        <w:ind w:right="-817" w:rightChars="-389"/>
        <w:rPr>
          <w:rFonts w:ascii="仿宋_GB2312" w:hAnsi="Calibri" w:eastAsia="仿宋_GB2312" w:cs="Calibri"/>
          <w:color w:val="000000"/>
          <w:sz w:val="32"/>
          <w:szCs w:val="32"/>
        </w:rPr>
      </w:pPr>
    </w:p>
    <w:p w14:paraId="0B2A2586">
      <w:pPr>
        <w:snapToGrid w:val="0"/>
        <w:spacing w:before="50" w:after="50" w:line="440" w:lineRule="exact"/>
        <w:ind w:right="-817" w:rightChars="-389"/>
        <w:rPr>
          <w:rFonts w:ascii="仿宋_GB2312" w:hAnsi="Calibri" w:eastAsia="仿宋_GB2312" w:cs="Calibri"/>
          <w:color w:val="000000"/>
          <w:sz w:val="32"/>
          <w:szCs w:val="32"/>
        </w:rPr>
      </w:pPr>
    </w:p>
    <w:p w14:paraId="7E07C201">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14:paraId="6F4888F1">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14:paraId="2407A8E0">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14:paraId="505298E7">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14:paraId="5FC8177E">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0CC31C53">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14:paraId="0CA80EE5">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14:paraId="06107F46">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14:paraId="497DE99A">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14:paraId="31E4E91C">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14:paraId="1DFD1DA8">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14:paraId="37A3F999">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14:paraId="7DFCC183">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14:paraId="063C6F04">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14:paraId="1540054B">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6999A563">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70B191BF">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30FE62E5">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14:paraId="67778AD8">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7FC71083">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14:paraId="741818A8">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14:paraId="77552C4E">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14:paraId="2B86B6B7">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14:paraId="47C1F893">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14:paraId="06298701">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14:paraId="53AD6C3B">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14:paraId="66F276EB">
      <w:pPr>
        <w:spacing w:line="520" w:lineRule="exact"/>
        <w:rPr>
          <w:rFonts w:ascii="仿宋_GB2312" w:hAnsi="Calibri" w:eastAsia="仿宋_GB2312" w:cs="Calibri"/>
          <w:color w:val="000000"/>
          <w:sz w:val="32"/>
          <w:szCs w:val="32"/>
        </w:rPr>
      </w:pPr>
    </w:p>
    <w:p w14:paraId="2DB9C658">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14:paraId="160F3916">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14:paraId="3FC457C2">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14:paraId="024D8C1C">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14:paraId="1A1CB544">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14:paraId="7D19263E">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14:paraId="4647BA93">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78F00D35">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14:paraId="254DBFCB">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14:paraId="54C42342">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5F90B565">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14:paraId="7AC14302">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14:paraId="2000D02D">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14:paraId="419A6E3E">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14:paraId="0819DE0C">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14:paraId="7A860AB5">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14:paraId="361E6051">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14:paraId="4D378381">
      <w:pPr>
        <w:snapToGrid w:val="0"/>
        <w:spacing w:before="50" w:line="520" w:lineRule="exact"/>
        <w:jc w:val="left"/>
        <w:rPr>
          <w:rFonts w:ascii="仿宋_GB2312" w:hAnsi="Courier New" w:eastAsia="仿宋_GB2312" w:cs="宋体"/>
          <w:color w:val="000000"/>
          <w:kern w:val="0"/>
          <w:sz w:val="32"/>
          <w:szCs w:val="32"/>
        </w:rPr>
      </w:pPr>
    </w:p>
    <w:p w14:paraId="3C040D08">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11"/>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14:paraId="1843E9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52B37635">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14:paraId="359A4B43">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14:paraId="459ED041">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14:paraId="2C8AA365">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14:paraId="014612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14:paraId="7D3C2C3E">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14:paraId="0E22C11D">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14:paraId="6217BE5A">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14:paraId="7E43746D">
            <w:pPr>
              <w:snapToGrid w:val="0"/>
              <w:spacing w:before="156" w:beforeLines="50" w:line="520" w:lineRule="exact"/>
              <w:jc w:val="center"/>
              <w:rPr>
                <w:rFonts w:ascii="仿宋_GB2312" w:hAnsi="Calibri" w:eastAsia="仿宋_GB2312" w:cs="Calibri"/>
                <w:color w:val="000000"/>
                <w:sz w:val="32"/>
                <w:szCs w:val="32"/>
              </w:rPr>
            </w:pPr>
          </w:p>
        </w:tc>
      </w:tr>
      <w:tr w14:paraId="5C7A46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14:paraId="1674612D">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14:paraId="03B040A0">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14:paraId="4CD05F9E">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14:paraId="0B2C7F8F">
            <w:pPr>
              <w:snapToGrid w:val="0"/>
              <w:spacing w:before="156" w:beforeLines="50" w:line="520" w:lineRule="exact"/>
              <w:ind w:left="43"/>
              <w:jc w:val="center"/>
              <w:rPr>
                <w:rFonts w:ascii="仿宋_GB2312" w:hAnsi="Calibri" w:eastAsia="仿宋_GB2312" w:cs="Calibri"/>
                <w:color w:val="000000"/>
                <w:sz w:val="32"/>
                <w:szCs w:val="32"/>
              </w:rPr>
            </w:pPr>
          </w:p>
        </w:tc>
      </w:tr>
      <w:tr w14:paraId="1C52E7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14:paraId="35F09BAF">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14:paraId="125EA3CE">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14:paraId="05C4FCF5">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14:paraId="76F9FA08">
            <w:pPr>
              <w:snapToGrid w:val="0"/>
              <w:spacing w:before="156" w:beforeLines="50" w:line="520" w:lineRule="exact"/>
              <w:jc w:val="center"/>
              <w:rPr>
                <w:rFonts w:ascii="仿宋_GB2312" w:hAnsi="Calibri" w:eastAsia="仿宋_GB2312" w:cs="Calibri"/>
                <w:color w:val="000000"/>
                <w:sz w:val="32"/>
                <w:szCs w:val="32"/>
              </w:rPr>
            </w:pPr>
          </w:p>
        </w:tc>
      </w:tr>
      <w:tr w14:paraId="5EB34A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06304CDB">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14:paraId="60EB1187">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14:paraId="4A66C2D5">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14:paraId="0229A572">
            <w:pPr>
              <w:snapToGrid w:val="0"/>
              <w:spacing w:before="156" w:beforeLines="50" w:line="520" w:lineRule="exact"/>
              <w:jc w:val="center"/>
              <w:rPr>
                <w:rFonts w:ascii="仿宋_GB2312" w:hAnsi="Calibri" w:eastAsia="仿宋_GB2312" w:cs="Calibri"/>
                <w:color w:val="000000"/>
                <w:sz w:val="32"/>
                <w:szCs w:val="32"/>
              </w:rPr>
            </w:pPr>
          </w:p>
        </w:tc>
      </w:tr>
    </w:tbl>
    <w:p w14:paraId="712D4D81">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14:paraId="71D3D8AB">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4F6901C4">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14:paraId="65F855A1">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14:paraId="697DC20F">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14:paraId="2F8CA986">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14:paraId="0FBAE587">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14:paraId="27821905">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14:paraId="241D70A0">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14:paraId="17E26E76">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14:paraId="58362759">
      <w:pPr>
        <w:adjustRightInd w:val="0"/>
        <w:snapToGrid w:val="0"/>
        <w:spacing w:line="520" w:lineRule="exact"/>
        <w:rPr>
          <w:rFonts w:ascii="宋体" w:hAnsi="宋体" w:eastAsia="宋体" w:cs="Calibri"/>
          <w:color w:val="000000"/>
          <w:szCs w:val="21"/>
          <w:u w:val="single"/>
        </w:rPr>
      </w:pPr>
    </w:p>
    <w:p w14:paraId="052616D1">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14:paraId="2E9151D8">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14:paraId="4DC16276">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14:paraId="56C09693">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14:paraId="38F41428">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0C509F85">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14:paraId="1452A167">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14:paraId="6E691FA4">
      <w:pPr>
        <w:spacing w:line="520" w:lineRule="exact"/>
        <w:rPr>
          <w:rFonts w:ascii="仿宋_GB2312" w:hAnsi="Calibri" w:eastAsia="仿宋_GB2312" w:cs="Calibri"/>
          <w:color w:val="000000"/>
          <w:sz w:val="32"/>
          <w:szCs w:val="32"/>
          <w:u w:val="single"/>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14:paraId="53B0239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14:paraId="20185D98">
            <w:pPr>
              <w:spacing w:line="520" w:lineRule="exact"/>
              <w:jc w:val="center"/>
              <w:rPr>
                <w:rFonts w:ascii="仿宋_GB2312" w:hAnsi="Times New Roman" w:eastAsia="仿宋_GB2312" w:cs="Times New Roman"/>
                <w:color w:val="000000"/>
                <w:sz w:val="32"/>
                <w:szCs w:val="32"/>
              </w:rPr>
            </w:pPr>
            <w:bookmarkStart w:id="16" w:name="_Toc254970729"/>
            <w:r>
              <w:rPr>
                <w:rFonts w:hint="eastAsia" w:ascii="仿宋_GB2312" w:hAnsi="Times New Roman" w:eastAsia="仿宋_GB2312" w:cs="Times New Roman"/>
                <w:color w:val="000000"/>
                <w:sz w:val="32"/>
                <w:szCs w:val="32"/>
              </w:rPr>
              <w:t>序号</w:t>
            </w:r>
            <w:bookmarkEnd w:id="16"/>
          </w:p>
        </w:tc>
        <w:tc>
          <w:tcPr>
            <w:tcW w:w="814" w:type="dxa"/>
            <w:tcBorders>
              <w:top w:val="single" w:color="auto" w:sz="4" w:space="0"/>
              <w:left w:val="single" w:color="auto" w:sz="6" w:space="0"/>
              <w:bottom w:val="single" w:color="auto" w:sz="6" w:space="0"/>
              <w:right w:val="single" w:color="auto" w:sz="4" w:space="0"/>
            </w:tcBorders>
            <w:vAlign w:val="center"/>
          </w:tcPr>
          <w:p w14:paraId="7B3C56C2">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14:paraId="5812254E">
            <w:pPr>
              <w:spacing w:line="520" w:lineRule="exact"/>
              <w:jc w:val="center"/>
              <w:rPr>
                <w:rFonts w:ascii="仿宋_GB2312" w:hAnsi="Times New Roman" w:eastAsia="仿宋_GB2312" w:cs="Times New Roman"/>
                <w:color w:val="000000"/>
                <w:sz w:val="32"/>
                <w:szCs w:val="32"/>
              </w:rPr>
            </w:pPr>
            <w:bookmarkStart w:id="17" w:name="_Toc295404982"/>
            <w:r>
              <w:rPr>
                <w:rFonts w:hint="eastAsia" w:ascii="仿宋_GB2312" w:hAnsi="Times New Roman" w:eastAsia="仿宋_GB2312" w:cs="Times New Roman"/>
                <w:color w:val="000000"/>
                <w:sz w:val="32"/>
                <w:szCs w:val="32"/>
              </w:rPr>
              <w:t>竞争性磋商文件</w:t>
            </w:r>
            <w:bookmarkEnd w:id="17"/>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14:paraId="5258BDB5">
            <w:pPr>
              <w:spacing w:line="520" w:lineRule="exact"/>
              <w:jc w:val="center"/>
              <w:rPr>
                <w:rFonts w:ascii="仿宋_GB2312" w:hAnsi="Times New Roman" w:eastAsia="仿宋_GB2312" w:cs="Times New Roman"/>
                <w:color w:val="000000"/>
                <w:sz w:val="32"/>
                <w:szCs w:val="32"/>
              </w:rPr>
            </w:pPr>
            <w:bookmarkStart w:id="18" w:name="_Toc173211902"/>
            <w:r>
              <w:rPr>
                <w:rFonts w:hint="eastAsia" w:ascii="仿宋_GB2312" w:hAnsi="Times New Roman" w:eastAsia="仿宋_GB2312" w:cs="Times New Roman"/>
                <w:color w:val="000000"/>
                <w:sz w:val="32"/>
                <w:szCs w:val="32"/>
              </w:rPr>
              <w:t>响应文件具体响应</w:t>
            </w:r>
            <w:bookmarkEnd w:id="18"/>
          </w:p>
        </w:tc>
        <w:tc>
          <w:tcPr>
            <w:tcW w:w="1326" w:type="dxa"/>
            <w:tcBorders>
              <w:top w:val="single" w:color="auto" w:sz="4" w:space="0"/>
              <w:left w:val="single" w:color="auto" w:sz="6" w:space="0"/>
              <w:bottom w:val="single" w:color="auto" w:sz="6" w:space="0"/>
              <w:right w:val="single" w:color="auto" w:sz="6" w:space="0"/>
            </w:tcBorders>
            <w:vAlign w:val="center"/>
          </w:tcPr>
          <w:p w14:paraId="1C0C0CB0">
            <w:pPr>
              <w:spacing w:line="520" w:lineRule="exact"/>
              <w:jc w:val="center"/>
              <w:rPr>
                <w:rFonts w:ascii="仿宋_GB2312" w:hAnsi="Times New Roman" w:eastAsia="仿宋_GB2312" w:cs="Times New Roman"/>
                <w:color w:val="000000"/>
                <w:sz w:val="32"/>
                <w:szCs w:val="32"/>
              </w:rPr>
            </w:pPr>
            <w:bookmarkStart w:id="19" w:name="_Toc173066404"/>
            <w:r>
              <w:rPr>
                <w:rFonts w:hint="eastAsia" w:ascii="仿宋_GB2312" w:hAnsi="Times New Roman" w:eastAsia="仿宋_GB2312" w:cs="Times New Roman"/>
                <w:color w:val="000000"/>
                <w:sz w:val="32"/>
                <w:szCs w:val="32"/>
              </w:rPr>
              <w:t>响应/偏离</w:t>
            </w:r>
            <w:bookmarkEnd w:id="19"/>
          </w:p>
        </w:tc>
        <w:tc>
          <w:tcPr>
            <w:tcW w:w="800" w:type="dxa"/>
            <w:tcBorders>
              <w:top w:val="single" w:color="auto" w:sz="4" w:space="0"/>
              <w:left w:val="single" w:color="auto" w:sz="6" w:space="0"/>
              <w:bottom w:val="single" w:color="auto" w:sz="6" w:space="0"/>
              <w:right w:val="single" w:color="auto" w:sz="4" w:space="0"/>
            </w:tcBorders>
            <w:vAlign w:val="center"/>
          </w:tcPr>
          <w:p w14:paraId="7A2CD7F7">
            <w:pPr>
              <w:spacing w:line="520" w:lineRule="exact"/>
              <w:jc w:val="center"/>
              <w:rPr>
                <w:rFonts w:ascii="仿宋_GB2312" w:hAnsi="Times New Roman" w:eastAsia="仿宋_GB2312" w:cs="Times New Roman"/>
                <w:color w:val="000000"/>
                <w:sz w:val="32"/>
                <w:szCs w:val="32"/>
              </w:rPr>
            </w:pPr>
            <w:bookmarkStart w:id="20" w:name="_Toc254970733"/>
            <w:r>
              <w:rPr>
                <w:rFonts w:hint="eastAsia" w:ascii="仿宋_GB2312" w:hAnsi="Times New Roman" w:eastAsia="仿宋_GB2312" w:cs="Times New Roman"/>
                <w:color w:val="000000"/>
                <w:sz w:val="32"/>
                <w:szCs w:val="32"/>
              </w:rPr>
              <w:t>说明</w:t>
            </w:r>
            <w:bookmarkEnd w:id="20"/>
          </w:p>
        </w:tc>
      </w:tr>
      <w:tr w14:paraId="1092FF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14:paraId="216D6AC5">
            <w:pPr>
              <w:spacing w:line="520" w:lineRule="exact"/>
              <w:jc w:val="center"/>
              <w:rPr>
                <w:rFonts w:ascii="仿宋_GB2312" w:hAnsi="Times New Roman" w:eastAsia="仿宋_GB2312" w:cs="Times New Roman"/>
                <w:color w:val="000000"/>
                <w:sz w:val="32"/>
                <w:szCs w:val="32"/>
              </w:rPr>
            </w:pPr>
            <w:bookmarkStart w:id="21" w:name="_Toc383699911"/>
            <w:r>
              <w:rPr>
                <w:rFonts w:hint="eastAsia" w:ascii="仿宋_GB2312" w:hAnsi="Times New Roman" w:eastAsia="仿宋_GB2312" w:cs="Times New Roman"/>
                <w:color w:val="000000"/>
                <w:sz w:val="32"/>
                <w:szCs w:val="32"/>
              </w:rPr>
              <w:t>1</w:t>
            </w:r>
            <w:bookmarkEnd w:id="21"/>
          </w:p>
        </w:tc>
        <w:tc>
          <w:tcPr>
            <w:tcW w:w="814" w:type="dxa"/>
            <w:tcBorders>
              <w:top w:val="single" w:color="auto" w:sz="6" w:space="0"/>
              <w:left w:val="single" w:color="auto" w:sz="6" w:space="0"/>
              <w:bottom w:val="single" w:color="auto" w:sz="6" w:space="0"/>
              <w:right w:val="single" w:color="auto" w:sz="4" w:space="0"/>
            </w:tcBorders>
            <w:vAlign w:val="center"/>
          </w:tcPr>
          <w:p w14:paraId="2F83096D">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14:paraId="6743AB0B">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14:paraId="1A01E6A3">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14:paraId="5BA455B6">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14:paraId="59928236">
            <w:pPr>
              <w:spacing w:line="520" w:lineRule="exact"/>
              <w:jc w:val="center"/>
              <w:rPr>
                <w:rFonts w:ascii="仿宋_GB2312" w:hAnsi="Times New Roman" w:eastAsia="仿宋_GB2312" w:cs="Times New Roman"/>
                <w:color w:val="000000"/>
                <w:sz w:val="32"/>
                <w:szCs w:val="32"/>
              </w:rPr>
            </w:pPr>
          </w:p>
        </w:tc>
      </w:tr>
      <w:tr w14:paraId="71F6333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14:paraId="436A8B5C">
            <w:pPr>
              <w:spacing w:line="520" w:lineRule="exact"/>
              <w:jc w:val="center"/>
              <w:rPr>
                <w:rFonts w:ascii="仿宋_GB2312" w:hAnsi="Times New Roman" w:eastAsia="仿宋_GB2312" w:cs="Times New Roman"/>
                <w:color w:val="000000"/>
                <w:sz w:val="32"/>
                <w:szCs w:val="32"/>
              </w:rPr>
            </w:pPr>
            <w:bookmarkStart w:id="22" w:name="_Toc373333695"/>
            <w:r>
              <w:rPr>
                <w:rFonts w:hint="eastAsia" w:ascii="仿宋_GB2312" w:hAnsi="Times New Roman" w:eastAsia="仿宋_GB2312" w:cs="Times New Roman"/>
                <w:color w:val="000000"/>
                <w:sz w:val="32"/>
                <w:szCs w:val="32"/>
              </w:rPr>
              <w:t>2</w:t>
            </w:r>
            <w:bookmarkEnd w:id="22"/>
          </w:p>
        </w:tc>
        <w:tc>
          <w:tcPr>
            <w:tcW w:w="814" w:type="dxa"/>
            <w:tcBorders>
              <w:top w:val="single" w:color="auto" w:sz="6" w:space="0"/>
              <w:left w:val="single" w:color="auto" w:sz="6" w:space="0"/>
              <w:bottom w:val="single" w:color="auto" w:sz="6" w:space="0"/>
              <w:right w:val="single" w:color="auto" w:sz="4" w:space="0"/>
            </w:tcBorders>
            <w:vAlign w:val="center"/>
          </w:tcPr>
          <w:p w14:paraId="5F715B6F">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14:paraId="61F3CD8E">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14:paraId="62DA8D1F">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14:paraId="78CE750A">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14:paraId="77A9F3DA">
            <w:pPr>
              <w:spacing w:line="520" w:lineRule="exact"/>
              <w:jc w:val="center"/>
              <w:rPr>
                <w:rFonts w:ascii="仿宋_GB2312" w:hAnsi="Times New Roman" w:eastAsia="仿宋_GB2312" w:cs="Times New Roman"/>
                <w:color w:val="000000"/>
                <w:sz w:val="32"/>
                <w:szCs w:val="32"/>
              </w:rPr>
            </w:pPr>
          </w:p>
        </w:tc>
      </w:tr>
      <w:tr w14:paraId="59E4F1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14:paraId="4026E5BD">
            <w:pPr>
              <w:spacing w:line="520" w:lineRule="exact"/>
              <w:jc w:val="center"/>
              <w:rPr>
                <w:rFonts w:ascii="仿宋_GB2312" w:hAnsi="Times New Roman" w:eastAsia="仿宋_GB2312" w:cs="Times New Roman"/>
                <w:color w:val="000000"/>
                <w:sz w:val="32"/>
                <w:szCs w:val="32"/>
              </w:rPr>
            </w:pPr>
            <w:bookmarkStart w:id="23" w:name="_Toc173066408"/>
            <w:r>
              <w:rPr>
                <w:rFonts w:hint="eastAsia" w:ascii="仿宋_GB2312" w:hAnsi="Times New Roman" w:eastAsia="仿宋_GB2312" w:cs="Times New Roman"/>
                <w:color w:val="000000"/>
                <w:sz w:val="32"/>
                <w:szCs w:val="32"/>
              </w:rPr>
              <w:t>3</w:t>
            </w:r>
            <w:bookmarkEnd w:id="23"/>
          </w:p>
        </w:tc>
        <w:tc>
          <w:tcPr>
            <w:tcW w:w="814" w:type="dxa"/>
            <w:tcBorders>
              <w:top w:val="single" w:color="auto" w:sz="6" w:space="0"/>
              <w:left w:val="single" w:color="auto" w:sz="6" w:space="0"/>
              <w:bottom w:val="single" w:color="auto" w:sz="6" w:space="0"/>
              <w:right w:val="single" w:color="auto" w:sz="4" w:space="0"/>
            </w:tcBorders>
            <w:vAlign w:val="center"/>
          </w:tcPr>
          <w:p w14:paraId="35E389F9">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14:paraId="4FAD35F1">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14:paraId="75E7FB6A">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14:paraId="31984A0F">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14:paraId="02E30FEE">
            <w:pPr>
              <w:spacing w:line="520" w:lineRule="exact"/>
              <w:jc w:val="center"/>
              <w:rPr>
                <w:rFonts w:ascii="仿宋_GB2312" w:hAnsi="Times New Roman" w:eastAsia="仿宋_GB2312" w:cs="Times New Roman"/>
                <w:color w:val="000000"/>
                <w:sz w:val="32"/>
                <w:szCs w:val="32"/>
              </w:rPr>
            </w:pPr>
          </w:p>
        </w:tc>
      </w:tr>
      <w:tr w14:paraId="1966A52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14:paraId="2501BE3F">
            <w:pPr>
              <w:spacing w:line="520" w:lineRule="exact"/>
              <w:jc w:val="center"/>
              <w:rPr>
                <w:rFonts w:ascii="仿宋_GB2312" w:hAnsi="Times New Roman" w:eastAsia="仿宋_GB2312" w:cs="Times New Roman"/>
                <w:color w:val="000000"/>
                <w:sz w:val="32"/>
                <w:szCs w:val="32"/>
              </w:rPr>
            </w:pPr>
            <w:bookmarkStart w:id="24" w:name="_Toc297193193"/>
            <w:r>
              <w:rPr>
                <w:rFonts w:hint="eastAsia" w:ascii="仿宋_GB2312" w:hAnsi="Times New Roman" w:eastAsia="仿宋_GB2312" w:cs="Times New Roman"/>
                <w:color w:val="000000"/>
                <w:sz w:val="32"/>
                <w:szCs w:val="32"/>
              </w:rPr>
              <w:t>4</w:t>
            </w:r>
            <w:bookmarkEnd w:id="24"/>
          </w:p>
        </w:tc>
        <w:tc>
          <w:tcPr>
            <w:tcW w:w="814" w:type="dxa"/>
            <w:tcBorders>
              <w:top w:val="single" w:color="auto" w:sz="6" w:space="0"/>
              <w:left w:val="single" w:color="auto" w:sz="6" w:space="0"/>
              <w:bottom w:val="single" w:color="auto" w:sz="6" w:space="0"/>
              <w:right w:val="single" w:color="auto" w:sz="4" w:space="0"/>
            </w:tcBorders>
            <w:vAlign w:val="center"/>
          </w:tcPr>
          <w:p w14:paraId="5E1E4B37">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14:paraId="5A2AE737">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14:paraId="4E662A06">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14:paraId="124B71DF">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14:paraId="3987BBB7">
            <w:pPr>
              <w:spacing w:line="520" w:lineRule="exact"/>
              <w:jc w:val="center"/>
              <w:rPr>
                <w:rFonts w:ascii="仿宋_GB2312" w:hAnsi="Times New Roman" w:eastAsia="仿宋_GB2312" w:cs="Times New Roman"/>
                <w:color w:val="000000"/>
                <w:sz w:val="32"/>
                <w:szCs w:val="32"/>
              </w:rPr>
            </w:pPr>
          </w:p>
        </w:tc>
      </w:tr>
      <w:tr w14:paraId="34E339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14:paraId="586B80A9">
            <w:pPr>
              <w:spacing w:line="520" w:lineRule="exact"/>
              <w:jc w:val="center"/>
              <w:rPr>
                <w:rFonts w:ascii="仿宋_GB2312" w:hAnsi="Times New Roman" w:eastAsia="仿宋_GB2312" w:cs="Times New Roman"/>
                <w:color w:val="000000"/>
                <w:sz w:val="32"/>
                <w:szCs w:val="32"/>
              </w:rPr>
            </w:pPr>
            <w:bookmarkStart w:id="25" w:name="_Toc254970597"/>
            <w:r>
              <w:rPr>
                <w:rFonts w:hint="eastAsia" w:ascii="仿宋_GB2312" w:hAnsi="Times New Roman" w:eastAsia="仿宋_GB2312" w:cs="Times New Roman"/>
                <w:color w:val="000000"/>
                <w:sz w:val="32"/>
                <w:szCs w:val="32"/>
              </w:rPr>
              <w:t>5</w:t>
            </w:r>
            <w:bookmarkEnd w:id="25"/>
          </w:p>
        </w:tc>
        <w:tc>
          <w:tcPr>
            <w:tcW w:w="814" w:type="dxa"/>
            <w:tcBorders>
              <w:top w:val="single" w:color="auto" w:sz="6" w:space="0"/>
              <w:left w:val="single" w:color="auto" w:sz="6" w:space="0"/>
              <w:bottom w:val="single" w:color="auto" w:sz="6" w:space="0"/>
              <w:right w:val="single" w:color="auto" w:sz="4" w:space="0"/>
            </w:tcBorders>
            <w:vAlign w:val="center"/>
          </w:tcPr>
          <w:p w14:paraId="4625DFC3">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14:paraId="7EB1F186">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14:paraId="5725D894">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14:paraId="0585AA24">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14:paraId="7E1E9CAA">
            <w:pPr>
              <w:spacing w:line="520" w:lineRule="exact"/>
              <w:jc w:val="center"/>
              <w:rPr>
                <w:rFonts w:ascii="仿宋_GB2312" w:hAnsi="Times New Roman" w:eastAsia="仿宋_GB2312" w:cs="Times New Roman"/>
                <w:color w:val="000000"/>
                <w:sz w:val="32"/>
                <w:szCs w:val="32"/>
              </w:rPr>
            </w:pPr>
          </w:p>
        </w:tc>
      </w:tr>
      <w:tr w14:paraId="1CDBFCF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14:paraId="1526E143">
            <w:pPr>
              <w:spacing w:line="520" w:lineRule="exact"/>
              <w:jc w:val="center"/>
              <w:rPr>
                <w:rFonts w:ascii="仿宋_GB2312" w:hAnsi="Times New Roman" w:eastAsia="仿宋_GB2312" w:cs="Times New Roman"/>
                <w:color w:val="000000"/>
                <w:sz w:val="32"/>
                <w:szCs w:val="32"/>
              </w:rPr>
            </w:pPr>
            <w:bookmarkStart w:id="26" w:name="_Toc373333699"/>
            <w:r>
              <w:rPr>
                <w:rFonts w:hint="eastAsia" w:ascii="仿宋_GB2312" w:hAnsi="Times New Roman" w:eastAsia="仿宋_GB2312" w:cs="Times New Roman"/>
                <w:color w:val="000000"/>
                <w:sz w:val="32"/>
                <w:szCs w:val="32"/>
              </w:rPr>
              <w:t>…</w:t>
            </w:r>
            <w:bookmarkEnd w:id="26"/>
          </w:p>
        </w:tc>
        <w:tc>
          <w:tcPr>
            <w:tcW w:w="814" w:type="dxa"/>
            <w:tcBorders>
              <w:top w:val="single" w:color="auto" w:sz="6" w:space="0"/>
              <w:left w:val="single" w:color="auto" w:sz="6" w:space="0"/>
              <w:bottom w:val="single" w:color="auto" w:sz="4" w:space="0"/>
              <w:right w:val="single" w:color="auto" w:sz="4" w:space="0"/>
            </w:tcBorders>
            <w:vAlign w:val="center"/>
          </w:tcPr>
          <w:p w14:paraId="3A186EC3">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14:paraId="33474993">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14:paraId="43A5AB25">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14:paraId="14EBBE3C">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14:paraId="72DB4C18">
            <w:pPr>
              <w:spacing w:line="520" w:lineRule="exact"/>
              <w:jc w:val="center"/>
              <w:rPr>
                <w:rFonts w:ascii="仿宋_GB2312" w:hAnsi="Times New Roman" w:eastAsia="仿宋_GB2312" w:cs="Times New Roman"/>
                <w:color w:val="000000"/>
                <w:sz w:val="32"/>
                <w:szCs w:val="32"/>
              </w:rPr>
            </w:pPr>
          </w:p>
        </w:tc>
      </w:tr>
    </w:tbl>
    <w:p w14:paraId="097C78A2">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75A65D9D">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14:paraId="50C781CB">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14:paraId="5D4A3505">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650F59FC">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14:paraId="27942F9F">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14:paraId="21995034">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14:paraId="5A9DA05E">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14:paraId="721A29C4">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14:paraId="64649B57">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56E617BD">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14:paraId="3E5A8B21">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14:paraId="4ED300D1">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14:paraId="11BCA1DF">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14:paraId="47143D66">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7A684D3A">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726C0E03">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14:paraId="60667091">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14:paraId="23093379">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4953EC15">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14:paraId="3DFF6D26">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14:paraId="395B4D45">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1DC0DB1D">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14:paraId="675B1E2F">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14:paraId="4FF0993D">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07F23120">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6A54B6FD">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27BC5EC4">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14:paraId="25283007">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14:paraId="086E4049">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4A59B616">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648C8850">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4F4A88CE">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14:paraId="3D2EB41B">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20BC9211">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14:paraId="6C8BBD91">
      <w:pPr>
        <w:spacing w:line="520" w:lineRule="exact"/>
        <w:rPr>
          <w:rFonts w:hint="eastAsia" w:ascii="宋体" w:hAnsi="宋体" w:eastAsia="宋体" w:cs="Courier New"/>
          <w:b/>
          <w:color w:val="000000"/>
          <w:sz w:val="32"/>
          <w:szCs w:val="32"/>
        </w:rPr>
      </w:pPr>
      <w:r>
        <w:rPr>
          <w:rFonts w:hint="eastAsia" w:ascii="仿宋_GB2312" w:hAnsi="Calibri" w:eastAsia="仿宋_GB2312" w:cs="Calibri"/>
          <w:color w:val="000000"/>
          <w:sz w:val="32"/>
          <w:szCs w:val="32"/>
        </w:rPr>
        <w:t xml:space="preserve"> </w:t>
      </w:r>
    </w:p>
    <w:p w14:paraId="64AF6818">
      <w:pPr>
        <w:spacing w:line="520" w:lineRule="exact"/>
        <w:jc w:val="center"/>
        <w:rPr>
          <w:rFonts w:hint="eastAsia"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t>无串通竞标行为的承诺函</w:t>
      </w:r>
    </w:p>
    <w:p w14:paraId="49271950">
      <w:pPr>
        <w:keepNext w:val="0"/>
        <w:keepLines w:val="0"/>
        <w:pageBreakBefore w:val="0"/>
        <w:widowControl w:val="0"/>
        <w:kinsoku/>
        <w:wordWrap/>
        <w:overflowPunct/>
        <w:topLinePunct w:val="0"/>
        <w:autoSpaceDE/>
        <w:autoSpaceDN/>
        <w:bidi w:val="0"/>
        <w:adjustRightInd/>
        <w:snapToGrid/>
        <w:spacing w:line="520" w:lineRule="exact"/>
        <w:ind w:firstLine="640" w:firstLineChars="200"/>
        <w:contextualSpacing/>
        <w:textAlignment w:val="auto"/>
        <w:rPr>
          <w:rFonts w:hint="eastAsia" w:ascii="宋体" w:hAnsi="宋体" w:cs="宋体"/>
          <w:sz w:val="32"/>
          <w:szCs w:val="32"/>
        </w:rPr>
      </w:pPr>
    </w:p>
    <w:p w14:paraId="03AF0BA7">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一、我方承诺无下列相互串通竞标的情形：</w:t>
      </w:r>
    </w:p>
    <w:p w14:paraId="3C219ACC">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1.不同供应商的响应文件由同一单位或者个人编制； </w:t>
      </w:r>
    </w:p>
    <w:p w14:paraId="5FBD9969">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2.不同供应商委托同一单位或者个人办理竞标事宜；</w:t>
      </w:r>
    </w:p>
    <w:p w14:paraId="7FC650F0">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3.不同供应商的响应文件载明的项目管理员为同一个人；</w:t>
      </w:r>
    </w:p>
    <w:p w14:paraId="5C85D88D">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4.不同供应商的响应文件异常一致或者竞标报价呈规律性差异；</w:t>
      </w:r>
    </w:p>
    <w:p w14:paraId="64B1BAD3">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5.不同供应商的响应文件相互混装；</w:t>
      </w:r>
    </w:p>
    <w:p w14:paraId="68BCF5F6">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6.不同供应商的磋商保证金从同一单位或者个人账户转出。</w:t>
      </w:r>
    </w:p>
    <w:p w14:paraId="7DF099E6">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二、我方承诺无下列恶意串通的情形：</w:t>
      </w:r>
    </w:p>
    <w:p w14:paraId="65118277">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1.供应商直接或者间接从采购人或者采购代理机构处获得其他供应商的相关信息并修改其响应文件；</w:t>
      </w:r>
    </w:p>
    <w:p w14:paraId="11C14F48">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2.供应商按照采购人或者采购代理机构的授意撤换、修改响应文件；</w:t>
      </w:r>
    </w:p>
    <w:p w14:paraId="50DA38C6">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3.供应商之间协商报价、技术方案等响应文件的实质性内容；</w:t>
      </w:r>
    </w:p>
    <w:p w14:paraId="3FDD3C25">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4.属于同一集团、协会、商会等组织成员的供应商按照该组织要求协同参加采购活动；</w:t>
      </w:r>
    </w:p>
    <w:p w14:paraId="1FAFA548">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5.供应商之间事先约定一致抬高或者压低竞标报价，或者在竞争性磋商项目中事先约定轮流以高价位或者低价位成交，或者事先约定由某一特定供应商成交，然后再参加竞标；</w:t>
      </w:r>
    </w:p>
    <w:p w14:paraId="2BF1D71B">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6.供应商之间商定部分供应商放弃参加采购活动或者放弃成交；</w:t>
      </w:r>
    </w:p>
    <w:p w14:paraId="25B3AFEC">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7.供应商与采购人或者采购代理机构之间、供应商相互之间，为谋求特定供应商成交或者排斥其他供应商的其他串通行为。</w:t>
      </w:r>
    </w:p>
    <w:p w14:paraId="06E3CA0F">
      <w:pPr>
        <w:spacing w:line="520" w:lineRule="exact"/>
        <w:ind w:firstLine="640" w:firstLineChars="200"/>
        <w:rPr>
          <w:rFonts w:hint="eastAsia" w:ascii="仿宋_GB2312" w:hAnsi="Calibri" w:eastAsia="仿宋_GB2312" w:cs="Calibri"/>
          <w:color w:val="000000"/>
          <w:sz w:val="32"/>
          <w:szCs w:val="32"/>
        </w:rPr>
      </w:pPr>
    </w:p>
    <w:p w14:paraId="332423D0">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以上情形一经核查属实，我方愿意承担一切后果，并不再寻求任何旨在减轻或者免除法律责任的辩解。</w:t>
      </w:r>
    </w:p>
    <w:p w14:paraId="1D0C663B">
      <w:pPr>
        <w:spacing w:line="520" w:lineRule="exact"/>
        <w:ind w:firstLine="640" w:firstLineChars="200"/>
        <w:rPr>
          <w:rFonts w:hint="eastAsia" w:ascii="仿宋_GB2312" w:hAnsi="Calibri" w:eastAsia="仿宋_GB2312" w:cs="Calibri"/>
          <w:color w:val="000000"/>
          <w:sz w:val="32"/>
          <w:szCs w:val="32"/>
        </w:rPr>
      </w:pPr>
    </w:p>
    <w:p w14:paraId="603F39AC">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p>
    <w:p w14:paraId="38DC0292">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14:paraId="51CE3279">
      <w:pPr>
        <w:autoSpaceDE w:val="0"/>
        <w:autoSpaceDN w:val="0"/>
        <w:spacing w:line="300" w:lineRule="auto"/>
        <w:rPr>
          <w:rFonts w:hint="eastAsia" w:ascii="宋体" w:hAnsi="宋体" w:eastAsia="宋体" w:cs="Courier New"/>
          <w:b/>
          <w:color w:val="000000"/>
          <w:sz w:val="32"/>
          <w:szCs w:val="32"/>
        </w:rPr>
      </w:pPr>
    </w:p>
    <w:p w14:paraId="2D002F73">
      <w:pPr>
        <w:pStyle w:val="7"/>
        <w:rPr>
          <w:rFonts w:hint="eastAsia" w:ascii="宋体" w:hAnsi="宋体" w:eastAsia="宋体" w:cs="Courier New"/>
          <w:b/>
          <w:color w:val="000000"/>
          <w:sz w:val="32"/>
          <w:szCs w:val="32"/>
        </w:rPr>
      </w:pPr>
    </w:p>
    <w:p w14:paraId="6CFDD2E8">
      <w:pPr>
        <w:pStyle w:val="7"/>
        <w:rPr>
          <w:rFonts w:hint="eastAsia" w:ascii="宋体" w:hAnsi="宋体" w:eastAsia="宋体" w:cs="Courier New"/>
          <w:b/>
          <w:color w:val="000000"/>
          <w:sz w:val="32"/>
          <w:szCs w:val="32"/>
        </w:rPr>
      </w:pPr>
    </w:p>
    <w:p w14:paraId="5CC8CF39">
      <w:pPr>
        <w:pStyle w:val="7"/>
        <w:rPr>
          <w:rFonts w:hint="eastAsia" w:ascii="宋体" w:hAnsi="宋体" w:eastAsia="宋体" w:cs="Courier New"/>
          <w:b/>
          <w:color w:val="000000"/>
          <w:sz w:val="32"/>
          <w:szCs w:val="32"/>
        </w:rPr>
      </w:pPr>
    </w:p>
    <w:p w14:paraId="51AB5654">
      <w:pPr>
        <w:pStyle w:val="7"/>
        <w:rPr>
          <w:rFonts w:hint="eastAsia" w:ascii="宋体" w:hAnsi="宋体" w:eastAsia="宋体" w:cs="Courier New"/>
          <w:b/>
          <w:color w:val="000000"/>
          <w:sz w:val="32"/>
          <w:szCs w:val="32"/>
        </w:rPr>
      </w:pPr>
    </w:p>
    <w:p w14:paraId="4EDC1894">
      <w:pPr>
        <w:pStyle w:val="7"/>
        <w:rPr>
          <w:rFonts w:hint="eastAsia" w:ascii="宋体" w:hAnsi="宋体" w:eastAsia="宋体" w:cs="Courier New"/>
          <w:b/>
          <w:color w:val="000000"/>
          <w:sz w:val="32"/>
          <w:szCs w:val="32"/>
        </w:rPr>
      </w:pPr>
    </w:p>
    <w:p w14:paraId="0172CA50">
      <w:pPr>
        <w:pStyle w:val="7"/>
        <w:rPr>
          <w:rFonts w:hint="eastAsia" w:ascii="宋体" w:hAnsi="宋体" w:eastAsia="宋体" w:cs="Courier New"/>
          <w:b/>
          <w:color w:val="000000"/>
          <w:sz w:val="32"/>
          <w:szCs w:val="32"/>
        </w:rPr>
      </w:pPr>
    </w:p>
    <w:p w14:paraId="401EE4F7">
      <w:pPr>
        <w:pStyle w:val="7"/>
        <w:rPr>
          <w:rFonts w:hint="eastAsia" w:ascii="宋体" w:hAnsi="宋体" w:eastAsia="宋体" w:cs="Courier New"/>
          <w:b/>
          <w:color w:val="000000"/>
          <w:sz w:val="32"/>
          <w:szCs w:val="32"/>
        </w:rPr>
      </w:pPr>
    </w:p>
    <w:p w14:paraId="7B0D16C3">
      <w:pPr>
        <w:pStyle w:val="7"/>
        <w:rPr>
          <w:rFonts w:hint="eastAsia" w:ascii="宋体" w:hAnsi="宋体" w:eastAsia="宋体" w:cs="Courier New"/>
          <w:b/>
          <w:color w:val="000000"/>
          <w:sz w:val="32"/>
          <w:szCs w:val="32"/>
        </w:rPr>
      </w:pPr>
    </w:p>
    <w:p w14:paraId="750583DD">
      <w:pPr>
        <w:pStyle w:val="7"/>
        <w:rPr>
          <w:rFonts w:hint="eastAsia" w:ascii="宋体" w:hAnsi="宋体" w:eastAsia="宋体" w:cs="Courier New"/>
          <w:b/>
          <w:color w:val="000000"/>
          <w:sz w:val="32"/>
          <w:szCs w:val="32"/>
        </w:rPr>
      </w:pPr>
    </w:p>
    <w:p w14:paraId="643CA4DD">
      <w:pPr>
        <w:pStyle w:val="7"/>
        <w:rPr>
          <w:rFonts w:hint="eastAsia" w:ascii="宋体" w:hAnsi="宋体" w:eastAsia="宋体" w:cs="Courier New"/>
          <w:b/>
          <w:color w:val="000000"/>
          <w:sz w:val="32"/>
          <w:szCs w:val="32"/>
        </w:rPr>
      </w:pPr>
    </w:p>
    <w:p w14:paraId="31FDB720">
      <w:pPr>
        <w:pStyle w:val="7"/>
        <w:rPr>
          <w:rFonts w:hint="eastAsia" w:ascii="宋体" w:hAnsi="宋体" w:eastAsia="宋体" w:cs="Courier New"/>
          <w:b/>
          <w:color w:val="000000"/>
          <w:sz w:val="32"/>
          <w:szCs w:val="32"/>
        </w:rPr>
      </w:pPr>
    </w:p>
    <w:p w14:paraId="7944043C">
      <w:pPr>
        <w:pStyle w:val="7"/>
        <w:rPr>
          <w:rFonts w:hint="eastAsia" w:ascii="宋体" w:hAnsi="宋体" w:eastAsia="宋体" w:cs="Courier New"/>
          <w:b/>
          <w:color w:val="000000"/>
          <w:sz w:val="32"/>
          <w:szCs w:val="32"/>
        </w:rPr>
      </w:pPr>
    </w:p>
    <w:p w14:paraId="68CC7D4B">
      <w:pPr>
        <w:pStyle w:val="7"/>
        <w:rPr>
          <w:rFonts w:hint="eastAsia" w:ascii="宋体" w:hAnsi="宋体" w:eastAsia="宋体" w:cs="Courier New"/>
          <w:b/>
          <w:color w:val="000000"/>
          <w:sz w:val="32"/>
          <w:szCs w:val="32"/>
        </w:rPr>
      </w:pPr>
    </w:p>
    <w:p w14:paraId="0767AAFD">
      <w:pPr>
        <w:pStyle w:val="7"/>
        <w:rPr>
          <w:rFonts w:hint="eastAsia" w:ascii="宋体" w:hAnsi="宋体" w:eastAsia="宋体" w:cs="Courier New"/>
          <w:b/>
          <w:color w:val="000000"/>
          <w:sz w:val="32"/>
          <w:szCs w:val="32"/>
        </w:rPr>
      </w:pPr>
    </w:p>
    <w:p w14:paraId="785FF330">
      <w:pPr>
        <w:pStyle w:val="7"/>
        <w:rPr>
          <w:rFonts w:hint="eastAsia" w:ascii="宋体" w:hAnsi="宋体" w:eastAsia="宋体" w:cs="Courier New"/>
          <w:b/>
          <w:color w:val="000000"/>
          <w:sz w:val="32"/>
          <w:szCs w:val="32"/>
        </w:rPr>
      </w:pPr>
    </w:p>
    <w:p w14:paraId="3E7008E3">
      <w:pPr>
        <w:pStyle w:val="7"/>
        <w:rPr>
          <w:rFonts w:hint="eastAsia" w:ascii="宋体" w:hAnsi="宋体" w:eastAsia="宋体" w:cs="Courier New"/>
          <w:b/>
          <w:color w:val="000000"/>
          <w:sz w:val="32"/>
          <w:szCs w:val="32"/>
        </w:rPr>
      </w:pPr>
    </w:p>
    <w:p w14:paraId="09D4AE92">
      <w:pPr>
        <w:pStyle w:val="7"/>
        <w:rPr>
          <w:rFonts w:hint="eastAsia" w:ascii="宋体" w:hAnsi="宋体" w:eastAsia="宋体" w:cs="Courier New"/>
          <w:b/>
          <w:color w:val="000000"/>
          <w:sz w:val="32"/>
          <w:szCs w:val="32"/>
        </w:rPr>
      </w:pPr>
    </w:p>
    <w:p w14:paraId="2DF539D9">
      <w:pPr>
        <w:pStyle w:val="7"/>
        <w:rPr>
          <w:rFonts w:hint="eastAsia" w:ascii="宋体" w:hAnsi="宋体" w:eastAsia="宋体" w:cs="Courier New"/>
          <w:b/>
          <w:color w:val="000000"/>
          <w:sz w:val="32"/>
          <w:szCs w:val="32"/>
        </w:rPr>
      </w:pPr>
    </w:p>
    <w:p w14:paraId="150A3FE3">
      <w:pPr>
        <w:pStyle w:val="7"/>
        <w:rPr>
          <w:rFonts w:hint="eastAsia" w:ascii="宋体" w:hAnsi="宋体" w:eastAsia="宋体" w:cs="Courier New"/>
          <w:b/>
          <w:color w:val="000000"/>
          <w:sz w:val="32"/>
          <w:szCs w:val="32"/>
        </w:rPr>
      </w:pPr>
    </w:p>
    <w:p w14:paraId="3C95DB55">
      <w:pPr>
        <w:snapToGrid w:val="0"/>
        <w:jc w:val="center"/>
        <w:rPr>
          <w:rFonts w:hint="eastAsia" w:ascii="宋体" w:hAnsi="宋体" w:cs="宋体"/>
          <w:b/>
          <w:sz w:val="28"/>
          <w:szCs w:val="28"/>
        </w:rPr>
      </w:pPr>
    </w:p>
    <w:p w14:paraId="47E90DCB">
      <w:pPr>
        <w:spacing w:line="520" w:lineRule="exact"/>
        <w:jc w:val="center"/>
        <w:rPr>
          <w:rFonts w:hint="eastAsia"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t>供应商直接管理关系信息表</w:t>
      </w:r>
    </w:p>
    <w:p w14:paraId="25100F8C">
      <w:pPr>
        <w:snapToGrid w:val="0"/>
        <w:spacing w:line="360" w:lineRule="auto"/>
        <w:jc w:val="center"/>
        <w:rPr>
          <w:rFonts w:hint="eastAsia" w:ascii="宋体" w:hAnsi="宋体" w:cs="宋体"/>
          <w:b/>
          <w:sz w:val="24"/>
        </w:rPr>
      </w:pPr>
    </w:p>
    <w:tbl>
      <w:tblPr>
        <w:tblStyle w:val="11"/>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655AE4D1">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57A2C3A">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06D83AF">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79A3810">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526E436">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14:paraId="12EE6446">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48E8DD">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33AE5F">
            <w:pPr>
              <w:spacing w:line="520" w:lineRule="exact"/>
              <w:ind w:firstLine="640" w:firstLineChars="200"/>
              <w:rPr>
                <w:rFonts w:hint="eastAsia" w:ascii="仿宋_GB2312" w:hAnsi="Calibri" w:eastAsia="仿宋_GB2312" w:cs="Calibri"/>
                <w:color w:val="00000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065A7BE">
            <w:pPr>
              <w:spacing w:line="520" w:lineRule="exact"/>
              <w:ind w:firstLine="640" w:firstLineChars="200"/>
              <w:rPr>
                <w:rFonts w:hint="eastAsia" w:ascii="仿宋_GB2312" w:hAnsi="Calibri" w:eastAsia="仿宋_GB2312" w:cs="Calibri"/>
                <w:color w:val="00000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65274B">
            <w:pPr>
              <w:spacing w:line="520" w:lineRule="exact"/>
              <w:ind w:firstLine="640" w:firstLineChars="200"/>
              <w:rPr>
                <w:rFonts w:hint="eastAsia" w:ascii="仿宋_GB2312" w:hAnsi="Calibri" w:eastAsia="仿宋_GB2312" w:cs="Calibri"/>
                <w:color w:val="000000"/>
                <w:sz w:val="32"/>
                <w:szCs w:val="32"/>
              </w:rPr>
            </w:pPr>
          </w:p>
        </w:tc>
      </w:tr>
      <w:tr w14:paraId="7045C97B">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AEA0A09">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D1CC3EF">
            <w:pPr>
              <w:spacing w:line="520" w:lineRule="exact"/>
              <w:ind w:firstLine="640" w:firstLineChars="200"/>
              <w:rPr>
                <w:rFonts w:hint="eastAsia" w:ascii="仿宋_GB2312" w:hAnsi="Calibri" w:eastAsia="仿宋_GB2312" w:cs="Calibri"/>
                <w:color w:val="00000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8C1917A">
            <w:pPr>
              <w:spacing w:line="520" w:lineRule="exact"/>
              <w:ind w:firstLine="640" w:firstLineChars="200"/>
              <w:rPr>
                <w:rFonts w:hint="eastAsia" w:ascii="仿宋_GB2312" w:hAnsi="Calibri" w:eastAsia="仿宋_GB2312" w:cs="Calibri"/>
                <w:color w:val="00000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74AA310">
            <w:pPr>
              <w:spacing w:line="520" w:lineRule="exact"/>
              <w:ind w:firstLine="640" w:firstLineChars="200"/>
              <w:rPr>
                <w:rFonts w:hint="eastAsia" w:ascii="仿宋_GB2312" w:hAnsi="Calibri" w:eastAsia="仿宋_GB2312" w:cs="Calibri"/>
                <w:color w:val="000000"/>
                <w:sz w:val="32"/>
                <w:szCs w:val="32"/>
              </w:rPr>
            </w:pPr>
          </w:p>
        </w:tc>
      </w:tr>
      <w:tr w14:paraId="6C0783EB">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6D759C2">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39836EC">
            <w:pPr>
              <w:spacing w:line="520" w:lineRule="exact"/>
              <w:ind w:firstLine="640" w:firstLineChars="200"/>
              <w:rPr>
                <w:rFonts w:hint="eastAsia" w:ascii="仿宋_GB2312" w:hAnsi="Calibri" w:eastAsia="仿宋_GB2312" w:cs="Calibri"/>
                <w:color w:val="00000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74E4D8">
            <w:pPr>
              <w:spacing w:line="520" w:lineRule="exact"/>
              <w:ind w:firstLine="640" w:firstLineChars="200"/>
              <w:rPr>
                <w:rFonts w:hint="eastAsia" w:ascii="仿宋_GB2312" w:hAnsi="Calibri" w:eastAsia="仿宋_GB2312" w:cs="Calibri"/>
                <w:color w:val="00000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E5D746F">
            <w:pPr>
              <w:spacing w:line="520" w:lineRule="exact"/>
              <w:ind w:firstLine="640" w:firstLineChars="200"/>
              <w:rPr>
                <w:rFonts w:hint="eastAsia" w:ascii="仿宋_GB2312" w:hAnsi="Calibri" w:eastAsia="仿宋_GB2312" w:cs="Calibri"/>
                <w:color w:val="000000"/>
                <w:sz w:val="32"/>
                <w:szCs w:val="32"/>
              </w:rPr>
            </w:pPr>
          </w:p>
        </w:tc>
      </w:tr>
      <w:tr w14:paraId="5B744C99">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DBA8A55">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12E625E">
            <w:pPr>
              <w:spacing w:line="520" w:lineRule="exact"/>
              <w:ind w:firstLine="640" w:firstLineChars="200"/>
              <w:rPr>
                <w:rFonts w:hint="eastAsia" w:ascii="仿宋_GB2312" w:hAnsi="Calibri" w:eastAsia="仿宋_GB2312" w:cs="Calibri"/>
                <w:color w:val="00000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FCB966C">
            <w:pPr>
              <w:spacing w:line="520" w:lineRule="exact"/>
              <w:ind w:firstLine="640" w:firstLineChars="200"/>
              <w:rPr>
                <w:rFonts w:hint="eastAsia" w:ascii="仿宋_GB2312" w:hAnsi="Calibri" w:eastAsia="仿宋_GB2312" w:cs="Calibri"/>
                <w:color w:val="00000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7AD6B0A">
            <w:pPr>
              <w:spacing w:line="520" w:lineRule="exact"/>
              <w:ind w:firstLine="640" w:firstLineChars="200"/>
              <w:rPr>
                <w:rFonts w:hint="eastAsia" w:ascii="仿宋_GB2312" w:hAnsi="Calibri" w:eastAsia="仿宋_GB2312" w:cs="Calibri"/>
                <w:color w:val="000000"/>
                <w:sz w:val="32"/>
                <w:szCs w:val="32"/>
              </w:rPr>
            </w:pPr>
          </w:p>
        </w:tc>
      </w:tr>
    </w:tbl>
    <w:p w14:paraId="58C7E048">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注：</w:t>
      </w:r>
    </w:p>
    <w:p w14:paraId="24DA7DD3">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1.管理关系：是指不具有出资持股关系的其他单位之间存在的管理与被管理关系，如一些上下级关系的事业单位和团体组织。</w:t>
      </w:r>
    </w:p>
    <w:p w14:paraId="1165A6BB">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2.本表所指的管理关系仅限于直接管理关系，不包括间接的管理关系。</w:t>
      </w:r>
    </w:p>
    <w:p w14:paraId="6B45CE9D">
      <w:pPr>
        <w:spacing w:line="520" w:lineRule="exact"/>
        <w:ind w:firstLine="640" w:firstLineChars="200"/>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3.供应商不存在直接管理关系的，则填“无”。</w:t>
      </w:r>
    </w:p>
    <w:p w14:paraId="39FE13FB">
      <w:pPr>
        <w:spacing w:line="520" w:lineRule="exact"/>
        <w:ind w:firstLine="640" w:firstLineChars="200"/>
        <w:rPr>
          <w:rFonts w:hint="eastAsia" w:ascii="仿宋_GB2312" w:hAnsi="Calibri" w:eastAsia="仿宋_GB2312" w:cs="Calibri"/>
          <w:color w:val="000000"/>
          <w:sz w:val="32"/>
          <w:szCs w:val="32"/>
        </w:rPr>
      </w:pPr>
    </w:p>
    <w:p w14:paraId="6BFEE78B">
      <w:pPr>
        <w:spacing w:line="520" w:lineRule="exact"/>
        <w:ind w:firstLine="640" w:firstLineChars="200"/>
        <w:rPr>
          <w:rFonts w:hint="eastAsia" w:ascii="仿宋_GB2312" w:hAnsi="Calibri" w:eastAsia="仿宋_GB2312" w:cs="Calibri"/>
          <w:color w:val="000000"/>
          <w:sz w:val="32"/>
          <w:szCs w:val="32"/>
        </w:rPr>
      </w:pPr>
    </w:p>
    <w:p w14:paraId="443FEC8A">
      <w:pPr>
        <w:spacing w:line="520" w:lineRule="exact"/>
        <w:rPr>
          <w:rFonts w:hint="eastAsia" w:ascii="仿宋_GB2312" w:hAnsi="Calibri" w:eastAsia="仿宋_GB2312" w:cs="Calibri"/>
          <w:color w:val="000000"/>
          <w:sz w:val="32"/>
          <w:szCs w:val="32"/>
        </w:rPr>
      </w:pPr>
    </w:p>
    <w:p w14:paraId="360159F8">
      <w:pPr>
        <w:spacing w:line="520" w:lineRule="exact"/>
        <w:ind w:firstLine="640" w:firstLineChars="200"/>
        <w:jc w:val="right"/>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法定代表人或者委托代理人签字：               </w:t>
      </w:r>
    </w:p>
    <w:p w14:paraId="01A64D6F">
      <w:pPr>
        <w:spacing w:line="520" w:lineRule="exact"/>
        <w:ind w:firstLine="640" w:firstLineChars="200"/>
        <w:jc w:val="right"/>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14:paraId="17EC244D">
      <w:pPr>
        <w:spacing w:line="520" w:lineRule="exact"/>
        <w:ind w:firstLine="640" w:firstLineChars="200"/>
        <w:jc w:val="right"/>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14:paraId="15569900">
      <w:pPr>
        <w:spacing w:line="520" w:lineRule="exact"/>
        <w:ind w:firstLine="640" w:firstLineChars="200"/>
        <w:rPr>
          <w:rFonts w:hint="eastAsia" w:ascii="仿宋_GB2312" w:hAnsi="Calibri" w:eastAsia="仿宋_GB2312" w:cs="Calibri"/>
          <w:color w:val="00000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94C0B44-ECC4-4B63-909C-D6E735750668}"/>
  </w:font>
  <w:font w:name="黑体">
    <w:panose1 w:val="02010609060101010101"/>
    <w:charset w:val="86"/>
    <w:family w:val="auto"/>
    <w:pitch w:val="default"/>
    <w:sig w:usb0="800002BF" w:usb1="38CF7CFA" w:usb2="00000016" w:usb3="00000000" w:csb0="00040001" w:csb1="00000000"/>
    <w:embedRegular r:id="rId2" w:fontKey="{A6143F8F-1C1E-4F14-BE15-60ECA4AAD73C}"/>
  </w:font>
  <w:font w:name="Courier New">
    <w:panose1 w:val="02070309020205020404"/>
    <w:charset w:val="01"/>
    <w:family w:val="modern"/>
    <w:pitch w:val="default"/>
    <w:sig w:usb0="E0002EFF" w:usb1="C0007843" w:usb2="00000009" w:usb3="00000000" w:csb0="400001FF" w:csb1="FFFF0000"/>
    <w:embedRegular r:id="rId3" w:fontKey="{1C4AB62A-7140-46CD-9DFC-1AB4D640CA9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7C823E75-C1AF-48D5-A2EB-C7E7D0042821}"/>
  </w:font>
  <w:font w:name="等线">
    <w:panose1 w:val="02010600030101010101"/>
    <w:charset w:val="86"/>
    <w:family w:val="auto"/>
    <w:pitch w:val="default"/>
    <w:sig w:usb0="A00002BF" w:usb1="38CF7CFA" w:usb2="00000016" w:usb3="00000000" w:csb0="0004000F" w:csb1="00000000"/>
    <w:embedRegular r:id="rId5" w:fontKey="{CA754FDA-8274-4CAF-9969-A26DC02398E8}"/>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6" w:fontKey="{C36EF45A-E1C9-4FDE-A259-7E5515CD2AC7}"/>
  </w:font>
  <w:font w:name="方正小标宋简体">
    <w:panose1 w:val="02000000000000000000"/>
    <w:charset w:val="86"/>
    <w:family w:val="script"/>
    <w:pitch w:val="default"/>
    <w:sig w:usb0="00000001" w:usb1="08000000" w:usb2="00000000" w:usb3="00000000" w:csb0="00040000" w:csb1="00000000"/>
    <w:embedRegular r:id="rId7" w:fontKey="{E016071F-18ED-4738-9578-C6E0079423D1}"/>
  </w:font>
  <w:font w:name="Cambria">
    <w:panose1 w:val="02040503050406030204"/>
    <w:charset w:val="00"/>
    <w:family w:val="roman"/>
    <w:pitch w:val="default"/>
    <w:sig w:usb0="E00006FF" w:usb1="420024FF" w:usb2="02000000" w:usb3="00000000" w:csb0="2000019F" w:csb1="00000000"/>
    <w:embedRegular r:id="rId8" w:fontKey="{4E81EEC1-F2B1-41EE-B2F8-5DC2563D6910}"/>
  </w:font>
  <w:font w:name="新宋体">
    <w:panose1 w:val="02010609030101010101"/>
    <w:charset w:val="86"/>
    <w:family w:val="modern"/>
    <w:pitch w:val="default"/>
    <w:sig w:usb0="00000203" w:usb1="288F0000" w:usb2="00000006" w:usb3="00000000" w:csb0="00040001" w:csb1="00000000"/>
    <w:embedRegular r:id="rId9" w:fontKey="{56B0F307-8C1C-4738-ABF5-508AA11C2D96}"/>
  </w:font>
  <w:font w:name="Tahoma">
    <w:panose1 w:val="020B0604030504040204"/>
    <w:charset w:val="00"/>
    <w:family w:val="swiss"/>
    <w:pitch w:val="default"/>
    <w:sig w:usb0="E1002EFF" w:usb1="C000605B" w:usb2="00000029" w:usb3="00000000" w:csb0="200101FF" w:csb1="20280000"/>
    <w:embedRegular r:id="rId10" w:fontKey="{8F04626F-5181-4FAE-A0EA-5B0710F8E174}"/>
  </w:font>
  <w:font w:name="仿宋">
    <w:panose1 w:val="02010609060101010101"/>
    <w:charset w:val="86"/>
    <w:family w:val="modern"/>
    <w:pitch w:val="default"/>
    <w:sig w:usb0="800002BF" w:usb1="38CF7CFA" w:usb2="00000016" w:usb3="00000000" w:csb0="00040001" w:csb1="00000000"/>
    <w:embedRegular r:id="rId11" w:fontKey="{6A388C58-6074-43D9-8599-15D23DFB90A4}"/>
  </w:font>
  <w:font w:name="Wingdings 2">
    <w:panose1 w:val="05020102010507070707"/>
    <w:charset w:val="02"/>
    <w:family w:val="roman"/>
    <w:pitch w:val="default"/>
    <w:sig w:usb0="00000000" w:usb1="00000000" w:usb2="00000000" w:usb3="00000000" w:csb0="80000000" w:csb1="00000000"/>
    <w:embedRegular r:id="rId12" w:fontKey="{89CD9F2B-EBF7-4D4C-9585-59DA97EFA87E}"/>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RhNTg1ZDRjODM4NmRjOTU4NGI1MmNjY2I0ZjlmZDUifQ=="/>
  </w:docVars>
  <w:rsids>
    <w:rsidRoot w:val="004970E7"/>
    <w:rsid w:val="0000112F"/>
    <w:rsid w:val="00034A2D"/>
    <w:rsid w:val="00040FB8"/>
    <w:rsid w:val="00057A98"/>
    <w:rsid w:val="00095A9E"/>
    <w:rsid w:val="000C7845"/>
    <w:rsid w:val="000E7D02"/>
    <w:rsid w:val="000F1407"/>
    <w:rsid w:val="000F1777"/>
    <w:rsid w:val="00114539"/>
    <w:rsid w:val="00121AC4"/>
    <w:rsid w:val="001407E6"/>
    <w:rsid w:val="001947FD"/>
    <w:rsid w:val="001C2CC7"/>
    <w:rsid w:val="001C6C2E"/>
    <w:rsid w:val="001E3760"/>
    <w:rsid w:val="00211BC0"/>
    <w:rsid w:val="00221713"/>
    <w:rsid w:val="0029431F"/>
    <w:rsid w:val="002943A1"/>
    <w:rsid w:val="002A654A"/>
    <w:rsid w:val="002B4E43"/>
    <w:rsid w:val="002D2574"/>
    <w:rsid w:val="002E5099"/>
    <w:rsid w:val="003059E8"/>
    <w:rsid w:val="00327155"/>
    <w:rsid w:val="00336A70"/>
    <w:rsid w:val="00342228"/>
    <w:rsid w:val="00345625"/>
    <w:rsid w:val="0037196F"/>
    <w:rsid w:val="00387E5B"/>
    <w:rsid w:val="00394748"/>
    <w:rsid w:val="00395120"/>
    <w:rsid w:val="003A5090"/>
    <w:rsid w:val="003E6D85"/>
    <w:rsid w:val="00400CA5"/>
    <w:rsid w:val="00420458"/>
    <w:rsid w:val="004261FD"/>
    <w:rsid w:val="0043312E"/>
    <w:rsid w:val="00475ACF"/>
    <w:rsid w:val="0049122E"/>
    <w:rsid w:val="004970E7"/>
    <w:rsid w:val="004B36A3"/>
    <w:rsid w:val="004B5BED"/>
    <w:rsid w:val="004B7907"/>
    <w:rsid w:val="004E4867"/>
    <w:rsid w:val="00522BAE"/>
    <w:rsid w:val="005467AF"/>
    <w:rsid w:val="0055706B"/>
    <w:rsid w:val="005904DC"/>
    <w:rsid w:val="00590FB2"/>
    <w:rsid w:val="005944EA"/>
    <w:rsid w:val="005A3E00"/>
    <w:rsid w:val="005B5BDB"/>
    <w:rsid w:val="005E5076"/>
    <w:rsid w:val="006208AC"/>
    <w:rsid w:val="0064134D"/>
    <w:rsid w:val="00677924"/>
    <w:rsid w:val="006C1533"/>
    <w:rsid w:val="006D6959"/>
    <w:rsid w:val="006F31FF"/>
    <w:rsid w:val="00701B9C"/>
    <w:rsid w:val="0070309E"/>
    <w:rsid w:val="00725A52"/>
    <w:rsid w:val="00726ACD"/>
    <w:rsid w:val="00732FF0"/>
    <w:rsid w:val="00746451"/>
    <w:rsid w:val="00764A4F"/>
    <w:rsid w:val="00771229"/>
    <w:rsid w:val="00783109"/>
    <w:rsid w:val="00795F07"/>
    <w:rsid w:val="007B02BA"/>
    <w:rsid w:val="007B1D4B"/>
    <w:rsid w:val="007F56B2"/>
    <w:rsid w:val="00804931"/>
    <w:rsid w:val="00851441"/>
    <w:rsid w:val="00876610"/>
    <w:rsid w:val="008B0597"/>
    <w:rsid w:val="008B759C"/>
    <w:rsid w:val="008D1A95"/>
    <w:rsid w:val="009123EC"/>
    <w:rsid w:val="00914286"/>
    <w:rsid w:val="009149DA"/>
    <w:rsid w:val="009251A9"/>
    <w:rsid w:val="009535DF"/>
    <w:rsid w:val="009A28A4"/>
    <w:rsid w:val="009B1BE3"/>
    <w:rsid w:val="00A1363E"/>
    <w:rsid w:val="00A31622"/>
    <w:rsid w:val="00A44221"/>
    <w:rsid w:val="00A53207"/>
    <w:rsid w:val="00A554F0"/>
    <w:rsid w:val="00A6578C"/>
    <w:rsid w:val="00A70F25"/>
    <w:rsid w:val="00A71DF9"/>
    <w:rsid w:val="00A74200"/>
    <w:rsid w:val="00A80C76"/>
    <w:rsid w:val="00A94F5A"/>
    <w:rsid w:val="00AC5952"/>
    <w:rsid w:val="00AD2115"/>
    <w:rsid w:val="00AD616F"/>
    <w:rsid w:val="00B112EA"/>
    <w:rsid w:val="00B207CB"/>
    <w:rsid w:val="00B66A6A"/>
    <w:rsid w:val="00B80DE8"/>
    <w:rsid w:val="00BA72C3"/>
    <w:rsid w:val="00BA798B"/>
    <w:rsid w:val="00BE6561"/>
    <w:rsid w:val="00BF0177"/>
    <w:rsid w:val="00C02C01"/>
    <w:rsid w:val="00C21E58"/>
    <w:rsid w:val="00C36592"/>
    <w:rsid w:val="00C7251A"/>
    <w:rsid w:val="00C87E3C"/>
    <w:rsid w:val="00CB3325"/>
    <w:rsid w:val="00CC28C7"/>
    <w:rsid w:val="00CE36F2"/>
    <w:rsid w:val="00D068D6"/>
    <w:rsid w:val="00D346A0"/>
    <w:rsid w:val="00D4283D"/>
    <w:rsid w:val="00D505E4"/>
    <w:rsid w:val="00D63FF1"/>
    <w:rsid w:val="00D84C7E"/>
    <w:rsid w:val="00DC2664"/>
    <w:rsid w:val="00DE5045"/>
    <w:rsid w:val="00DE59C3"/>
    <w:rsid w:val="00DE69C9"/>
    <w:rsid w:val="00E26621"/>
    <w:rsid w:val="00E526D6"/>
    <w:rsid w:val="00E61634"/>
    <w:rsid w:val="00E63D8B"/>
    <w:rsid w:val="00E832A8"/>
    <w:rsid w:val="00EB6E6F"/>
    <w:rsid w:val="00EE1BC2"/>
    <w:rsid w:val="00F30CD9"/>
    <w:rsid w:val="00F47CB8"/>
    <w:rsid w:val="00F55F69"/>
    <w:rsid w:val="00F67C17"/>
    <w:rsid w:val="00F806B4"/>
    <w:rsid w:val="00F8364B"/>
    <w:rsid w:val="00F94595"/>
    <w:rsid w:val="00FA0D28"/>
    <w:rsid w:val="00FB3B21"/>
    <w:rsid w:val="00FE3298"/>
    <w:rsid w:val="01C03AC7"/>
    <w:rsid w:val="038A57B0"/>
    <w:rsid w:val="0FF909E0"/>
    <w:rsid w:val="1780180B"/>
    <w:rsid w:val="2DB94CBF"/>
    <w:rsid w:val="38D25582"/>
    <w:rsid w:val="41710861"/>
    <w:rsid w:val="4AE72A13"/>
    <w:rsid w:val="4B4A5606"/>
    <w:rsid w:val="4BA415CF"/>
    <w:rsid w:val="59917497"/>
    <w:rsid w:val="62B23F51"/>
    <w:rsid w:val="65070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7"/>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99"/>
    <w:pPr>
      <w:jc w:val="left"/>
    </w:pPr>
  </w:style>
  <w:style w:type="paragraph" w:styleId="4">
    <w:name w:val="Body Text"/>
    <w:basedOn w:val="1"/>
    <w:next w:val="1"/>
    <w:qFormat/>
    <w:uiPriority w:val="99"/>
    <w:pPr>
      <w:adjustRightInd w:val="0"/>
      <w:snapToGrid w:val="0"/>
      <w:spacing w:line="336" w:lineRule="auto"/>
      <w:jc w:val="center"/>
    </w:pPr>
    <w:rPr>
      <w:kern w:val="0"/>
    </w:rPr>
  </w:style>
  <w:style w:type="paragraph" w:styleId="5">
    <w:name w:val="Body Text Indent"/>
    <w:basedOn w:val="1"/>
    <w:qFormat/>
    <w:uiPriority w:val="0"/>
    <w:pPr>
      <w:spacing w:line="200" w:lineRule="exact"/>
      <w:ind w:firstLine="301"/>
    </w:pPr>
    <w:rPr>
      <w:rFonts w:ascii="宋体" w:hAnsi="Courier New"/>
      <w:spacing w:val="-4"/>
      <w:sz w:val="18"/>
      <w:szCs w:val="20"/>
    </w:rPr>
  </w:style>
  <w:style w:type="paragraph" w:styleId="6">
    <w:name w:val="Date"/>
    <w:basedOn w:val="1"/>
    <w:next w:val="1"/>
    <w:link w:val="16"/>
    <w:semiHidden/>
    <w:unhideWhenUsed/>
    <w:qFormat/>
    <w:uiPriority w:val="99"/>
    <w:pPr>
      <w:ind w:left="100" w:leftChars="2500"/>
    </w:p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Body Text First Indent 2"/>
    <w:basedOn w:val="5"/>
    <w:qFormat/>
    <w:uiPriority w:val="99"/>
    <w:pPr>
      <w:tabs>
        <w:tab w:val="left" w:pos="8280"/>
      </w:tabs>
      <w:spacing w:line="360" w:lineRule="auto"/>
      <w:ind w:left="200" w:firstLine="200" w:firstLineChars="200"/>
    </w:pPr>
    <w:rPr>
      <w:rFonts w:ascii="Times New Roman" w:eastAsia="仿宋_GB2312"/>
      <w:sz w:val="24"/>
      <w:szCs w:val="24"/>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页眉 字符"/>
    <w:basedOn w:val="13"/>
    <w:link w:val="8"/>
    <w:qFormat/>
    <w:uiPriority w:val="99"/>
    <w:rPr>
      <w:sz w:val="18"/>
      <w:szCs w:val="18"/>
    </w:rPr>
  </w:style>
  <w:style w:type="character" w:customStyle="1" w:styleId="15">
    <w:name w:val="页脚 字符"/>
    <w:basedOn w:val="13"/>
    <w:link w:val="7"/>
    <w:qFormat/>
    <w:uiPriority w:val="99"/>
    <w:rPr>
      <w:sz w:val="18"/>
      <w:szCs w:val="18"/>
    </w:rPr>
  </w:style>
  <w:style w:type="character" w:customStyle="1" w:styleId="16">
    <w:name w:val="日期 字符"/>
    <w:basedOn w:val="13"/>
    <w:link w:val="6"/>
    <w:semiHidden/>
    <w:qFormat/>
    <w:uiPriority w:val="99"/>
  </w:style>
  <w:style w:type="character" w:customStyle="1" w:styleId="17">
    <w:name w:val="标题 2 字符"/>
    <w:basedOn w:val="13"/>
    <w:link w:val="2"/>
    <w:semiHidden/>
    <w:qFormat/>
    <w:uiPriority w:val="9"/>
    <w:rPr>
      <w:rFonts w:asciiTheme="majorHAnsi" w:hAnsiTheme="majorHAnsi" w:eastAsiaTheme="majorEastAsia" w:cstheme="majorBidi"/>
      <w:b/>
      <w:bCs/>
      <w:sz w:val="32"/>
      <w:szCs w:val="32"/>
    </w:rPr>
  </w:style>
  <w:style w:type="paragraph" w:styleId="18">
    <w:name w:val="List Paragraph"/>
    <w:basedOn w:val="1"/>
    <w:qFormat/>
    <w:uiPriority w:val="34"/>
    <w:pPr>
      <w:ind w:firstLine="420" w:firstLineChars="200"/>
    </w:pPr>
  </w:style>
  <w:style w:type="paragraph" w:customStyle="1" w:styleId="19">
    <w:name w:val="列出段落1"/>
    <w:basedOn w:val="1"/>
    <w:qFormat/>
    <w:uiPriority w:val="0"/>
    <w:pPr>
      <w:ind w:firstLine="420" w:firstLineChars="200"/>
    </w:pPr>
    <w:rPr>
      <w:rFonts w:ascii="Calibri" w:hAnsi="Calibri"/>
      <w:szCs w:val="22"/>
    </w:rPr>
  </w:style>
  <w:style w:type="paragraph" w:customStyle="1" w:styleId="20">
    <w:name w:val="Table Text"/>
    <w:basedOn w:val="1"/>
    <w:semiHidden/>
    <w:qFormat/>
    <w:uiPriority w:val="0"/>
    <w:rPr>
      <w:rFonts w:ascii="宋体" w:hAnsi="宋体" w:eastAsia="宋体" w:cs="宋体"/>
      <w:sz w:val="17"/>
      <w:szCs w:val="17"/>
      <w:lang w:val="en-US" w:eastAsia="en-US" w:bidi="ar-SA"/>
    </w:rPr>
  </w:style>
  <w:style w:type="table" w:customStyle="1" w:styleId="2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42</Pages>
  <Words>23544</Words>
  <Characters>24406</Characters>
  <Lines>193</Lines>
  <Paragraphs>54</Paragraphs>
  <TotalTime>10</TotalTime>
  <ScaleCrop>false</ScaleCrop>
  <LinksUpToDate>false</LinksUpToDate>
  <CharactersWithSpaces>26322</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2022-05-23T01:48:00Z</dcterms:created>
  <dc:creator>魏宝兴</dc:creator>
  <cp:lastModifiedBy>7月LEO</cp:lastModifiedBy>
  <cp:lastPrinted>2022-05-16T07:21:00Z</cp:lastPrinted>
  <dcterms:modified xsi:type="dcterms:W3CDTF">2024-07-17T09:24:56Z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83FCD044E0014CDF9D2553633C240282</vt:lpwstr>
  </property>
</Properties>
</file>