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4BFD5">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r>
        <w:rPr>
          <w:rFonts w:hint="eastAsia" w:ascii="方正小标宋简体" w:hAnsi="宋体" w:eastAsia="方正小标宋简体" w:cs="Times New Roman"/>
          <w:b/>
          <w:sz w:val="44"/>
          <w:szCs w:val="44"/>
        </w:rPr>
        <w:t>广西骨伤医院放射科东芝CT机维保服务供应商遴选项目招标文件</w:t>
      </w:r>
    </w:p>
    <w:p w14:paraId="09A2918F">
      <w:pPr>
        <w:snapToGrid w:val="0"/>
        <w:spacing w:before="156" w:beforeLines="50" w:line="360" w:lineRule="auto"/>
        <w:jc w:val="center"/>
        <w:rPr>
          <w:rFonts w:ascii="仿宋_GB2312" w:hAnsi="宋体" w:eastAsia="仿宋_GB2312" w:cs="Times New Roman"/>
          <w:color w:val="000000"/>
          <w:sz w:val="30"/>
          <w:szCs w:val="72"/>
        </w:rPr>
      </w:pPr>
    </w:p>
    <w:p w14:paraId="512BD66B">
      <w:pPr>
        <w:spacing w:line="400" w:lineRule="exact"/>
        <w:rPr>
          <w:rFonts w:ascii="宋体" w:hAnsi="宋体" w:eastAsia="宋体" w:cs="Times New Roman"/>
          <w:b/>
          <w:color w:val="000000"/>
          <w:sz w:val="32"/>
          <w:szCs w:val="32"/>
        </w:rPr>
      </w:pPr>
    </w:p>
    <w:p w14:paraId="4B59B138">
      <w:pPr>
        <w:spacing w:line="400" w:lineRule="exact"/>
        <w:jc w:val="center"/>
        <w:rPr>
          <w:rFonts w:ascii="宋体" w:hAnsi="宋体" w:eastAsia="宋体" w:cs="Times New Roman"/>
          <w:b/>
          <w:color w:val="000000"/>
          <w:sz w:val="32"/>
          <w:szCs w:val="32"/>
        </w:rPr>
      </w:pPr>
    </w:p>
    <w:p w14:paraId="4D32AA8F">
      <w:pPr>
        <w:spacing w:line="400" w:lineRule="exact"/>
        <w:jc w:val="center"/>
        <w:rPr>
          <w:rFonts w:ascii="宋体" w:hAnsi="宋体" w:eastAsia="宋体" w:cs="Times New Roman"/>
          <w:b/>
          <w:color w:val="000000"/>
          <w:sz w:val="32"/>
          <w:szCs w:val="32"/>
        </w:rPr>
      </w:pPr>
    </w:p>
    <w:p w14:paraId="002215C3">
      <w:pPr>
        <w:spacing w:line="400" w:lineRule="exact"/>
        <w:ind w:left="2941" w:leftChars="680" w:hanging="1513" w:hangingChars="471"/>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广西骨伤医院放射科东芝CT机维保服务供应商遴选项目</w:t>
      </w:r>
    </w:p>
    <w:bookmarkEnd w:id="0"/>
    <w:p w14:paraId="482C73DA">
      <w:pPr>
        <w:spacing w:line="400" w:lineRule="exact"/>
        <w:jc w:val="center"/>
        <w:rPr>
          <w:rFonts w:ascii="仿宋_GB2312" w:hAnsi="宋体" w:eastAsia="仿宋_GB2312" w:cs="Times New Roman"/>
          <w:b/>
          <w:color w:val="000000"/>
          <w:sz w:val="32"/>
          <w:szCs w:val="32"/>
        </w:rPr>
      </w:pPr>
    </w:p>
    <w:p w14:paraId="32C5E174">
      <w:pPr>
        <w:spacing w:line="400" w:lineRule="exact"/>
        <w:ind w:firstLine="1430" w:firstLineChars="445"/>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：GXGSYY-CGB-YLSBK-2024-</w:t>
      </w:r>
      <w:r>
        <w:rPr>
          <w:rFonts w:hint="eastAsia" w:ascii="仿宋_GB2312" w:hAnsi="宋体" w:eastAsia="仿宋_GB2312" w:cs="Times New Roman"/>
          <w:b/>
          <w:color w:val="000000"/>
          <w:sz w:val="32"/>
          <w:szCs w:val="32"/>
          <w:highlight w:val="none"/>
          <w:lang w:val="en-US" w:eastAsia="zh-CN"/>
        </w:rPr>
        <w:t>13</w:t>
      </w:r>
    </w:p>
    <w:p w14:paraId="76AD7B88">
      <w:pPr>
        <w:spacing w:line="400" w:lineRule="exact"/>
        <w:jc w:val="center"/>
        <w:rPr>
          <w:rFonts w:ascii="仿宋_GB2312" w:hAnsi="宋体" w:eastAsia="仿宋_GB2312" w:cs="Times New Roman"/>
          <w:b/>
          <w:color w:val="000000"/>
          <w:sz w:val="32"/>
          <w:szCs w:val="32"/>
        </w:rPr>
      </w:pPr>
    </w:p>
    <w:p w14:paraId="2532892E">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5941398F">
      <w:pPr>
        <w:spacing w:line="400" w:lineRule="exact"/>
        <w:jc w:val="center"/>
        <w:rPr>
          <w:rFonts w:ascii="仿宋_GB2312" w:hAnsi="宋体" w:eastAsia="仿宋_GB2312" w:cs="Times New Roman"/>
          <w:b/>
          <w:color w:val="000000"/>
          <w:sz w:val="32"/>
          <w:szCs w:val="32"/>
        </w:rPr>
      </w:pPr>
    </w:p>
    <w:p w14:paraId="21362F47">
      <w:pPr>
        <w:spacing w:line="400" w:lineRule="exact"/>
        <w:jc w:val="center"/>
        <w:rPr>
          <w:rFonts w:ascii="仿宋_GB2312" w:hAnsi="宋体" w:eastAsia="仿宋_GB2312" w:cs="Times New Roman"/>
          <w:b/>
          <w:color w:val="000000"/>
          <w:sz w:val="32"/>
          <w:szCs w:val="32"/>
        </w:rPr>
      </w:pPr>
    </w:p>
    <w:p w14:paraId="3EE3A1F0">
      <w:pPr>
        <w:spacing w:line="400" w:lineRule="exact"/>
        <w:jc w:val="center"/>
        <w:rPr>
          <w:rFonts w:ascii="仿宋_GB2312" w:hAnsi="宋体" w:eastAsia="仿宋_GB2312" w:cs="Times New Roman"/>
          <w:b/>
          <w:color w:val="000000"/>
          <w:sz w:val="32"/>
          <w:szCs w:val="32"/>
        </w:rPr>
      </w:pPr>
    </w:p>
    <w:p w14:paraId="536B4232">
      <w:pPr>
        <w:spacing w:line="400" w:lineRule="exact"/>
        <w:jc w:val="center"/>
        <w:rPr>
          <w:rFonts w:ascii="仿宋_GB2312" w:hAnsi="宋体" w:eastAsia="仿宋_GB2312" w:cs="Times New Roman"/>
          <w:b/>
          <w:color w:val="000000"/>
          <w:sz w:val="32"/>
          <w:szCs w:val="32"/>
        </w:rPr>
      </w:pPr>
    </w:p>
    <w:p w14:paraId="541EBE0C">
      <w:pPr>
        <w:spacing w:line="400" w:lineRule="exact"/>
        <w:jc w:val="center"/>
        <w:rPr>
          <w:rFonts w:ascii="仿宋_GB2312" w:hAnsi="宋体" w:eastAsia="仿宋_GB2312" w:cs="Times New Roman"/>
          <w:b/>
          <w:color w:val="000000"/>
          <w:sz w:val="32"/>
          <w:szCs w:val="32"/>
        </w:rPr>
      </w:pPr>
    </w:p>
    <w:p w14:paraId="133C874D">
      <w:pPr>
        <w:spacing w:line="400" w:lineRule="exact"/>
        <w:jc w:val="center"/>
        <w:rPr>
          <w:rFonts w:ascii="仿宋_GB2312" w:hAnsi="宋体" w:eastAsia="仿宋_GB2312" w:cs="Times New Roman"/>
          <w:b/>
          <w:color w:val="000000"/>
          <w:sz w:val="32"/>
          <w:szCs w:val="32"/>
        </w:rPr>
      </w:pPr>
    </w:p>
    <w:p w14:paraId="4548AE7F">
      <w:pPr>
        <w:spacing w:line="400" w:lineRule="exact"/>
        <w:jc w:val="center"/>
        <w:rPr>
          <w:rFonts w:ascii="仿宋_GB2312" w:hAnsi="宋体" w:eastAsia="仿宋_GB2312" w:cs="Times New Roman"/>
          <w:b/>
          <w:color w:val="000000"/>
          <w:sz w:val="32"/>
          <w:szCs w:val="32"/>
        </w:rPr>
      </w:pPr>
    </w:p>
    <w:p w14:paraId="0F851B16">
      <w:pPr>
        <w:spacing w:line="400" w:lineRule="exact"/>
        <w:jc w:val="center"/>
        <w:rPr>
          <w:rFonts w:ascii="仿宋_GB2312" w:hAnsi="宋体" w:eastAsia="仿宋_GB2312" w:cs="Times New Roman"/>
          <w:b/>
          <w:color w:val="000000"/>
          <w:sz w:val="32"/>
          <w:szCs w:val="32"/>
        </w:rPr>
      </w:pPr>
    </w:p>
    <w:p w14:paraId="73502F25">
      <w:pPr>
        <w:spacing w:line="400" w:lineRule="exact"/>
        <w:jc w:val="center"/>
        <w:rPr>
          <w:rFonts w:ascii="仿宋_GB2312" w:hAnsi="宋体" w:eastAsia="仿宋_GB2312" w:cs="Times New Roman"/>
          <w:b/>
          <w:color w:val="000000"/>
          <w:sz w:val="32"/>
          <w:szCs w:val="32"/>
        </w:rPr>
      </w:pPr>
    </w:p>
    <w:p w14:paraId="20EC7863">
      <w:pPr>
        <w:spacing w:line="400" w:lineRule="exact"/>
        <w:jc w:val="center"/>
        <w:rPr>
          <w:rFonts w:ascii="仿宋_GB2312" w:hAnsi="宋体" w:eastAsia="仿宋_GB2312" w:cs="Times New Roman"/>
          <w:b/>
          <w:color w:val="000000"/>
          <w:sz w:val="32"/>
          <w:szCs w:val="32"/>
        </w:rPr>
      </w:pPr>
    </w:p>
    <w:p w14:paraId="654906A3">
      <w:pPr>
        <w:spacing w:line="400" w:lineRule="exact"/>
        <w:jc w:val="center"/>
        <w:rPr>
          <w:rFonts w:ascii="仿宋_GB2312" w:hAnsi="宋体" w:eastAsia="仿宋_GB2312" w:cs="Times New Roman"/>
          <w:b/>
          <w:color w:val="000000"/>
          <w:sz w:val="32"/>
          <w:szCs w:val="32"/>
        </w:rPr>
      </w:pPr>
    </w:p>
    <w:p w14:paraId="3FAA4164">
      <w:pPr>
        <w:spacing w:line="400" w:lineRule="exact"/>
        <w:jc w:val="center"/>
        <w:rPr>
          <w:rFonts w:ascii="仿宋_GB2312" w:hAnsi="宋体" w:eastAsia="仿宋_GB2312" w:cs="Times New Roman"/>
          <w:b/>
          <w:color w:val="000000"/>
          <w:sz w:val="32"/>
          <w:szCs w:val="32"/>
        </w:rPr>
      </w:pPr>
    </w:p>
    <w:p w14:paraId="1E62F16F">
      <w:pPr>
        <w:spacing w:line="400" w:lineRule="exact"/>
        <w:jc w:val="center"/>
        <w:rPr>
          <w:rFonts w:ascii="仿宋_GB2312" w:hAnsi="宋体" w:eastAsia="仿宋_GB2312" w:cs="Times New Roman"/>
          <w:b/>
          <w:color w:val="000000"/>
          <w:sz w:val="32"/>
          <w:szCs w:val="32"/>
        </w:rPr>
      </w:pPr>
    </w:p>
    <w:p w14:paraId="3521A15E">
      <w:pPr>
        <w:spacing w:line="400" w:lineRule="exact"/>
        <w:jc w:val="center"/>
        <w:rPr>
          <w:rFonts w:ascii="仿宋_GB2312" w:hAnsi="宋体" w:eastAsia="仿宋_GB2312" w:cs="Times New Roman"/>
          <w:b/>
          <w:color w:val="000000"/>
          <w:sz w:val="32"/>
          <w:szCs w:val="32"/>
        </w:rPr>
      </w:pPr>
    </w:p>
    <w:p w14:paraId="3CB29938">
      <w:pPr>
        <w:spacing w:line="400" w:lineRule="exact"/>
        <w:jc w:val="center"/>
        <w:rPr>
          <w:rFonts w:ascii="仿宋_GB2312" w:hAnsi="宋体" w:eastAsia="仿宋_GB2312" w:cs="Times New Roman"/>
          <w:b/>
          <w:color w:val="000000"/>
          <w:sz w:val="32"/>
          <w:szCs w:val="32"/>
        </w:rPr>
      </w:pPr>
    </w:p>
    <w:p w14:paraId="392AA727">
      <w:pPr>
        <w:spacing w:line="400" w:lineRule="exact"/>
        <w:rPr>
          <w:rFonts w:ascii="仿宋_GB2312" w:hAnsi="宋体" w:eastAsia="仿宋_GB2312" w:cs="Times New Roman"/>
          <w:b/>
          <w:color w:val="000000"/>
          <w:sz w:val="32"/>
          <w:szCs w:val="32"/>
        </w:rPr>
      </w:pPr>
    </w:p>
    <w:p w14:paraId="47824C98">
      <w:pPr>
        <w:spacing w:line="400" w:lineRule="exact"/>
        <w:jc w:val="center"/>
        <w:rPr>
          <w:rFonts w:ascii="仿宋_GB2312" w:hAnsi="宋体" w:eastAsia="仿宋_GB2312" w:cs="Times New Roman"/>
          <w:b/>
          <w:color w:val="000000"/>
          <w:sz w:val="32"/>
          <w:szCs w:val="32"/>
        </w:rPr>
      </w:pPr>
    </w:p>
    <w:p w14:paraId="594CC5C7">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20</w:t>
      </w:r>
      <w:r>
        <w:rPr>
          <w:rFonts w:hint="eastAsia" w:ascii="仿宋_GB2312" w:hAnsi="宋体" w:eastAsia="仿宋_GB2312" w:cs="Times New Roman"/>
          <w:b/>
          <w:color w:val="000000"/>
          <w:sz w:val="32"/>
          <w:szCs w:val="32"/>
        </w:rPr>
        <w:t>日</w:t>
      </w:r>
    </w:p>
    <w:p w14:paraId="23C0DE61">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项目概况</w:t>
      </w:r>
    </w:p>
    <w:p w14:paraId="6A5FE399">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诊疗工作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szCs w:val="21"/>
          <w:lang w:val="en-US" w:eastAsia="zh-CN"/>
        </w:rPr>
        <w:t>放射科东芝CT机维保服务进行</w:t>
      </w:r>
      <w:r>
        <w:rPr>
          <w:rFonts w:hint="eastAsia" w:ascii="宋体" w:hAnsi="宋体" w:eastAsia="宋体" w:cs="Times New Roman"/>
          <w:bCs/>
          <w:color w:val="000000"/>
          <w:szCs w:val="21"/>
        </w:rPr>
        <w:t>院内议价，欢迎有意参与的公司前来参加。</w:t>
      </w:r>
    </w:p>
    <w:p w14:paraId="152B32B8">
      <w:pPr>
        <w:spacing w:line="400" w:lineRule="exact"/>
        <w:ind w:firstLine="420" w:firstLineChars="200"/>
        <w:rPr>
          <w:rFonts w:hint="eastAsia" w:ascii="宋体" w:hAnsi="宋体" w:eastAsia="宋体" w:cs="Times New Roman"/>
          <w:bCs/>
          <w:color w:val="000000"/>
          <w:szCs w:val="21"/>
          <w:lang w:val="zh-CN"/>
        </w:rPr>
      </w:pPr>
      <w:bookmarkStart w:id="1" w:name="_Toc44229878"/>
      <w:bookmarkStart w:id="2" w:name="_Toc47452205"/>
      <w:bookmarkStart w:id="3" w:name="_Toc28359089"/>
      <w:bookmarkStart w:id="4" w:name="_Toc35393629"/>
      <w:bookmarkStart w:id="5" w:name="_Toc35393798"/>
      <w:bookmarkStart w:id="6" w:name="_Toc28359012"/>
      <w:r>
        <w:rPr>
          <w:rFonts w:hint="eastAsia" w:ascii="宋体" w:hAnsi="宋体" w:eastAsia="宋体" w:cs="Times New Roman"/>
          <w:bCs/>
          <w:color w:val="000000"/>
          <w:szCs w:val="21"/>
          <w:lang w:val="zh-CN"/>
        </w:rPr>
        <w:t>一、项目基本情况</w:t>
      </w:r>
      <w:bookmarkEnd w:id="1"/>
      <w:bookmarkEnd w:id="2"/>
      <w:bookmarkEnd w:id="3"/>
      <w:bookmarkEnd w:id="4"/>
      <w:bookmarkEnd w:id="5"/>
      <w:bookmarkEnd w:id="6"/>
    </w:p>
    <w:p w14:paraId="349B7DC2">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w:t>
      </w:r>
      <w:r>
        <w:rPr>
          <w:rFonts w:hint="eastAsia" w:ascii="宋体" w:hAnsi="宋体" w:eastAsia="宋体" w:cs="Times New Roman"/>
          <w:bCs/>
          <w:color w:val="000000"/>
          <w:szCs w:val="21"/>
          <w:highlight w:val="none"/>
        </w:rPr>
        <w:t>号：GXGSYY-CGB-YLSBK-2024-</w:t>
      </w:r>
      <w:r>
        <w:rPr>
          <w:rFonts w:hint="eastAsia" w:ascii="宋体" w:hAnsi="宋体" w:eastAsia="宋体" w:cs="Times New Roman"/>
          <w:bCs/>
          <w:color w:val="000000"/>
          <w:szCs w:val="21"/>
          <w:highlight w:val="none"/>
          <w:lang w:val="en-US" w:eastAsia="zh-CN"/>
        </w:rPr>
        <w:t>13</w:t>
      </w:r>
    </w:p>
    <w:p w14:paraId="45DA18BB">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eastAsia="zh-CN"/>
        </w:rPr>
        <w:t>广西骨伤医院放射科东芝CT机维保服务供应商遴选项目</w:t>
      </w:r>
    </w:p>
    <w:p w14:paraId="50379A5D">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采购方式：院内议价</w:t>
      </w:r>
    </w:p>
    <w:p w14:paraId="5859D804">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预算金额：</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val="en-US" w:eastAsia="zh-CN"/>
        </w:rPr>
        <w:t>/2年</w:t>
      </w:r>
    </w:p>
    <w:p w14:paraId="006ED9B3">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5.维保内容：</w:t>
      </w:r>
    </w:p>
    <w:p w14:paraId="4B9CA731">
      <w:pPr>
        <w:spacing w:line="400" w:lineRule="exact"/>
        <w:ind w:firstLine="420" w:firstLineChars="200"/>
        <w:rPr>
          <w:rFonts w:hint="eastAsia" w:ascii="宋体" w:hAnsi="宋体" w:eastAsia="宋体" w:cs="宋体"/>
          <w:bCs/>
          <w:szCs w:val="21"/>
          <w:lang w:val="en-US" w:eastAsia="zh-CN"/>
        </w:rPr>
      </w:pPr>
      <w:r>
        <w:rPr>
          <w:rFonts w:hint="eastAsia" w:ascii="宋体" w:hAnsi="宋体" w:eastAsia="宋体" w:cs="Times New Roman"/>
          <w:color w:val="000000"/>
          <w:szCs w:val="21"/>
          <w:lang w:val="en-US" w:eastAsia="zh-CN"/>
        </w:rPr>
        <w:t>设备名称及型号：东芝AquilionTSX-101A型号64排CT</w:t>
      </w:r>
    </w:p>
    <w:p w14:paraId="31051A2A">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(1)项目内容：CT设备维护保养服务。</w:t>
      </w:r>
    </w:p>
    <w:p w14:paraId="7E459D99">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(2)项目实施地点：医院指定地点。</w:t>
      </w:r>
    </w:p>
    <w:p w14:paraId="4DE4ACED">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w:t>
      </w:r>
    </w:p>
    <w:p w14:paraId="78298B4A">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FF0000"/>
          <w:szCs w:val="21"/>
          <w:lang w:val="en-US" w:eastAsia="zh-CN"/>
        </w:rPr>
        <w:t>详细要求，</w:t>
      </w:r>
      <w:r>
        <w:rPr>
          <w:rFonts w:hint="eastAsia" w:ascii="宋体" w:hAnsi="宋体" w:eastAsia="宋体" w:cs="Times New Roman"/>
          <w:bCs/>
          <w:color w:val="000000"/>
          <w:szCs w:val="21"/>
          <w:lang w:val="en-US" w:eastAsia="zh-CN"/>
        </w:rPr>
        <w:t>详见附件1。</w:t>
      </w:r>
    </w:p>
    <w:p w14:paraId="2CE8ECD8">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14:paraId="3D68BB00">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14:paraId="0BDFE991">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14:paraId="5F5F87A5">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依法取得经营企业许可证和相关的资质证明(经营范围包含所投产品)。</w:t>
      </w:r>
    </w:p>
    <w:p w14:paraId="3AEF6499">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三、投标文件的编制</w:t>
      </w:r>
    </w:p>
    <w:p w14:paraId="61D4E0A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1.投标文件要求：每个投标人只能提交一份投标文件（一个正本五个副本，正本文件内所有资料均需加盖公章）。</w:t>
      </w:r>
    </w:p>
    <w:p w14:paraId="3851789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2.投标文件的组成  </w:t>
      </w:r>
    </w:p>
    <w:p w14:paraId="64BC30F9">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（1）投标人情况简介、营业执照和相关资质、法定代表人授权委托书；</w:t>
      </w:r>
    </w:p>
    <w:p w14:paraId="6B09E5B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（2）产品报价，售后承诺；</w:t>
      </w:r>
    </w:p>
    <w:p w14:paraId="59FC6533">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（3）资格文件；</w:t>
      </w:r>
    </w:p>
    <w:p w14:paraId="5B62E5C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（4）技术参数响应表，商务要求响应表；</w:t>
      </w:r>
    </w:p>
    <w:p w14:paraId="6332F0D5">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（5）投标人信誉证明，相关网站查询截图。</w:t>
      </w:r>
    </w:p>
    <w:p w14:paraId="6C12E7C9">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四、投标人资格要求  </w:t>
      </w:r>
    </w:p>
    <w:p w14:paraId="60DE10B1">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1.本次招标要求投标人须具备相关资质。  </w:t>
      </w:r>
    </w:p>
    <w:p w14:paraId="7F9DAB87">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2.信誉要求。</w:t>
      </w:r>
    </w:p>
    <w:p w14:paraId="6B60AFA5">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14:paraId="09A0DA93">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3.其他投标条件要求：  </w:t>
      </w:r>
    </w:p>
    <w:p w14:paraId="240DD56C">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（1）本项目不接受联合体投标；  </w:t>
      </w:r>
    </w:p>
    <w:p w14:paraId="51E9FFA9">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（2）投标人有依法缴纳税收和社会保障资金的良好记录；</w:t>
      </w:r>
    </w:p>
    <w:p w14:paraId="03797141">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（3）参加政府采购活动近三年内，在经营活动中没有重大违法记录；</w:t>
      </w:r>
    </w:p>
    <w:p w14:paraId="566D6F2A">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（4）投标材料封面请备注所投项目名称、公司名称、公司联系人姓名、电话，否则视为无效投标。</w:t>
      </w:r>
    </w:p>
    <w:p w14:paraId="4CCE948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五、递交投标文件时间：</w:t>
      </w:r>
    </w:p>
    <w:p w14:paraId="113FBBCE">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val="en-US" w:eastAsia="zh-CN"/>
        </w:rPr>
        <w:t>2024年6月 日～2024年7</w:t>
      </w:r>
      <w:bookmarkStart w:id="7" w:name="_GoBack"/>
      <w:bookmarkEnd w:id="7"/>
      <w:r>
        <w:rPr>
          <w:rFonts w:hint="eastAsia" w:ascii="宋体" w:hAnsi="宋体" w:eastAsia="宋体" w:cs="Times New Roman"/>
          <w:bCs/>
          <w:color w:val="000000"/>
          <w:szCs w:val="21"/>
          <w:highlight w:val="none"/>
          <w:lang w:val="en-US" w:eastAsia="zh-CN"/>
        </w:rPr>
        <w:t>月  日</w:t>
      </w:r>
      <w:r>
        <w:rPr>
          <w:rFonts w:hint="eastAsia" w:ascii="宋体" w:hAnsi="宋体" w:eastAsia="宋体" w:cs="Times New Roman"/>
          <w:bCs/>
          <w:color w:val="000000"/>
          <w:szCs w:val="21"/>
          <w:lang w:val="en-US" w:eastAsia="zh-CN"/>
        </w:rPr>
        <w:t>（周一至周五上午8:00～12：00，下午15：00～18：00，节假日除外）。</w:t>
      </w:r>
    </w:p>
    <w:p w14:paraId="5FA230AD">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六、递交投标文件地点：</w:t>
      </w:r>
    </w:p>
    <w:p w14:paraId="409FB75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14:paraId="0CFCBDD1">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七、议价会时间及地点：另行通知。</w:t>
      </w:r>
    </w:p>
    <w:p w14:paraId="14B15826">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八、联系人：李老师   0771-2622251     17344229910 </w:t>
      </w:r>
    </w:p>
    <w:p w14:paraId="298C811D">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邮箱：</w:t>
      </w:r>
      <w:r>
        <w:rPr>
          <w:rFonts w:hint="eastAsia" w:ascii="宋体" w:hAnsi="宋体" w:eastAsia="宋体" w:cs="Times New Roman"/>
          <w:bCs/>
          <w:color w:val="000000"/>
          <w:szCs w:val="21"/>
          <w:lang w:val="en-US" w:eastAsia="zh-CN"/>
        </w:rPr>
        <w:fldChar w:fldCharType="begin"/>
      </w:r>
      <w:r>
        <w:rPr>
          <w:rFonts w:hint="eastAsia" w:ascii="宋体" w:hAnsi="宋体" w:eastAsia="宋体" w:cs="Times New Roman"/>
          <w:bCs/>
          <w:color w:val="000000"/>
          <w:szCs w:val="21"/>
          <w:lang w:val="en-US" w:eastAsia="zh-CN"/>
        </w:rPr>
        <w:instrText xml:space="preserve"> HYPERLINK "mailto:gxgsyycgb@163.com" </w:instrText>
      </w:r>
      <w:r>
        <w:rPr>
          <w:rFonts w:hint="eastAsia" w:ascii="宋体" w:hAnsi="宋体" w:eastAsia="宋体" w:cs="Times New Roman"/>
          <w:bCs/>
          <w:color w:val="000000"/>
          <w:szCs w:val="21"/>
          <w:lang w:val="en-US" w:eastAsia="zh-CN"/>
        </w:rPr>
        <w:fldChar w:fldCharType="separate"/>
      </w:r>
      <w:r>
        <w:rPr>
          <w:rStyle w:val="9"/>
          <w:rFonts w:hint="eastAsia" w:ascii="宋体" w:hAnsi="宋体" w:eastAsia="宋体" w:cs="Times New Roman"/>
          <w:bCs/>
          <w:color w:val="000000"/>
          <w:szCs w:val="21"/>
          <w:lang w:val="en-US" w:eastAsia="zh-CN"/>
        </w:rPr>
        <w:t>gxgsyycgb@163.com</w:t>
      </w:r>
      <w:r>
        <w:rPr>
          <w:rFonts w:hint="eastAsia" w:ascii="宋体" w:hAnsi="宋体" w:eastAsia="宋体" w:cs="Times New Roman"/>
          <w:bCs/>
          <w:color w:val="000000"/>
          <w:szCs w:val="21"/>
          <w:lang w:val="en-US" w:eastAsia="zh-CN"/>
        </w:rPr>
        <w:fldChar w:fldCharType="end"/>
      </w:r>
    </w:p>
    <w:p w14:paraId="322B7714">
      <w:pPr>
        <w:spacing w:line="400" w:lineRule="exact"/>
        <w:ind w:firstLine="420" w:firstLineChars="200"/>
        <w:rPr>
          <w:rFonts w:hint="default" w:ascii="宋体" w:hAnsi="宋体" w:eastAsia="宋体" w:cs="Times New Roman"/>
          <w:bCs/>
          <w:color w:val="000000"/>
          <w:szCs w:val="21"/>
          <w:lang w:val="en-US" w:eastAsia="zh-CN"/>
        </w:rPr>
      </w:pPr>
    </w:p>
    <w:p w14:paraId="32786646">
      <w:pPr>
        <w:spacing w:line="400" w:lineRule="exact"/>
        <w:rPr>
          <w:rFonts w:hint="default" w:ascii="宋体" w:hAnsi="宋体" w:eastAsia="宋体" w:cs="Times New Roman"/>
          <w:bCs/>
          <w:color w:val="000000"/>
          <w:szCs w:val="21"/>
          <w:lang w:val="en-US" w:eastAsia="zh-CN"/>
        </w:rPr>
      </w:pPr>
    </w:p>
    <w:p w14:paraId="7C8BBAA1">
      <w:pPr>
        <w:spacing w:line="400" w:lineRule="exact"/>
        <w:ind w:firstLine="420" w:firstLineChars="200"/>
        <w:rPr>
          <w:rFonts w:hint="default" w:ascii="宋体" w:hAnsi="宋体" w:eastAsia="宋体" w:cs="Times New Roman"/>
          <w:bCs/>
          <w:color w:val="000000"/>
          <w:szCs w:val="21"/>
          <w:lang w:val="en-US" w:eastAsia="zh-CN"/>
        </w:rPr>
      </w:pPr>
    </w:p>
    <w:p w14:paraId="54E20A10">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 6月  日</w:t>
      </w:r>
    </w:p>
    <w:p w14:paraId="52E386F8">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14:paraId="77F1EAC9">
      <w:pPr>
        <w:spacing w:line="320" w:lineRule="exact"/>
        <w:rPr>
          <w:rFonts w:hint="eastAsia" w:ascii="宋体" w:hAnsi="宋体" w:eastAsia="宋体" w:cs="Times New Roman"/>
          <w:color w:val="000000"/>
          <w:szCs w:val="21"/>
        </w:rPr>
      </w:pPr>
    </w:p>
    <w:p w14:paraId="693E78D3">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采购需求</w:t>
      </w:r>
    </w:p>
    <w:p w14:paraId="2BF53F27">
      <w:pPr>
        <w:numPr>
          <w:ilvl w:val="0"/>
          <w:numId w:val="0"/>
        </w:numPr>
        <w:spacing w:line="320" w:lineRule="exact"/>
        <w:jc w:val="both"/>
        <w:rPr>
          <w:rFonts w:hint="default" w:ascii="宋体" w:hAnsi="宋体" w:eastAsia="宋体" w:cs="Times New Roman"/>
          <w:color w:val="000000"/>
          <w:szCs w:val="21"/>
          <w:lang w:val="en-US" w:eastAsia="zh-CN"/>
        </w:rPr>
      </w:pPr>
    </w:p>
    <w:p w14:paraId="53701156">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lang w:val="en-US" w:eastAsia="zh-CN"/>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w:t>
      </w:r>
      <w:r>
        <w:rPr>
          <w:rFonts w:hint="eastAsia" w:ascii="宋体" w:hAnsi="宋体" w:eastAsia="宋体" w:cs="Times New Roman"/>
          <w:b/>
          <w:bCs/>
          <w:color w:val="000000"/>
          <w:szCs w:val="21"/>
          <w:lang w:val="en-US" w:eastAsia="zh-CN"/>
        </w:rPr>
        <w:t>一览表</w:t>
      </w:r>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14:paraId="0EEAD546">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采购预算：详见公告</w:t>
      </w:r>
    </w:p>
    <w:p w14:paraId="0EA245A4">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63"/>
        <w:gridCol w:w="1066"/>
        <w:gridCol w:w="5597"/>
      </w:tblGrid>
      <w:tr w14:paraId="6FAC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4"/>
            <w:shd w:val="clear" w:color="auto" w:fill="auto"/>
            <w:vAlign w:val="center"/>
          </w:tcPr>
          <w:p w14:paraId="6D98703D">
            <w:pPr>
              <w:spacing w:line="400" w:lineRule="exact"/>
              <w:rPr>
                <w:rFonts w:ascii="宋体" w:hAnsi="宋体" w:eastAsia="宋体" w:cs="Times New Roman"/>
                <w:b/>
                <w:bCs/>
                <w:szCs w:val="21"/>
              </w:rPr>
            </w:pPr>
            <w:r>
              <w:rPr>
                <w:rFonts w:hint="eastAsia" w:ascii="宋体" w:hAnsi="宋体" w:eastAsia="宋体" w:cs="Times New Roman"/>
                <w:szCs w:val="21"/>
              </w:rPr>
              <w:t>▲</w:t>
            </w:r>
            <w:r>
              <w:rPr>
                <w:rFonts w:hint="eastAsia" w:ascii="宋体" w:hAnsi="宋体" w:eastAsia="宋体" w:cs="Times New Roman"/>
                <w:b/>
                <w:bCs/>
                <w:szCs w:val="21"/>
              </w:rPr>
              <w:t>一、项目要求及技术需求</w:t>
            </w:r>
          </w:p>
        </w:tc>
      </w:tr>
      <w:tr w14:paraId="6A70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shd w:val="clear" w:color="auto" w:fill="auto"/>
            <w:vAlign w:val="center"/>
          </w:tcPr>
          <w:p w14:paraId="44EE9605">
            <w:pPr>
              <w:spacing w:line="400" w:lineRule="exact"/>
              <w:jc w:val="center"/>
              <w:rPr>
                <w:rFonts w:ascii="宋体" w:hAnsi="宋体" w:eastAsia="宋体" w:cs="Times New Roman"/>
                <w:szCs w:val="21"/>
              </w:rPr>
            </w:pPr>
            <w:r>
              <w:rPr>
                <w:rFonts w:hint="eastAsia" w:ascii="宋体" w:hAnsi="宋体" w:eastAsia="宋体" w:cs="Times New Roman"/>
                <w:szCs w:val="21"/>
                <w:lang w:val="en-US" w:eastAsia="zh-CN"/>
              </w:rPr>
              <w:t>项目</w:t>
            </w:r>
            <w:r>
              <w:rPr>
                <w:rFonts w:hint="eastAsia" w:ascii="宋体" w:hAnsi="宋体" w:eastAsia="宋体" w:cs="Times New Roman"/>
                <w:szCs w:val="21"/>
              </w:rPr>
              <w:t>内容</w:t>
            </w:r>
          </w:p>
        </w:tc>
        <w:tc>
          <w:tcPr>
            <w:tcW w:w="1129" w:type="dxa"/>
            <w:gridSpan w:val="2"/>
            <w:shd w:val="clear" w:color="auto" w:fill="auto"/>
            <w:vAlign w:val="center"/>
          </w:tcPr>
          <w:p w14:paraId="5962D217">
            <w:pPr>
              <w:spacing w:line="40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服务年限</w:t>
            </w:r>
          </w:p>
        </w:tc>
        <w:tc>
          <w:tcPr>
            <w:tcW w:w="5597" w:type="dxa"/>
            <w:shd w:val="clear" w:color="auto" w:fill="auto"/>
            <w:vAlign w:val="center"/>
          </w:tcPr>
          <w:p w14:paraId="5A425CD1">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项目要求及技术需求</w:t>
            </w:r>
          </w:p>
        </w:tc>
      </w:tr>
      <w:tr w14:paraId="1D99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shd w:val="clear" w:color="auto" w:fill="auto"/>
            <w:vAlign w:val="center"/>
          </w:tcPr>
          <w:p w14:paraId="498B1C67">
            <w:pPr>
              <w:spacing w:line="400" w:lineRule="exact"/>
              <w:rPr>
                <w:rFonts w:hint="eastAsia" w:ascii="宋体" w:hAnsi="宋体" w:eastAsia="宋体" w:cs="Times New Roman"/>
                <w:szCs w:val="21"/>
                <w:lang w:eastAsia="zh-CN"/>
              </w:rPr>
            </w:pPr>
            <w:r>
              <w:rPr>
                <w:rFonts w:hint="eastAsia" w:ascii="宋体" w:hAnsi="宋体" w:eastAsia="宋体" w:cs="Times New Roman"/>
                <w:bCs/>
                <w:color w:val="000000"/>
                <w:szCs w:val="21"/>
                <w:lang w:eastAsia="zh-CN"/>
              </w:rPr>
              <w:t>广西骨伤医院放射科东芝CT机维保服务供应商遴选项目</w:t>
            </w:r>
          </w:p>
        </w:tc>
        <w:tc>
          <w:tcPr>
            <w:tcW w:w="1129" w:type="dxa"/>
            <w:gridSpan w:val="2"/>
            <w:shd w:val="clear" w:color="auto" w:fill="auto"/>
            <w:vAlign w:val="center"/>
          </w:tcPr>
          <w:p w14:paraId="4017314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2年</w:t>
            </w:r>
          </w:p>
        </w:tc>
        <w:tc>
          <w:tcPr>
            <w:tcW w:w="5597" w:type="dxa"/>
            <w:shd w:val="clear" w:color="auto" w:fill="auto"/>
            <w:vAlign w:val="center"/>
          </w:tcPr>
          <w:p w14:paraId="34955A2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一、项目概述</w:t>
            </w:r>
          </w:p>
          <w:p w14:paraId="59D6A2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1、项目内容：CT设备维护保养服务。</w:t>
            </w:r>
          </w:p>
          <w:p w14:paraId="245776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2、项目实施地点：医院指定地点。</w:t>
            </w:r>
          </w:p>
          <w:p w14:paraId="58442BE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二、服务内容包含</w:t>
            </w:r>
          </w:p>
          <w:p w14:paraId="70806C4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1、设备定期检查保养费。</w:t>
            </w:r>
          </w:p>
          <w:p w14:paraId="13CCD8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2、维修人员的工时费、差旅费。</w:t>
            </w:r>
          </w:p>
          <w:p w14:paraId="5458DE2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3、保修设备的零配件如有故障需要更换，更换的不良品由成交人负责处理。合同期间零配件费用为佳能价格9折。</w:t>
            </w:r>
          </w:p>
          <w:p w14:paraId="33F1BB7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4、远程维修服务：我单位可通过电话、网络等手段免费得到成交人的技术支持。</w:t>
            </w:r>
          </w:p>
          <w:p w14:paraId="03F6F85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三、维保服务的具体要求</w:t>
            </w:r>
          </w:p>
          <w:p w14:paraId="32EF52E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1、定期保养：须在一年内至少提供4次定期维护，</w:t>
            </w:r>
            <w:r>
              <w:rPr>
                <w:rFonts w:hint="eastAsia" w:ascii="宋体" w:hAnsi="宋体" w:eastAsia="宋体" w:cs="Times New Roman"/>
                <w:bCs/>
                <w:color w:val="000000"/>
                <w:szCs w:val="21"/>
                <w:lang w:val="en-US" w:eastAsia="zh-CN"/>
              </w:rPr>
              <w:t>一年内维修停机天数不能超过18天</w:t>
            </w:r>
            <w:r>
              <w:rPr>
                <w:rFonts w:hint="eastAsia" w:ascii="宋体" w:hAnsi="宋体" w:eastAsia="宋体" w:cs="Times New Roman"/>
                <w:bCs/>
                <w:color w:val="000000"/>
                <w:szCs w:val="21"/>
                <w:lang w:eastAsia="zh-CN"/>
              </w:rPr>
              <w:t>。每次维护保养完成后，中标人须向我单位提供维护保养报告。中标人应在预期维护保养时间之前一周内通知我单位保养时间。</w:t>
            </w:r>
          </w:p>
          <w:p w14:paraId="7F4381B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2、定期的维护保养服务包括：设备的安全检查、影像质量检查、设备除尘保养、运行状态检查等。</w:t>
            </w:r>
          </w:p>
          <w:p w14:paraId="32B9AA8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3、维修如有配件需要更换，使用配件应为原厂全新配件，并保证设备经维修后的技术参数与原机数据相同，符合国家计量检测要求。</w:t>
            </w:r>
          </w:p>
          <w:p w14:paraId="7B9C117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eastAsia="zh-CN"/>
              </w:rPr>
              <w:t>4、服务响应时间：设备发生故障时，中标人须在 1 小时内响应，提供电话、网络等技术支持。如以上技术支持无法解决设备故障，中标人须在 48 小时内到达设备使用现场进行维修，排除故障。</w:t>
            </w:r>
          </w:p>
        </w:tc>
      </w:tr>
      <w:tr w14:paraId="4C2E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4"/>
            <w:shd w:val="clear" w:color="auto" w:fill="auto"/>
            <w:vAlign w:val="center"/>
          </w:tcPr>
          <w:p w14:paraId="098FFBB5">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14:paraId="5495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gridSpan w:val="2"/>
            <w:shd w:val="clear" w:color="auto" w:fill="auto"/>
            <w:vAlign w:val="center"/>
          </w:tcPr>
          <w:p w14:paraId="7511B75F">
            <w:pPr>
              <w:jc w:val="left"/>
              <w:rPr>
                <w:rFonts w:ascii="宋体" w:hAnsi="宋体" w:eastAsia="宋体" w:cs="Times New Roman"/>
                <w:b/>
                <w:szCs w:val="21"/>
              </w:rPr>
            </w:pPr>
            <w:r>
              <w:rPr>
                <w:rFonts w:hint="eastAsia" w:ascii="Calibri" w:hAnsi="Calibri" w:eastAsia="宋体" w:cs="Times New Roman"/>
                <w:szCs w:val="24"/>
              </w:rPr>
              <w:t>报价要求</w:t>
            </w:r>
          </w:p>
        </w:tc>
        <w:tc>
          <w:tcPr>
            <w:tcW w:w="6663" w:type="dxa"/>
            <w:gridSpan w:val="2"/>
            <w:shd w:val="clear" w:color="auto" w:fill="auto"/>
            <w:vAlign w:val="center"/>
          </w:tcPr>
          <w:p w14:paraId="3F15A17F">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竞标报价为全包价，以人民币为结算单位，</w:t>
            </w:r>
            <w:r>
              <w:rPr>
                <w:rFonts w:hint="eastAsia" w:ascii="宋体" w:hAnsi="宋体" w:eastAsia="宋体" w:cs="宋体"/>
                <w:bCs/>
                <w:szCs w:val="21"/>
                <w:lang w:val="en-US" w:eastAsia="zh-CN"/>
              </w:rPr>
              <w:t>合同期内提供不限次数的维修，不额外收取维修费和差旅费，如有配件更换，另行收费，以报价为准</w:t>
            </w:r>
            <w:r>
              <w:rPr>
                <w:rFonts w:hint="eastAsia" w:ascii="宋体" w:hAnsi="宋体" w:eastAsia="宋体" w:cs="宋体"/>
                <w:bCs/>
                <w:szCs w:val="21"/>
              </w:rPr>
              <w:t>。在合同实施时，将不予支付成交供应商没有列入的项目费用，并认为此项目的费用已包括在总报价中。</w:t>
            </w:r>
          </w:p>
        </w:tc>
      </w:tr>
      <w:tr w14:paraId="2D18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gridSpan w:val="2"/>
            <w:shd w:val="clear" w:color="auto" w:fill="auto"/>
            <w:vAlign w:val="center"/>
          </w:tcPr>
          <w:p w14:paraId="4CE0AA97">
            <w:pPr>
              <w:spacing w:line="320" w:lineRule="exact"/>
              <w:jc w:val="center"/>
              <w:rPr>
                <w:rFonts w:ascii="宋体" w:hAnsi="宋体" w:eastAsia="宋体" w:cs="Times New Roman"/>
                <w:szCs w:val="21"/>
              </w:rPr>
            </w:pPr>
            <w:r>
              <w:rPr>
                <w:rFonts w:hint="eastAsia" w:ascii="Calibri" w:hAnsi="Calibri" w:eastAsia="宋体" w:cs="Times New Roman"/>
                <w:szCs w:val="24"/>
              </w:rPr>
              <w:t>售后技术服务要求</w:t>
            </w:r>
          </w:p>
        </w:tc>
        <w:tc>
          <w:tcPr>
            <w:tcW w:w="6663" w:type="dxa"/>
            <w:gridSpan w:val="2"/>
            <w:shd w:val="clear" w:color="auto" w:fill="auto"/>
            <w:vAlign w:val="center"/>
          </w:tcPr>
          <w:p w14:paraId="24FB9549">
            <w:pPr>
              <w:numPr>
                <w:ilvl w:val="0"/>
                <w:numId w:val="2"/>
              </w:numPr>
              <w:spacing w:line="320" w:lineRule="exact"/>
              <w:ind w:firstLine="33" w:firstLineChars="16"/>
              <w:rPr>
                <w:rFonts w:hint="eastAsia" w:ascii="宋体" w:hAnsi="宋体" w:eastAsia="宋体" w:cs="宋体"/>
                <w:bCs/>
                <w:szCs w:val="21"/>
                <w:lang w:val="en-US" w:eastAsia="zh-CN"/>
              </w:rPr>
            </w:pPr>
            <w:r>
              <w:rPr>
                <w:rFonts w:hint="eastAsia" w:ascii="宋体" w:hAnsi="宋体" w:eastAsia="宋体" w:cs="宋体"/>
                <w:bCs/>
                <w:szCs w:val="21"/>
                <w:lang w:val="en-US" w:eastAsia="zh-CN"/>
              </w:rPr>
              <w:t>接到故障报错后，马上电话协助医院排除问题，如需到场48小时内派出工程师医院检修设备；如遇紧急加班服务，技术人员随叫随到，不另收取任何费用；</w:t>
            </w:r>
          </w:p>
          <w:p w14:paraId="07E905F4">
            <w:pPr>
              <w:numPr>
                <w:ilvl w:val="0"/>
                <w:numId w:val="2"/>
              </w:numPr>
              <w:spacing w:line="320" w:lineRule="exact"/>
              <w:ind w:firstLine="33" w:firstLineChars="16"/>
              <w:rPr>
                <w:rFonts w:hint="eastAsia" w:ascii="宋体" w:hAnsi="宋体" w:eastAsia="宋体" w:cs="宋体"/>
                <w:bCs/>
                <w:szCs w:val="21"/>
                <w:lang w:val="en-US" w:eastAsia="zh-CN"/>
              </w:rPr>
            </w:pPr>
            <w:r>
              <w:rPr>
                <w:rFonts w:hint="eastAsia" w:ascii="宋体" w:hAnsi="宋体" w:eastAsia="宋体" w:cs="宋体"/>
                <w:bCs/>
                <w:szCs w:val="21"/>
                <w:lang w:val="en-US" w:eastAsia="zh-CN"/>
              </w:rPr>
              <w:t>在保修期内每年对设备进行4次免费维护保养（包括安全性能、影像、运行等检查和设备除尘等）,并提供保养和设备运行情况总结报告；</w:t>
            </w:r>
          </w:p>
          <w:p w14:paraId="1BC332D5">
            <w:pPr>
              <w:numPr>
                <w:ilvl w:val="0"/>
                <w:numId w:val="2"/>
              </w:numPr>
              <w:spacing w:line="320" w:lineRule="exact"/>
              <w:ind w:firstLine="33" w:firstLineChars="16"/>
              <w:rPr>
                <w:rFonts w:hint="eastAsia" w:ascii="宋体" w:hAnsi="宋体" w:eastAsia="宋体" w:cs="宋体"/>
                <w:bCs/>
                <w:szCs w:val="21"/>
                <w:lang w:val="en-US" w:eastAsia="zh-CN"/>
              </w:rPr>
            </w:pPr>
            <w:r>
              <w:rPr>
                <w:rFonts w:hint="eastAsia" w:ascii="宋体" w:hAnsi="宋体" w:eastAsia="宋体" w:cs="宋体"/>
                <w:bCs/>
                <w:szCs w:val="21"/>
                <w:lang w:val="en-US" w:eastAsia="zh-CN"/>
              </w:rPr>
              <w:t>在保修期内，维保公司保证配合保养计划，针对产品的外部环境，注要参数与性能做质量评估，根据设备应用情况，不定期进行应用交流，设备跟踪服务；</w:t>
            </w:r>
          </w:p>
          <w:p w14:paraId="5317533F">
            <w:pPr>
              <w:numPr>
                <w:ilvl w:val="0"/>
                <w:numId w:val="2"/>
              </w:numPr>
              <w:spacing w:line="320" w:lineRule="exact"/>
              <w:ind w:firstLine="33" w:firstLineChars="16"/>
              <w:rPr>
                <w:rFonts w:hint="eastAsia" w:ascii="宋体" w:hAnsi="宋体" w:eastAsia="宋体" w:cs="Times New Roman"/>
                <w:bCs/>
                <w:szCs w:val="21"/>
                <w:lang w:eastAsia="zh-CN"/>
              </w:rPr>
            </w:pPr>
            <w:r>
              <w:rPr>
                <w:rFonts w:hint="eastAsia" w:ascii="宋体" w:hAnsi="宋体" w:eastAsia="宋体" w:cs="宋体"/>
                <w:bCs/>
                <w:szCs w:val="21"/>
                <w:lang w:val="en-US" w:eastAsia="zh-CN"/>
              </w:rPr>
              <w:t>计划性定期的技术服务检测包括机器清洁、性能测试及校准、必要的机械或电气的检查，以及非紧急性质的补救性服务，和确保系统能按照制造商的产品规格运行的服务。</w:t>
            </w:r>
          </w:p>
        </w:tc>
      </w:tr>
      <w:tr w14:paraId="04A5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gridSpan w:val="2"/>
            <w:shd w:val="clear" w:color="auto" w:fill="auto"/>
            <w:vAlign w:val="center"/>
          </w:tcPr>
          <w:p w14:paraId="574A0B59">
            <w:pPr>
              <w:spacing w:line="320" w:lineRule="exact"/>
              <w:jc w:val="center"/>
              <w:rPr>
                <w:rFonts w:ascii="宋体" w:hAnsi="宋体" w:eastAsia="宋体" w:cs="Times New Roman"/>
                <w:szCs w:val="21"/>
              </w:rPr>
            </w:pPr>
            <w:r>
              <w:rPr>
                <w:rFonts w:hint="eastAsia" w:ascii="Calibri" w:hAnsi="Calibri" w:eastAsia="宋体" w:cs="Times New Roman"/>
                <w:szCs w:val="24"/>
                <w:lang w:val="en-US" w:eastAsia="zh-CN"/>
              </w:rPr>
              <w:t>合同期限及</w:t>
            </w:r>
            <w:r>
              <w:rPr>
                <w:rFonts w:hint="eastAsia" w:ascii="Calibri" w:hAnsi="Calibri" w:eastAsia="宋体" w:cs="Times New Roman"/>
                <w:szCs w:val="24"/>
              </w:rPr>
              <w:t>付款条件</w:t>
            </w:r>
          </w:p>
        </w:tc>
        <w:tc>
          <w:tcPr>
            <w:tcW w:w="6663" w:type="dxa"/>
            <w:gridSpan w:val="2"/>
            <w:shd w:val="clear" w:color="auto" w:fill="auto"/>
            <w:vAlign w:val="center"/>
          </w:tcPr>
          <w:p w14:paraId="6A83ADA3">
            <w:pPr>
              <w:numPr>
                <w:ilvl w:val="0"/>
                <w:numId w:val="0"/>
              </w:numPr>
              <w:spacing w:line="320" w:lineRule="exact"/>
              <w:rPr>
                <w:rFonts w:hint="default" w:ascii="宋体" w:hAnsi="宋体" w:eastAsia="宋体" w:cs="宋体"/>
                <w:bCs/>
                <w:szCs w:val="21"/>
                <w:lang w:val="en-US" w:eastAsia="zh-CN"/>
              </w:rPr>
            </w:pPr>
            <w:r>
              <w:rPr>
                <w:rFonts w:hint="eastAsia" w:ascii="宋体" w:hAnsi="宋体" w:eastAsia="宋体" w:cs="宋体"/>
                <w:bCs/>
                <w:szCs w:val="21"/>
                <w:lang w:val="en-US" w:eastAsia="zh-CN"/>
              </w:rPr>
              <w:t>1.服务期限共计2年，分两期执行。如中标人在第一期内服务未达到采购人要求，采购人可单方终止合同。如中标人在第一期内服务达到采购人要求，双方可继续执行第二期限的合同。</w:t>
            </w:r>
          </w:p>
          <w:p w14:paraId="6B6D80A7">
            <w:pPr>
              <w:numPr>
                <w:ilvl w:val="0"/>
                <w:numId w:val="0"/>
              </w:numPr>
              <w:spacing w:line="320" w:lineRule="exact"/>
              <w:ind w:left="0" w:leftChars="0" w:firstLine="0" w:firstLineChars="0"/>
              <w:rPr>
                <w:rFonts w:ascii="宋体" w:hAnsi="宋体" w:eastAsia="宋体" w:cs="Times New Roman"/>
                <w:bCs/>
                <w:szCs w:val="21"/>
              </w:rPr>
            </w:pPr>
            <w:r>
              <w:rPr>
                <w:rFonts w:hint="eastAsia" w:ascii="宋体" w:hAnsi="宋体" w:eastAsia="宋体" w:cs="宋体"/>
                <w:bCs/>
                <w:szCs w:val="21"/>
                <w:lang w:val="en-US" w:eastAsia="zh-CN"/>
              </w:rPr>
              <w:t>2.付款方式：合同签订后30个工作日内，中标人开具合同总金额的50%的发票给采购人，核实无误后，采购人7日内支付发票金额的100%，即第1年的服务费用；若双方执行第二期限的合同，第一期限结束后，中标人开具合同总金额的50%的发票，核实无误后，采购人7日内支付发票金额的100%，即第2年的服务费用。</w:t>
            </w:r>
          </w:p>
        </w:tc>
      </w:tr>
      <w:tr w14:paraId="1FCF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gridSpan w:val="2"/>
            <w:shd w:val="clear" w:color="auto" w:fill="auto"/>
            <w:vAlign w:val="center"/>
          </w:tcPr>
          <w:p w14:paraId="42D152FC">
            <w:pPr>
              <w:spacing w:line="320" w:lineRule="exact"/>
              <w:jc w:val="center"/>
              <w:rPr>
                <w:rFonts w:ascii="宋体" w:hAnsi="宋体" w:eastAsia="宋体" w:cs="Times New Roman"/>
                <w:szCs w:val="21"/>
              </w:rPr>
            </w:pPr>
            <w:r>
              <w:rPr>
                <w:rFonts w:hint="eastAsia" w:ascii="宋体" w:hAnsi="宋体" w:eastAsia="宋体" w:cs="宋体"/>
                <w:color w:val="000000"/>
                <w:szCs w:val="21"/>
              </w:rPr>
              <w:t>实施方案</w:t>
            </w:r>
          </w:p>
        </w:tc>
        <w:tc>
          <w:tcPr>
            <w:tcW w:w="6663" w:type="dxa"/>
            <w:gridSpan w:val="2"/>
            <w:shd w:val="clear" w:color="auto" w:fill="auto"/>
            <w:vAlign w:val="top"/>
          </w:tcPr>
          <w:p w14:paraId="7D8A1942">
            <w:pPr>
              <w:spacing w:line="320" w:lineRule="exact"/>
              <w:jc w:val="left"/>
              <w:rPr>
                <w:rFonts w:ascii="宋体" w:hAnsi="宋体" w:eastAsia="宋体" w:cs="Times New Roman"/>
                <w:bCs/>
                <w:szCs w:val="21"/>
              </w:rPr>
            </w:pPr>
            <w:r>
              <w:rPr>
                <w:rFonts w:hint="eastAsia" w:ascii="宋体" w:hAnsi="宋体" w:eastAsia="宋体" w:cs="宋体"/>
                <w:color w:val="000000"/>
                <w:szCs w:val="21"/>
                <w:lang w:val="en-US" w:eastAsia="zh-CN"/>
              </w:rPr>
              <w:t>投标人</w:t>
            </w:r>
            <w:r>
              <w:rPr>
                <w:rFonts w:hint="eastAsia" w:ascii="宋体" w:hAnsi="宋体" w:eastAsia="宋体" w:cs="宋体"/>
                <w:color w:val="000000"/>
                <w:szCs w:val="21"/>
              </w:rPr>
              <w:t>需提供完整的实施方案，包含具体的</w:t>
            </w:r>
            <w:r>
              <w:rPr>
                <w:rFonts w:hint="eastAsia" w:ascii="宋体" w:hAnsi="宋体" w:eastAsia="宋体" w:cs="宋体"/>
                <w:color w:val="000000"/>
                <w:szCs w:val="21"/>
                <w:lang w:val="en-US" w:eastAsia="zh-CN"/>
              </w:rPr>
              <w:t>维保服务方案</w:t>
            </w:r>
            <w:r>
              <w:rPr>
                <w:rFonts w:hint="eastAsia" w:ascii="宋体" w:hAnsi="宋体" w:eastAsia="宋体" w:cs="宋体"/>
                <w:color w:val="000000"/>
                <w:szCs w:val="21"/>
              </w:rPr>
              <w:t>和人员安排。</w:t>
            </w:r>
          </w:p>
        </w:tc>
      </w:tr>
      <w:tr w14:paraId="0650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gridSpan w:val="2"/>
            <w:shd w:val="clear" w:color="auto" w:fill="auto"/>
            <w:vAlign w:val="center"/>
          </w:tcPr>
          <w:p w14:paraId="0E29108F">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14:paraId="736D0C99">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不能响应的视为无效投标</w:t>
            </w:r>
            <w:r>
              <w:rPr>
                <w:rFonts w:hint="eastAsia" w:ascii="宋体" w:hAnsi="宋体" w:eastAsia="宋体" w:cs="Times New Roman"/>
                <w:bCs/>
                <w:szCs w:val="21"/>
              </w:rPr>
              <w:t>。</w:t>
            </w:r>
          </w:p>
        </w:tc>
      </w:tr>
    </w:tbl>
    <w:p w14:paraId="0039F75C">
      <w:pPr>
        <w:spacing w:line="360" w:lineRule="atLeast"/>
        <w:ind w:firstLine="495"/>
        <w:rPr>
          <w:rFonts w:ascii="Calibri" w:hAnsi="Calibri" w:eastAsia="宋体" w:cs="Times New Roman"/>
          <w:szCs w:val="24"/>
        </w:rPr>
      </w:pPr>
    </w:p>
    <w:p w14:paraId="4E753881">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14:paraId="61F9C26C">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一、评标办法：</w:t>
      </w:r>
      <w:r>
        <w:rPr>
          <w:rFonts w:hint="eastAsia" w:ascii="宋体" w:hAnsi="宋体" w:eastAsia="宋体" w:cs="Times New Roman"/>
          <w:bCs/>
          <w:color w:val="000000"/>
          <w:szCs w:val="21"/>
          <w:lang w:val="en-US" w:eastAsia="zh-CN"/>
        </w:rPr>
        <w:t>竞争性谈判法</w:t>
      </w:r>
    </w:p>
    <w:p w14:paraId="634B9F8A">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14:paraId="235AF629">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评委构成：本招标采购项目的评委由</w:t>
      </w:r>
      <w:r>
        <w:rPr>
          <w:rFonts w:hint="eastAsia" w:ascii="宋体" w:hAnsi="宋体" w:eastAsia="宋体" w:cs="Times New Roman"/>
          <w:bCs/>
          <w:color w:val="000000"/>
          <w:szCs w:val="21"/>
          <w:lang w:val="en-US" w:eastAsia="zh-CN"/>
        </w:rPr>
        <w:t>医院3名评审专家组</w:t>
      </w:r>
      <w:r>
        <w:rPr>
          <w:rFonts w:ascii="宋体" w:hAnsi="宋体" w:eastAsia="宋体" w:cs="Times New Roman"/>
          <w:bCs/>
          <w:color w:val="000000"/>
          <w:szCs w:val="21"/>
        </w:rPr>
        <w:t>成。</w:t>
      </w:r>
    </w:p>
    <w:p w14:paraId="32374A3A">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w:t>
      </w:r>
      <w:r>
        <w:rPr>
          <w:rFonts w:hint="eastAsia" w:ascii="宋体" w:hAnsi="宋体" w:eastAsia="宋体" w:cs="Times New Roman"/>
          <w:bCs/>
          <w:color w:val="000000"/>
          <w:szCs w:val="21"/>
          <w:lang w:val="en-US" w:eastAsia="zh-CN"/>
        </w:rPr>
        <w:t>能力、业绩</w:t>
      </w:r>
      <w:r>
        <w:rPr>
          <w:rFonts w:ascii="宋体" w:hAnsi="宋体" w:eastAsia="宋体" w:cs="Times New Roman"/>
          <w:bCs/>
          <w:color w:val="000000"/>
          <w:szCs w:val="21"/>
        </w:rPr>
        <w:t>、售后服务</w:t>
      </w:r>
      <w:r>
        <w:rPr>
          <w:rFonts w:hint="eastAsia" w:ascii="宋体" w:hAnsi="宋体" w:eastAsia="宋体" w:cs="Times New Roman"/>
          <w:bCs/>
          <w:color w:val="000000"/>
          <w:szCs w:val="21"/>
          <w:lang w:val="en-US" w:eastAsia="zh-CN"/>
        </w:rPr>
        <w:t>分</w:t>
      </w:r>
      <w:r>
        <w:rPr>
          <w:rFonts w:ascii="宋体" w:hAnsi="宋体" w:eastAsia="宋体" w:cs="Times New Roman"/>
          <w:bCs/>
          <w:color w:val="000000"/>
          <w:szCs w:val="21"/>
        </w:rPr>
        <w:t>等方面内容按百分制打分。其中价格分</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r>
        <w:rPr>
          <w:rFonts w:hint="eastAsia" w:ascii="宋体" w:hAnsi="宋体" w:eastAsia="宋体" w:cs="Times New Roman"/>
          <w:bCs/>
          <w:color w:val="000000"/>
          <w:szCs w:val="21"/>
          <w:lang w:val="en-US" w:eastAsia="zh-CN"/>
        </w:rPr>
        <w:t>能力、业绩</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32</w:t>
      </w:r>
      <w:r>
        <w:rPr>
          <w:rFonts w:ascii="宋体" w:hAnsi="宋体" w:eastAsia="宋体" w:cs="Times New Roman"/>
          <w:bCs/>
          <w:color w:val="000000"/>
          <w:szCs w:val="21"/>
        </w:rPr>
        <w:t>分、售后服务分</w:t>
      </w:r>
      <w:r>
        <w:rPr>
          <w:rFonts w:hint="eastAsia" w:ascii="宋体" w:hAnsi="宋体" w:eastAsia="宋体" w:cs="Times New Roman"/>
          <w:bCs/>
          <w:color w:val="000000"/>
          <w:szCs w:val="21"/>
          <w:lang w:val="en-US" w:eastAsia="zh-CN"/>
        </w:rPr>
        <w:t>8</w:t>
      </w:r>
      <w:r>
        <w:rPr>
          <w:rFonts w:ascii="宋体" w:hAnsi="宋体" w:eastAsia="宋体" w:cs="Times New Roman"/>
          <w:bCs/>
          <w:color w:val="000000"/>
          <w:szCs w:val="21"/>
        </w:rPr>
        <w:t>分。</w:t>
      </w:r>
    </w:p>
    <w:p w14:paraId="1365B18E">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14:paraId="680CD5EC">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14:paraId="6F8D72A1">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14:paraId="0F6E3AB8">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14:paraId="6A044F7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14:paraId="3276CDFC">
      <w:pPr>
        <w:spacing w:line="400" w:lineRule="exact"/>
        <w:ind w:firstLine="420" w:firstLineChars="200"/>
        <w:rPr>
          <w:rFonts w:ascii="宋体" w:hAnsi="宋体" w:eastAsia="宋体" w:cs="Times New Roman"/>
          <w:bCs/>
          <w:color w:val="000000"/>
          <w:szCs w:val="21"/>
        </w:rPr>
      </w:pPr>
    </w:p>
    <w:p w14:paraId="69B7F4FC">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14:paraId="6D8531A7">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14:paraId="41506D92">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14:paraId="0AC4F2DD">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能力、业绩</w:t>
      </w:r>
      <w:r>
        <w:rPr>
          <w:rFonts w:ascii="宋体" w:hAnsi="宋体" w:eastAsia="宋体" w:cs="Times New Roman"/>
          <w:bCs/>
          <w:color w:val="000000"/>
          <w:szCs w:val="21"/>
        </w:rPr>
        <w:t xml:space="preserve">分………………………………………………………………………… </w:t>
      </w:r>
      <w:r>
        <w:rPr>
          <w:rFonts w:hint="eastAsia" w:ascii="宋体" w:hAnsi="宋体" w:eastAsia="宋体" w:cs="Times New Roman"/>
          <w:bCs/>
          <w:color w:val="000000"/>
          <w:szCs w:val="21"/>
          <w:lang w:val="en-US" w:eastAsia="zh-CN"/>
        </w:rPr>
        <w:t>32</w:t>
      </w:r>
      <w:r>
        <w:rPr>
          <w:rFonts w:ascii="宋体" w:hAnsi="宋体" w:eastAsia="宋体" w:cs="Times New Roman"/>
          <w:bCs/>
          <w:color w:val="000000"/>
          <w:szCs w:val="21"/>
        </w:rPr>
        <w:t>分</w:t>
      </w:r>
    </w:p>
    <w:p w14:paraId="6F55AF2C">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能力分（24分）</w:t>
      </w:r>
    </w:p>
    <w:p w14:paraId="72616EF3">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供应商拟投入本项目的专业技术人员经原厂培训，有3年以上（含3年）维修CT机经验并具有CT维修资质培训证书的；</w:t>
      </w:r>
    </w:p>
    <w:p w14:paraId="00A4E2EE">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供应商具有对应本项目CT设备的专业维修工具的；</w:t>
      </w:r>
    </w:p>
    <w:p w14:paraId="38E865C7">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供应商设有大型备件库；</w:t>
      </w:r>
    </w:p>
    <w:p w14:paraId="467206BC">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供应商获得设备生产厂家零备件供应支持的；</w:t>
      </w:r>
    </w:p>
    <w:p w14:paraId="25C1BB85">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供应商在华南区域设立有服务网点（办事处或分公司）；</w:t>
      </w:r>
    </w:p>
    <w:p w14:paraId="6FCDF9DC">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eastAsia="zh-CN"/>
        </w:rPr>
        <w:t>供应商具有设备生产厂商维护、保养、维修CT设备授权书。</w:t>
      </w:r>
    </w:p>
    <w:p w14:paraId="1DFAB56C">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以上要求需提供佐证材料，每提供一条得4分，满分24分。</w:t>
      </w:r>
    </w:p>
    <w:p w14:paraId="0837B86C">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业绩分（8分）</w:t>
      </w:r>
    </w:p>
    <w:p w14:paraId="21532CFB">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w:t>
      </w:r>
      <w:r>
        <w:rPr>
          <w:rFonts w:hint="eastAsia" w:ascii="宋体" w:hAnsi="宋体" w:eastAsia="宋体" w:cs="Times New Roman"/>
          <w:bCs/>
          <w:color w:val="000000"/>
          <w:szCs w:val="21"/>
          <w:lang w:val="en-US" w:eastAsia="zh-CN"/>
        </w:rPr>
        <w:t>21</w:t>
      </w:r>
      <w:r>
        <w:rPr>
          <w:rFonts w:ascii="宋体" w:hAnsi="宋体" w:eastAsia="宋体" w:cs="Times New Roman"/>
          <w:bCs/>
          <w:color w:val="000000"/>
          <w:szCs w:val="21"/>
        </w:rPr>
        <w:t>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8</w:t>
      </w:r>
      <w:r>
        <w:rPr>
          <w:rFonts w:ascii="宋体" w:hAnsi="宋体" w:eastAsia="宋体" w:cs="Times New Roman"/>
          <w:bCs/>
          <w:color w:val="000000"/>
          <w:szCs w:val="21"/>
        </w:rPr>
        <w:t>分。</w:t>
      </w:r>
    </w:p>
    <w:p w14:paraId="67CE8E23">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售后服务分………………………………………………………………………… </w:t>
      </w:r>
      <w:r>
        <w:rPr>
          <w:rFonts w:hint="eastAsia" w:ascii="宋体" w:hAnsi="宋体" w:eastAsia="宋体" w:cs="Times New Roman"/>
          <w:bCs/>
          <w:color w:val="000000"/>
          <w:szCs w:val="21"/>
          <w:lang w:val="en-US" w:eastAsia="zh-CN"/>
        </w:rPr>
        <w:t>8</w:t>
      </w:r>
      <w:r>
        <w:rPr>
          <w:rFonts w:ascii="宋体" w:hAnsi="宋体" w:eastAsia="宋体" w:cs="Times New Roman"/>
          <w:bCs/>
          <w:color w:val="000000"/>
          <w:szCs w:val="21"/>
        </w:rPr>
        <w:t>分</w:t>
      </w:r>
    </w:p>
    <w:p w14:paraId="4F1E4ACE">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分，良好</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分，优秀</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8</w:t>
      </w:r>
      <w:r>
        <w:rPr>
          <w:rFonts w:ascii="宋体" w:hAnsi="宋体" w:eastAsia="宋体" w:cs="Times New Roman"/>
          <w:bCs/>
          <w:color w:val="000000"/>
          <w:szCs w:val="21"/>
        </w:rPr>
        <w:t>分，由评委在打分前根据投标人售后服方案的优劣集体讨论确定投标人售后服务方案的档次，并由评委在相应的档次内独立打分。</w:t>
      </w:r>
    </w:p>
    <w:p w14:paraId="46E4416A">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14:paraId="43F2C3A2">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14:paraId="586A3AE7">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p w14:paraId="14F03DE2">
      <w:pPr>
        <w:spacing w:line="276" w:lineRule="auto"/>
        <w:ind w:firstLine="420" w:firstLineChars="200"/>
        <w:jc w:val="left"/>
        <w:rPr>
          <w:rFonts w:ascii="宋体" w:hAnsi="宋体" w:eastAsia="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abstractNum w:abstractNumId="1">
    <w:nsid w:val="36C8122F"/>
    <w:multiLevelType w:val="singleLevel"/>
    <w:tmpl w:val="36C8122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75C1FDF"/>
    <w:rsid w:val="09A165E2"/>
    <w:rsid w:val="0B27558F"/>
    <w:rsid w:val="0C87510A"/>
    <w:rsid w:val="108B5275"/>
    <w:rsid w:val="12236DAA"/>
    <w:rsid w:val="16245D2D"/>
    <w:rsid w:val="16E429B1"/>
    <w:rsid w:val="187C7A8F"/>
    <w:rsid w:val="20116292"/>
    <w:rsid w:val="21F941EF"/>
    <w:rsid w:val="226B1834"/>
    <w:rsid w:val="22C5455D"/>
    <w:rsid w:val="245B1DB2"/>
    <w:rsid w:val="25841CAE"/>
    <w:rsid w:val="26F31699"/>
    <w:rsid w:val="2A274666"/>
    <w:rsid w:val="2C892158"/>
    <w:rsid w:val="2E917E6C"/>
    <w:rsid w:val="2F012C09"/>
    <w:rsid w:val="300C0C34"/>
    <w:rsid w:val="332A3BD6"/>
    <w:rsid w:val="37341C9D"/>
    <w:rsid w:val="3ACC1AE3"/>
    <w:rsid w:val="3BCC406B"/>
    <w:rsid w:val="3CA67F27"/>
    <w:rsid w:val="3D3755F5"/>
    <w:rsid w:val="3D6B227E"/>
    <w:rsid w:val="3FF34E8C"/>
    <w:rsid w:val="403C5C82"/>
    <w:rsid w:val="42F44377"/>
    <w:rsid w:val="46B579F4"/>
    <w:rsid w:val="486E744E"/>
    <w:rsid w:val="4AA30431"/>
    <w:rsid w:val="4DBB0BB6"/>
    <w:rsid w:val="500718F9"/>
    <w:rsid w:val="52142CBA"/>
    <w:rsid w:val="527F40D2"/>
    <w:rsid w:val="542227FC"/>
    <w:rsid w:val="551E5F54"/>
    <w:rsid w:val="58236F33"/>
    <w:rsid w:val="5AD867ED"/>
    <w:rsid w:val="5E1436C8"/>
    <w:rsid w:val="5FAF6675"/>
    <w:rsid w:val="60915A2A"/>
    <w:rsid w:val="60F11FA0"/>
    <w:rsid w:val="62B070E3"/>
    <w:rsid w:val="633A4A17"/>
    <w:rsid w:val="644D16E1"/>
    <w:rsid w:val="646C5B80"/>
    <w:rsid w:val="653F001D"/>
    <w:rsid w:val="66343C9A"/>
    <w:rsid w:val="6A4E0CDE"/>
    <w:rsid w:val="6C532B86"/>
    <w:rsid w:val="6CE83C2A"/>
    <w:rsid w:val="6D075EA7"/>
    <w:rsid w:val="70625016"/>
    <w:rsid w:val="76977D9F"/>
    <w:rsid w:val="7C047E00"/>
    <w:rsid w:val="7F6056E9"/>
    <w:rsid w:val="7F862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3052</Words>
  <Characters>3311</Characters>
  <Lines>24</Lines>
  <Paragraphs>6</Paragraphs>
  <TotalTime>24</TotalTime>
  <ScaleCrop>false</ScaleCrop>
  <LinksUpToDate>false</LinksUpToDate>
  <CharactersWithSpaces>3384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cp:lastPrinted>2024-06-21T07:17:00Z</cp:lastPrinted>
  <dcterms:modified xsi:type="dcterms:W3CDTF">2024-06-27T02:59:23Z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9022C0B81CE34690BF09C8D56079BB51</vt:lpwstr>
  </property>
</Properties>
</file>