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312" w:beforeLines="100" w:after="156" w:afterLines="50" w:line="600" w:lineRule="exact"/>
        <w:jc w:val="center"/>
        <w:rPr>
          <w:rFonts w:ascii="方正小标宋简体" w:hAnsi="宋体" w:eastAsia="方正小标宋简体" w:cs="Times New Roman"/>
          <w:b/>
          <w:sz w:val="44"/>
          <w:szCs w:val="44"/>
          <w:highlight w:val="none"/>
        </w:rPr>
      </w:pPr>
      <w:r>
        <w:rPr>
          <w:rFonts w:hint="eastAsia" w:ascii="方正小标宋简体" w:hAnsi="宋体" w:eastAsia="方正小标宋简体" w:cs="Times New Roman"/>
          <w:b/>
          <w:sz w:val="44"/>
          <w:szCs w:val="44"/>
          <w:highlight w:val="none"/>
        </w:rPr>
        <w:t>广西骨伤医院方园社区卫生服务中心彩色多普勒超声诊断仪采购项目招标文件</w:t>
      </w:r>
    </w:p>
    <w:p>
      <w:pPr>
        <w:spacing w:before="312" w:beforeLines="100" w:after="156" w:afterLines="50" w:line="600" w:lineRule="exact"/>
        <w:jc w:val="center"/>
        <w:rPr>
          <w:rFonts w:ascii="方正小标宋简体" w:hAnsi="方正小标宋简体" w:eastAsia="方正小标宋简体" w:cs="方正小标宋简体"/>
          <w:b/>
          <w:color w:val="000000"/>
          <w:sz w:val="44"/>
          <w:szCs w:val="44"/>
          <w:highlight w:val="none"/>
        </w:rPr>
      </w:pPr>
    </w:p>
    <w:p>
      <w:pPr>
        <w:snapToGrid w:val="0"/>
        <w:spacing w:before="156" w:beforeLines="50" w:line="360" w:lineRule="auto"/>
        <w:jc w:val="center"/>
        <w:rPr>
          <w:rFonts w:ascii="仿宋_GB2312" w:hAnsi="宋体" w:eastAsia="仿宋_GB2312" w:cs="Times New Roman"/>
          <w:color w:val="000000"/>
          <w:sz w:val="30"/>
          <w:szCs w:val="72"/>
          <w:highlight w:val="none"/>
        </w:rPr>
      </w:pPr>
    </w:p>
    <w:p>
      <w:pPr>
        <w:spacing w:line="400" w:lineRule="exact"/>
        <w:rPr>
          <w:rFonts w:ascii="宋体" w:hAnsi="宋体" w:eastAsia="宋体" w:cs="Times New Roman"/>
          <w:b/>
          <w:color w:val="000000"/>
          <w:sz w:val="32"/>
          <w:szCs w:val="32"/>
          <w:highlight w:val="none"/>
        </w:rPr>
      </w:pPr>
    </w:p>
    <w:p>
      <w:pPr>
        <w:spacing w:line="400" w:lineRule="exact"/>
        <w:jc w:val="center"/>
        <w:rPr>
          <w:rFonts w:ascii="宋体" w:hAnsi="宋体" w:eastAsia="宋体" w:cs="Times New Roman"/>
          <w:b/>
          <w:color w:val="000000"/>
          <w:sz w:val="32"/>
          <w:szCs w:val="32"/>
          <w:highlight w:val="none"/>
        </w:rPr>
      </w:pPr>
    </w:p>
    <w:p>
      <w:pPr>
        <w:spacing w:line="400" w:lineRule="exact"/>
        <w:jc w:val="center"/>
        <w:rPr>
          <w:rFonts w:ascii="宋体" w:hAnsi="宋体" w:eastAsia="宋体" w:cs="Times New Roman"/>
          <w:b/>
          <w:color w:val="000000"/>
          <w:sz w:val="32"/>
          <w:szCs w:val="32"/>
          <w:highlight w:val="none"/>
        </w:rPr>
      </w:pPr>
    </w:p>
    <w:p>
      <w:pPr>
        <w:spacing w:line="400" w:lineRule="exact"/>
        <w:ind w:left="2941" w:leftChars="680" w:hanging="1513" w:hangingChars="471"/>
        <w:rPr>
          <w:rFonts w:hint="eastAsia" w:ascii="仿宋_GB2312" w:hAnsi="宋体" w:eastAsia="仿宋_GB2312" w:cs="Times New Roman"/>
          <w:b/>
          <w:color w:val="000000"/>
          <w:sz w:val="32"/>
          <w:szCs w:val="32"/>
          <w:highlight w:val="none"/>
          <w:lang w:val="en-US" w:eastAsia="zh-CN"/>
        </w:rPr>
      </w:pPr>
      <w:r>
        <w:rPr>
          <w:rFonts w:hint="eastAsia" w:ascii="仿宋_GB2312" w:hAnsi="宋体" w:eastAsia="仿宋_GB2312" w:cs="Times New Roman"/>
          <w:b/>
          <w:color w:val="000000"/>
          <w:sz w:val="32"/>
          <w:szCs w:val="32"/>
          <w:highlight w:val="none"/>
        </w:rPr>
        <w:t>项目名称：</w:t>
      </w:r>
      <w:bookmarkStart w:id="0" w:name="_Hlk90536625"/>
      <w:r>
        <w:rPr>
          <w:rFonts w:hint="eastAsia" w:ascii="仿宋_GB2312" w:hAnsi="宋体" w:eastAsia="仿宋_GB2312" w:cs="Times New Roman"/>
          <w:b/>
          <w:color w:val="000000"/>
          <w:sz w:val="32"/>
          <w:szCs w:val="32"/>
          <w:highlight w:val="none"/>
          <w:lang w:val="en-US" w:eastAsia="zh-CN"/>
        </w:rPr>
        <w:t>广西骨伤医院方园社区卫生服务中心彩色多普勒超声诊断仪采购项目</w:t>
      </w:r>
    </w:p>
    <w:bookmarkEnd w:id="0"/>
    <w:p>
      <w:pPr>
        <w:spacing w:line="400" w:lineRule="exact"/>
        <w:jc w:val="center"/>
        <w:rPr>
          <w:rFonts w:ascii="仿宋_GB2312" w:hAnsi="宋体" w:eastAsia="仿宋_GB2312" w:cs="Times New Roman"/>
          <w:b/>
          <w:color w:val="000000"/>
          <w:sz w:val="32"/>
          <w:szCs w:val="32"/>
          <w:highlight w:val="none"/>
        </w:rPr>
      </w:pPr>
    </w:p>
    <w:p>
      <w:pPr>
        <w:spacing w:line="400" w:lineRule="exact"/>
        <w:ind w:firstLine="1430" w:firstLineChars="445"/>
        <w:rPr>
          <w:rFonts w:hint="default" w:ascii="仿宋_GB2312" w:hAnsi="宋体" w:eastAsia="仿宋_GB2312" w:cs="Times New Roman"/>
          <w:b/>
          <w:color w:val="000000"/>
          <w:sz w:val="32"/>
          <w:szCs w:val="32"/>
          <w:highlight w:val="red"/>
          <w:lang w:val="en-US" w:eastAsia="zh-CN"/>
        </w:rPr>
      </w:pPr>
      <w:r>
        <w:rPr>
          <w:rFonts w:hint="eastAsia" w:ascii="仿宋_GB2312" w:hAnsi="宋体" w:eastAsia="仿宋_GB2312" w:cs="Times New Roman"/>
          <w:b/>
          <w:color w:val="000000"/>
          <w:sz w:val="32"/>
          <w:szCs w:val="32"/>
          <w:highlight w:val="none"/>
        </w:rPr>
        <w:t>项目编号：GXGSYY-CGB-YLSBK-2024-</w:t>
      </w:r>
      <w:r>
        <w:rPr>
          <w:rFonts w:hint="eastAsia" w:ascii="仿宋_GB2312" w:hAnsi="宋体" w:eastAsia="仿宋_GB2312" w:cs="Times New Roman"/>
          <w:b/>
          <w:color w:val="000000"/>
          <w:sz w:val="32"/>
          <w:szCs w:val="32"/>
          <w:highlight w:val="none"/>
          <w:lang w:val="en-US" w:eastAsia="zh-CN"/>
        </w:rPr>
        <w:t>11</w:t>
      </w:r>
    </w:p>
    <w:p>
      <w:pPr>
        <w:spacing w:line="400" w:lineRule="exact"/>
        <w:jc w:val="center"/>
        <w:rPr>
          <w:rFonts w:ascii="仿宋_GB2312" w:hAnsi="宋体" w:eastAsia="仿宋_GB2312" w:cs="Times New Roman"/>
          <w:b/>
          <w:color w:val="000000"/>
          <w:sz w:val="32"/>
          <w:szCs w:val="32"/>
          <w:highlight w:val="none"/>
        </w:rPr>
      </w:pPr>
    </w:p>
    <w:p>
      <w:pPr>
        <w:spacing w:line="400" w:lineRule="exact"/>
        <w:ind w:firstLine="1430" w:firstLineChars="445"/>
        <w:rPr>
          <w:rFonts w:ascii="仿宋_GB2312" w:hAnsi="宋体" w:eastAsia="仿宋_GB2312" w:cs="Times New Roman"/>
          <w:b/>
          <w:color w:val="000000"/>
          <w:sz w:val="32"/>
          <w:szCs w:val="32"/>
          <w:highlight w:val="none"/>
        </w:rPr>
      </w:pPr>
      <w:r>
        <w:rPr>
          <w:rFonts w:hint="eastAsia" w:ascii="仿宋_GB2312" w:hAnsi="宋体" w:eastAsia="仿宋_GB2312" w:cs="Times New Roman"/>
          <w:b/>
          <w:color w:val="000000"/>
          <w:sz w:val="32"/>
          <w:szCs w:val="32"/>
          <w:highlight w:val="none"/>
        </w:rPr>
        <w:t xml:space="preserve">采 购 人：广西骨伤医院 </w:t>
      </w:r>
    </w:p>
    <w:p>
      <w:pPr>
        <w:spacing w:line="400" w:lineRule="exact"/>
        <w:jc w:val="center"/>
        <w:rPr>
          <w:rFonts w:ascii="仿宋_GB2312" w:hAnsi="宋体" w:eastAsia="仿宋_GB2312" w:cs="Times New Roman"/>
          <w:b/>
          <w:color w:val="000000"/>
          <w:sz w:val="32"/>
          <w:szCs w:val="32"/>
          <w:highlight w:val="none"/>
        </w:rPr>
      </w:pPr>
    </w:p>
    <w:p>
      <w:pPr>
        <w:spacing w:line="400" w:lineRule="exact"/>
        <w:jc w:val="center"/>
        <w:rPr>
          <w:rFonts w:ascii="仿宋_GB2312" w:hAnsi="宋体" w:eastAsia="仿宋_GB2312" w:cs="Times New Roman"/>
          <w:b/>
          <w:color w:val="000000"/>
          <w:sz w:val="32"/>
          <w:szCs w:val="32"/>
          <w:highlight w:val="none"/>
        </w:rPr>
      </w:pPr>
    </w:p>
    <w:p>
      <w:pPr>
        <w:spacing w:line="400" w:lineRule="exact"/>
        <w:jc w:val="center"/>
        <w:rPr>
          <w:rFonts w:ascii="仿宋_GB2312" w:hAnsi="宋体" w:eastAsia="仿宋_GB2312" w:cs="Times New Roman"/>
          <w:b/>
          <w:color w:val="000000"/>
          <w:sz w:val="32"/>
          <w:szCs w:val="32"/>
          <w:highlight w:val="none"/>
        </w:rPr>
      </w:pPr>
    </w:p>
    <w:p>
      <w:pPr>
        <w:spacing w:line="400" w:lineRule="exact"/>
        <w:jc w:val="center"/>
        <w:rPr>
          <w:rFonts w:ascii="仿宋_GB2312" w:hAnsi="宋体" w:eastAsia="仿宋_GB2312" w:cs="Times New Roman"/>
          <w:b/>
          <w:color w:val="000000"/>
          <w:sz w:val="32"/>
          <w:szCs w:val="32"/>
          <w:highlight w:val="none"/>
        </w:rPr>
      </w:pPr>
    </w:p>
    <w:p>
      <w:pPr>
        <w:spacing w:line="400" w:lineRule="exact"/>
        <w:jc w:val="center"/>
        <w:rPr>
          <w:rFonts w:ascii="仿宋_GB2312" w:hAnsi="宋体" w:eastAsia="仿宋_GB2312" w:cs="Times New Roman"/>
          <w:b/>
          <w:color w:val="000000"/>
          <w:sz w:val="32"/>
          <w:szCs w:val="32"/>
          <w:highlight w:val="none"/>
        </w:rPr>
      </w:pPr>
    </w:p>
    <w:p>
      <w:pPr>
        <w:spacing w:line="400" w:lineRule="exact"/>
        <w:jc w:val="center"/>
        <w:rPr>
          <w:rFonts w:ascii="仿宋_GB2312" w:hAnsi="宋体" w:eastAsia="仿宋_GB2312" w:cs="Times New Roman"/>
          <w:b/>
          <w:color w:val="000000"/>
          <w:sz w:val="32"/>
          <w:szCs w:val="32"/>
          <w:highlight w:val="none"/>
        </w:rPr>
      </w:pPr>
    </w:p>
    <w:p>
      <w:pPr>
        <w:spacing w:line="400" w:lineRule="exact"/>
        <w:jc w:val="center"/>
        <w:rPr>
          <w:rFonts w:ascii="仿宋_GB2312" w:hAnsi="宋体" w:eastAsia="仿宋_GB2312" w:cs="Times New Roman"/>
          <w:b/>
          <w:color w:val="000000"/>
          <w:sz w:val="32"/>
          <w:szCs w:val="32"/>
          <w:highlight w:val="none"/>
        </w:rPr>
      </w:pPr>
    </w:p>
    <w:p>
      <w:pPr>
        <w:spacing w:line="400" w:lineRule="exact"/>
        <w:jc w:val="center"/>
        <w:rPr>
          <w:rFonts w:ascii="仿宋_GB2312" w:hAnsi="宋体" w:eastAsia="仿宋_GB2312" w:cs="Times New Roman"/>
          <w:b/>
          <w:color w:val="000000"/>
          <w:sz w:val="32"/>
          <w:szCs w:val="32"/>
          <w:highlight w:val="none"/>
        </w:rPr>
      </w:pPr>
    </w:p>
    <w:p>
      <w:pPr>
        <w:spacing w:line="400" w:lineRule="exact"/>
        <w:jc w:val="center"/>
        <w:rPr>
          <w:rFonts w:ascii="仿宋_GB2312" w:hAnsi="宋体" w:eastAsia="仿宋_GB2312" w:cs="Times New Roman"/>
          <w:b/>
          <w:color w:val="000000"/>
          <w:sz w:val="32"/>
          <w:szCs w:val="32"/>
          <w:highlight w:val="none"/>
        </w:rPr>
      </w:pPr>
    </w:p>
    <w:p>
      <w:pPr>
        <w:spacing w:line="400" w:lineRule="exact"/>
        <w:jc w:val="center"/>
        <w:rPr>
          <w:rFonts w:ascii="仿宋_GB2312" w:hAnsi="宋体" w:eastAsia="仿宋_GB2312" w:cs="Times New Roman"/>
          <w:b/>
          <w:color w:val="000000"/>
          <w:sz w:val="32"/>
          <w:szCs w:val="32"/>
          <w:highlight w:val="none"/>
        </w:rPr>
      </w:pPr>
    </w:p>
    <w:p>
      <w:pPr>
        <w:spacing w:line="400" w:lineRule="exact"/>
        <w:jc w:val="center"/>
        <w:rPr>
          <w:rFonts w:ascii="仿宋_GB2312" w:hAnsi="宋体" w:eastAsia="仿宋_GB2312" w:cs="Times New Roman"/>
          <w:b/>
          <w:color w:val="000000"/>
          <w:sz w:val="32"/>
          <w:szCs w:val="32"/>
          <w:highlight w:val="none"/>
        </w:rPr>
      </w:pPr>
    </w:p>
    <w:p>
      <w:pPr>
        <w:spacing w:line="400" w:lineRule="exact"/>
        <w:jc w:val="center"/>
        <w:rPr>
          <w:rFonts w:ascii="仿宋_GB2312" w:hAnsi="宋体" w:eastAsia="仿宋_GB2312" w:cs="Times New Roman"/>
          <w:b/>
          <w:color w:val="000000"/>
          <w:sz w:val="32"/>
          <w:szCs w:val="32"/>
          <w:highlight w:val="none"/>
        </w:rPr>
      </w:pPr>
    </w:p>
    <w:p>
      <w:pPr>
        <w:spacing w:line="400" w:lineRule="exact"/>
        <w:jc w:val="center"/>
        <w:rPr>
          <w:rFonts w:ascii="仿宋_GB2312" w:hAnsi="宋体" w:eastAsia="仿宋_GB2312" w:cs="Times New Roman"/>
          <w:b/>
          <w:color w:val="000000"/>
          <w:sz w:val="32"/>
          <w:szCs w:val="32"/>
          <w:highlight w:val="none"/>
        </w:rPr>
      </w:pPr>
    </w:p>
    <w:p>
      <w:pPr>
        <w:spacing w:line="400" w:lineRule="exact"/>
        <w:jc w:val="both"/>
        <w:rPr>
          <w:rFonts w:ascii="仿宋_GB2312" w:hAnsi="宋体" w:eastAsia="仿宋_GB2312" w:cs="Times New Roman"/>
          <w:b/>
          <w:color w:val="000000"/>
          <w:sz w:val="32"/>
          <w:szCs w:val="32"/>
          <w:highlight w:val="none"/>
        </w:rPr>
      </w:pPr>
    </w:p>
    <w:p>
      <w:pPr>
        <w:spacing w:line="400" w:lineRule="exact"/>
        <w:jc w:val="both"/>
        <w:rPr>
          <w:rFonts w:ascii="仿宋_GB2312" w:hAnsi="宋体" w:eastAsia="仿宋_GB2312" w:cs="Times New Roman"/>
          <w:b/>
          <w:color w:val="000000"/>
          <w:sz w:val="32"/>
          <w:szCs w:val="32"/>
          <w:highlight w:val="none"/>
        </w:rPr>
      </w:pPr>
    </w:p>
    <w:p>
      <w:pPr>
        <w:spacing w:line="400" w:lineRule="exact"/>
        <w:jc w:val="center"/>
        <w:rPr>
          <w:rFonts w:ascii="仿宋_GB2312" w:hAnsi="宋体" w:eastAsia="仿宋_GB2312" w:cs="Times New Roman"/>
          <w:b/>
          <w:color w:val="000000"/>
          <w:sz w:val="32"/>
          <w:szCs w:val="32"/>
          <w:highlight w:val="none"/>
        </w:rPr>
      </w:pPr>
      <w:r>
        <w:rPr>
          <w:rFonts w:hint="eastAsia" w:ascii="仿宋_GB2312" w:hAnsi="宋体" w:eastAsia="仿宋_GB2312" w:cs="Times New Roman"/>
          <w:b/>
          <w:color w:val="000000"/>
          <w:sz w:val="32"/>
          <w:szCs w:val="32"/>
          <w:highlight w:val="none"/>
        </w:rPr>
        <w:t>202</w:t>
      </w:r>
      <w:r>
        <w:rPr>
          <w:rFonts w:hint="eastAsia" w:ascii="仿宋_GB2312" w:hAnsi="宋体" w:eastAsia="仿宋_GB2312" w:cs="Times New Roman"/>
          <w:b/>
          <w:color w:val="000000"/>
          <w:sz w:val="32"/>
          <w:szCs w:val="32"/>
          <w:highlight w:val="none"/>
          <w:lang w:val="en-US" w:eastAsia="zh-CN"/>
        </w:rPr>
        <w:t>4</w:t>
      </w:r>
      <w:r>
        <w:rPr>
          <w:rFonts w:hint="eastAsia" w:ascii="仿宋_GB2312" w:hAnsi="宋体" w:eastAsia="仿宋_GB2312" w:cs="Times New Roman"/>
          <w:b/>
          <w:color w:val="000000"/>
          <w:sz w:val="32"/>
          <w:szCs w:val="32"/>
          <w:highlight w:val="none"/>
        </w:rPr>
        <w:t>年</w:t>
      </w:r>
      <w:r>
        <w:rPr>
          <w:rFonts w:hint="eastAsia" w:ascii="仿宋_GB2312" w:hAnsi="宋体" w:eastAsia="仿宋_GB2312" w:cs="Times New Roman"/>
          <w:b/>
          <w:color w:val="000000"/>
          <w:sz w:val="32"/>
          <w:szCs w:val="32"/>
          <w:highlight w:val="none"/>
          <w:lang w:val="en-US" w:eastAsia="zh-CN"/>
        </w:rPr>
        <w:t>5</w:t>
      </w:r>
      <w:r>
        <w:rPr>
          <w:rFonts w:hint="eastAsia" w:ascii="仿宋_GB2312" w:hAnsi="宋体" w:eastAsia="仿宋_GB2312" w:cs="Times New Roman"/>
          <w:b/>
          <w:color w:val="000000"/>
          <w:sz w:val="32"/>
          <w:szCs w:val="32"/>
          <w:highlight w:val="none"/>
        </w:rPr>
        <w:t>月</w:t>
      </w:r>
      <w:r>
        <w:rPr>
          <w:rFonts w:hint="eastAsia" w:ascii="仿宋_GB2312" w:hAnsi="宋体" w:eastAsia="仿宋_GB2312" w:cs="Times New Roman"/>
          <w:b/>
          <w:color w:val="000000"/>
          <w:sz w:val="32"/>
          <w:szCs w:val="32"/>
          <w:highlight w:val="none"/>
          <w:lang w:val="en-US" w:eastAsia="zh-CN"/>
        </w:rPr>
        <w:t>29</w:t>
      </w:r>
      <w:r>
        <w:rPr>
          <w:rFonts w:hint="eastAsia" w:ascii="仿宋_GB2312" w:hAnsi="宋体" w:eastAsia="仿宋_GB2312" w:cs="Times New Roman"/>
          <w:b/>
          <w:color w:val="000000"/>
          <w:sz w:val="32"/>
          <w:szCs w:val="32"/>
          <w:highlight w:val="none"/>
        </w:rPr>
        <w:t>日</w:t>
      </w:r>
    </w:p>
    <w:p>
      <w:pPr>
        <w:keepNext/>
        <w:keepLines/>
        <w:numPr>
          <w:ilvl w:val="0"/>
          <w:numId w:val="1"/>
        </w:numPr>
        <w:spacing w:before="260" w:after="260" w:line="416" w:lineRule="auto"/>
        <w:jc w:val="center"/>
        <w:outlineLvl w:val="1"/>
        <w:rPr>
          <w:rFonts w:hint="eastAsia" w:ascii="Cambria" w:hAnsi="Cambria" w:eastAsia="宋体" w:cs="Times New Roman"/>
          <w:b/>
          <w:bCs/>
          <w:color w:val="000000"/>
          <w:sz w:val="32"/>
          <w:szCs w:val="32"/>
          <w:highlight w:val="none"/>
          <w:lang w:val="zh-CN"/>
        </w:rPr>
      </w:pPr>
      <w:r>
        <w:rPr>
          <w:rFonts w:hint="eastAsia" w:ascii="Cambria" w:hAnsi="Cambria" w:eastAsia="宋体" w:cs="Times New Roman"/>
          <w:b/>
          <w:bCs/>
          <w:color w:val="000000"/>
          <w:sz w:val="32"/>
          <w:szCs w:val="32"/>
          <w:highlight w:val="none"/>
          <w:lang w:val="en-US" w:eastAsia="zh-CN"/>
        </w:rPr>
        <w:t>项目概况</w:t>
      </w:r>
    </w:p>
    <w:p>
      <w:pPr>
        <w:spacing w:line="400" w:lineRule="exact"/>
        <w:ind w:firstLine="420" w:firstLineChars="200"/>
        <w:rPr>
          <w:rFonts w:hint="eastAsia" w:ascii="宋体" w:hAnsi="宋体" w:eastAsia="宋体" w:cs="Times New Roman"/>
          <w:bCs/>
          <w:color w:val="000000"/>
          <w:szCs w:val="21"/>
          <w:highlight w:val="none"/>
          <w:lang w:val="zh-CN"/>
        </w:rPr>
      </w:pPr>
      <w:r>
        <w:rPr>
          <w:rFonts w:hint="eastAsia" w:ascii="宋体" w:hAnsi="宋体" w:eastAsia="宋体" w:cs="Times New Roman"/>
          <w:bCs/>
          <w:color w:val="000000"/>
          <w:szCs w:val="21"/>
          <w:highlight w:val="none"/>
        </w:rPr>
        <w:t>根据临床科室的要求以及临床操作的需要，我院拟对</w:t>
      </w:r>
      <w:r>
        <w:rPr>
          <w:rFonts w:hint="eastAsia" w:ascii="宋体" w:hAnsi="宋体" w:eastAsia="宋体" w:cs="Times New Roman"/>
          <w:bCs/>
          <w:color w:val="000000"/>
          <w:szCs w:val="21"/>
          <w:highlight w:val="none"/>
          <w:lang w:val="en-US" w:eastAsia="zh-CN"/>
        </w:rPr>
        <w:t>方园社区卫生服务中心</w:t>
      </w:r>
      <w:r>
        <w:rPr>
          <w:rFonts w:hint="eastAsia" w:ascii="宋体" w:hAnsi="宋体" w:eastAsia="宋体" w:cs="Times New Roman"/>
          <w:bCs/>
          <w:color w:val="000000"/>
          <w:szCs w:val="21"/>
          <w:highlight w:val="none"/>
        </w:rPr>
        <w:t>所需要</w:t>
      </w:r>
      <w:r>
        <w:rPr>
          <w:rFonts w:hint="eastAsia" w:ascii="宋体" w:hAnsi="宋体" w:eastAsia="宋体" w:cs="Times New Roman"/>
          <w:bCs/>
          <w:color w:val="000000"/>
          <w:szCs w:val="21"/>
          <w:highlight w:val="none"/>
          <w:lang w:eastAsia="zh-CN"/>
        </w:rPr>
        <w:t>的</w:t>
      </w:r>
      <w:r>
        <w:rPr>
          <w:rFonts w:hint="eastAsia" w:ascii="宋体" w:hAnsi="宋体" w:eastAsia="宋体" w:cs="Times New Roman"/>
          <w:bCs/>
          <w:color w:val="000000"/>
          <w:szCs w:val="21"/>
          <w:highlight w:val="none"/>
          <w:lang w:val="en-US" w:eastAsia="zh-CN"/>
        </w:rPr>
        <w:t>视力筛查仪进行</w:t>
      </w:r>
      <w:r>
        <w:rPr>
          <w:rFonts w:hint="eastAsia" w:ascii="宋体" w:hAnsi="宋体" w:eastAsia="宋体" w:cs="Times New Roman"/>
          <w:bCs/>
          <w:color w:val="000000"/>
          <w:szCs w:val="21"/>
          <w:highlight w:val="none"/>
        </w:rPr>
        <w:t>院内议价，欢迎有意参与的公司前来参加。</w:t>
      </w:r>
    </w:p>
    <w:p>
      <w:pPr>
        <w:spacing w:line="400" w:lineRule="exact"/>
        <w:ind w:firstLine="420" w:firstLineChars="200"/>
        <w:rPr>
          <w:rFonts w:hint="eastAsia" w:ascii="宋体" w:hAnsi="宋体" w:eastAsia="宋体" w:cs="Times New Roman"/>
          <w:bCs/>
          <w:color w:val="000000"/>
          <w:szCs w:val="21"/>
          <w:highlight w:val="none"/>
          <w:lang w:val="zh-CN"/>
        </w:rPr>
      </w:pPr>
      <w:bookmarkStart w:id="1" w:name="_Toc28359089"/>
      <w:bookmarkStart w:id="2" w:name="_Toc28359012"/>
      <w:bookmarkStart w:id="3" w:name="_Toc35393798"/>
      <w:bookmarkStart w:id="4" w:name="_Toc47452205"/>
      <w:bookmarkStart w:id="5" w:name="_Toc44229878"/>
      <w:bookmarkStart w:id="6" w:name="_Toc35393629"/>
      <w:r>
        <w:rPr>
          <w:rFonts w:hint="eastAsia" w:ascii="宋体" w:hAnsi="宋体" w:eastAsia="宋体" w:cs="Times New Roman"/>
          <w:bCs/>
          <w:color w:val="000000"/>
          <w:szCs w:val="21"/>
          <w:highlight w:val="none"/>
          <w:lang w:val="zh-CN"/>
        </w:rPr>
        <w:t>一、项目基本情况</w:t>
      </w:r>
      <w:bookmarkEnd w:id="1"/>
      <w:bookmarkEnd w:id="2"/>
      <w:bookmarkEnd w:id="3"/>
      <w:bookmarkEnd w:id="4"/>
      <w:bookmarkEnd w:id="5"/>
      <w:bookmarkEnd w:id="6"/>
    </w:p>
    <w:p>
      <w:pPr>
        <w:spacing w:line="400" w:lineRule="exact"/>
        <w:ind w:firstLine="420" w:firstLineChars="200"/>
        <w:rPr>
          <w:rFonts w:hint="default" w:ascii="宋体" w:hAnsi="宋体" w:eastAsia="宋体" w:cs="Times New Roman"/>
          <w:bCs/>
          <w:color w:val="000000"/>
          <w:szCs w:val="21"/>
          <w:highlight w:val="yellow"/>
          <w:lang w:val="en-US" w:eastAsia="zh-CN"/>
        </w:rPr>
      </w:pPr>
      <w:r>
        <w:rPr>
          <w:rFonts w:hint="eastAsia" w:ascii="宋体" w:hAnsi="宋体" w:eastAsia="宋体" w:cs="Times New Roman"/>
          <w:bCs/>
          <w:color w:val="000000"/>
          <w:szCs w:val="21"/>
          <w:highlight w:val="none"/>
        </w:rPr>
        <w:t>1</w:t>
      </w:r>
      <w:r>
        <w:rPr>
          <w:rFonts w:hint="eastAsia" w:ascii="宋体" w:hAnsi="宋体" w:eastAsia="宋体" w:cs="Times New Roman"/>
          <w:bCs/>
          <w:color w:val="000000"/>
          <w:szCs w:val="21"/>
          <w:highlight w:val="none"/>
          <w:lang w:val="en-US" w:eastAsia="zh-CN"/>
        </w:rPr>
        <w:t>.</w:t>
      </w:r>
      <w:r>
        <w:rPr>
          <w:rFonts w:hint="eastAsia" w:ascii="宋体" w:hAnsi="宋体" w:eastAsia="宋体" w:cs="Times New Roman"/>
          <w:bCs/>
          <w:color w:val="000000"/>
          <w:szCs w:val="21"/>
          <w:highlight w:val="none"/>
        </w:rPr>
        <w:t>项目编号：GXGSYY-CGB-YLSBK-2024-</w:t>
      </w:r>
      <w:r>
        <w:rPr>
          <w:rFonts w:hint="eastAsia" w:ascii="宋体" w:hAnsi="宋体" w:eastAsia="宋体" w:cs="Times New Roman"/>
          <w:bCs/>
          <w:color w:val="000000"/>
          <w:szCs w:val="21"/>
          <w:highlight w:val="none"/>
          <w:lang w:val="en-US" w:eastAsia="zh-CN"/>
        </w:rPr>
        <w:t>11</w:t>
      </w:r>
    </w:p>
    <w:p>
      <w:pPr>
        <w:spacing w:line="400" w:lineRule="exact"/>
        <w:ind w:firstLine="420" w:firstLineChars="200"/>
        <w:rPr>
          <w:rFonts w:hint="eastAsia" w:ascii="宋体" w:hAnsi="宋体" w:eastAsia="宋体" w:cs="Times New Roman"/>
          <w:bCs/>
          <w:color w:val="000000"/>
          <w:szCs w:val="21"/>
          <w:highlight w:val="none"/>
          <w:lang w:eastAsia="zh-CN"/>
        </w:rPr>
      </w:pPr>
      <w:r>
        <w:rPr>
          <w:rFonts w:hint="eastAsia" w:ascii="宋体" w:hAnsi="宋体" w:eastAsia="宋体" w:cs="Times New Roman"/>
          <w:bCs/>
          <w:color w:val="000000"/>
          <w:szCs w:val="21"/>
          <w:highlight w:val="none"/>
        </w:rPr>
        <w:t>2</w:t>
      </w:r>
      <w:r>
        <w:rPr>
          <w:rFonts w:hint="eastAsia" w:ascii="宋体" w:hAnsi="宋体" w:eastAsia="宋体" w:cs="Times New Roman"/>
          <w:bCs/>
          <w:color w:val="000000"/>
          <w:szCs w:val="21"/>
          <w:highlight w:val="none"/>
          <w:lang w:val="en-US" w:eastAsia="zh-CN"/>
        </w:rPr>
        <w:t>.</w:t>
      </w:r>
      <w:r>
        <w:rPr>
          <w:rFonts w:hint="eastAsia" w:ascii="宋体" w:hAnsi="宋体" w:eastAsia="宋体" w:cs="Times New Roman"/>
          <w:bCs/>
          <w:color w:val="000000"/>
          <w:szCs w:val="21"/>
          <w:highlight w:val="none"/>
        </w:rPr>
        <w:t>项目名称：</w:t>
      </w:r>
      <w:r>
        <w:rPr>
          <w:rFonts w:hint="eastAsia" w:ascii="宋体" w:hAnsi="宋体" w:eastAsia="宋体" w:cs="Times New Roman"/>
          <w:bCs/>
          <w:color w:val="000000"/>
          <w:szCs w:val="21"/>
          <w:highlight w:val="none"/>
          <w:lang w:eastAsia="zh-CN"/>
        </w:rPr>
        <w:t>广西骨伤医院方园社区卫生服务中心彩色多普勒超声诊断仪采购项目</w:t>
      </w:r>
    </w:p>
    <w:p>
      <w:pPr>
        <w:spacing w:line="400" w:lineRule="exact"/>
        <w:ind w:firstLine="420" w:firstLineChars="200"/>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3</w:t>
      </w:r>
      <w:r>
        <w:rPr>
          <w:rFonts w:hint="eastAsia" w:ascii="宋体" w:hAnsi="宋体" w:eastAsia="宋体" w:cs="Times New Roman"/>
          <w:bCs/>
          <w:color w:val="000000"/>
          <w:szCs w:val="21"/>
          <w:highlight w:val="none"/>
          <w:lang w:val="en-US" w:eastAsia="zh-CN"/>
        </w:rPr>
        <w:t>.</w:t>
      </w:r>
      <w:r>
        <w:rPr>
          <w:rFonts w:hint="eastAsia" w:ascii="宋体" w:hAnsi="宋体" w:eastAsia="宋体" w:cs="Times New Roman"/>
          <w:bCs/>
          <w:color w:val="000000"/>
          <w:szCs w:val="21"/>
          <w:highlight w:val="none"/>
        </w:rPr>
        <w:t>采购方式：院内议价</w:t>
      </w:r>
    </w:p>
    <w:p>
      <w:pPr>
        <w:spacing w:line="400" w:lineRule="exact"/>
        <w:ind w:firstLine="420" w:firstLineChars="200"/>
        <w:rPr>
          <w:rFonts w:hint="default"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rPr>
        <w:t>4</w:t>
      </w:r>
      <w:r>
        <w:rPr>
          <w:rFonts w:hint="eastAsia" w:ascii="宋体" w:hAnsi="宋体" w:eastAsia="宋体" w:cs="Times New Roman"/>
          <w:bCs/>
          <w:color w:val="000000"/>
          <w:szCs w:val="21"/>
          <w:highlight w:val="none"/>
          <w:lang w:val="en-US" w:eastAsia="zh-CN"/>
        </w:rPr>
        <w:t>.</w:t>
      </w:r>
      <w:r>
        <w:rPr>
          <w:rFonts w:hint="eastAsia" w:ascii="宋体" w:hAnsi="宋体" w:eastAsia="宋体" w:cs="Times New Roman"/>
          <w:bCs/>
          <w:color w:val="000000"/>
          <w:szCs w:val="21"/>
          <w:highlight w:val="none"/>
        </w:rPr>
        <w:t>预算金额：</w:t>
      </w:r>
      <w:r>
        <w:rPr>
          <w:rFonts w:hint="eastAsia" w:ascii="宋体" w:hAnsi="宋体" w:eastAsia="宋体" w:cs="Times New Roman"/>
          <w:bCs/>
          <w:color w:val="000000"/>
          <w:szCs w:val="21"/>
          <w:highlight w:val="none"/>
          <w:lang w:val="en-US" w:eastAsia="zh-CN"/>
        </w:rPr>
        <w:t>19.5</w:t>
      </w:r>
      <w:r>
        <w:rPr>
          <w:rFonts w:hint="eastAsia" w:ascii="宋体" w:hAnsi="宋体" w:eastAsia="宋体" w:cs="Times New Roman"/>
          <w:bCs/>
          <w:color w:val="000000"/>
          <w:szCs w:val="21"/>
          <w:highlight w:val="none"/>
        </w:rPr>
        <w:t>万元</w:t>
      </w:r>
      <w:r>
        <w:rPr>
          <w:rFonts w:hint="eastAsia" w:ascii="宋体" w:hAnsi="宋体" w:eastAsia="宋体" w:cs="Times New Roman"/>
          <w:bCs/>
          <w:color w:val="000000"/>
          <w:szCs w:val="21"/>
          <w:highlight w:val="none"/>
          <w:lang w:val="en-US" w:eastAsia="zh-CN"/>
        </w:rPr>
        <w:t>/台</w:t>
      </w:r>
    </w:p>
    <w:p>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二、技术参数：</w:t>
      </w:r>
    </w:p>
    <w:p>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（一）系统主机要求</w:t>
      </w:r>
    </w:p>
    <w:p>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1、全数字彩色多普勒超声诊断仪（非便携式），产品首次注册日期为2020年（含2020年）后的机型；</w:t>
      </w:r>
    </w:p>
    <w:p>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2、高分辨率液晶显示器≥21.5 英寸，上下高度、左右旋转及前后折叠调节,具备安全锁；</w:t>
      </w:r>
    </w:p>
    <w:p>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3、操作面板具备液晶触摸屏≥14英寸，触摸屏可独立调节角度(液晶触摸屏≥15英寸设为正偏离)；</w:t>
      </w:r>
    </w:p>
    <w:p>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4、触摸屏支持手势操作，主显示屏和触摸屏可以同步显示图像；</w:t>
      </w:r>
    </w:p>
    <w:p>
      <w:pPr>
        <w:spacing w:line="400" w:lineRule="exact"/>
        <w:ind w:firstLine="420" w:firstLineChars="200"/>
        <w:rPr>
          <w:rFonts w:hint="default"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w:t>
      </w:r>
    </w:p>
    <w:p>
      <w:pPr>
        <w:spacing w:line="400" w:lineRule="exact"/>
        <w:ind w:firstLine="422" w:firstLineChars="200"/>
        <w:rPr>
          <w:rFonts w:hint="eastAsia" w:ascii="宋体" w:hAnsi="宋体" w:eastAsia="宋体" w:cs="Times New Roman"/>
          <w:b/>
          <w:bCs w:val="0"/>
          <w:color w:val="FF0000"/>
          <w:szCs w:val="21"/>
          <w:highlight w:val="none"/>
          <w:lang w:val="en-US" w:eastAsia="zh-CN"/>
        </w:rPr>
      </w:pPr>
      <w:r>
        <w:rPr>
          <w:rFonts w:hint="eastAsia" w:ascii="宋体" w:hAnsi="宋体" w:eastAsia="宋体" w:cs="Times New Roman"/>
          <w:b/>
          <w:bCs w:val="0"/>
          <w:color w:val="FF0000"/>
          <w:szCs w:val="21"/>
          <w:highlight w:val="none"/>
          <w:lang w:val="en-US" w:eastAsia="zh-CN"/>
        </w:rPr>
        <w:t>详细需求，详见附件。</w:t>
      </w:r>
    </w:p>
    <w:p>
      <w:pPr>
        <w:spacing w:line="400" w:lineRule="exact"/>
        <w:ind w:firstLine="420" w:firstLineChars="200"/>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lang w:val="en-US" w:eastAsia="zh-CN"/>
        </w:rPr>
        <w:t>三</w:t>
      </w:r>
      <w:r>
        <w:rPr>
          <w:rFonts w:hint="eastAsia" w:ascii="宋体" w:hAnsi="宋体" w:eastAsia="宋体" w:cs="Times New Roman"/>
          <w:bCs/>
          <w:color w:val="000000"/>
          <w:szCs w:val="21"/>
          <w:highlight w:val="none"/>
        </w:rPr>
        <w:t>、参会的供应商或公司的资格要求：</w:t>
      </w:r>
    </w:p>
    <w:p>
      <w:pPr>
        <w:spacing w:line="400" w:lineRule="exact"/>
        <w:ind w:firstLine="420" w:firstLineChars="200"/>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除应具备《政府采购法》第二十二条资格条件外，还必须满足：</w:t>
      </w:r>
    </w:p>
    <w:p>
      <w:pPr>
        <w:spacing w:line="400" w:lineRule="exact"/>
        <w:ind w:firstLine="420" w:firstLineChars="200"/>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1</w:t>
      </w:r>
      <w:r>
        <w:rPr>
          <w:rFonts w:hint="eastAsia" w:ascii="宋体" w:hAnsi="宋体" w:eastAsia="宋体" w:cs="Times New Roman"/>
          <w:bCs/>
          <w:color w:val="000000"/>
          <w:szCs w:val="21"/>
          <w:highlight w:val="none"/>
          <w:lang w:val="en-US" w:eastAsia="zh-CN"/>
        </w:rPr>
        <w:t>.</w:t>
      </w:r>
      <w:r>
        <w:rPr>
          <w:rFonts w:hint="eastAsia" w:ascii="宋体" w:hAnsi="宋体" w:eastAsia="宋体" w:cs="Times New Roman"/>
          <w:bCs/>
          <w:color w:val="000000"/>
          <w:szCs w:val="21"/>
          <w:highlight w:val="none"/>
        </w:rPr>
        <w:t>具有独立承担民事责任能力的在中华人民共和国境内注册的法人。</w:t>
      </w:r>
    </w:p>
    <w:p>
      <w:pPr>
        <w:spacing w:line="400" w:lineRule="exact"/>
        <w:ind w:firstLine="420" w:firstLineChars="200"/>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2</w:t>
      </w:r>
      <w:r>
        <w:rPr>
          <w:rFonts w:hint="eastAsia" w:ascii="宋体" w:hAnsi="宋体" w:eastAsia="宋体" w:cs="Times New Roman"/>
          <w:bCs/>
          <w:color w:val="000000"/>
          <w:szCs w:val="21"/>
          <w:highlight w:val="none"/>
          <w:lang w:val="en-US" w:eastAsia="zh-CN"/>
        </w:rPr>
        <w:t>.</w:t>
      </w:r>
      <w:r>
        <w:rPr>
          <w:rFonts w:hint="eastAsia" w:ascii="宋体" w:hAnsi="宋体" w:eastAsia="宋体" w:cs="Times New Roman"/>
          <w:bCs/>
          <w:color w:val="000000"/>
          <w:szCs w:val="21"/>
          <w:highlight w:val="none"/>
        </w:rPr>
        <w:t>经营范围包含所投产品。</w:t>
      </w:r>
    </w:p>
    <w:p>
      <w:pPr>
        <w:spacing w:line="400" w:lineRule="exact"/>
        <w:ind w:firstLine="420" w:firstLineChars="200"/>
        <w:rPr>
          <w:rFonts w:hint="default"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rPr>
        <w:t>3</w:t>
      </w:r>
      <w:r>
        <w:rPr>
          <w:rFonts w:hint="eastAsia" w:ascii="宋体" w:hAnsi="宋体" w:eastAsia="宋体" w:cs="Times New Roman"/>
          <w:bCs/>
          <w:color w:val="000000"/>
          <w:szCs w:val="21"/>
          <w:highlight w:val="none"/>
          <w:lang w:val="en-US" w:eastAsia="zh-CN"/>
        </w:rPr>
        <w:t>.</w:t>
      </w:r>
      <w:r>
        <w:rPr>
          <w:rFonts w:hint="eastAsia" w:ascii="宋体" w:hAnsi="宋体" w:eastAsia="宋体" w:cs="Times New Roman"/>
          <w:bCs/>
          <w:color w:val="000000"/>
          <w:szCs w:val="21"/>
          <w:highlight w:val="none"/>
        </w:rPr>
        <w:t>为所投产品的制造商或销售代理商(提供授权书)。</w:t>
      </w:r>
    </w:p>
    <w:p>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四、投标文件的编制</w:t>
      </w:r>
    </w:p>
    <w:p>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1.投标文件要求：每个投标人只能提交一份投标文件（一个正本五个副本，正本文件内所有资料均需加盖公司公章），所投材料恕不退回。</w:t>
      </w:r>
    </w:p>
    <w:p>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2.投标文件的组成  </w:t>
      </w:r>
    </w:p>
    <w:p>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（1）投标人营业执照和相关资质、法定代表人授权委托书、产品授权书；</w:t>
      </w:r>
    </w:p>
    <w:p>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（2）产品报价、清单以及产品彩页（产品报价内容应包含产品名称、品牌型号、价格、质保年限、生产厂家等相关信息）；</w:t>
      </w:r>
    </w:p>
    <w:p>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（3）技术参数响应表，商务要求响应表；</w:t>
      </w:r>
    </w:p>
    <w:p>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（4）投标人信誉证明，相关网站查询截图，及相关业绩材料。</w:t>
      </w:r>
    </w:p>
    <w:p>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五、投标人资格要求  </w:t>
      </w:r>
    </w:p>
    <w:p>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1.本次招标要求投标人须具备相关资质。  </w:t>
      </w:r>
    </w:p>
    <w:p>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2.信誉要求。</w:t>
      </w:r>
    </w:p>
    <w:p>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（1）根据最高人民法院等9部门《关于在招投标活动中对失信被执行人实施联合惩戒的通知》（法〔2016〕285号）规定，投标人、拟派项目负责人不得为失信被执行人（以评标阶段 “信用中国”网站（www.creditchina.gov.cn）查询信息为准）。</w:t>
      </w:r>
    </w:p>
    <w:p>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六、递交投标文件时间、地点、联系人：</w:t>
      </w:r>
    </w:p>
    <w:p>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时间：2024年5月 日～2024年5月 日（周一至周五上午8:00～12：00，下午15：00～18：00，节假日除外）。</w:t>
      </w:r>
    </w:p>
    <w:p>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地址：南宁市青秀区东葛路1号锦华酒店副楼广西骨伤医院行政办公区401室。</w:t>
      </w:r>
    </w:p>
    <w:p>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联系人：李老师   0771-2622251     17344229910 </w:t>
      </w:r>
    </w:p>
    <w:p>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七、议价会时间及地点：另行通知。</w:t>
      </w:r>
    </w:p>
    <w:p>
      <w:pPr>
        <w:spacing w:line="400" w:lineRule="exact"/>
        <w:ind w:firstLine="420" w:firstLineChars="200"/>
        <w:rPr>
          <w:rFonts w:hint="default" w:ascii="宋体" w:hAnsi="宋体" w:eastAsia="宋体" w:cs="Times New Roman"/>
          <w:bCs/>
          <w:color w:val="000000"/>
          <w:szCs w:val="21"/>
          <w:highlight w:val="none"/>
          <w:lang w:val="en-US" w:eastAsia="zh-CN"/>
        </w:rPr>
      </w:pPr>
    </w:p>
    <w:p>
      <w:pPr>
        <w:spacing w:line="400" w:lineRule="exact"/>
        <w:ind w:firstLine="420" w:firstLineChars="200"/>
        <w:rPr>
          <w:rFonts w:hint="default" w:ascii="宋体" w:hAnsi="宋体" w:eastAsia="宋体" w:cs="Times New Roman"/>
          <w:bCs/>
          <w:color w:val="000000"/>
          <w:szCs w:val="21"/>
          <w:highlight w:val="none"/>
          <w:lang w:val="en-US" w:eastAsia="zh-CN"/>
        </w:rPr>
      </w:pPr>
    </w:p>
    <w:p>
      <w:pPr>
        <w:spacing w:line="400" w:lineRule="exact"/>
        <w:ind w:firstLine="420" w:firstLineChars="200"/>
        <w:jc w:val="right"/>
        <w:rPr>
          <w:rFonts w:hint="default"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2024年5月 日</w:t>
      </w:r>
    </w:p>
    <w:p>
      <w:pPr>
        <w:spacing w:line="400" w:lineRule="exact"/>
        <w:ind w:firstLine="420" w:firstLineChars="200"/>
        <w:jc w:val="right"/>
        <w:rPr>
          <w:rFonts w:hint="default"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广西骨伤医院</w:t>
      </w:r>
    </w:p>
    <w:p>
      <w:pPr>
        <w:spacing w:line="320" w:lineRule="exact"/>
        <w:rPr>
          <w:rFonts w:hint="eastAsia" w:ascii="宋体" w:hAnsi="宋体" w:eastAsia="宋体" w:cs="Times New Roman"/>
          <w:color w:val="000000"/>
          <w:szCs w:val="21"/>
          <w:highlight w:val="none"/>
        </w:rPr>
      </w:pPr>
    </w:p>
    <w:p>
      <w:pPr>
        <w:keepNext/>
        <w:keepLines/>
        <w:numPr>
          <w:ilvl w:val="0"/>
          <w:numId w:val="1"/>
        </w:numPr>
        <w:spacing w:before="260" w:after="260" w:line="416" w:lineRule="auto"/>
        <w:jc w:val="center"/>
        <w:outlineLvl w:val="1"/>
        <w:rPr>
          <w:rFonts w:hint="eastAsia" w:ascii="Cambria" w:hAnsi="Cambria" w:eastAsia="宋体" w:cs="Times New Roman"/>
          <w:b/>
          <w:bCs/>
          <w:color w:val="000000"/>
          <w:sz w:val="32"/>
          <w:szCs w:val="32"/>
          <w:highlight w:val="none"/>
          <w:lang w:val="en-US" w:eastAsia="zh-CN"/>
        </w:rPr>
      </w:pPr>
      <w:r>
        <w:rPr>
          <w:rFonts w:hint="eastAsia" w:ascii="Cambria" w:hAnsi="Cambria" w:eastAsia="宋体" w:cs="Times New Roman"/>
          <w:b/>
          <w:bCs/>
          <w:color w:val="000000"/>
          <w:sz w:val="32"/>
          <w:szCs w:val="32"/>
          <w:highlight w:val="none"/>
          <w:lang w:val="en-US" w:eastAsia="zh-CN"/>
        </w:rPr>
        <w:t>采购需求</w:t>
      </w:r>
    </w:p>
    <w:p>
      <w:pPr>
        <w:numPr>
          <w:ilvl w:val="0"/>
          <w:numId w:val="0"/>
        </w:numPr>
        <w:spacing w:line="320" w:lineRule="exact"/>
        <w:jc w:val="both"/>
        <w:rPr>
          <w:rFonts w:hint="default" w:ascii="宋体" w:hAnsi="宋体" w:eastAsia="宋体" w:cs="Times New Roman"/>
          <w:color w:val="000000"/>
          <w:szCs w:val="21"/>
          <w:highlight w:val="none"/>
          <w:lang w:val="en-US" w:eastAsia="zh-CN"/>
        </w:rPr>
      </w:pPr>
    </w:p>
    <w:p>
      <w:pPr>
        <w:spacing w:line="320" w:lineRule="exact"/>
        <w:ind w:firstLine="422" w:firstLineChars="200"/>
        <w:rPr>
          <w:rFonts w:ascii="宋体" w:hAnsi="宋体" w:eastAsia="宋体" w:cs="Times New Roman"/>
          <w:color w:val="000000"/>
          <w:szCs w:val="21"/>
          <w:highlight w:val="none"/>
        </w:rPr>
      </w:pPr>
      <w:r>
        <w:rPr>
          <w:rFonts w:hint="eastAsia" w:ascii="宋体" w:hAnsi="宋体" w:eastAsia="宋体" w:cs="Times New Roman"/>
          <w:b/>
          <w:bCs/>
          <w:color w:val="000000"/>
          <w:szCs w:val="21"/>
          <w:highlight w:val="none"/>
          <w:lang w:val="en-US" w:eastAsia="zh-CN"/>
        </w:rPr>
        <w:t>1</w:t>
      </w:r>
      <w:r>
        <w:rPr>
          <w:rFonts w:ascii="宋体" w:hAnsi="宋体" w:eastAsia="宋体" w:cs="Times New Roman"/>
          <w:b/>
          <w:bCs/>
          <w:color w:val="000000"/>
          <w:szCs w:val="21"/>
          <w:highlight w:val="none"/>
        </w:rPr>
        <w:t>.</w:t>
      </w:r>
      <w:r>
        <w:rPr>
          <w:rFonts w:hint="eastAsia" w:ascii="宋体" w:hAnsi="宋体" w:eastAsia="宋体" w:cs="Times New Roman"/>
          <w:b/>
          <w:bCs/>
          <w:color w:val="000000"/>
          <w:szCs w:val="21"/>
          <w:highlight w:val="none"/>
        </w:rPr>
        <w:t>采购需求</w:t>
      </w:r>
      <w:r>
        <w:rPr>
          <w:rFonts w:hint="eastAsia" w:ascii="宋体" w:hAnsi="宋体" w:eastAsia="宋体" w:cs="Times New Roman"/>
          <w:b/>
          <w:bCs/>
          <w:color w:val="000000"/>
          <w:szCs w:val="21"/>
          <w:highlight w:val="none"/>
          <w:lang w:val="en-US" w:eastAsia="zh-CN"/>
        </w:rPr>
        <w:t>一览表</w:t>
      </w:r>
      <w:r>
        <w:rPr>
          <w:rFonts w:hint="eastAsia" w:ascii="宋体" w:hAnsi="宋体" w:eastAsia="宋体" w:cs="Times New Roman"/>
          <w:b/>
          <w:bCs/>
          <w:color w:val="000000"/>
          <w:szCs w:val="21"/>
          <w:highlight w:val="none"/>
        </w:rPr>
        <w:t>：</w:t>
      </w:r>
      <w:r>
        <w:rPr>
          <w:rFonts w:ascii="宋体" w:hAnsi="宋体" w:eastAsia="宋体" w:cs="Times New Roman"/>
          <w:color w:val="000000"/>
          <w:szCs w:val="21"/>
          <w:highlight w:val="none"/>
        </w:rPr>
        <w:t xml:space="preserve"> </w:t>
      </w:r>
    </w:p>
    <w:p>
      <w:pPr>
        <w:ind w:firstLine="422" w:firstLineChars="200"/>
        <w:rPr>
          <w:rFonts w:ascii="宋体" w:hAnsi="宋体" w:eastAsia="宋体" w:cs="Times New Roman"/>
          <w:b/>
          <w:bCs/>
          <w:szCs w:val="21"/>
          <w:highlight w:val="none"/>
        </w:rPr>
      </w:pPr>
      <w:r>
        <w:rPr>
          <w:rFonts w:hint="eastAsia" w:ascii="宋体" w:hAnsi="宋体" w:eastAsia="宋体" w:cs="Times New Roman"/>
          <w:b/>
          <w:bCs/>
          <w:szCs w:val="21"/>
          <w:highlight w:val="none"/>
        </w:rPr>
        <w:t>采购预算：详见竞争性磋商公告</w:t>
      </w:r>
    </w:p>
    <w:p>
      <w:pPr>
        <w:widowControl/>
        <w:ind w:firstLine="420" w:firstLineChars="200"/>
        <w:rPr>
          <w:rFonts w:ascii="宋体" w:hAnsi="宋体" w:eastAsia="宋体" w:cs="Times New Roman"/>
          <w:color w:val="000000"/>
          <w:szCs w:val="21"/>
          <w:highlight w:val="none"/>
        </w:rPr>
      </w:pPr>
    </w:p>
    <w:tbl>
      <w:tblPr>
        <w:tblStyle w:val="6"/>
        <w:tblW w:w="83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96"/>
        <w:gridCol w:w="709"/>
        <w:gridCol w:w="59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59" w:type="dxa"/>
            <w:gridSpan w:val="3"/>
            <w:shd w:val="clear" w:color="auto" w:fill="auto"/>
            <w:vAlign w:val="center"/>
          </w:tcPr>
          <w:p>
            <w:pPr>
              <w:spacing w:line="400" w:lineRule="exact"/>
              <w:rPr>
                <w:rFonts w:ascii="宋体" w:hAnsi="宋体" w:eastAsia="宋体" w:cs="Times New Roman"/>
                <w:b/>
                <w:bCs/>
                <w:szCs w:val="21"/>
                <w:highlight w:val="none"/>
              </w:rPr>
            </w:pPr>
            <w:r>
              <w:rPr>
                <w:rFonts w:hint="eastAsia" w:ascii="宋体" w:hAnsi="宋体" w:eastAsia="宋体" w:cs="Times New Roman"/>
                <w:b/>
                <w:bCs/>
                <w:szCs w:val="21"/>
                <w:highlight w:val="none"/>
              </w:rPr>
              <w:t>一、项目要求及技术需求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jc w:val="center"/>
              <w:rPr>
                <w:rFonts w:ascii="宋体" w:hAnsi="宋体" w:eastAsia="宋体" w:cs="Times New Roman"/>
                <w:szCs w:val="21"/>
                <w:highlight w:val="none"/>
              </w:rPr>
            </w:pPr>
            <w:r>
              <w:rPr>
                <w:rFonts w:hint="eastAsia" w:ascii="宋体" w:hAnsi="宋体" w:eastAsia="宋体" w:cs="Times New Roman"/>
                <w:szCs w:val="21"/>
                <w:highlight w:val="none"/>
              </w:rPr>
              <w:t>采购内容</w:t>
            </w:r>
          </w:p>
        </w:tc>
        <w:tc>
          <w:tcPr>
            <w:tcW w:w="709" w:type="dxa"/>
            <w:shd w:val="clear" w:color="auto" w:fill="auto"/>
            <w:vAlign w:val="center"/>
          </w:tcPr>
          <w:p>
            <w:pPr>
              <w:spacing w:line="400" w:lineRule="exact"/>
              <w:jc w:val="center"/>
              <w:rPr>
                <w:rFonts w:ascii="宋体" w:hAnsi="宋体" w:eastAsia="宋体" w:cs="Times New Roman"/>
                <w:szCs w:val="21"/>
                <w:highlight w:val="none"/>
              </w:rPr>
            </w:pPr>
            <w:r>
              <w:rPr>
                <w:rFonts w:hint="eastAsia" w:ascii="宋体" w:hAnsi="宋体" w:eastAsia="宋体" w:cs="Times New Roman"/>
                <w:szCs w:val="21"/>
                <w:highlight w:val="none"/>
              </w:rPr>
              <w:t>数量</w:t>
            </w:r>
          </w:p>
        </w:tc>
        <w:tc>
          <w:tcPr>
            <w:tcW w:w="5954" w:type="dxa"/>
            <w:shd w:val="clear" w:color="auto" w:fill="auto"/>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cs="Times New Roman"/>
                <w:szCs w:val="21"/>
                <w:highlight w:val="none"/>
              </w:rPr>
            </w:pPr>
            <w:r>
              <w:rPr>
                <w:rFonts w:hint="eastAsia" w:ascii="宋体" w:hAnsi="宋体" w:eastAsia="宋体" w:cs="Times New Roman"/>
                <w:szCs w:val="21"/>
                <w:highlight w:val="none"/>
              </w:rPr>
              <w:t>项目要求及技术需求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jc w:val="center"/>
              <w:rPr>
                <w:rFonts w:hint="eastAsia" w:ascii="宋体" w:hAnsi="宋体" w:eastAsia="宋体" w:cs="Times New Roman"/>
                <w:szCs w:val="21"/>
                <w:highlight w:val="none"/>
                <w:lang w:eastAsia="zh-CN"/>
              </w:rPr>
            </w:pPr>
            <w:r>
              <w:rPr>
                <w:rFonts w:hint="eastAsia" w:ascii="宋体" w:hAnsi="宋体" w:eastAsia="宋体" w:cs="Times New Roman"/>
                <w:bCs/>
                <w:color w:val="000000"/>
                <w:szCs w:val="21"/>
                <w:highlight w:val="none"/>
                <w:lang w:eastAsia="zh-CN"/>
              </w:rPr>
              <w:t>彩色多普勒超声诊断仪</w:t>
            </w:r>
          </w:p>
        </w:tc>
        <w:tc>
          <w:tcPr>
            <w:tcW w:w="709" w:type="dxa"/>
            <w:shd w:val="clear" w:color="auto" w:fill="auto"/>
            <w:vAlign w:val="center"/>
          </w:tcPr>
          <w:p>
            <w:pPr>
              <w:spacing w:line="400" w:lineRule="exact"/>
              <w:jc w:val="left"/>
              <w:rPr>
                <w:rFonts w:hint="default" w:ascii="宋体" w:hAnsi="宋体" w:eastAsia="宋体" w:cs="Times New Roman"/>
                <w:bCs/>
                <w:szCs w:val="21"/>
                <w:highlight w:val="none"/>
                <w:lang w:val="en-US" w:eastAsia="zh-CN"/>
              </w:rPr>
            </w:pPr>
            <w:r>
              <w:rPr>
                <w:rFonts w:hint="eastAsia" w:ascii="宋体" w:hAnsi="宋体" w:eastAsia="宋体" w:cs="Times New Roman"/>
                <w:bCs/>
                <w:szCs w:val="21"/>
                <w:highlight w:val="none"/>
                <w:lang w:val="en-US" w:eastAsia="zh-CN"/>
              </w:rPr>
              <w:t>1台</w:t>
            </w:r>
          </w:p>
        </w:tc>
        <w:tc>
          <w:tcPr>
            <w:tcW w:w="5954" w:type="dxa"/>
            <w:shd w:val="clear" w:color="auto" w:fill="auto"/>
          </w:tcPr>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（一）系统主机要求</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1、全数字彩色多普勒超声诊断仪（非便携式），产品首次注册日期为2020年（含2020年）后的机型；</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2、高分辨率液晶显示器≥21.5 英寸，上下高度、左右旋转及前后折叠调节,具备安全锁；</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3、操作面板具备液晶触摸屏≥14英寸，触摸屏可独立调节角度(液晶触摸屏≥15英寸设为正偏离)；</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4、触摸屏支持手势操作，主显示屏和触摸屏可以同步显示图像；</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5、主机操作面板一体化耦合剂加热装置；</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6、控制面板悬浮式单臂支撑，可独立升降及左右旋转≥180°；</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7、探头接口≥4个，全激活相互通用（探头接口≥5设为正偏离）；</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8、具备二维灰阶成像及 M 型成像单元；</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9、具备彩色多普勒成像及彩色多普勒能量成像单元；</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10、具备频谱多普勒成像及连续波多普勒成像单元；</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11、具备应变式弹性成像；</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12、具备组织多普勒成像；</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13、具备彩色M型模式；</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14、具备实时彩色宽景成像,支持二维及彩色，具备速度提示功能，可支持后处理及旋转，并支持回退擦除功能；</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15、具备实时一键自动优化功能（支持二维、彩色、频谱、M型）</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16、具备图像放大功能：测量放大功能，非单纯的Zoom局部放大功能，实时无失真放大测量游标位置图像，并同屏与原图像同步显示，轨迹球移动测量游标时图像放大窗同步随动；</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17、具备支持高清斑点噪声抑制技术；</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18、具备支持扩展成像（要求凸阵、线阵、容积、相控阵探头可用）；</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19、具备自动多普勒技术：支持凸阵、线阵探头，彩色血流成像模式下，一键自动追踪血管位置，线阵探头自动偏转彩色取样框角度，快速获取优异的血流图像；</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20、具备穿刺针增强技术；</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21、解剖M型≥3条取样线，支持360°校正调节；</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22、具备检查模式自动记忆功能，实时自动记录当前检查模式下优化后的参数信息；</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23、具备一键血流多普勒自动测量功能：独立按键，一键式从2D模式自动进入CFM、PW模式，同时彩色取样框和频谱取样容积自动调节追踪血管和自动测量血流参数；</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（二）测量/分析和报告要求</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1、一般测量：距离、周长、面积、体积、角度、自动频谱测量，支持实时及冻结后自动频谱测量；</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2、产科测量与分析；</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3、妇科测量与分析；</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4、IMT血管内中膜自动测量，独立自动测量前后壁内中膜厚度，并同屏显示相关数据；</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5、膀胱容积自动测量；</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6、泌尿科测量与分析；</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7、心脏测量与分析；</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（三）回放和数据存储要求</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1、支持二维、彩色、 等模式的手动和自动回放；</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2、电影回放：≥400秒；</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3、硬盘：≥1T 硬盘支持, SSD 固态硬盘≥256G；</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4、多种导出图像格式；</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5、支持动态、静态图像存储、电影回放及导出；</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6、云端服务器存储功能，支持图像随时上传到云服务平台进行存储和调阅；</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（四）连通性要求</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1、支持网络连接，DICOM 3.0；</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2、支持无线WIFI网络连接；</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3、视频/音频输入、输出；支持 ECG 信号；</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4、至少具备输入接口：音频输入，ECG 信号输入；</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5、至少具备输出信号：HDMI ，S端子，VGA，DVI；</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6、≥10 个 USB 接口（非外接USB接口）、DVD R/W刻录光驱；</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（五）系统技术要求</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1、数字化全程动态聚焦，数字化可变孔径及动态变迹，A/D≥14 bit；</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2、多波束处理系统；</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3、灰阶图谱: ≥13种；</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4、双实时模式显示；</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5、预设条件：针对不同的检查脏器，预置最佳图像检查条件；</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6、空间复合成像，曲别针试验≥10线，多级可调；</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7、组织特异性成像；</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8、最大显示深度:≥35cm（深度:≥40cm设为正偏离）；</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9、TGC：≥8段，LGC：≥8段；</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10、动态范围: ≥280；</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11、增益调节: B/M/D 分别独立可调，≥110，可视可调；</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12、彩色多普勒成像；</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13、彩色隐藏功能；</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14、B/C双实时显示；</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15、取样框偏转: ≥±30度；</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16、具有血流增强显示技术，把一段时间内相邻切面的血流信号融合持续显示在当前图像上，提升血流信号的显示能力，≥3级调节</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17、包括脉冲多普勒、高脉冲重复频率、连续多普勒；</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18、显示方式：B, PW，B/PW, B/C/PW；</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19、最大速度: ≥7.60m/s（连续多普勒速度: ≥20m/s）；</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20、最小速度: ≤1 mm /s（非噪声信号）；</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21、取样容积: 0.5-30mm ；</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22、PW频谱多普勒模式≥5段；</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23、支持零位移动；</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24、支持频谱自动测量；</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25、频率：超宽频带或变频探头，所配探头均为宽频变频探头,二维、谐波、彩色及频谱多普勒模式分别独立变频；</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26、扫描频率：</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凸阵探头：带宽: 2.0-5.0MHz</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腔内探头：带宽: 4.0-10.0 MHz</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线阵探头：带宽: 5.0-12.0MHz；</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27、具备穿刺引导功能；</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28、具备腔内探头实时温度监测技术，探头相关温度变化值实时显示在主显示屏，进一步提升腔内操作安全的监测能力；</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29、具备应变式弹性成像：支持凸阵、线阵、腔内、凸阵容积探头；</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eastAsia" w:ascii="宋体" w:hAnsi="宋体" w:eastAsia="宋体" w:cs="Times New Roman"/>
                <w:kern w:val="2"/>
                <w:sz w:val="21"/>
                <w:szCs w:val="21"/>
                <w:highlight w:val="none"/>
                <w:lang w:val="en-US" w:eastAsia="zh-CN" w:bidi="ar-SA"/>
              </w:rPr>
            </w:pPr>
            <w:r>
              <w:rPr>
                <w:rFonts w:hint="eastAsia" w:ascii="宋体" w:hAnsi="宋体" w:eastAsia="宋体" w:cs="Times New Roman"/>
                <w:bCs/>
                <w:color w:val="000000"/>
                <w:szCs w:val="21"/>
                <w:highlight w:val="none"/>
                <w:lang w:val="en-US" w:eastAsia="zh-CN"/>
              </w:rPr>
              <w:t>30、探头配置：至少腹部探头1把、线阵探头1把、腔内探头1把（探头数量≥4把为正偏离）。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59" w:type="dxa"/>
            <w:gridSpan w:val="3"/>
            <w:shd w:val="clear" w:color="auto" w:fill="auto"/>
            <w:vAlign w:val="center"/>
          </w:tcPr>
          <w:p>
            <w:pPr>
              <w:spacing w:line="400" w:lineRule="exact"/>
              <w:jc w:val="left"/>
              <w:rPr>
                <w:rFonts w:ascii="宋体" w:hAnsi="宋体" w:eastAsia="宋体" w:cs="Times New Roman"/>
                <w:b/>
                <w:szCs w:val="21"/>
                <w:highlight w:val="none"/>
              </w:rPr>
            </w:pPr>
            <w:r>
              <w:rPr>
                <w:rFonts w:hint="eastAsia" w:ascii="宋体" w:hAnsi="宋体" w:eastAsia="宋体" w:cs="Times New Roman"/>
                <w:b/>
                <w:szCs w:val="21"/>
                <w:highlight w:val="none"/>
              </w:rPr>
              <w:t>二、商务要求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jc w:val="left"/>
              <w:rPr>
                <w:rFonts w:ascii="宋体" w:hAnsi="宋体" w:eastAsia="宋体" w:cs="Times New Roman"/>
                <w:b/>
                <w:szCs w:val="21"/>
                <w:highlight w:val="none"/>
              </w:rPr>
            </w:pPr>
            <w:r>
              <w:rPr>
                <w:rFonts w:hint="eastAsia" w:ascii="宋体" w:hAnsi="宋体" w:eastAsia="宋体" w:cs="Times New Roman"/>
                <w:szCs w:val="21"/>
                <w:highlight w:val="none"/>
              </w:rPr>
              <w:t>▲</w:t>
            </w:r>
            <w:r>
              <w:rPr>
                <w:rFonts w:hint="eastAsia" w:ascii="Calibri" w:hAnsi="Calibri" w:eastAsia="宋体" w:cs="Times New Roman"/>
                <w:szCs w:val="24"/>
                <w:highlight w:val="none"/>
              </w:rPr>
              <w:t>报价要求</w:t>
            </w:r>
          </w:p>
        </w:tc>
        <w:tc>
          <w:tcPr>
            <w:tcW w:w="6663"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ascii="宋体" w:hAnsi="宋体" w:eastAsia="宋体" w:cs="Times New Roman"/>
                <w:b/>
                <w:szCs w:val="21"/>
                <w:highlight w:val="none"/>
              </w:rPr>
            </w:pPr>
            <w:r>
              <w:rPr>
                <w:rFonts w:hint="eastAsia" w:ascii="宋体" w:hAnsi="宋体" w:eastAsia="宋体" w:cs="宋体"/>
                <w:bCs/>
                <w:szCs w:val="21"/>
                <w:highlight w:val="none"/>
              </w:rPr>
              <w:t>报价为全包价，以人民币为结算单位，包括本项目所有系统、</w:t>
            </w:r>
            <w:r>
              <w:rPr>
                <w:rFonts w:hint="eastAsia" w:ascii="宋体" w:hAnsi="宋体" w:eastAsia="宋体" w:cs="宋体"/>
                <w:bCs/>
                <w:szCs w:val="21"/>
                <w:highlight w:val="none"/>
                <w:lang w:val="en-US" w:eastAsia="zh-CN"/>
              </w:rPr>
              <w:t>运输、</w:t>
            </w:r>
            <w:r>
              <w:rPr>
                <w:rFonts w:hint="eastAsia" w:ascii="宋体" w:hAnsi="宋体" w:eastAsia="宋体" w:cs="宋体"/>
                <w:bCs/>
                <w:szCs w:val="21"/>
                <w:highlight w:val="none"/>
              </w:rPr>
              <w:t>安装调试、</w:t>
            </w:r>
            <w:r>
              <w:rPr>
                <w:rFonts w:hint="eastAsia" w:ascii="宋体" w:hAnsi="宋体" w:eastAsia="宋体" w:cs="宋体"/>
                <w:bCs/>
                <w:szCs w:val="21"/>
                <w:highlight w:val="none"/>
                <w:lang w:val="en-US" w:eastAsia="zh-CN"/>
              </w:rPr>
              <w:t>人工费、</w:t>
            </w:r>
            <w:r>
              <w:rPr>
                <w:rFonts w:hint="eastAsia" w:ascii="宋体" w:hAnsi="宋体" w:eastAsia="宋体" w:cs="宋体"/>
                <w:bCs/>
                <w:szCs w:val="21"/>
                <w:highlight w:val="none"/>
              </w:rPr>
              <w:t>验收、培训、售后服务、伴随的服务</w:t>
            </w:r>
            <w:r>
              <w:rPr>
                <w:rFonts w:hint="eastAsia" w:ascii="宋体" w:hAnsi="宋体" w:eastAsia="宋体" w:cs="宋体"/>
                <w:bCs/>
                <w:szCs w:val="21"/>
                <w:highlight w:val="none"/>
                <w:lang w:eastAsia="zh-CN"/>
              </w:rPr>
              <w:t>、</w:t>
            </w:r>
            <w:r>
              <w:rPr>
                <w:rFonts w:hint="eastAsia" w:ascii="宋体" w:hAnsi="宋体" w:eastAsia="宋体" w:cs="宋体"/>
                <w:bCs/>
                <w:szCs w:val="21"/>
              </w:rPr>
              <w:t>各种税费</w:t>
            </w:r>
            <w:r>
              <w:rPr>
                <w:rFonts w:hint="eastAsia" w:ascii="宋体" w:hAnsi="宋体" w:eastAsia="宋体" w:cs="宋体"/>
                <w:bCs/>
                <w:szCs w:val="21"/>
                <w:lang w:eastAsia="zh-CN"/>
              </w:rPr>
              <w:t>、</w:t>
            </w:r>
            <w:r>
              <w:rPr>
                <w:rFonts w:hint="eastAsia" w:ascii="宋体" w:hAnsi="宋体" w:eastAsia="宋体" w:cs="宋体"/>
                <w:bCs/>
                <w:szCs w:val="21"/>
                <w:lang w:val="en-US" w:eastAsia="zh-CN"/>
              </w:rPr>
              <w:t>以及</w:t>
            </w:r>
            <w:r>
              <w:rPr>
                <w:rFonts w:hint="eastAsia" w:ascii="宋体" w:hAnsi="宋体" w:eastAsia="宋体" w:cs="宋体"/>
                <w:b/>
                <w:bCs w:val="0"/>
                <w:color w:val="FF0000"/>
                <w:szCs w:val="21"/>
                <w:lang w:val="en-US" w:eastAsia="zh-CN"/>
              </w:rPr>
              <w:t>对接医院HIS所产生的接口费用</w:t>
            </w:r>
            <w:r>
              <w:rPr>
                <w:rFonts w:hint="eastAsia" w:ascii="宋体" w:hAnsi="宋体" w:eastAsia="宋体" w:cs="宋体"/>
                <w:bCs/>
                <w:szCs w:val="21"/>
              </w:rPr>
              <w:t>等全部费用</w:t>
            </w:r>
            <w:r>
              <w:rPr>
                <w:rFonts w:hint="eastAsia" w:ascii="宋体" w:hAnsi="宋体" w:eastAsia="宋体" w:cs="宋体"/>
                <w:bCs/>
                <w:szCs w:val="21"/>
                <w:lang w:eastAsia="zh-CN"/>
              </w:rPr>
              <w:t>。</w:t>
            </w:r>
            <w:r>
              <w:rPr>
                <w:rFonts w:hint="eastAsia" w:ascii="宋体" w:hAnsi="宋体" w:eastAsia="宋体" w:cs="宋体"/>
                <w:bCs/>
                <w:szCs w:val="21"/>
                <w:highlight w:val="none"/>
              </w:rPr>
              <w:t>在合同实施时，将不予支付成交供应商没有列入的项目费用，并认为此项目的费用已包括在总报价中。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rPr>
                <w:rFonts w:ascii="宋体" w:hAnsi="宋体" w:eastAsia="宋体" w:cs="Times New Roman"/>
                <w:szCs w:val="21"/>
                <w:highlight w:val="none"/>
              </w:rPr>
            </w:pPr>
            <w:r>
              <w:rPr>
                <w:rFonts w:hint="eastAsia" w:ascii="宋体" w:hAnsi="宋体" w:eastAsia="宋体" w:cs="Times New Roman"/>
                <w:szCs w:val="21"/>
                <w:highlight w:val="none"/>
              </w:rPr>
              <w:t>▲质保期</w:t>
            </w:r>
          </w:p>
        </w:tc>
        <w:tc>
          <w:tcPr>
            <w:tcW w:w="6663" w:type="dxa"/>
            <w:gridSpan w:val="2"/>
            <w:shd w:val="clear" w:color="auto" w:fill="auto"/>
            <w:vAlign w:val="center"/>
          </w:tcPr>
          <w:p>
            <w:pPr>
              <w:keepNext w:val="0"/>
              <w:keepLines w:val="0"/>
              <w:pageBreakBefore w:val="0"/>
              <w:widowControl w:val="0"/>
              <w:kinsoku/>
              <w:wordWrap/>
              <w:overflowPunct/>
              <w:topLinePunct w:val="0"/>
              <w:autoSpaceDE/>
              <w:autoSpaceDN/>
              <w:bidi w:val="0"/>
              <w:spacing w:line="320" w:lineRule="exact"/>
              <w:jc w:val="left"/>
              <w:textAlignment w:val="auto"/>
              <w:rPr>
                <w:rFonts w:ascii="宋体" w:hAnsi="宋体" w:eastAsia="宋体" w:cs="Times New Roman"/>
                <w:bCs/>
                <w:szCs w:val="21"/>
                <w:highlight w:val="none"/>
              </w:rPr>
            </w:pPr>
            <w:r>
              <w:rPr>
                <w:rFonts w:hint="eastAsia" w:ascii="宋体" w:hAnsi="宋体" w:eastAsia="宋体" w:cs="Times New Roman"/>
                <w:bCs/>
                <w:szCs w:val="21"/>
                <w:highlight w:val="none"/>
              </w:rPr>
              <w:t>按国家有关产品“三包”规定执行“三包”，交货验收合格之日起所有货物提供</w:t>
            </w:r>
            <w:r>
              <w:rPr>
                <w:rFonts w:hint="eastAsia" w:ascii="宋体" w:hAnsi="宋体" w:eastAsia="宋体" w:cs="Times New Roman"/>
                <w:b/>
                <w:bCs w:val="0"/>
                <w:szCs w:val="21"/>
                <w:highlight w:val="none"/>
                <w:lang w:val="en-US" w:eastAsia="zh-CN"/>
              </w:rPr>
              <w:t>2</w:t>
            </w:r>
            <w:r>
              <w:rPr>
                <w:rFonts w:hint="eastAsia" w:ascii="宋体" w:hAnsi="宋体" w:eastAsia="宋体" w:cs="Times New Roman"/>
                <w:bCs/>
                <w:szCs w:val="21"/>
                <w:highlight w:val="none"/>
              </w:rPr>
              <w:t>年的免费上门保修和包换、维护服务（各分项另有要求的以各分项要求为准）。质保期内免费上门维修、免费更换零部件。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rPr>
                <w:rFonts w:ascii="宋体" w:hAnsi="宋体" w:eastAsia="宋体" w:cs="Times New Roman"/>
                <w:szCs w:val="21"/>
                <w:highlight w:val="none"/>
              </w:rPr>
            </w:pPr>
            <w:r>
              <w:rPr>
                <w:rFonts w:hint="eastAsia" w:ascii="宋体" w:hAnsi="宋体" w:eastAsia="宋体" w:cs="Times New Roman"/>
                <w:szCs w:val="21"/>
                <w:highlight w:val="none"/>
              </w:rPr>
              <w:t>售后服务要求</w:t>
            </w:r>
          </w:p>
        </w:tc>
        <w:tc>
          <w:tcPr>
            <w:tcW w:w="6663" w:type="dxa"/>
            <w:gridSpan w:val="2"/>
            <w:shd w:val="clear" w:color="auto" w:fill="auto"/>
            <w:vAlign w:val="center"/>
          </w:tcPr>
          <w:p>
            <w:pPr>
              <w:keepNext w:val="0"/>
              <w:keepLines w:val="0"/>
              <w:pageBreakBefore w:val="0"/>
              <w:widowControl w:val="0"/>
              <w:kinsoku/>
              <w:wordWrap/>
              <w:overflowPunct/>
              <w:topLinePunct w:val="0"/>
              <w:autoSpaceDE/>
              <w:autoSpaceDN/>
              <w:bidi w:val="0"/>
              <w:spacing w:line="320" w:lineRule="exact"/>
              <w:jc w:val="left"/>
              <w:textAlignment w:val="auto"/>
              <w:rPr>
                <w:rFonts w:ascii="宋体" w:hAnsi="宋体" w:eastAsia="宋体" w:cs="Times New Roman"/>
                <w:bCs/>
                <w:szCs w:val="21"/>
                <w:highlight w:val="none"/>
              </w:rPr>
            </w:pPr>
            <w:r>
              <w:rPr>
                <w:rFonts w:hint="eastAsia" w:ascii="宋体" w:hAnsi="宋体" w:eastAsia="宋体" w:cs="Times New Roman"/>
                <w:bCs/>
                <w:szCs w:val="21"/>
                <w:highlight w:val="none"/>
              </w:rPr>
              <w:t>▲</w:t>
            </w:r>
            <w:r>
              <w:rPr>
                <w:rFonts w:ascii="宋体" w:hAnsi="宋体" w:eastAsia="宋体" w:cs="Times New Roman"/>
                <w:bCs/>
                <w:szCs w:val="21"/>
                <w:highlight w:val="none"/>
              </w:rPr>
              <w:t>1</w:t>
            </w:r>
            <w:r>
              <w:rPr>
                <w:rFonts w:hint="eastAsia" w:ascii="宋体" w:hAnsi="宋体" w:eastAsia="宋体" w:cs="Times New Roman"/>
                <w:bCs/>
                <w:szCs w:val="21"/>
                <w:highlight w:val="none"/>
              </w:rPr>
              <w:t>.</w:t>
            </w:r>
            <w:r>
              <w:rPr>
                <w:rFonts w:ascii="宋体" w:hAnsi="宋体" w:eastAsia="宋体" w:cs="Times New Roman"/>
                <w:bCs/>
                <w:szCs w:val="21"/>
                <w:highlight w:val="none"/>
              </w:rPr>
              <w:t>免费送货上门、免费培训操作人员。</w:t>
            </w:r>
          </w:p>
          <w:p>
            <w:pPr>
              <w:keepNext w:val="0"/>
              <w:keepLines w:val="0"/>
              <w:pageBreakBefore w:val="0"/>
              <w:widowControl w:val="0"/>
              <w:kinsoku/>
              <w:wordWrap/>
              <w:overflowPunct/>
              <w:topLinePunct w:val="0"/>
              <w:autoSpaceDE/>
              <w:autoSpaceDN/>
              <w:bidi w:val="0"/>
              <w:spacing w:line="320" w:lineRule="exact"/>
              <w:jc w:val="left"/>
              <w:textAlignment w:val="auto"/>
              <w:rPr>
                <w:rFonts w:ascii="宋体" w:hAnsi="宋体" w:eastAsia="宋体" w:cs="Times New Roman"/>
                <w:bCs/>
                <w:szCs w:val="21"/>
                <w:highlight w:val="none"/>
              </w:rPr>
            </w:pPr>
            <w:r>
              <w:rPr>
                <w:rFonts w:ascii="宋体" w:hAnsi="宋体" w:eastAsia="宋体" w:cs="Times New Roman"/>
                <w:bCs/>
                <w:szCs w:val="21"/>
                <w:highlight w:val="none"/>
              </w:rPr>
              <w:t>2</w:t>
            </w:r>
            <w:r>
              <w:rPr>
                <w:rFonts w:hint="eastAsia" w:ascii="宋体" w:hAnsi="宋体" w:eastAsia="宋体" w:cs="Times New Roman"/>
                <w:bCs/>
                <w:szCs w:val="21"/>
                <w:highlight w:val="none"/>
              </w:rPr>
              <w:t>.</w:t>
            </w:r>
            <w:r>
              <w:rPr>
                <w:rFonts w:ascii="宋体" w:hAnsi="宋体" w:eastAsia="宋体" w:cs="Times New Roman"/>
                <w:bCs/>
                <w:szCs w:val="21"/>
                <w:highlight w:val="none"/>
              </w:rPr>
              <w:t>维修响应：中标供应商在接到用户维修电话后4小时内响应， 12小时内到达现场修理解决，并免费更换有缺陷的货物或零部件，24小时内恢复正常使用，若不能修复则应有合理应对方案。</w:t>
            </w:r>
          </w:p>
          <w:p>
            <w:pPr>
              <w:keepNext w:val="0"/>
              <w:keepLines w:val="0"/>
              <w:pageBreakBefore w:val="0"/>
              <w:widowControl w:val="0"/>
              <w:kinsoku/>
              <w:wordWrap/>
              <w:overflowPunct/>
              <w:topLinePunct w:val="0"/>
              <w:autoSpaceDE/>
              <w:autoSpaceDN/>
              <w:bidi w:val="0"/>
              <w:spacing w:line="320" w:lineRule="exact"/>
              <w:jc w:val="left"/>
              <w:textAlignment w:val="auto"/>
              <w:rPr>
                <w:rFonts w:ascii="宋体" w:hAnsi="宋体" w:eastAsia="宋体" w:cs="Times New Roman"/>
                <w:bCs/>
                <w:szCs w:val="21"/>
                <w:highlight w:val="none"/>
              </w:rPr>
            </w:pPr>
            <w:r>
              <w:rPr>
                <w:rFonts w:ascii="宋体" w:hAnsi="宋体" w:eastAsia="宋体" w:cs="Times New Roman"/>
                <w:bCs/>
                <w:szCs w:val="21"/>
                <w:highlight w:val="none"/>
              </w:rPr>
              <w:t>3</w:t>
            </w:r>
            <w:r>
              <w:rPr>
                <w:rFonts w:hint="eastAsia" w:ascii="宋体" w:hAnsi="宋体" w:eastAsia="宋体" w:cs="Times New Roman"/>
                <w:bCs/>
                <w:szCs w:val="21"/>
                <w:highlight w:val="none"/>
              </w:rPr>
              <w:t>.</w:t>
            </w:r>
            <w:r>
              <w:rPr>
                <w:rFonts w:ascii="宋体" w:hAnsi="宋体" w:eastAsia="宋体" w:cs="Times New Roman"/>
                <w:bCs/>
                <w:szCs w:val="21"/>
                <w:highlight w:val="none"/>
              </w:rPr>
              <w:t>中标人除承担运输、安装、调试、验收与培训等义务外，还将为采购方提供技术支持，包括保修期外的修理及技术指导、配件供应等。</w:t>
            </w:r>
          </w:p>
          <w:p>
            <w:pPr>
              <w:keepNext w:val="0"/>
              <w:keepLines w:val="0"/>
              <w:pageBreakBefore w:val="0"/>
              <w:widowControl w:val="0"/>
              <w:kinsoku/>
              <w:wordWrap/>
              <w:overflowPunct/>
              <w:topLinePunct w:val="0"/>
              <w:autoSpaceDE/>
              <w:autoSpaceDN/>
              <w:bidi w:val="0"/>
              <w:spacing w:line="320" w:lineRule="exact"/>
              <w:jc w:val="left"/>
              <w:textAlignment w:val="auto"/>
              <w:rPr>
                <w:rFonts w:ascii="宋体" w:hAnsi="宋体" w:eastAsia="宋体" w:cs="Times New Roman"/>
                <w:bCs/>
                <w:szCs w:val="21"/>
                <w:highlight w:val="none"/>
              </w:rPr>
            </w:pPr>
            <w:r>
              <w:rPr>
                <w:rFonts w:ascii="宋体" w:hAnsi="宋体" w:eastAsia="宋体" w:cs="Times New Roman"/>
                <w:bCs/>
                <w:szCs w:val="21"/>
                <w:highlight w:val="none"/>
              </w:rPr>
              <w:t>4</w:t>
            </w:r>
            <w:r>
              <w:rPr>
                <w:rFonts w:hint="eastAsia" w:ascii="宋体" w:hAnsi="宋体" w:eastAsia="宋体" w:cs="Times New Roman"/>
                <w:bCs/>
                <w:szCs w:val="21"/>
                <w:highlight w:val="none"/>
              </w:rPr>
              <w:t>.</w:t>
            </w:r>
            <w:r>
              <w:rPr>
                <w:rFonts w:ascii="宋体" w:hAnsi="宋体" w:eastAsia="宋体" w:cs="Times New Roman"/>
                <w:bCs/>
                <w:szCs w:val="21"/>
                <w:highlight w:val="none"/>
              </w:rPr>
              <w:t>投标人应提出售后服务承诺书。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rPr>
                <w:rFonts w:ascii="宋体" w:hAnsi="宋体" w:eastAsia="宋体" w:cs="Times New Roman"/>
                <w:szCs w:val="21"/>
                <w:highlight w:val="none"/>
              </w:rPr>
            </w:pPr>
            <w:r>
              <w:rPr>
                <w:rFonts w:hint="eastAsia" w:ascii="宋体" w:hAnsi="宋体" w:eastAsia="宋体" w:cs="Times New Roman"/>
                <w:szCs w:val="21"/>
                <w:highlight w:val="none"/>
              </w:rPr>
              <w:t>交货时间及地点</w:t>
            </w:r>
          </w:p>
        </w:tc>
        <w:tc>
          <w:tcPr>
            <w:tcW w:w="6663"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ascii="宋体" w:hAnsi="宋体" w:eastAsia="宋体" w:cs="Times New Roman"/>
                <w:bCs/>
                <w:szCs w:val="21"/>
                <w:highlight w:val="none"/>
              </w:rPr>
            </w:pPr>
            <w:r>
              <w:rPr>
                <w:rFonts w:ascii="宋体" w:hAnsi="宋体" w:eastAsia="宋体" w:cs="Times New Roman"/>
                <w:bCs/>
                <w:szCs w:val="21"/>
                <w:highlight w:val="none"/>
              </w:rPr>
              <w:t>1</w:t>
            </w:r>
            <w:r>
              <w:rPr>
                <w:rFonts w:hint="eastAsia" w:ascii="宋体" w:hAnsi="宋体" w:eastAsia="宋体" w:cs="Times New Roman"/>
                <w:bCs/>
                <w:szCs w:val="21"/>
                <w:highlight w:val="none"/>
              </w:rPr>
              <w:t>.</w:t>
            </w:r>
            <w:r>
              <w:rPr>
                <w:rFonts w:ascii="宋体" w:hAnsi="宋体" w:eastAsia="宋体" w:cs="Times New Roman"/>
                <w:bCs/>
                <w:szCs w:val="21"/>
                <w:highlight w:val="none"/>
              </w:rPr>
              <w:t>交付时间：自签订合同之日起7日内。</w:t>
            </w:r>
          </w:p>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ascii="宋体" w:hAnsi="宋体" w:eastAsia="宋体" w:cs="Times New Roman"/>
                <w:bCs/>
                <w:szCs w:val="21"/>
                <w:highlight w:val="none"/>
              </w:rPr>
            </w:pPr>
            <w:r>
              <w:rPr>
                <w:rFonts w:ascii="宋体" w:hAnsi="宋体" w:eastAsia="宋体" w:cs="Times New Roman"/>
                <w:bCs/>
                <w:szCs w:val="21"/>
                <w:highlight w:val="none"/>
              </w:rPr>
              <w:t>2</w:t>
            </w:r>
            <w:r>
              <w:rPr>
                <w:rFonts w:hint="eastAsia" w:ascii="宋体" w:hAnsi="宋体" w:eastAsia="宋体" w:cs="Times New Roman"/>
                <w:bCs/>
                <w:szCs w:val="21"/>
                <w:highlight w:val="none"/>
              </w:rPr>
              <w:t>.</w:t>
            </w:r>
            <w:r>
              <w:rPr>
                <w:rFonts w:ascii="宋体" w:hAnsi="宋体" w:eastAsia="宋体" w:cs="Times New Roman"/>
                <w:bCs/>
                <w:szCs w:val="21"/>
                <w:highlight w:val="none"/>
              </w:rPr>
              <w:t>交货地点：广西</w:t>
            </w:r>
            <w:r>
              <w:rPr>
                <w:rFonts w:hint="eastAsia" w:ascii="宋体" w:hAnsi="宋体" w:eastAsia="宋体" w:cs="Times New Roman"/>
                <w:bCs/>
                <w:szCs w:val="21"/>
                <w:highlight w:val="none"/>
              </w:rPr>
              <w:t>骨伤医院</w:t>
            </w:r>
            <w:r>
              <w:rPr>
                <w:rFonts w:ascii="宋体" w:hAnsi="宋体" w:eastAsia="宋体" w:cs="Times New Roman"/>
                <w:bCs/>
                <w:szCs w:val="21"/>
                <w:highlight w:val="none"/>
              </w:rPr>
              <w:t>指定地点。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rPr>
                <w:rFonts w:ascii="宋体" w:hAnsi="宋体" w:eastAsia="宋体" w:cs="Times New Roman"/>
                <w:szCs w:val="21"/>
                <w:highlight w:val="none"/>
              </w:rPr>
            </w:pPr>
            <w:r>
              <w:rPr>
                <w:rFonts w:hint="eastAsia" w:ascii="宋体" w:hAnsi="宋体" w:eastAsia="宋体" w:cs="Times New Roman"/>
                <w:szCs w:val="21"/>
                <w:highlight w:val="none"/>
              </w:rPr>
              <w:t>付款条件</w:t>
            </w:r>
          </w:p>
        </w:tc>
        <w:tc>
          <w:tcPr>
            <w:tcW w:w="6663" w:type="dxa"/>
            <w:gridSpan w:val="2"/>
            <w:shd w:val="clear" w:color="auto" w:fill="auto"/>
            <w:vAlign w:val="center"/>
          </w:tcPr>
          <w:p>
            <w:pPr>
              <w:keepNext w:val="0"/>
              <w:keepLines w:val="0"/>
              <w:pageBreakBefore w:val="0"/>
              <w:widowControl w:val="0"/>
              <w:kinsoku/>
              <w:wordWrap/>
              <w:overflowPunct/>
              <w:topLinePunct w:val="0"/>
              <w:autoSpaceDE/>
              <w:autoSpaceDN/>
              <w:bidi w:val="0"/>
              <w:spacing w:line="320" w:lineRule="exact"/>
              <w:jc w:val="left"/>
              <w:textAlignment w:val="auto"/>
              <w:rPr>
                <w:rFonts w:ascii="宋体" w:hAnsi="宋体" w:eastAsia="宋体" w:cs="Times New Roman"/>
                <w:bCs/>
                <w:szCs w:val="21"/>
                <w:highlight w:val="none"/>
              </w:rPr>
            </w:pPr>
            <w:r>
              <w:rPr>
                <w:rFonts w:hint="eastAsia" w:ascii="宋体" w:hAnsi="宋体" w:eastAsia="宋体" w:cs="Times New Roman"/>
                <w:bCs/>
                <w:szCs w:val="21"/>
                <w:highlight w:val="none"/>
              </w:rPr>
              <w:t>付款方式：</w:t>
            </w:r>
            <w:r>
              <w:rPr>
                <w:rFonts w:hint="eastAsia" w:ascii="宋体" w:hAnsi="宋体" w:eastAsia="宋体" w:cs="Times New Roman"/>
                <w:bCs/>
                <w:szCs w:val="21"/>
              </w:rPr>
              <w:t>验收合格后，中标人开具发票给采购人</w:t>
            </w:r>
            <w:r>
              <w:rPr>
                <w:rFonts w:hint="eastAsia" w:ascii="宋体" w:hAnsi="宋体" w:eastAsia="宋体" w:cs="Times New Roman"/>
                <w:bCs/>
                <w:szCs w:val="21"/>
                <w:lang w:eastAsia="zh-CN"/>
              </w:rPr>
              <w:t>，</w:t>
            </w:r>
            <w:r>
              <w:rPr>
                <w:rFonts w:hint="eastAsia" w:ascii="宋体" w:hAnsi="宋体" w:eastAsia="宋体" w:cs="Times New Roman"/>
                <w:bCs/>
                <w:szCs w:val="21"/>
              </w:rPr>
              <w:t>采购人支付合同总金额的1</w:t>
            </w:r>
            <w:r>
              <w:rPr>
                <w:rFonts w:ascii="宋体" w:hAnsi="宋体" w:eastAsia="宋体" w:cs="Times New Roman"/>
                <w:bCs/>
                <w:szCs w:val="21"/>
              </w:rPr>
              <w:t>00%货款</w:t>
            </w:r>
            <w:r>
              <w:rPr>
                <w:rFonts w:hint="eastAsia" w:ascii="宋体" w:hAnsi="宋体" w:eastAsia="宋体" w:cs="Times New Roman"/>
                <w:bCs/>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rPr>
                <w:rFonts w:ascii="宋体" w:hAnsi="宋体" w:eastAsia="宋体" w:cs="Times New Roman"/>
                <w:szCs w:val="21"/>
                <w:highlight w:val="none"/>
              </w:rPr>
            </w:pPr>
            <w:r>
              <w:rPr>
                <w:rFonts w:hint="eastAsia" w:ascii="宋体" w:hAnsi="宋体" w:eastAsia="宋体" w:cs="Times New Roman"/>
                <w:szCs w:val="21"/>
                <w:highlight w:val="none"/>
              </w:rPr>
              <w:t>其它要求</w:t>
            </w:r>
          </w:p>
        </w:tc>
        <w:tc>
          <w:tcPr>
            <w:tcW w:w="6663" w:type="dxa"/>
            <w:gridSpan w:val="2"/>
            <w:shd w:val="clear" w:color="auto" w:fill="auto"/>
            <w:vAlign w:val="center"/>
          </w:tcPr>
          <w:p>
            <w:pPr>
              <w:keepNext w:val="0"/>
              <w:keepLines w:val="0"/>
              <w:pageBreakBefore w:val="0"/>
              <w:widowControl w:val="0"/>
              <w:kinsoku/>
              <w:wordWrap/>
              <w:overflowPunct/>
              <w:topLinePunct w:val="0"/>
              <w:autoSpaceDE/>
              <w:autoSpaceDN/>
              <w:bidi w:val="0"/>
              <w:spacing w:line="320" w:lineRule="exact"/>
              <w:jc w:val="left"/>
              <w:textAlignment w:val="auto"/>
              <w:rPr>
                <w:rFonts w:ascii="宋体" w:hAnsi="宋体" w:eastAsia="宋体" w:cs="Times New Roman"/>
                <w:bCs/>
                <w:szCs w:val="21"/>
                <w:highlight w:val="none"/>
              </w:rPr>
            </w:pPr>
            <w:r>
              <w:rPr>
                <w:rFonts w:hint="eastAsia" w:ascii="宋体" w:hAnsi="宋体" w:eastAsia="宋体" w:cs="Times New Roman"/>
                <w:bCs/>
                <w:szCs w:val="21"/>
                <w:highlight w:val="none"/>
              </w:rPr>
              <w:t>▲</w:t>
            </w:r>
            <w:r>
              <w:rPr>
                <w:rFonts w:ascii="宋体" w:hAnsi="宋体" w:eastAsia="宋体" w:cs="Times New Roman"/>
                <w:bCs/>
                <w:szCs w:val="21"/>
                <w:highlight w:val="none"/>
              </w:rPr>
              <w:t>1</w:t>
            </w:r>
            <w:r>
              <w:rPr>
                <w:rFonts w:hint="eastAsia" w:ascii="宋体" w:hAnsi="宋体" w:eastAsia="宋体" w:cs="Times New Roman"/>
                <w:bCs/>
                <w:szCs w:val="21"/>
                <w:highlight w:val="none"/>
              </w:rPr>
              <w:t>.</w:t>
            </w:r>
            <w:r>
              <w:rPr>
                <w:rFonts w:ascii="宋体" w:hAnsi="宋体" w:eastAsia="宋体" w:cs="Times New Roman"/>
                <w:bCs/>
                <w:szCs w:val="21"/>
                <w:highlight w:val="none"/>
              </w:rPr>
              <w:t>中标人保证向采购人提供的货物是全新、完整、未使用过的。</w:t>
            </w:r>
          </w:p>
          <w:p>
            <w:pPr>
              <w:keepNext w:val="0"/>
              <w:keepLines w:val="0"/>
              <w:pageBreakBefore w:val="0"/>
              <w:widowControl w:val="0"/>
              <w:kinsoku/>
              <w:wordWrap/>
              <w:overflowPunct/>
              <w:topLinePunct w:val="0"/>
              <w:autoSpaceDE/>
              <w:autoSpaceDN/>
              <w:bidi w:val="0"/>
              <w:spacing w:line="320" w:lineRule="exact"/>
              <w:jc w:val="left"/>
              <w:textAlignment w:val="auto"/>
              <w:rPr>
                <w:rFonts w:ascii="宋体" w:hAnsi="宋体" w:eastAsia="宋体" w:cs="Times New Roman"/>
                <w:bCs/>
                <w:szCs w:val="21"/>
                <w:highlight w:val="none"/>
              </w:rPr>
            </w:pPr>
            <w:r>
              <w:rPr>
                <w:rFonts w:hint="eastAsia" w:ascii="宋体" w:hAnsi="宋体" w:eastAsia="宋体" w:cs="Times New Roman"/>
                <w:bCs/>
                <w:szCs w:val="21"/>
                <w:highlight w:val="none"/>
              </w:rPr>
              <w:t>2.</w:t>
            </w:r>
            <w:r>
              <w:rPr>
                <w:rFonts w:ascii="宋体" w:hAnsi="宋体" w:eastAsia="宋体" w:cs="Times New Roman"/>
                <w:bCs/>
                <w:szCs w:val="21"/>
                <w:highlight w:val="none"/>
              </w:rPr>
              <w:t>投标时提供投标产品生产厂家公开发行的产品彩页或技术说明书（标明主要技术参数）、技术响应与彩页或技术说明书不一致的以彩页或技术说明书为准。</w:t>
            </w:r>
          </w:p>
          <w:p>
            <w:pPr>
              <w:keepNext w:val="0"/>
              <w:keepLines w:val="0"/>
              <w:pageBreakBefore w:val="0"/>
              <w:widowControl w:val="0"/>
              <w:kinsoku/>
              <w:wordWrap/>
              <w:overflowPunct/>
              <w:topLinePunct w:val="0"/>
              <w:autoSpaceDE/>
              <w:autoSpaceDN/>
              <w:bidi w:val="0"/>
              <w:spacing w:line="320" w:lineRule="exact"/>
              <w:jc w:val="left"/>
              <w:textAlignment w:val="auto"/>
              <w:rPr>
                <w:rFonts w:ascii="宋体" w:hAnsi="宋体" w:eastAsia="宋体" w:cs="Times New Roman"/>
                <w:bCs/>
                <w:szCs w:val="21"/>
                <w:highlight w:val="none"/>
              </w:rPr>
            </w:pPr>
            <w:r>
              <w:rPr>
                <w:rFonts w:ascii="宋体" w:hAnsi="宋体" w:eastAsia="宋体" w:cs="Times New Roman"/>
                <w:bCs/>
                <w:szCs w:val="21"/>
                <w:highlight w:val="none"/>
              </w:rPr>
              <w:t>3.投标时必须提供产品有效的医疗器械注册证复印件或注册证受理证明复印件。</w:t>
            </w:r>
          </w:p>
          <w:p>
            <w:pPr>
              <w:keepNext w:val="0"/>
              <w:keepLines w:val="0"/>
              <w:pageBreakBefore w:val="0"/>
              <w:widowControl w:val="0"/>
              <w:kinsoku/>
              <w:wordWrap/>
              <w:overflowPunct/>
              <w:topLinePunct w:val="0"/>
              <w:autoSpaceDE/>
              <w:autoSpaceDN/>
              <w:bidi w:val="0"/>
              <w:spacing w:line="320" w:lineRule="exact"/>
              <w:jc w:val="left"/>
              <w:textAlignment w:val="auto"/>
              <w:rPr>
                <w:rFonts w:ascii="宋体" w:hAnsi="宋体" w:eastAsia="宋体" w:cs="Times New Roman"/>
                <w:bCs/>
                <w:szCs w:val="21"/>
                <w:highlight w:val="none"/>
              </w:rPr>
            </w:pPr>
            <w:r>
              <w:rPr>
                <w:rFonts w:hint="eastAsia" w:ascii="宋体" w:hAnsi="宋体" w:eastAsia="宋体" w:cs="Times New Roman"/>
                <w:bCs/>
                <w:szCs w:val="21"/>
                <w:highlight w:val="none"/>
              </w:rPr>
              <w:t>▲</w:t>
            </w:r>
            <w:r>
              <w:rPr>
                <w:rFonts w:ascii="宋体" w:hAnsi="宋体" w:eastAsia="宋体" w:cs="Times New Roman"/>
                <w:bCs/>
                <w:szCs w:val="21"/>
                <w:highlight w:val="none"/>
              </w:rPr>
              <w:t>4.若投标人不是投标产品生产厂家，必须提供产品生产厂家或国内代理商授权书</w:t>
            </w:r>
            <w:bookmarkStart w:id="7" w:name="_GoBack"/>
            <w:bookmarkEnd w:id="7"/>
            <w:r>
              <w:rPr>
                <w:rFonts w:ascii="宋体" w:hAnsi="宋体" w:eastAsia="宋体" w:cs="Times New Roman"/>
                <w:bCs/>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rPr>
                <w:rFonts w:ascii="宋体" w:hAnsi="宋体" w:eastAsia="宋体" w:cs="Times New Roman"/>
                <w:szCs w:val="21"/>
                <w:highlight w:val="none"/>
              </w:rPr>
            </w:pPr>
            <w:r>
              <w:rPr>
                <w:rFonts w:hint="eastAsia" w:ascii="宋体" w:hAnsi="宋体" w:eastAsia="宋体" w:cs="Times New Roman"/>
                <w:szCs w:val="21"/>
                <w:highlight w:val="none"/>
              </w:rPr>
              <w:t>备注</w:t>
            </w:r>
          </w:p>
        </w:tc>
        <w:tc>
          <w:tcPr>
            <w:tcW w:w="6663" w:type="dxa"/>
            <w:gridSpan w:val="2"/>
            <w:shd w:val="clear" w:color="auto" w:fill="auto"/>
            <w:vAlign w:val="center"/>
          </w:tcPr>
          <w:p>
            <w:pPr>
              <w:keepNext w:val="0"/>
              <w:keepLines w:val="0"/>
              <w:pageBreakBefore w:val="0"/>
              <w:widowControl w:val="0"/>
              <w:kinsoku/>
              <w:wordWrap/>
              <w:overflowPunct/>
              <w:topLinePunct w:val="0"/>
              <w:autoSpaceDE/>
              <w:autoSpaceDN/>
              <w:bidi w:val="0"/>
              <w:spacing w:line="320" w:lineRule="exact"/>
              <w:jc w:val="left"/>
              <w:textAlignment w:val="auto"/>
              <w:rPr>
                <w:rFonts w:hint="default" w:ascii="宋体" w:hAnsi="宋体" w:eastAsia="宋体" w:cs="Times New Roman"/>
                <w:bCs/>
                <w:szCs w:val="21"/>
                <w:highlight w:val="none"/>
                <w:lang w:val="en-US" w:eastAsia="zh-CN"/>
              </w:rPr>
            </w:pPr>
            <w:r>
              <w:rPr>
                <w:rFonts w:hint="eastAsia" w:ascii="宋体" w:hAnsi="宋体" w:eastAsia="宋体" w:cs="Times New Roman"/>
                <w:bCs/>
                <w:szCs w:val="21"/>
                <w:highlight w:val="none"/>
              </w:rPr>
              <w:t>“▲”系指实质性要求条款</w:t>
            </w:r>
            <w:r>
              <w:rPr>
                <w:rFonts w:hint="eastAsia" w:ascii="宋体" w:hAnsi="宋体" w:eastAsia="宋体" w:cs="Times New Roman"/>
                <w:bCs/>
                <w:szCs w:val="21"/>
                <w:highlight w:val="none"/>
                <w:lang w:eastAsia="zh-CN"/>
              </w:rPr>
              <w:t>，</w:t>
            </w:r>
            <w:r>
              <w:rPr>
                <w:rFonts w:hint="eastAsia" w:ascii="宋体" w:hAnsi="宋体" w:eastAsia="宋体" w:cs="Times New Roman"/>
                <w:bCs/>
                <w:szCs w:val="21"/>
                <w:highlight w:val="none"/>
                <w:lang w:val="en-US" w:eastAsia="zh-CN"/>
              </w:rPr>
              <w:t>不能响应的视为无效投标</w:t>
            </w:r>
            <w:r>
              <w:rPr>
                <w:rFonts w:hint="eastAsia" w:ascii="宋体" w:hAnsi="宋体" w:eastAsia="宋体" w:cs="Times New Roman"/>
                <w:bCs/>
                <w:szCs w:val="21"/>
                <w:highlight w:val="none"/>
              </w:rPr>
              <w:t>。</w:t>
            </w:r>
            <w:r>
              <w:rPr>
                <w:rFonts w:hint="eastAsia" w:ascii="宋体" w:hAnsi="宋体" w:eastAsia="宋体" w:cs="Times New Roman"/>
                <w:bCs/>
                <w:szCs w:val="21"/>
                <w:highlight w:val="none"/>
                <w:lang w:val="en-US" w:eastAsia="zh-CN"/>
              </w:rPr>
              <w:t>其他未注明的技术参数、商务要求偏离2项及以上的视为无效投标。</w:t>
            </w:r>
          </w:p>
        </w:tc>
      </w:tr>
    </w:tbl>
    <w:p>
      <w:pPr>
        <w:spacing w:line="360" w:lineRule="atLeast"/>
        <w:ind w:firstLine="495"/>
        <w:rPr>
          <w:rFonts w:ascii="Calibri" w:hAnsi="Calibri" w:eastAsia="宋体" w:cs="Times New Roman"/>
          <w:szCs w:val="24"/>
          <w:highlight w:val="none"/>
        </w:rPr>
      </w:pPr>
    </w:p>
    <w:p>
      <w:pPr>
        <w:jc w:val="center"/>
        <w:rPr>
          <w:rFonts w:ascii="宋体" w:hAnsi="宋体" w:eastAsia="宋体"/>
          <w:b/>
          <w:bCs/>
          <w:sz w:val="32"/>
          <w:szCs w:val="32"/>
          <w:highlight w:val="none"/>
        </w:rPr>
      </w:pPr>
      <w:r>
        <w:rPr>
          <w:rFonts w:hint="eastAsia" w:ascii="宋体" w:hAnsi="宋体" w:eastAsia="宋体"/>
          <w:b/>
          <w:bCs/>
          <w:sz w:val="32"/>
          <w:szCs w:val="32"/>
          <w:highlight w:val="none"/>
        </w:rPr>
        <w:t>第</w:t>
      </w:r>
      <w:r>
        <w:rPr>
          <w:rFonts w:hint="eastAsia" w:ascii="宋体" w:hAnsi="宋体" w:eastAsia="宋体"/>
          <w:b/>
          <w:bCs/>
          <w:sz w:val="32"/>
          <w:szCs w:val="32"/>
          <w:highlight w:val="none"/>
          <w:lang w:val="en-US" w:eastAsia="zh-CN"/>
        </w:rPr>
        <w:t>三</w:t>
      </w:r>
      <w:r>
        <w:rPr>
          <w:rFonts w:hint="eastAsia" w:ascii="宋体" w:hAnsi="宋体" w:eastAsia="宋体"/>
          <w:b/>
          <w:bCs/>
          <w:sz w:val="32"/>
          <w:szCs w:val="32"/>
          <w:highlight w:val="none"/>
        </w:rPr>
        <w:t xml:space="preserve">章 </w:t>
      </w:r>
      <w:r>
        <w:rPr>
          <w:rFonts w:ascii="宋体" w:hAnsi="宋体" w:eastAsia="宋体"/>
          <w:b/>
          <w:bCs/>
          <w:sz w:val="32"/>
          <w:szCs w:val="32"/>
          <w:highlight w:val="none"/>
        </w:rPr>
        <w:t xml:space="preserve"> </w:t>
      </w:r>
      <w:r>
        <w:rPr>
          <w:rFonts w:hint="eastAsia" w:ascii="宋体" w:hAnsi="宋体" w:eastAsia="宋体"/>
          <w:b/>
          <w:bCs/>
          <w:sz w:val="32"/>
          <w:szCs w:val="32"/>
          <w:highlight w:val="none"/>
        </w:rPr>
        <w:t>评标办法及评分标准</w:t>
      </w:r>
    </w:p>
    <w:p>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一、评标办法：综合评分法</w:t>
      </w:r>
    </w:p>
    <w:p>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二、评审原则</w:t>
      </w:r>
    </w:p>
    <w:p>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(一)评标依据：评委将以招投标文件为评标依据，对投标人的投标报价、技术、信誉业绩、售后服务等方面内容按百分制打分。其中价格分</w:t>
      </w:r>
      <w:r>
        <w:rPr>
          <w:rFonts w:hint="eastAsia" w:ascii="宋体" w:hAnsi="宋体" w:eastAsia="宋体" w:cs="Times New Roman"/>
          <w:bCs/>
          <w:color w:val="000000"/>
          <w:szCs w:val="21"/>
          <w:highlight w:val="none"/>
          <w:lang w:val="en-US" w:eastAsia="zh-CN"/>
        </w:rPr>
        <w:t>4</w:t>
      </w:r>
      <w:r>
        <w:rPr>
          <w:rFonts w:hint="eastAsia" w:ascii="宋体" w:hAnsi="宋体" w:eastAsia="宋体" w:cs="Times New Roman"/>
          <w:bCs/>
          <w:color w:val="000000"/>
          <w:szCs w:val="21"/>
          <w:highlight w:val="none"/>
        </w:rPr>
        <w:t>0分、技术服务分</w:t>
      </w:r>
      <w:r>
        <w:rPr>
          <w:rFonts w:hint="eastAsia" w:ascii="宋体" w:hAnsi="宋体" w:eastAsia="宋体" w:cs="Times New Roman"/>
          <w:bCs/>
          <w:color w:val="000000"/>
          <w:szCs w:val="21"/>
          <w:highlight w:val="none"/>
          <w:lang w:val="en-US" w:eastAsia="zh-CN"/>
        </w:rPr>
        <w:t>5</w:t>
      </w:r>
      <w:r>
        <w:rPr>
          <w:rFonts w:hint="eastAsia" w:ascii="宋体" w:hAnsi="宋体" w:eastAsia="宋体" w:cs="Times New Roman"/>
          <w:bCs/>
          <w:color w:val="000000"/>
          <w:szCs w:val="21"/>
          <w:highlight w:val="none"/>
        </w:rPr>
        <w:t>0分、信誉业绩分10分。</w:t>
      </w:r>
    </w:p>
    <w:p>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三、评定方法</w:t>
      </w:r>
    </w:p>
    <w:p>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（一）对进入详评的，采用百分制综合评分法。</w:t>
      </w:r>
    </w:p>
    <w:p>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（二）计分办法（按四舍五入取至百分位）：</w:t>
      </w:r>
    </w:p>
    <w:p>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1.价格分………………………………………………………………………</w:t>
      </w:r>
      <w:r>
        <w:rPr>
          <w:rFonts w:hint="eastAsia" w:ascii="宋体" w:hAnsi="宋体" w:eastAsia="宋体" w:cs="Times New Roman"/>
          <w:bCs/>
          <w:color w:val="000000"/>
          <w:szCs w:val="21"/>
          <w:highlight w:val="none"/>
          <w:lang w:val="en-US" w:eastAsia="zh-CN"/>
        </w:rPr>
        <w:t>4</w:t>
      </w:r>
      <w:r>
        <w:rPr>
          <w:rFonts w:hint="eastAsia" w:ascii="宋体" w:hAnsi="宋体" w:eastAsia="宋体" w:cs="Times New Roman"/>
          <w:bCs/>
          <w:color w:val="000000"/>
          <w:szCs w:val="21"/>
          <w:highlight w:val="none"/>
        </w:rPr>
        <w:t>0分</w:t>
      </w:r>
    </w:p>
    <w:p>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（1）以进入评标的最低的评标报价为</w:t>
      </w:r>
      <w:r>
        <w:rPr>
          <w:rFonts w:hint="eastAsia" w:ascii="宋体" w:hAnsi="宋体" w:eastAsia="宋体" w:cs="Times New Roman"/>
          <w:bCs/>
          <w:color w:val="000000"/>
          <w:szCs w:val="21"/>
          <w:highlight w:val="none"/>
          <w:lang w:val="en-US" w:eastAsia="zh-CN"/>
        </w:rPr>
        <w:t>4</w:t>
      </w:r>
      <w:r>
        <w:rPr>
          <w:rFonts w:hint="eastAsia" w:ascii="宋体" w:hAnsi="宋体" w:eastAsia="宋体" w:cs="Times New Roman"/>
          <w:bCs/>
          <w:color w:val="000000"/>
          <w:szCs w:val="21"/>
          <w:highlight w:val="none"/>
        </w:rPr>
        <w:t>0分。</w:t>
      </w:r>
    </w:p>
    <w:p>
      <w:pPr>
        <w:spacing w:line="276" w:lineRule="auto"/>
        <w:ind w:firstLine="420" w:firstLineChars="200"/>
        <w:jc w:val="left"/>
        <w:rPr>
          <w:rFonts w:hint="eastAsia" w:ascii="宋体" w:hAnsi="宋体" w:eastAsia="宋体" w:cs="Times New Roman"/>
          <w:bCs/>
          <w:color w:val="000000"/>
          <w:szCs w:val="21"/>
          <w:highlight w:val="none"/>
        </w:rPr>
      </w:pPr>
    </w:p>
    <w:p>
      <w:pPr>
        <w:spacing w:line="276" w:lineRule="auto"/>
        <w:ind w:firstLine="2940" w:firstLineChars="14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有效投标人最低评标报价（金额）</w:t>
      </w:r>
    </w:p>
    <w:p>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某有效投标人价格分=    ----------------------------- ×</w:t>
      </w:r>
      <w:r>
        <w:rPr>
          <w:rFonts w:hint="eastAsia" w:ascii="宋体" w:hAnsi="宋体" w:eastAsia="宋体" w:cs="Times New Roman"/>
          <w:bCs/>
          <w:color w:val="000000"/>
          <w:szCs w:val="21"/>
          <w:highlight w:val="none"/>
          <w:lang w:val="en-US" w:eastAsia="zh-CN"/>
        </w:rPr>
        <w:t>4</w:t>
      </w:r>
      <w:r>
        <w:rPr>
          <w:rFonts w:hint="eastAsia" w:ascii="宋体" w:hAnsi="宋体" w:eastAsia="宋体" w:cs="Times New Roman"/>
          <w:bCs/>
          <w:color w:val="000000"/>
          <w:szCs w:val="21"/>
          <w:highlight w:val="none"/>
        </w:rPr>
        <w:t>0分</w:t>
      </w:r>
    </w:p>
    <w:p>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 xml:space="preserve">                         某投标人评标报价（金额）</w:t>
      </w:r>
    </w:p>
    <w:p>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2.技术服务分………………………………………………………………………</w:t>
      </w:r>
      <w:r>
        <w:rPr>
          <w:rFonts w:hint="eastAsia" w:ascii="宋体" w:hAnsi="宋体" w:eastAsia="宋体" w:cs="Times New Roman"/>
          <w:bCs/>
          <w:color w:val="000000"/>
          <w:szCs w:val="21"/>
          <w:highlight w:val="none"/>
          <w:lang w:val="en-US" w:eastAsia="zh-CN"/>
        </w:rPr>
        <w:t>5</w:t>
      </w:r>
      <w:r>
        <w:rPr>
          <w:rFonts w:hint="eastAsia" w:ascii="宋体" w:hAnsi="宋体" w:eastAsia="宋体" w:cs="Times New Roman"/>
          <w:bCs/>
          <w:color w:val="000000"/>
          <w:szCs w:val="21"/>
          <w:highlight w:val="none"/>
        </w:rPr>
        <w:t>0分</w:t>
      </w:r>
    </w:p>
    <w:p>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w:t>
      </w:r>
      <w:r>
        <w:rPr>
          <w:rFonts w:hint="eastAsia" w:ascii="宋体" w:hAnsi="宋体" w:eastAsia="宋体" w:cs="Times New Roman"/>
          <w:bCs/>
          <w:color w:val="000000"/>
          <w:szCs w:val="21"/>
          <w:highlight w:val="none"/>
          <w:lang w:val="en-US" w:eastAsia="zh-CN"/>
        </w:rPr>
        <w:t>1</w:t>
      </w:r>
      <w:r>
        <w:rPr>
          <w:rFonts w:hint="eastAsia" w:ascii="宋体" w:hAnsi="宋体" w:eastAsia="宋体" w:cs="Times New Roman"/>
          <w:bCs/>
          <w:color w:val="000000"/>
          <w:szCs w:val="21"/>
          <w:highlight w:val="none"/>
        </w:rPr>
        <w:t>）设备性能分（满分</w:t>
      </w:r>
      <w:r>
        <w:rPr>
          <w:rFonts w:hint="eastAsia" w:ascii="宋体" w:hAnsi="宋体" w:eastAsia="宋体" w:cs="Times New Roman"/>
          <w:bCs/>
          <w:color w:val="000000"/>
          <w:szCs w:val="21"/>
          <w:highlight w:val="none"/>
          <w:lang w:val="en-US" w:eastAsia="zh-CN"/>
        </w:rPr>
        <w:t>30</w:t>
      </w:r>
      <w:r>
        <w:rPr>
          <w:rFonts w:hint="eastAsia" w:ascii="宋体" w:hAnsi="宋体" w:eastAsia="宋体" w:cs="Times New Roman"/>
          <w:bCs/>
          <w:color w:val="000000"/>
          <w:szCs w:val="21"/>
          <w:highlight w:val="none"/>
        </w:rPr>
        <w:t>分）</w:t>
      </w:r>
    </w:p>
    <w:p>
      <w:pPr>
        <w:spacing w:line="276" w:lineRule="auto"/>
        <w:ind w:firstLine="420" w:firstLineChars="200"/>
        <w:jc w:val="left"/>
        <w:rPr>
          <w:rFonts w:hint="default"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rPr>
        <w:t>投标文件技术参数无负偏离</w:t>
      </w:r>
      <w:r>
        <w:rPr>
          <w:rFonts w:hint="eastAsia" w:ascii="宋体" w:hAnsi="宋体" w:eastAsia="宋体" w:cs="Times New Roman"/>
          <w:bCs/>
          <w:color w:val="000000"/>
          <w:szCs w:val="21"/>
          <w:highlight w:val="none"/>
          <w:lang w:val="en-US" w:eastAsia="zh-CN"/>
        </w:rPr>
        <w:t>情况下，每多一项正偏离加2.5分，满分30分；</w:t>
      </w:r>
    </w:p>
    <w:p>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投标文件技术参数无负偏离，得</w:t>
      </w:r>
      <w:r>
        <w:rPr>
          <w:rFonts w:hint="eastAsia" w:ascii="宋体" w:hAnsi="宋体" w:eastAsia="宋体" w:cs="Times New Roman"/>
          <w:bCs/>
          <w:color w:val="000000"/>
          <w:szCs w:val="21"/>
          <w:highlight w:val="none"/>
          <w:lang w:val="en-US" w:eastAsia="zh-CN"/>
        </w:rPr>
        <w:t>2</w:t>
      </w:r>
      <w:r>
        <w:rPr>
          <w:rFonts w:hint="eastAsia" w:ascii="宋体" w:hAnsi="宋体" w:eastAsia="宋体" w:cs="Times New Roman"/>
          <w:bCs/>
          <w:color w:val="000000"/>
          <w:szCs w:val="21"/>
          <w:highlight w:val="none"/>
        </w:rPr>
        <w:t>0分；</w:t>
      </w:r>
    </w:p>
    <w:p>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投标文件技术参数有1个负偏离，得</w:t>
      </w:r>
      <w:r>
        <w:rPr>
          <w:rFonts w:hint="eastAsia" w:ascii="宋体" w:hAnsi="宋体" w:eastAsia="宋体" w:cs="Times New Roman"/>
          <w:bCs/>
          <w:color w:val="000000"/>
          <w:szCs w:val="21"/>
          <w:highlight w:val="none"/>
          <w:lang w:val="en-US" w:eastAsia="zh-CN"/>
        </w:rPr>
        <w:t>10</w:t>
      </w:r>
      <w:r>
        <w:rPr>
          <w:rFonts w:hint="eastAsia" w:ascii="宋体" w:hAnsi="宋体" w:eastAsia="宋体" w:cs="Times New Roman"/>
          <w:bCs/>
          <w:color w:val="000000"/>
          <w:szCs w:val="21"/>
          <w:highlight w:val="none"/>
        </w:rPr>
        <w:t>分。</w:t>
      </w:r>
    </w:p>
    <w:p>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w:t>
      </w:r>
      <w:r>
        <w:rPr>
          <w:rFonts w:hint="eastAsia" w:ascii="宋体" w:hAnsi="宋体" w:eastAsia="宋体" w:cs="Times New Roman"/>
          <w:bCs/>
          <w:color w:val="000000"/>
          <w:szCs w:val="21"/>
          <w:highlight w:val="none"/>
          <w:lang w:val="en-US" w:eastAsia="zh-CN"/>
        </w:rPr>
        <w:t>2</w:t>
      </w:r>
      <w:r>
        <w:rPr>
          <w:rFonts w:hint="eastAsia" w:ascii="宋体" w:hAnsi="宋体" w:eastAsia="宋体" w:cs="Times New Roman"/>
          <w:bCs/>
          <w:color w:val="000000"/>
          <w:szCs w:val="21"/>
          <w:highlight w:val="none"/>
        </w:rPr>
        <w:t>）售后服务分（</w:t>
      </w:r>
      <w:r>
        <w:rPr>
          <w:rFonts w:hint="eastAsia" w:ascii="宋体" w:hAnsi="宋体" w:eastAsia="宋体" w:cs="Times New Roman"/>
          <w:bCs/>
          <w:color w:val="000000"/>
          <w:szCs w:val="21"/>
          <w:highlight w:val="none"/>
          <w:lang w:val="en-US" w:eastAsia="zh-CN"/>
        </w:rPr>
        <w:t>20</w:t>
      </w:r>
      <w:r>
        <w:rPr>
          <w:rFonts w:hint="eastAsia" w:ascii="宋体" w:hAnsi="宋体" w:eastAsia="宋体" w:cs="Times New Roman"/>
          <w:bCs/>
          <w:color w:val="000000"/>
          <w:szCs w:val="21"/>
          <w:highlight w:val="none"/>
        </w:rPr>
        <w:t>分）</w:t>
      </w:r>
    </w:p>
    <w:p>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一般0.1～</w:t>
      </w:r>
      <w:r>
        <w:rPr>
          <w:rFonts w:hint="eastAsia" w:ascii="宋体" w:hAnsi="宋体" w:eastAsia="宋体" w:cs="Times New Roman"/>
          <w:bCs/>
          <w:color w:val="000000"/>
          <w:szCs w:val="21"/>
          <w:highlight w:val="none"/>
          <w:lang w:val="en-US" w:eastAsia="zh-CN"/>
        </w:rPr>
        <w:t>7</w:t>
      </w:r>
      <w:r>
        <w:rPr>
          <w:rFonts w:hint="eastAsia" w:ascii="宋体" w:hAnsi="宋体" w:eastAsia="宋体" w:cs="Times New Roman"/>
          <w:bCs/>
          <w:color w:val="000000"/>
          <w:szCs w:val="21"/>
          <w:highlight w:val="none"/>
        </w:rPr>
        <w:t>分，良好</w:t>
      </w:r>
      <w:r>
        <w:rPr>
          <w:rFonts w:hint="eastAsia" w:ascii="宋体" w:hAnsi="宋体" w:eastAsia="宋体" w:cs="Times New Roman"/>
          <w:bCs/>
          <w:color w:val="000000"/>
          <w:szCs w:val="21"/>
          <w:highlight w:val="none"/>
          <w:lang w:val="en-US" w:eastAsia="zh-CN"/>
        </w:rPr>
        <w:t>7</w:t>
      </w:r>
      <w:r>
        <w:rPr>
          <w:rFonts w:hint="eastAsia" w:ascii="宋体" w:hAnsi="宋体" w:eastAsia="宋体" w:cs="Times New Roman"/>
          <w:bCs/>
          <w:color w:val="000000"/>
          <w:szCs w:val="21"/>
          <w:highlight w:val="none"/>
        </w:rPr>
        <w:t>.1～</w:t>
      </w:r>
      <w:r>
        <w:rPr>
          <w:rFonts w:hint="eastAsia" w:ascii="宋体" w:hAnsi="宋体" w:eastAsia="宋体" w:cs="Times New Roman"/>
          <w:bCs/>
          <w:color w:val="000000"/>
          <w:szCs w:val="21"/>
          <w:highlight w:val="none"/>
          <w:lang w:val="en-US" w:eastAsia="zh-CN"/>
        </w:rPr>
        <w:t>14</w:t>
      </w:r>
      <w:r>
        <w:rPr>
          <w:rFonts w:hint="eastAsia" w:ascii="宋体" w:hAnsi="宋体" w:eastAsia="宋体" w:cs="Times New Roman"/>
          <w:bCs/>
          <w:color w:val="000000"/>
          <w:szCs w:val="21"/>
          <w:highlight w:val="none"/>
        </w:rPr>
        <w:t>分，优秀</w:t>
      </w:r>
      <w:r>
        <w:rPr>
          <w:rFonts w:hint="eastAsia" w:ascii="宋体" w:hAnsi="宋体" w:eastAsia="宋体" w:cs="Times New Roman"/>
          <w:bCs/>
          <w:color w:val="000000"/>
          <w:szCs w:val="21"/>
          <w:highlight w:val="none"/>
          <w:lang w:val="en-US" w:eastAsia="zh-CN"/>
        </w:rPr>
        <w:t>14</w:t>
      </w:r>
      <w:r>
        <w:rPr>
          <w:rFonts w:hint="eastAsia" w:ascii="宋体" w:hAnsi="宋体" w:eastAsia="宋体" w:cs="Times New Roman"/>
          <w:bCs/>
          <w:color w:val="000000"/>
          <w:szCs w:val="21"/>
          <w:highlight w:val="none"/>
        </w:rPr>
        <w:t>.1～</w:t>
      </w:r>
      <w:r>
        <w:rPr>
          <w:rFonts w:hint="eastAsia" w:ascii="宋体" w:hAnsi="宋体" w:eastAsia="宋体" w:cs="Times New Roman"/>
          <w:bCs/>
          <w:color w:val="000000"/>
          <w:szCs w:val="21"/>
          <w:highlight w:val="none"/>
          <w:lang w:val="en-US" w:eastAsia="zh-CN"/>
        </w:rPr>
        <w:t>20</w:t>
      </w:r>
      <w:r>
        <w:rPr>
          <w:rFonts w:hint="eastAsia" w:ascii="宋体" w:hAnsi="宋体" w:eastAsia="宋体" w:cs="Times New Roman"/>
          <w:bCs/>
          <w:color w:val="000000"/>
          <w:szCs w:val="21"/>
          <w:highlight w:val="none"/>
        </w:rPr>
        <w:t>分，由评委在打分前根据投标人售后服方案的优劣集体讨论确定投标人售后服务方案的档次，并由评委在相应的档次内独立打分。</w:t>
      </w:r>
    </w:p>
    <w:p>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3.信誉业绩分…………………………………………………………………………10分</w:t>
      </w:r>
    </w:p>
    <w:p>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投标产品自202</w:t>
      </w:r>
      <w:r>
        <w:rPr>
          <w:rFonts w:hint="eastAsia" w:ascii="宋体" w:hAnsi="宋体" w:eastAsia="宋体" w:cs="Times New Roman"/>
          <w:bCs/>
          <w:color w:val="000000"/>
          <w:szCs w:val="21"/>
          <w:highlight w:val="none"/>
          <w:lang w:val="en-US" w:eastAsia="zh-CN"/>
        </w:rPr>
        <w:t>1</w:t>
      </w:r>
      <w:r>
        <w:rPr>
          <w:rFonts w:hint="eastAsia" w:ascii="宋体" w:hAnsi="宋体" w:eastAsia="宋体" w:cs="Times New Roman"/>
          <w:bCs/>
          <w:color w:val="000000"/>
          <w:szCs w:val="21"/>
          <w:highlight w:val="none"/>
        </w:rPr>
        <w:t>年以来同款产品业绩分（提供合同复印件），每提供一个合同得2分，满分10分。</w:t>
      </w:r>
    </w:p>
    <w:p>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（三）总得分=1+2+3。</w:t>
      </w:r>
    </w:p>
    <w:p>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四、中标候选人推荐原则</w:t>
      </w:r>
    </w:p>
    <w:p>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评标小组将根据得分由高到低排列次序（得分相同时，以投标报价由低到高顺序排列；得分相同且投标报价相同的，按技术指标优劣顺序排列）推荐中标候选供应商。采购单位应当确定评审小组推荐排名第一的中标候选人为中标人。排名第一的中标候选人放弃中标、因不可抗力提出不能履行合同，采购单位可以确定排名第二的中标候选人为中标人。排名第二的中标候选人因前款规定的同样原因不能签订合同的，招标采购单位可以确定排名第三的中标候选人为中标人。</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3BDC9FD"/>
    <w:multiLevelType w:val="singleLevel"/>
    <w:tmpl w:val="A3BDC9FD"/>
    <w:lvl w:ilvl="0" w:tentative="0">
      <w:start w:val="1"/>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U1YzFiYTBmYzhkZTkxNjhiZTcwNjI2MTFkZjEwMzEifQ=="/>
  </w:docVars>
  <w:rsids>
    <w:rsidRoot w:val="004970E7"/>
    <w:rsid w:val="0000112F"/>
    <w:rsid w:val="00076BFC"/>
    <w:rsid w:val="000F1777"/>
    <w:rsid w:val="001115B9"/>
    <w:rsid w:val="0013782D"/>
    <w:rsid w:val="001947FD"/>
    <w:rsid w:val="0024032F"/>
    <w:rsid w:val="002433FD"/>
    <w:rsid w:val="00246FCB"/>
    <w:rsid w:val="002E5099"/>
    <w:rsid w:val="00326745"/>
    <w:rsid w:val="00345625"/>
    <w:rsid w:val="003D4A28"/>
    <w:rsid w:val="004261FD"/>
    <w:rsid w:val="004970E7"/>
    <w:rsid w:val="004B7907"/>
    <w:rsid w:val="0055706B"/>
    <w:rsid w:val="005E5076"/>
    <w:rsid w:val="006A1DFD"/>
    <w:rsid w:val="006E370F"/>
    <w:rsid w:val="0070309E"/>
    <w:rsid w:val="007A7D54"/>
    <w:rsid w:val="008B5B3D"/>
    <w:rsid w:val="008B759C"/>
    <w:rsid w:val="00915EE6"/>
    <w:rsid w:val="00976EF4"/>
    <w:rsid w:val="00A31622"/>
    <w:rsid w:val="00A440C3"/>
    <w:rsid w:val="00B002D0"/>
    <w:rsid w:val="00B207CB"/>
    <w:rsid w:val="00BD2670"/>
    <w:rsid w:val="00BF0177"/>
    <w:rsid w:val="00C51223"/>
    <w:rsid w:val="00CA32F0"/>
    <w:rsid w:val="00D346A0"/>
    <w:rsid w:val="00DB11EC"/>
    <w:rsid w:val="00DE69C9"/>
    <w:rsid w:val="00E54185"/>
    <w:rsid w:val="00EC5631"/>
    <w:rsid w:val="00F65C52"/>
    <w:rsid w:val="00FA0D28"/>
    <w:rsid w:val="04510818"/>
    <w:rsid w:val="075C1FDF"/>
    <w:rsid w:val="09A165E2"/>
    <w:rsid w:val="09D01A1F"/>
    <w:rsid w:val="11120D0D"/>
    <w:rsid w:val="111D540D"/>
    <w:rsid w:val="13942FD9"/>
    <w:rsid w:val="16245D2D"/>
    <w:rsid w:val="16E429B1"/>
    <w:rsid w:val="1A6344CC"/>
    <w:rsid w:val="1C7043E5"/>
    <w:rsid w:val="1DBD60FC"/>
    <w:rsid w:val="1E5D3910"/>
    <w:rsid w:val="1FBE5383"/>
    <w:rsid w:val="20116292"/>
    <w:rsid w:val="21F941EF"/>
    <w:rsid w:val="226B1834"/>
    <w:rsid w:val="227406E1"/>
    <w:rsid w:val="22C5455D"/>
    <w:rsid w:val="25841CAE"/>
    <w:rsid w:val="26F31699"/>
    <w:rsid w:val="29A95EC3"/>
    <w:rsid w:val="2A137C86"/>
    <w:rsid w:val="2A274666"/>
    <w:rsid w:val="2B351B2D"/>
    <w:rsid w:val="2CBF5B79"/>
    <w:rsid w:val="2D164FEC"/>
    <w:rsid w:val="2D930A38"/>
    <w:rsid w:val="2EC26F00"/>
    <w:rsid w:val="33F60984"/>
    <w:rsid w:val="34106055"/>
    <w:rsid w:val="38F46B41"/>
    <w:rsid w:val="39E64EBF"/>
    <w:rsid w:val="3BCC406B"/>
    <w:rsid w:val="3BEF5ADB"/>
    <w:rsid w:val="3D6B227E"/>
    <w:rsid w:val="3D8435DB"/>
    <w:rsid w:val="3FF34E8C"/>
    <w:rsid w:val="403C5C82"/>
    <w:rsid w:val="412B09FA"/>
    <w:rsid w:val="42F44377"/>
    <w:rsid w:val="44D83825"/>
    <w:rsid w:val="451B69DA"/>
    <w:rsid w:val="46B579F4"/>
    <w:rsid w:val="47025747"/>
    <w:rsid w:val="47BA31C6"/>
    <w:rsid w:val="486E744E"/>
    <w:rsid w:val="4AA30431"/>
    <w:rsid w:val="4B092EB1"/>
    <w:rsid w:val="4DBB0BB6"/>
    <w:rsid w:val="4FA4766E"/>
    <w:rsid w:val="500718F9"/>
    <w:rsid w:val="52142CBA"/>
    <w:rsid w:val="542227FC"/>
    <w:rsid w:val="551E5F54"/>
    <w:rsid w:val="56310418"/>
    <w:rsid w:val="58C46E3D"/>
    <w:rsid w:val="5C5D5C99"/>
    <w:rsid w:val="5FAF6675"/>
    <w:rsid w:val="60915A2A"/>
    <w:rsid w:val="633A4A17"/>
    <w:rsid w:val="639F748E"/>
    <w:rsid w:val="644D16E1"/>
    <w:rsid w:val="669A1246"/>
    <w:rsid w:val="66AE6FB7"/>
    <w:rsid w:val="6A4E0CDE"/>
    <w:rsid w:val="6AA22B0C"/>
    <w:rsid w:val="6C532B86"/>
    <w:rsid w:val="6CE83C2A"/>
    <w:rsid w:val="6E0158CE"/>
    <w:rsid w:val="6E6F2D05"/>
    <w:rsid w:val="6F1D0FA2"/>
    <w:rsid w:val="70187912"/>
    <w:rsid w:val="731C766A"/>
    <w:rsid w:val="73B34837"/>
    <w:rsid w:val="75F53FDA"/>
    <w:rsid w:val="76F36957"/>
    <w:rsid w:val="77764E10"/>
    <w:rsid w:val="7B8352E0"/>
    <w:rsid w:val="7C047E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autoRedefine/>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2">
    <w:name w:val="Date"/>
    <w:basedOn w:val="1"/>
    <w:next w:val="1"/>
    <w:link w:val="11"/>
    <w:autoRedefine/>
    <w:semiHidden/>
    <w:unhideWhenUsed/>
    <w:qFormat/>
    <w:uiPriority w:val="99"/>
    <w:pPr>
      <w:ind w:left="100" w:leftChars="2500"/>
    </w:pPr>
  </w:style>
  <w:style w:type="paragraph" w:styleId="3">
    <w:name w:val="footer"/>
    <w:basedOn w:val="1"/>
    <w:link w:val="10"/>
    <w:autoRedefine/>
    <w:unhideWhenUsed/>
    <w:qFormat/>
    <w:uiPriority w:val="99"/>
    <w:pPr>
      <w:tabs>
        <w:tab w:val="center" w:pos="4153"/>
        <w:tab w:val="right" w:pos="8306"/>
      </w:tabs>
      <w:snapToGrid w:val="0"/>
      <w:jc w:val="left"/>
    </w:pPr>
    <w:rPr>
      <w:sz w:val="18"/>
      <w:szCs w:val="18"/>
    </w:rPr>
  </w:style>
  <w:style w:type="paragraph" w:styleId="4">
    <w:name w:val="header"/>
    <w:basedOn w:val="1"/>
    <w:link w:val="9"/>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autoRedefine/>
    <w:semiHidden/>
    <w:unhideWhenUsed/>
    <w:qFormat/>
    <w:uiPriority w:val="99"/>
    <w:pPr>
      <w:spacing w:before="0" w:beforeAutospacing="1" w:after="0" w:afterAutospacing="1"/>
      <w:ind w:left="0" w:right="0"/>
      <w:jc w:val="left"/>
    </w:pPr>
    <w:rPr>
      <w:kern w:val="0"/>
      <w:sz w:val="24"/>
      <w:lang w:val="en-US" w:eastAsia="zh-CN" w:bidi="ar"/>
    </w:rPr>
  </w:style>
  <w:style w:type="table" w:styleId="7">
    <w:name w:val="Table Grid"/>
    <w:basedOn w:val="6"/>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页眉 字符"/>
    <w:basedOn w:val="8"/>
    <w:link w:val="4"/>
    <w:autoRedefine/>
    <w:qFormat/>
    <w:uiPriority w:val="99"/>
    <w:rPr>
      <w:sz w:val="18"/>
      <w:szCs w:val="18"/>
    </w:rPr>
  </w:style>
  <w:style w:type="character" w:customStyle="1" w:styleId="10">
    <w:name w:val="页脚 字符"/>
    <w:basedOn w:val="8"/>
    <w:link w:val="3"/>
    <w:autoRedefine/>
    <w:qFormat/>
    <w:uiPriority w:val="99"/>
    <w:rPr>
      <w:sz w:val="18"/>
      <w:szCs w:val="18"/>
    </w:rPr>
  </w:style>
  <w:style w:type="character" w:customStyle="1" w:styleId="11">
    <w:name w:val="日期 字符"/>
    <w:basedOn w:val="8"/>
    <w:link w:val="2"/>
    <w:autoRedefine/>
    <w:semiHidden/>
    <w:qFormat/>
    <w:uiPriority w:val="99"/>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4383</Words>
  <Characters>4795</Characters>
  <Lines>24</Lines>
  <Paragraphs>6</Paragraphs>
  <TotalTime>18</TotalTime>
  <ScaleCrop>false</ScaleCrop>
  <LinksUpToDate>false</LinksUpToDate>
  <CharactersWithSpaces>4887</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2022-08-29T00:19:00Z</dcterms:created>
  <dc:creator>魏宝兴</dc:creator>
  <cp:lastModifiedBy>7月LEO</cp:lastModifiedBy>
  <dcterms:modified xsi:type="dcterms:W3CDTF">2024-05-29T09:50:45Z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9022C0B81CE34690BF09C8D56079BB51</vt:lpwstr>
  </property>
</Properties>
</file>