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长虹社区卫生服务中心</w:t>
      </w:r>
      <w:r>
        <w:rPr>
          <w:rFonts w:hint="eastAsia" w:ascii="仿宋_GB2312" w:hAnsi="宋体" w:eastAsia="仿宋_GB2312" w:cs="Times New Roman"/>
          <w:b/>
          <w:color w:val="000000"/>
          <w:sz w:val="32"/>
          <w:szCs w:val="32"/>
        </w:rPr>
        <w:t>骨科牵引床、双摇护理床采购项目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项目编号：GXGSYY-CGB-YLSBK-2024-0</w:t>
      </w:r>
      <w:r>
        <w:rPr>
          <w:rFonts w:hint="eastAsia" w:ascii="仿宋_GB2312" w:hAnsi="宋体" w:eastAsia="仿宋_GB2312" w:cs="Times New Roman"/>
          <w:b/>
          <w:color w:val="000000"/>
          <w:sz w:val="32"/>
          <w:szCs w:val="32"/>
          <w:lang w:val="en-US" w:eastAsia="zh-CN"/>
        </w:rPr>
        <w:t>8</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35393629"/>
      <w:bookmarkStart w:id="3" w:name="_Toc44229878"/>
      <w:bookmarkStart w:id="4" w:name="_Toc28359012"/>
      <w:bookmarkStart w:id="5" w:name="_Toc47452205"/>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项目编号：GXGSYY-CGB-YLSBK-2024-0</w:t>
      </w:r>
      <w:r>
        <w:rPr>
          <w:rFonts w:hint="eastAsia" w:ascii="宋体" w:hAnsi="宋体" w:eastAsia="宋体" w:cs="Times New Roman"/>
          <w:color w:val="000000"/>
          <w:szCs w:val="21"/>
          <w:lang w:val="en-US" w:eastAsia="zh-CN"/>
        </w:rPr>
        <w:t>8</w:t>
      </w:r>
    </w:p>
    <w:p>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广西骨伤医院长虹社区卫生服务中心骨科牵引床、双摇护理床采购项目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93000</w:t>
      </w:r>
      <w:r>
        <w:rPr>
          <w:rFonts w:hint="eastAsia" w:ascii="宋体" w:hAnsi="宋体" w:eastAsia="宋体" w:cs="Times New Roman"/>
          <w:color w:val="000000"/>
          <w:szCs w:val="21"/>
        </w:rPr>
        <w:t>元</w:t>
      </w:r>
      <w:r>
        <w:rPr>
          <w:rFonts w:hint="eastAsia" w:ascii="宋体" w:hAnsi="宋体" w:eastAsia="宋体" w:cs="Times New Roman"/>
          <w:color w:val="000000"/>
          <w:szCs w:val="21"/>
          <w:lang w:eastAsia="zh-CN"/>
        </w:rPr>
        <w:t>（</w:t>
      </w:r>
      <w:r>
        <w:rPr>
          <w:rFonts w:hint="eastAsia" w:ascii="宋体" w:hAnsi="宋体" w:eastAsia="宋体" w:cs="Times New Roman"/>
          <w:bCs/>
          <w:color w:val="000000"/>
          <w:szCs w:val="21"/>
          <w:highlight w:val="none"/>
          <w:lang w:val="en-US" w:eastAsia="zh-CN"/>
        </w:rPr>
        <w:t>骨科牵引床4400元/张、</w:t>
      </w:r>
      <w:r>
        <w:rPr>
          <w:rFonts w:hint="eastAsia" w:ascii="宋体" w:hAnsi="宋体" w:eastAsia="宋体" w:cs="Times New Roman"/>
          <w:color w:val="000000"/>
          <w:szCs w:val="21"/>
        </w:rPr>
        <w:t>双摇护理床</w:t>
      </w:r>
      <w:r>
        <w:rPr>
          <w:rFonts w:hint="eastAsia" w:ascii="宋体" w:hAnsi="宋体" w:eastAsia="宋体" w:cs="Times New Roman"/>
          <w:bCs/>
          <w:color w:val="000000"/>
          <w:szCs w:val="21"/>
          <w:highlight w:val="none"/>
          <w:lang w:val="en-US" w:eastAsia="zh-CN"/>
        </w:rPr>
        <w:t>2450元/张</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采购数量：</w:t>
      </w:r>
      <w:r>
        <w:rPr>
          <w:rFonts w:hint="eastAsia" w:ascii="宋体" w:hAnsi="宋体" w:eastAsia="宋体" w:cs="Times New Roman"/>
          <w:bCs/>
          <w:color w:val="000000"/>
          <w:szCs w:val="21"/>
          <w:highlight w:val="none"/>
          <w:lang w:val="en-US" w:eastAsia="zh-CN"/>
        </w:rPr>
        <w:t>骨科牵引床10张、</w:t>
      </w:r>
      <w:r>
        <w:rPr>
          <w:rFonts w:hint="eastAsia" w:ascii="宋体" w:hAnsi="宋体" w:eastAsia="宋体" w:cs="Times New Roman"/>
          <w:color w:val="000000"/>
          <w:szCs w:val="21"/>
        </w:rPr>
        <w:t>双摇护理床</w:t>
      </w:r>
      <w:r>
        <w:rPr>
          <w:rFonts w:hint="eastAsia" w:ascii="宋体" w:hAnsi="宋体" w:eastAsia="宋体" w:cs="Times New Roman"/>
          <w:bCs/>
          <w:color w:val="000000"/>
          <w:szCs w:val="21"/>
          <w:highlight w:val="none"/>
          <w:lang w:val="en-US" w:eastAsia="zh-CN"/>
        </w:rPr>
        <w:t>20张</w:t>
      </w:r>
      <w:r>
        <w:rPr>
          <w:rFonts w:hint="eastAsia" w:ascii="宋体" w:hAnsi="宋体" w:eastAsia="宋体" w:cs="Times New Roman"/>
          <w:color w:val="000000"/>
          <w:szCs w:val="21"/>
        </w:rPr>
        <w:t>。</w:t>
      </w:r>
      <w:bookmarkStart w:id="7" w:name="_Toc28359090"/>
      <w:bookmarkStart w:id="8" w:name="_Toc28359013"/>
      <w:bookmarkStart w:id="9" w:name="_Toc35393630"/>
      <w:bookmarkStart w:id="10" w:name="_Toc35393799"/>
      <w:bookmarkStart w:id="11" w:name="_Toc47452206"/>
      <w:bookmarkStart w:id="12" w:name="_Toc44229879"/>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lang w:eastAsia="zh-CN"/>
              </w:rPr>
              <w:t>广西骨伤医院长虹社区卫生服务中心骨科牵引床、双摇护理床采购项目</w:t>
            </w:r>
          </w:p>
          <w:p>
            <w:pPr>
              <w:spacing w:line="320" w:lineRule="exact"/>
              <w:jc w:val="left"/>
              <w:rPr>
                <w:rFonts w:ascii="宋体" w:hAnsi="宋体" w:eastAsia="宋体" w:cs="Calibri"/>
                <w:color w:val="000000"/>
                <w:szCs w:val="21"/>
              </w:rPr>
            </w:pP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骨科牵引床</w:t>
            </w:r>
            <w:r>
              <w:rPr>
                <w:rFonts w:hint="eastAsia" w:ascii="宋体" w:hAnsi="宋体" w:eastAsia="宋体" w:cs="Times New Roman"/>
                <w:color w:val="000000"/>
                <w:szCs w:val="21"/>
                <w:lang w:val="en-US" w:eastAsia="zh-CN"/>
              </w:rPr>
              <w:t>10张+</w:t>
            </w:r>
            <w:r>
              <w:rPr>
                <w:rFonts w:hint="eastAsia" w:ascii="宋体" w:hAnsi="宋体" w:eastAsia="宋体" w:cs="Times New Roman"/>
                <w:color w:val="000000"/>
                <w:szCs w:val="21"/>
              </w:rPr>
              <w:t>双摇护理床</w:t>
            </w:r>
            <w:r>
              <w:rPr>
                <w:rFonts w:hint="eastAsia" w:ascii="宋体" w:hAnsi="宋体" w:eastAsia="宋体" w:cs="Times New Roman"/>
                <w:color w:val="000000"/>
                <w:szCs w:val="21"/>
                <w:lang w:val="en-US" w:eastAsia="zh-CN"/>
              </w:rPr>
              <w:t>20张</w:t>
            </w:r>
          </w:p>
        </w:tc>
        <w:tc>
          <w:tcPr>
            <w:tcW w:w="5103" w:type="dxa"/>
            <w:tcBorders>
              <w:top w:val="single" w:color="auto" w:sz="4" w:space="0"/>
              <w:left w:val="nil"/>
              <w:bottom w:val="single" w:color="auto" w:sz="4" w:space="0"/>
              <w:right w:val="single" w:color="auto" w:sz="4" w:space="0"/>
            </w:tcBorders>
          </w:tcPr>
          <w:p>
            <w:pPr>
              <w:spacing w:line="520" w:lineRule="exact"/>
              <w:jc w:val="both"/>
              <w:rPr>
                <w:rFonts w:ascii="Times New Roman" w:hAnsi="Times New Roman" w:eastAsia="华文楷体" w:cs="Times New Roman"/>
                <w:b/>
                <w:bCs/>
                <w:sz w:val="32"/>
                <w:szCs w:val="32"/>
              </w:rPr>
            </w:pPr>
            <w:r>
              <w:rPr>
                <w:rFonts w:hint="eastAsia" w:ascii="宋体" w:hAnsi="宋体" w:eastAsia="宋体" w:cs="Times New Roman"/>
                <w:color w:val="000000"/>
                <w:szCs w:val="21"/>
                <w:lang w:val="en-US" w:eastAsia="zh-CN"/>
              </w:rPr>
              <w:t>一、</w:t>
            </w:r>
            <w:r>
              <w:rPr>
                <w:rFonts w:hint="eastAsia" w:ascii="宋体" w:hAnsi="宋体" w:eastAsia="宋体" w:cs="Times New Roman"/>
                <w:color w:val="000000"/>
                <w:szCs w:val="21"/>
              </w:rPr>
              <w:t>骨科牵引床</w:t>
            </w:r>
          </w:p>
          <w:p>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1. 规格：≧2000×900×500mm；</w:t>
            </w:r>
          </w:p>
          <w:p>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2. 功能：背部升降0-80°±5°，双下肢升降0-40°±5°；</w:t>
            </w:r>
          </w:p>
          <w:p>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3. 整床可调节升降，带有轮子（可移动）和床腿（支撑）；</w:t>
            </w:r>
          </w:p>
          <w:p>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4. 可满足头部、腰部、双下肢全部牵引；</w:t>
            </w:r>
          </w:p>
          <w:p>
            <w:pPr>
              <w:spacing w:line="360" w:lineRule="auto"/>
              <w:jc w:val="left"/>
              <w:rPr>
                <w:rFonts w:hint="eastAsia" w:ascii="宋体" w:hAnsi="宋体" w:eastAsia="宋体" w:cs="Times New Roman"/>
                <w:color w:val="000000"/>
                <w:szCs w:val="21"/>
                <w:lang w:val="en-US" w:eastAsia="zh-CN"/>
              </w:rPr>
            </w:pP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8</w:t>
      </w:r>
      <w:r>
        <w:rPr>
          <w:rFonts w:ascii="宋体" w:hAnsi="宋体" w:eastAsia="宋体" w:cs="Times New Roman"/>
          <w:color w:val="000000"/>
          <w:szCs w:val="21"/>
        </w:rPr>
        <w:t>日</w:t>
      </w:r>
      <w:r>
        <w:rPr>
          <w:rFonts w:hint="eastAsia" w:ascii="宋体" w:hAnsi="宋体" w:eastAsia="宋体" w:cs="Times New Roman"/>
          <w:color w:val="000000"/>
          <w:szCs w:val="21"/>
          <w:lang w:val="en-US" w:eastAsia="zh-CN"/>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5</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8</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w:t>
      </w:r>
      <w:r>
        <w:rPr>
          <w:rFonts w:hint="eastAsia" w:ascii="宋体" w:hAnsi="宋体" w:eastAsia="宋体" w:cs="Calibri"/>
          <w:color w:val="000000"/>
          <w:szCs w:val="21"/>
          <w:u w:val="single"/>
          <w:lang w:val="en-US" w:eastAsia="zh-CN"/>
        </w:rPr>
        <w:t>4</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5</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13</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18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1.时间</w:t>
      </w:r>
      <w:r>
        <w:rPr>
          <w:rFonts w:hint="eastAsia" w:ascii="宋体" w:hAnsi="宋体" w:eastAsia="宋体" w:cs="Calibri"/>
          <w:color w:val="000000"/>
          <w:szCs w:val="21"/>
          <w:lang w:eastAsia="zh-CN"/>
        </w:rPr>
        <w:t>、</w:t>
      </w:r>
      <w:r>
        <w:rPr>
          <w:rFonts w:hint="eastAsia" w:ascii="宋体" w:hAnsi="宋体" w:eastAsia="宋体" w:cs="Calibri"/>
          <w:color w:val="000000"/>
          <w:szCs w:val="21"/>
        </w:rPr>
        <w:t>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bookmarkStart w:id="25" w:name="_GoBack"/>
      <w:bookmarkEnd w:id="25"/>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p>
    <w:p>
      <w:pPr>
        <w:spacing w:line="320" w:lineRule="exact"/>
        <w:ind w:firstLine="420" w:firstLineChars="200"/>
        <w:rPr>
          <w:rFonts w:hint="default" w:ascii="Calibri" w:hAnsi="Calibri" w:eastAsia="宋体" w:cs="Times New Roman"/>
          <w:szCs w:val="24"/>
          <w:lang w:val="en-US" w:eastAsia="zh-CN"/>
        </w:rPr>
      </w:pPr>
    </w:p>
    <w:p>
      <w:pPr>
        <w:spacing w:line="320" w:lineRule="exact"/>
        <w:ind w:firstLine="420" w:firstLineChars="200"/>
        <w:rPr>
          <w:rFonts w:hint="default" w:ascii="Calibri" w:hAnsi="Calibri" w:eastAsia="宋体" w:cs="Times New Roman"/>
          <w:szCs w:val="24"/>
          <w:lang w:val="en-US" w:eastAsia="zh-CN"/>
        </w:rPr>
      </w:pPr>
    </w:p>
    <w:p>
      <w:pPr>
        <w:spacing w:line="320" w:lineRule="exact"/>
        <w:ind w:firstLine="420" w:firstLineChars="200"/>
        <w:jc w:val="right"/>
        <w:rPr>
          <w:rFonts w:hint="eastAsia" w:ascii="Calibri" w:hAnsi="Calibri" w:eastAsia="宋体" w:cs="Times New Roman"/>
          <w:szCs w:val="24"/>
          <w:lang w:val="en-US" w:eastAsia="zh-CN"/>
        </w:rPr>
      </w:pPr>
      <w:r>
        <w:rPr>
          <w:rFonts w:hint="eastAsia" w:ascii="Calibri" w:hAnsi="Calibri" w:eastAsia="宋体" w:cs="Times New Roman"/>
          <w:szCs w:val="24"/>
          <w:lang w:val="en-US" w:eastAsia="zh-CN"/>
        </w:rPr>
        <w:t>广西骨伤医院</w:t>
      </w:r>
    </w:p>
    <w:p>
      <w:pPr>
        <w:spacing w:line="320" w:lineRule="exact"/>
        <w:ind w:firstLine="420" w:firstLineChars="200"/>
        <w:jc w:val="right"/>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2024年5月8日</w:t>
      </w:r>
    </w:p>
    <w:p>
      <w:pPr>
        <w:spacing w:line="320" w:lineRule="exact"/>
        <w:ind w:firstLine="420" w:firstLineChars="200"/>
        <w:rPr>
          <w:rFonts w:hint="eastAsia" w:ascii="Calibri" w:hAnsi="Calibri" w:eastAsia="宋体" w:cs="Times New Roman"/>
          <w:szCs w:val="24"/>
          <w:lang w:val="en-US" w:eastAsia="zh-CN"/>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3</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磋商小组的人数：</w:t>
            </w:r>
            <w:r>
              <w:rPr>
                <w:rFonts w:hint="eastAsia" w:ascii="宋体" w:hAnsi="宋体" w:eastAsia="宋体" w:cs="宋体"/>
                <w:color w:val="000000"/>
                <w:szCs w:val="21"/>
                <w:lang w:val="en-US" w:eastAsia="zh-CN"/>
              </w:rPr>
              <w:t>评审专家3</w:t>
            </w:r>
            <w:r>
              <w:rPr>
                <w:rFonts w:hint="eastAsia" w:ascii="宋体" w:hAnsi="宋体" w:eastAsia="宋体" w:cs="宋体"/>
                <w:color w:val="000000"/>
                <w:szCs w:val="21"/>
              </w:rPr>
              <w:t>人</w:t>
            </w:r>
            <w:r>
              <w:rPr>
                <w:rFonts w:hint="eastAsia" w:ascii="宋体" w:hAnsi="宋体" w:eastAsia="宋体" w:cs="宋体"/>
                <w:color w:val="000000"/>
                <w:szCs w:val="21"/>
                <w:lang w:val="en-US" w:eastAsia="zh-CN"/>
              </w:rPr>
              <w:t>及以上</w:t>
            </w:r>
            <w:r>
              <w:rPr>
                <w:rFonts w:hint="eastAsia" w:ascii="宋体" w:hAnsi="宋体" w:eastAsia="宋体" w:cs="宋体"/>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广西骨伤医院长虹社区卫生服务中心骨科牵引床、双摇护理床采购项目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w:t>
      </w:r>
      <w:r>
        <w:rPr>
          <w:rFonts w:ascii="宋体" w:hAnsi="宋体" w:eastAsia="宋体"/>
          <w:szCs w:val="21"/>
        </w:rPr>
        <w:t>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cs="Calibri"/>
          <w:color w:val="000000"/>
          <w:kern w:val="0"/>
          <w:szCs w:val="21"/>
        </w:rPr>
        <w:t>。</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spacing w:line="3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lang w:eastAsia="zh-CN"/>
              </w:rPr>
              <w:t>广西骨伤医院长虹社区卫生服务中心骨科牵引床、双摇护理床采购项目</w:t>
            </w:r>
          </w:p>
          <w:p>
            <w:pPr>
              <w:spacing w:line="320" w:lineRule="exact"/>
              <w:jc w:val="left"/>
              <w:rPr>
                <w:rFonts w:ascii="宋体" w:hAnsi="宋体" w:eastAsia="宋体" w:cs="宋体"/>
                <w:color w:val="000000"/>
                <w:szCs w:val="21"/>
              </w:rPr>
            </w:pP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骨科牵引床</w:t>
            </w:r>
            <w:r>
              <w:rPr>
                <w:rFonts w:hint="eastAsia" w:ascii="宋体" w:hAnsi="宋体" w:eastAsia="宋体" w:cs="Times New Roman"/>
                <w:color w:val="000000"/>
                <w:szCs w:val="21"/>
                <w:lang w:val="en-US" w:eastAsia="zh-CN"/>
              </w:rPr>
              <w:t>10张+</w:t>
            </w:r>
            <w:r>
              <w:rPr>
                <w:rFonts w:hint="eastAsia" w:ascii="宋体" w:hAnsi="宋体" w:eastAsia="宋体" w:cs="Times New Roman"/>
                <w:color w:val="000000"/>
                <w:szCs w:val="21"/>
              </w:rPr>
              <w:t>双摇护理床</w:t>
            </w:r>
            <w:r>
              <w:rPr>
                <w:rFonts w:hint="eastAsia" w:ascii="宋体" w:hAnsi="宋体" w:eastAsia="宋体" w:cs="Times New Roman"/>
                <w:color w:val="000000"/>
                <w:szCs w:val="21"/>
                <w:lang w:val="en-US" w:eastAsia="zh-CN"/>
              </w:rPr>
              <w:t>20张</w:t>
            </w:r>
          </w:p>
        </w:tc>
        <w:tc>
          <w:tcPr>
            <w:tcW w:w="6845" w:type="dxa"/>
          </w:tcPr>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一</w:t>
            </w:r>
            <w:r>
              <w:rPr>
                <w:rFonts w:hint="eastAsia" w:ascii="宋体" w:hAnsi="宋体" w:eastAsia="宋体" w:cs="Times New Roman"/>
                <w:color w:val="000000"/>
                <w:szCs w:val="21"/>
              </w:rPr>
              <w:t>、骨科牵引床</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1. 规格：≧2000×900×500mm；</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2. 功能：背部升降0-80°±5°，双下肢升降0-40°±5°；</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3. 整床可调节升降，带有轮子（可移动）和床腿（支撑）；</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4. 可满足头部、腰部、双下肢全部牵引；</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5. 床头床尾板采购ABS材料，一次冲压注塑成型，方便快速拆卸；</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6. 床架、床板采用高强度≥1.2mm冷轧钢板，整体压模成型，四角平滑完整；具有床垫防滑功能；</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7. 不锈钢或优质铝管双臂牵引架，配有滑轮和牵引挂钩；</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8. ≧6cm厚度的半棕半棉一体式分腿床垫，棕榈厚度≧3cm（可按客户需求订制床垫分折情况）；</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9.</w:t>
            </w:r>
            <w:r>
              <w:rPr>
                <w:rFonts w:hint="eastAsia" w:ascii="宋体" w:hAnsi="宋体" w:eastAsia="宋体" w:cs="Times New Roman"/>
                <w:color w:val="000000"/>
                <w:szCs w:val="21"/>
              </w:rPr>
              <w:t>≧3个手摇杆，具有空转限位结构装置，手摇杆和护栏具有防夹手设计；</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牵引架上锻炼拉环全为金属制造；</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配置清单：床体1张，牵引架1套，床腿1付，床头床位板1对，护栏1对，轮子4个，床垫1张，餐桌板1个，鞋盆架1个，输液架1个，输液架插孔4个，引流袋挂钩4个，床头柜1个（带有轮子可移动、床头柜后面有置物架可放置暖水壶等、床头柜下面带有鞋架）。</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二</w:t>
            </w:r>
            <w:r>
              <w:rPr>
                <w:rFonts w:hint="eastAsia" w:ascii="宋体" w:hAnsi="宋体" w:eastAsia="宋体" w:cs="Times New Roman"/>
                <w:color w:val="000000"/>
                <w:szCs w:val="21"/>
              </w:rPr>
              <w:t>、双摇护理床</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规格：≧2000×900×500mm；</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功能：背部升降0-80°±5°，双下肢升降0-40°±5°；</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整床可调节升降，带有轮子（可移动）和床腿（支撑）；</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床头床尾板采购ABS材料，一次冲压注塑成型，方便快速拆卸；</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床架、床板采用高强度≥1.2mm冷轧钢板，整体压模成型，四角平滑完整；具有床垫防滑功能；</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≧6cm厚度的半棕半棉一体式床垫，棕榈厚度≧3cm（可按客户需求订制床垫分折情况）；</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≧2个手摇杆，具有空转限位结构装置，手摇杆和护栏具有防夹手设计；</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8.</w:t>
            </w:r>
            <w:r>
              <w:rPr>
                <w:rFonts w:hint="eastAsia" w:ascii="宋体" w:hAnsi="宋体" w:eastAsia="宋体" w:cs="Times New Roman"/>
                <w:color w:val="000000"/>
                <w:szCs w:val="21"/>
              </w:rPr>
              <w:t>配置清单：床体1张，床腿1付，床头床位板1对，护栏1对，轮子4个，床垫1张，餐桌板1个，鞋盆架1个，输液架1个，输液架插孔4个，引流袋挂钩4个，床头柜 1个（带有轮子可移动、床头柜后面有置物架可放置暖水壶等、床头柜下面带有鞋架）。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付款方式：货物验收</w:t>
            </w:r>
            <w:r>
              <w:rPr>
                <w:rFonts w:hint="eastAsia" w:ascii="宋体" w:hAnsi="宋体" w:eastAsia="宋体" w:cs="Times New Roman"/>
                <w:bCs/>
                <w:szCs w:val="21"/>
                <w:lang w:val="en-US" w:eastAsia="zh-CN"/>
              </w:rPr>
              <w:t>通过</w:t>
            </w:r>
            <w:r>
              <w:rPr>
                <w:rFonts w:hint="eastAsia" w:ascii="宋体" w:hAnsi="宋体" w:eastAsia="宋体" w:cs="Times New Roman"/>
                <w:bCs/>
                <w:szCs w:val="21"/>
              </w:rPr>
              <w:t>后，中标人应在30日内开具发票给采购人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w:t>
      </w:r>
      <w:r>
        <w:rPr>
          <w:rFonts w:hint="eastAsia" w:ascii="宋体" w:hAnsi="宋体" w:eastAsia="宋体" w:cs="宋体"/>
          <w:color w:val="000000"/>
          <w:szCs w:val="21"/>
          <w:lang w:val="en-US" w:eastAsia="zh-CN"/>
        </w:rPr>
        <w:t>评审专家3</w:t>
      </w:r>
      <w:r>
        <w:rPr>
          <w:rFonts w:hint="eastAsia" w:ascii="宋体" w:hAnsi="宋体" w:eastAsia="宋体" w:cs="宋体"/>
          <w:color w:val="000000"/>
          <w:szCs w:val="21"/>
        </w:rPr>
        <w:t>人</w:t>
      </w:r>
      <w:r>
        <w:rPr>
          <w:rFonts w:hint="eastAsia" w:ascii="宋体" w:hAnsi="宋体" w:eastAsia="宋体" w:cs="宋体"/>
          <w:color w:val="000000"/>
          <w:szCs w:val="21"/>
          <w:lang w:val="en-US" w:eastAsia="zh-CN"/>
        </w:rPr>
        <w:t>及以上人员</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380" w:lineRule="exact"/>
              <w:ind w:left="-105" w:leftChars="-50" w:right="-105" w:rightChars="-50"/>
              <w:jc w:val="center"/>
              <w:textAlignment w:val="baseline"/>
              <w:rPr>
                <w:rFonts w:ascii="宋体" w:hAnsi="宋体" w:eastAsia="宋体" w:cs="Times New Roman"/>
                <w:bCs/>
                <w:color w:val="000000"/>
                <w:kern w:val="0"/>
                <w:szCs w:val="21"/>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6.1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Times New Roman"/>
                <w:color w:val="000000"/>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13</w:t>
            </w: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w:t>
            </w:r>
            <w:r>
              <w:rPr>
                <w:rFonts w:hint="eastAsia" w:ascii="宋体" w:hAnsi="宋体" w:eastAsia="宋体" w:cs="Times New Roman"/>
                <w:color w:val="000000"/>
                <w:szCs w:val="21"/>
                <w:lang w:val="en-US" w:eastAsia="zh-CN"/>
              </w:rPr>
              <w:t>21</w:t>
            </w:r>
            <w:r>
              <w:rPr>
                <w:rFonts w:hint="eastAsia" w:ascii="宋体" w:hAnsi="宋体" w:eastAsia="宋体" w:cs="Times New Roman"/>
                <w:color w:val="000000"/>
                <w:szCs w:val="21"/>
              </w:rPr>
              <w:t>年以来同</w:t>
            </w:r>
            <w:r>
              <w:rPr>
                <w:rFonts w:hint="eastAsia" w:ascii="宋体" w:hAnsi="宋体" w:eastAsia="宋体" w:cs="Times New Roman"/>
                <w:color w:val="000000"/>
                <w:szCs w:val="21"/>
                <w:lang w:val="en-US" w:eastAsia="zh-CN"/>
              </w:rPr>
              <w:t>产品</w:t>
            </w:r>
            <w:r>
              <w:rPr>
                <w:rFonts w:hint="eastAsia" w:ascii="宋体" w:hAnsi="宋体" w:eastAsia="宋体" w:cs="Times New Roman"/>
                <w:color w:val="000000"/>
                <w:szCs w:val="21"/>
              </w:rPr>
              <w:t>项目业绩分（提供合同复印件），每提供一个合同复印件得</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满分10分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szCs w:val="21"/>
          <w:lang w:eastAsia="zh-CN"/>
        </w:rPr>
        <w:t>，</w:t>
      </w:r>
      <w:r>
        <w:rPr>
          <w:rFonts w:hint="eastAsia" w:ascii="宋体" w:hAnsi="宋体" w:eastAsia="宋体"/>
          <w:szCs w:val="21"/>
          <w:lang w:val="en-US" w:eastAsia="zh-CN"/>
        </w:rPr>
        <w:t>推荐评审得分第一</w:t>
      </w:r>
      <w:r>
        <w:rPr>
          <w:rFonts w:hint="eastAsia" w:ascii="宋体" w:hAnsi="宋体" w:eastAsia="宋体"/>
          <w:szCs w:val="21"/>
          <w:lang w:eastAsia="zh-CN"/>
        </w:rPr>
        <w:t>的</w:t>
      </w:r>
      <w:r>
        <w:rPr>
          <w:rFonts w:hint="eastAsia" w:ascii="宋体" w:hAnsi="宋体" w:eastAsia="宋体"/>
          <w:szCs w:val="21"/>
          <w:lang w:val="en-US" w:eastAsia="zh-CN"/>
        </w:rPr>
        <w:t>为</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lang w:val="en-US" w:eastAsia="zh-CN"/>
        </w:rPr>
        <w:t>评审得分</w:t>
      </w:r>
      <w:r>
        <w:rPr>
          <w:rFonts w:hint="eastAsia" w:ascii="宋体" w:hAnsi="宋体" w:eastAsia="宋体"/>
          <w:szCs w:val="21"/>
        </w:rPr>
        <w:t>排名第一的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放弃中标、</w:t>
      </w:r>
      <w:r>
        <w:rPr>
          <w:rFonts w:hint="eastAsia" w:ascii="宋体" w:hAnsi="宋体" w:eastAsia="宋体"/>
          <w:szCs w:val="21"/>
          <w:lang w:val="en-US" w:eastAsia="zh-CN"/>
        </w:rPr>
        <w:t>或</w:t>
      </w:r>
      <w:r>
        <w:rPr>
          <w:rFonts w:hint="eastAsia" w:ascii="宋体" w:hAnsi="宋体" w:eastAsia="宋体"/>
          <w:szCs w:val="21"/>
        </w:rPr>
        <w:t>因不可抗力提出不能履行合同，</w:t>
      </w:r>
      <w:r>
        <w:rPr>
          <w:rFonts w:hint="eastAsia" w:ascii="宋体" w:hAnsi="宋体" w:eastAsia="宋体"/>
          <w:szCs w:val="21"/>
          <w:lang w:val="en-US" w:eastAsia="zh-CN"/>
        </w:rPr>
        <w:t>可以</w:t>
      </w:r>
      <w:r>
        <w:rPr>
          <w:rFonts w:hint="eastAsia" w:ascii="宋体" w:hAnsi="宋体" w:eastAsia="宋体"/>
          <w:szCs w:val="21"/>
        </w:rPr>
        <w:t>确定</w:t>
      </w:r>
      <w:r>
        <w:rPr>
          <w:rFonts w:hint="eastAsia" w:ascii="宋体" w:hAnsi="宋体" w:eastAsia="宋体"/>
          <w:szCs w:val="21"/>
          <w:lang w:val="en-US" w:eastAsia="zh-CN"/>
        </w:rPr>
        <w:t>评审得分</w:t>
      </w:r>
      <w:r>
        <w:rPr>
          <w:rFonts w:hint="eastAsia" w:ascii="宋体" w:hAnsi="宋体" w:eastAsia="宋体"/>
          <w:szCs w:val="21"/>
        </w:rPr>
        <w:t>排名第二的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为中标人</w:t>
      </w:r>
      <w:r>
        <w:rPr>
          <w:rFonts w:hint="eastAsia" w:ascii="宋体" w:hAnsi="宋体" w:eastAsia="宋体"/>
          <w:szCs w:val="21"/>
          <w:lang w:eastAsia="zh-CN"/>
        </w:rPr>
        <w:t>，</w:t>
      </w:r>
      <w:r>
        <w:rPr>
          <w:rFonts w:hint="eastAsia" w:ascii="宋体" w:hAnsi="宋体" w:eastAsia="宋体"/>
          <w:szCs w:val="21"/>
          <w:lang w:val="en-US" w:eastAsia="zh-CN"/>
        </w:rPr>
        <w:t>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楷体">
    <w:altName w:val="楷体_GB2312"/>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27DAF"/>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67099"/>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71D35CE"/>
    <w:rsid w:val="07E10079"/>
    <w:rsid w:val="0F3862D2"/>
    <w:rsid w:val="100B70C3"/>
    <w:rsid w:val="12633CFA"/>
    <w:rsid w:val="13C87418"/>
    <w:rsid w:val="14B95F08"/>
    <w:rsid w:val="16A95621"/>
    <w:rsid w:val="1A632FBA"/>
    <w:rsid w:val="1AA933B9"/>
    <w:rsid w:val="1BB72373"/>
    <w:rsid w:val="1D523578"/>
    <w:rsid w:val="22DB2ECB"/>
    <w:rsid w:val="230C6132"/>
    <w:rsid w:val="267D2BB8"/>
    <w:rsid w:val="2C3C3D64"/>
    <w:rsid w:val="2D0E68A8"/>
    <w:rsid w:val="2D955057"/>
    <w:rsid w:val="2F60116C"/>
    <w:rsid w:val="303D69DF"/>
    <w:rsid w:val="36EF4890"/>
    <w:rsid w:val="39026745"/>
    <w:rsid w:val="399D69A6"/>
    <w:rsid w:val="3A2E7DBD"/>
    <w:rsid w:val="3A7E265C"/>
    <w:rsid w:val="3CF86B7C"/>
    <w:rsid w:val="40F42EA3"/>
    <w:rsid w:val="45DB2F02"/>
    <w:rsid w:val="53FE114B"/>
    <w:rsid w:val="57874CD5"/>
    <w:rsid w:val="59B64834"/>
    <w:rsid w:val="5B787D64"/>
    <w:rsid w:val="5B80358E"/>
    <w:rsid w:val="5D72019D"/>
    <w:rsid w:val="5E9A1F4D"/>
    <w:rsid w:val="5EBA7B70"/>
    <w:rsid w:val="626E5665"/>
    <w:rsid w:val="64BF359F"/>
    <w:rsid w:val="64E861BC"/>
    <w:rsid w:val="67312041"/>
    <w:rsid w:val="67665ED2"/>
    <w:rsid w:val="6B030034"/>
    <w:rsid w:val="6D5A388E"/>
    <w:rsid w:val="722D1404"/>
    <w:rsid w:val="73E72C52"/>
    <w:rsid w:val="74DA269D"/>
    <w:rsid w:val="78D3337A"/>
    <w:rsid w:val="797751C1"/>
    <w:rsid w:val="7D0E37F9"/>
    <w:rsid w:val="7E331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2"/>
    <w:autoRedefine/>
    <w:semiHidden/>
    <w:unhideWhenUsed/>
    <w:qFormat/>
    <w:uiPriority w:val="99"/>
    <w:pPr>
      <w:ind w:left="100" w:leftChars="2500"/>
    </w:p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semiHidden/>
    <w:unhideWhenUsed/>
    <w:qFormat/>
    <w:uiPriority w:val="99"/>
    <w:rPr>
      <w:color w:val="0000FF"/>
      <w:u w:val="single"/>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日期 字符"/>
    <w:basedOn w:val="8"/>
    <w:link w:val="3"/>
    <w:autoRedefine/>
    <w:semiHidden/>
    <w:qFormat/>
    <w:uiPriority w:val="99"/>
  </w:style>
  <w:style w:type="character" w:customStyle="1" w:styleId="13">
    <w:name w:val="标题 2 字符"/>
    <w:basedOn w:val="8"/>
    <w:link w:val="2"/>
    <w:autoRedefine/>
    <w:semiHidden/>
    <w:qFormat/>
    <w:uiPriority w:val="9"/>
    <w:rPr>
      <w:rFonts w:asciiTheme="majorHAnsi" w:hAnsiTheme="majorHAnsi" w:eastAsiaTheme="majorEastAsia" w:cstheme="majorBidi"/>
      <w:b/>
      <w:bCs/>
      <w:sz w:val="32"/>
      <w:szCs w:val="32"/>
    </w:rPr>
  </w:style>
  <w:style w:type="paragraph" w:styleId="14">
    <w:name w:val="List Paragraph"/>
    <w:basedOn w:val="1"/>
    <w:autoRedefine/>
    <w:qFormat/>
    <w:uiPriority w:val="34"/>
    <w:pPr>
      <w:ind w:firstLine="420" w:firstLineChars="200"/>
    </w:pPr>
  </w:style>
  <w:style w:type="character" w:customStyle="1" w:styleId="15">
    <w:name w:val="font91"/>
    <w:basedOn w:val="8"/>
    <w:autoRedefine/>
    <w:qFormat/>
    <w:uiPriority w:val="0"/>
    <w:rPr>
      <w:rFonts w:hint="eastAsia" w:ascii="宋体" w:hAnsi="宋体" w:eastAsia="宋体" w:cs="宋体"/>
      <w:color w:val="000000"/>
      <w:sz w:val="20"/>
      <w:szCs w:val="20"/>
      <w:u w:val="none"/>
    </w:rPr>
  </w:style>
  <w:style w:type="character" w:customStyle="1" w:styleId="16">
    <w:name w:val="font51"/>
    <w:basedOn w:val="8"/>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18582</Words>
  <Characters>19405</Characters>
  <Lines>160</Lines>
  <Paragraphs>45</Paragraphs>
  <TotalTime>20</TotalTime>
  <ScaleCrop>false</ScaleCrop>
  <LinksUpToDate>false</LinksUpToDate>
  <CharactersWithSpaces>21258</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cp:lastPrinted>2022-12-12T03:34:00Z</cp:lastPrinted>
  <dcterms:modified xsi:type="dcterms:W3CDTF">2024-05-08T02:28:42Z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003F4B7C55754348827E781723701253</vt:lpwstr>
  </property>
</Properties>
</file>