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项目名称：广西骨伤医院骨科牵引床、双摇护理床采购项目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项目编号：GXGSYY-CGB-YLSBK-2024-02</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22</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12"/>
      <w:bookmarkStart w:id="2" w:name="_Toc28359089"/>
      <w:bookmarkStart w:id="3" w:name="_Toc44229878"/>
      <w:bookmarkStart w:id="4" w:name="_Toc47452205"/>
      <w:bookmarkStart w:id="5" w:name="_Toc35393629"/>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项目编号：GXGSYY-CGB-YLSBK-2024-02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项目名称：广西骨伤医院骨科牵引床、双摇护理床采购项目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161100</w:t>
      </w:r>
      <w:r>
        <w:rPr>
          <w:rFonts w:hint="eastAsia" w:ascii="宋体" w:hAnsi="宋体" w:eastAsia="宋体" w:cs="Times New Roman"/>
          <w:color w:val="000000"/>
          <w:szCs w:val="21"/>
        </w:rPr>
        <w:t>元</w:t>
      </w:r>
      <w:r>
        <w:rPr>
          <w:rFonts w:hint="eastAsia" w:ascii="宋体" w:hAnsi="宋体" w:eastAsia="宋体" w:cs="Times New Roman"/>
          <w:color w:val="000000"/>
          <w:szCs w:val="21"/>
          <w:lang w:eastAsia="zh-CN"/>
        </w:rPr>
        <w:t>（</w:t>
      </w:r>
      <w:r>
        <w:rPr>
          <w:rFonts w:hint="eastAsia" w:ascii="宋体" w:hAnsi="宋体" w:eastAsia="宋体" w:cs="Times New Roman"/>
          <w:bCs/>
          <w:color w:val="000000"/>
          <w:szCs w:val="21"/>
          <w:highlight w:val="none"/>
          <w:lang w:val="en-US" w:eastAsia="zh-CN"/>
        </w:rPr>
        <w:t>骨科牵引床4400元/张、</w:t>
      </w:r>
      <w:r>
        <w:rPr>
          <w:rFonts w:hint="eastAsia" w:ascii="宋体" w:hAnsi="宋体" w:eastAsia="宋体" w:cs="Times New Roman"/>
          <w:color w:val="000000"/>
          <w:szCs w:val="21"/>
        </w:rPr>
        <w:t>双摇护理床</w:t>
      </w:r>
      <w:r>
        <w:rPr>
          <w:rFonts w:hint="eastAsia" w:ascii="宋体" w:hAnsi="宋体" w:eastAsia="宋体" w:cs="Times New Roman"/>
          <w:bCs/>
          <w:color w:val="000000"/>
          <w:szCs w:val="21"/>
          <w:highlight w:val="none"/>
          <w:lang w:val="en-US" w:eastAsia="zh-CN"/>
        </w:rPr>
        <w:t>2450元/张</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采购数量：</w:t>
      </w:r>
      <w:r>
        <w:rPr>
          <w:rFonts w:hint="eastAsia" w:ascii="宋体" w:hAnsi="宋体" w:eastAsia="宋体" w:cs="Times New Roman"/>
          <w:bCs/>
          <w:color w:val="000000"/>
          <w:szCs w:val="21"/>
          <w:highlight w:val="none"/>
          <w:lang w:val="en-US" w:eastAsia="zh-CN"/>
        </w:rPr>
        <w:t>骨科牵引床11张、</w:t>
      </w:r>
      <w:r>
        <w:rPr>
          <w:rFonts w:hint="eastAsia" w:ascii="宋体" w:hAnsi="宋体" w:eastAsia="宋体" w:cs="Times New Roman"/>
          <w:color w:val="000000"/>
          <w:szCs w:val="21"/>
        </w:rPr>
        <w:t>双摇护理床</w:t>
      </w:r>
      <w:r>
        <w:rPr>
          <w:rFonts w:hint="eastAsia" w:ascii="宋体" w:hAnsi="宋体" w:eastAsia="宋体" w:cs="Times New Roman"/>
          <w:bCs/>
          <w:color w:val="000000"/>
          <w:szCs w:val="21"/>
          <w:highlight w:val="none"/>
          <w:lang w:val="en-US" w:eastAsia="zh-CN"/>
        </w:rPr>
        <w:t>46张</w:t>
      </w:r>
      <w:r>
        <w:rPr>
          <w:rFonts w:hint="eastAsia" w:ascii="宋体" w:hAnsi="宋体" w:eastAsia="宋体" w:cs="Times New Roman"/>
          <w:color w:val="000000"/>
          <w:szCs w:val="21"/>
        </w:rPr>
        <w:t>。</w:t>
      </w:r>
      <w:bookmarkStart w:id="7" w:name="_Toc35393799"/>
      <w:bookmarkStart w:id="8" w:name="_Toc44229879"/>
      <w:bookmarkStart w:id="9" w:name="_Toc35393630"/>
      <w:bookmarkStart w:id="10" w:name="_Toc47452206"/>
      <w:bookmarkStart w:id="11" w:name="_Toc28359013"/>
      <w:bookmarkStart w:id="12" w:name="_Toc28359090"/>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u w:val="single"/>
              </w:rPr>
            </w:pPr>
            <w:r>
              <w:rPr>
                <w:rFonts w:hint="eastAsia" w:ascii="宋体" w:hAnsi="宋体" w:eastAsia="宋体" w:cs="Times New Roman"/>
                <w:color w:val="000000"/>
                <w:szCs w:val="21"/>
              </w:rPr>
              <w:t>广西骨伤医院骨科牵引床、双摇护理床采购项目</w:t>
            </w:r>
          </w:p>
          <w:p>
            <w:pPr>
              <w:spacing w:line="320" w:lineRule="exact"/>
              <w:jc w:val="left"/>
              <w:rPr>
                <w:rFonts w:ascii="宋体" w:hAnsi="宋体" w:eastAsia="宋体" w:cs="Calibri"/>
                <w:color w:val="000000"/>
                <w:szCs w:val="21"/>
              </w:rPr>
            </w:pP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骨科牵引床</w:t>
            </w:r>
            <w:r>
              <w:rPr>
                <w:rFonts w:hint="eastAsia" w:ascii="宋体" w:hAnsi="宋体" w:eastAsia="宋体" w:cs="Times New Roman"/>
                <w:color w:val="000000"/>
                <w:szCs w:val="21"/>
                <w:lang w:val="en-US" w:eastAsia="zh-CN"/>
              </w:rPr>
              <w:t>11张+</w:t>
            </w:r>
            <w:r>
              <w:rPr>
                <w:rFonts w:hint="eastAsia" w:ascii="宋体" w:hAnsi="宋体" w:eastAsia="宋体" w:cs="Times New Roman"/>
                <w:color w:val="000000"/>
                <w:szCs w:val="21"/>
              </w:rPr>
              <w:t>双摇护理床</w:t>
            </w:r>
            <w:r>
              <w:rPr>
                <w:rFonts w:hint="eastAsia" w:ascii="宋体" w:hAnsi="宋体" w:eastAsia="宋体" w:cs="Times New Roman"/>
                <w:color w:val="000000"/>
                <w:szCs w:val="21"/>
                <w:lang w:val="en-US" w:eastAsia="zh-CN"/>
              </w:rPr>
              <w:t>46张</w:t>
            </w:r>
          </w:p>
        </w:tc>
        <w:tc>
          <w:tcPr>
            <w:tcW w:w="5103" w:type="dxa"/>
            <w:tcBorders>
              <w:top w:val="single" w:color="auto" w:sz="4" w:space="0"/>
              <w:left w:val="nil"/>
              <w:bottom w:val="single" w:color="auto" w:sz="4" w:space="0"/>
              <w:right w:val="single" w:color="auto" w:sz="4" w:space="0"/>
            </w:tcBorders>
          </w:tcPr>
          <w:p>
            <w:pPr>
              <w:spacing w:line="520" w:lineRule="exact"/>
              <w:jc w:val="both"/>
              <w:rPr>
                <w:rFonts w:ascii="Times New Roman" w:hAnsi="Times New Roman" w:eastAsia="华文楷体" w:cs="Times New Roman"/>
                <w:b/>
                <w:bCs/>
                <w:sz w:val="32"/>
                <w:szCs w:val="32"/>
              </w:rPr>
            </w:pPr>
            <w:r>
              <w:rPr>
                <w:rFonts w:hint="eastAsia" w:ascii="宋体" w:hAnsi="宋体" w:eastAsia="宋体" w:cs="Times New Roman"/>
                <w:color w:val="000000"/>
                <w:szCs w:val="21"/>
                <w:lang w:val="en-US" w:eastAsia="zh-CN"/>
              </w:rPr>
              <w:t>一、</w:t>
            </w:r>
            <w:r>
              <w:rPr>
                <w:rFonts w:hint="eastAsia" w:ascii="宋体" w:hAnsi="宋体" w:eastAsia="宋体" w:cs="Times New Roman"/>
                <w:color w:val="000000"/>
                <w:szCs w:val="21"/>
              </w:rPr>
              <w:t>骨科牵引床</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1. 规格：≧2000×900×500mm；</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2. 功能：背部升降0-80°±5°，双下肢升降0-40°±5°；</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3. 整床可调节升降，带有轮子（可移动）和床腿（支撑）；</w:t>
            </w:r>
          </w:p>
          <w:p>
            <w:pPr>
              <w:snapToGrid w:val="0"/>
              <w:spacing w:line="320" w:lineRule="exact"/>
              <w:jc w:val="left"/>
              <w:rPr>
                <w:rFonts w:hint="eastAsia" w:ascii="宋体" w:hAnsi="宋体" w:eastAsia="宋体" w:cs="Calibri"/>
                <w:color w:val="000000"/>
                <w:szCs w:val="21"/>
              </w:rPr>
            </w:pPr>
            <w:r>
              <w:rPr>
                <w:rFonts w:hint="eastAsia" w:ascii="宋体" w:hAnsi="宋体" w:eastAsia="宋体" w:cs="Calibri"/>
                <w:color w:val="000000"/>
                <w:szCs w:val="21"/>
              </w:rPr>
              <w:t>4. 可满足头部、腰部、双下肢全部牵引；</w:t>
            </w:r>
          </w:p>
          <w:p>
            <w:pPr>
              <w:spacing w:line="360" w:lineRule="auto"/>
              <w:jc w:val="left"/>
              <w:rPr>
                <w:rFonts w:hint="eastAsia" w:ascii="宋体" w:hAnsi="宋体" w:eastAsia="宋体" w:cs="Times New Roman"/>
                <w:color w:val="000000"/>
                <w:szCs w:val="21"/>
                <w:lang w:val="en-US" w:eastAsia="zh-CN"/>
              </w:rPr>
            </w:pP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8</w:t>
      </w:r>
      <w:r>
        <w:rPr>
          <w:rFonts w:ascii="宋体" w:hAnsi="宋体" w:eastAsia="宋体" w:cs="Times New Roman"/>
          <w:color w:val="000000"/>
          <w:szCs w:val="21"/>
        </w:rPr>
        <w:t>日</w:t>
      </w:r>
      <w:r>
        <w:rPr>
          <w:rFonts w:hint="eastAsia" w:ascii="宋体" w:hAnsi="宋体" w:eastAsia="宋体" w:cs="Times New Roman"/>
          <w:color w:val="000000"/>
          <w:szCs w:val="21"/>
          <w:lang w:val="en-US" w:eastAsia="zh-CN"/>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3</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28</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w:t>
      </w:r>
      <w:r>
        <w:rPr>
          <w:rFonts w:hint="eastAsia" w:ascii="宋体" w:hAnsi="宋体" w:eastAsia="宋体" w:cs="Calibri"/>
          <w:color w:val="000000"/>
          <w:szCs w:val="21"/>
          <w:u w:val="single"/>
          <w:lang w:val="en-US" w:eastAsia="zh-CN"/>
        </w:rPr>
        <w:t>4</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3</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18</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1.时间</w:t>
      </w:r>
      <w:r>
        <w:rPr>
          <w:rFonts w:hint="eastAsia" w:ascii="宋体" w:hAnsi="宋体" w:eastAsia="宋体" w:cs="Calibri"/>
          <w:color w:val="000000"/>
          <w:szCs w:val="21"/>
          <w:lang w:eastAsia="zh-CN"/>
        </w:rPr>
        <w:t>、</w:t>
      </w:r>
      <w:r>
        <w:rPr>
          <w:rFonts w:hint="eastAsia" w:ascii="宋体" w:hAnsi="宋体" w:eastAsia="宋体" w:cs="Calibri"/>
          <w:color w:val="000000"/>
          <w:szCs w:val="21"/>
        </w:rPr>
        <w:t>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p>
    <w:p>
      <w:pPr>
        <w:spacing w:line="320" w:lineRule="exact"/>
        <w:ind w:firstLine="420" w:firstLineChars="200"/>
        <w:rPr>
          <w:rFonts w:hint="default" w:ascii="Calibri" w:hAnsi="Calibri" w:eastAsia="宋体" w:cs="Times New Roman"/>
          <w:szCs w:val="24"/>
          <w:lang w:val="en-US" w:eastAsia="zh-CN"/>
        </w:rPr>
      </w:pPr>
    </w:p>
    <w:p>
      <w:pPr>
        <w:spacing w:line="320" w:lineRule="exact"/>
        <w:ind w:firstLine="420" w:firstLineChars="200"/>
        <w:rPr>
          <w:rFonts w:hint="default" w:ascii="Calibri" w:hAnsi="Calibri" w:eastAsia="宋体" w:cs="Times New Roman"/>
          <w:szCs w:val="24"/>
          <w:lang w:val="en-US" w:eastAsia="zh-CN"/>
        </w:rPr>
      </w:pPr>
    </w:p>
    <w:p>
      <w:pPr>
        <w:spacing w:line="320" w:lineRule="exact"/>
        <w:ind w:firstLine="420" w:firstLineChars="200"/>
        <w:jc w:val="right"/>
        <w:rPr>
          <w:rFonts w:hint="eastAsia" w:ascii="Calibri" w:hAnsi="Calibri" w:eastAsia="宋体" w:cs="Times New Roman"/>
          <w:szCs w:val="24"/>
          <w:lang w:val="en-US" w:eastAsia="zh-CN"/>
        </w:rPr>
      </w:pPr>
      <w:bookmarkStart w:id="25" w:name="_GoBack"/>
      <w:r>
        <w:rPr>
          <w:rFonts w:hint="eastAsia" w:ascii="Calibri" w:hAnsi="Calibri" w:eastAsia="宋体" w:cs="Times New Roman"/>
          <w:szCs w:val="24"/>
          <w:lang w:val="en-US" w:eastAsia="zh-CN"/>
        </w:rPr>
        <w:t>广西骨伤医院</w:t>
      </w:r>
    </w:p>
    <w:p>
      <w:pPr>
        <w:spacing w:line="320" w:lineRule="exact"/>
        <w:ind w:firstLine="420" w:firstLineChars="200"/>
        <w:jc w:val="right"/>
        <w:rPr>
          <w:rFonts w:hint="default" w:ascii="Calibri" w:hAnsi="Calibri" w:eastAsia="宋体" w:cs="Times New Roman"/>
          <w:szCs w:val="24"/>
          <w:lang w:val="en-US" w:eastAsia="zh-CN"/>
        </w:rPr>
      </w:pPr>
      <w:r>
        <w:rPr>
          <w:rFonts w:hint="eastAsia" w:ascii="Calibri" w:hAnsi="Calibri" w:eastAsia="宋体" w:cs="Times New Roman"/>
          <w:szCs w:val="24"/>
          <w:lang w:val="en-US" w:eastAsia="zh-CN"/>
        </w:rPr>
        <w:t>2024年3月28日</w:t>
      </w:r>
    </w:p>
    <w:bookmarkEnd w:id="25"/>
    <w:p>
      <w:pPr>
        <w:spacing w:line="320" w:lineRule="exact"/>
        <w:ind w:firstLine="420" w:firstLineChars="200"/>
        <w:rPr>
          <w:rFonts w:hint="eastAsia" w:ascii="Calibri" w:hAnsi="Calibri" w:eastAsia="宋体" w:cs="Times New Roman"/>
          <w:szCs w:val="24"/>
          <w:lang w:val="en-US" w:eastAsia="zh-CN"/>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3</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磋商小组的人数：</w:t>
            </w:r>
            <w:r>
              <w:rPr>
                <w:rFonts w:hint="eastAsia" w:ascii="宋体" w:hAnsi="宋体" w:eastAsia="宋体" w:cs="宋体"/>
                <w:color w:val="000000"/>
                <w:szCs w:val="21"/>
                <w:lang w:val="en-US" w:eastAsia="zh-CN"/>
              </w:rPr>
              <w:t>评审专家</w:t>
            </w:r>
            <w:r>
              <w:rPr>
                <w:rFonts w:ascii="宋体" w:hAnsi="宋体" w:eastAsia="宋体" w:cs="宋体"/>
                <w:color w:val="000000"/>
                <w:szCs w:val="21"/>
              </w:rPr>
              <w:t>5</w:t>
            </w:r>
            <w:r>
              <w:rPr>
                <w:rFonts w:hint="eastAsia" w:ascii="宋体" w:hAnsi="宋体" w:eastAsia="宋体" w:cs="宋体"/>
                <w:color w:val="000000"/>
                <w:szCs w:val="21"/>
              </w:rPr>
              <w:t>人</w:t>
            </w:r>
            <w:r>
              <w:rPr>
                <w:rFonts w:hint="eastAsia" w:ascii="宋体" w:hAnsi="宋体" w:eastAsia="宋体" w:cs="宋体"/>
                <w:color w:val="000000"/>
                <w:szCs w:val="21"/>
                <w:lang w:val="en-US" w:eastAsia="zh-CN"/>
              </w:rPr>
              <w:t>及相关科室人员</w:t>
            </w:r>
            <w:r>
              <w:rPr>
                <w:rFonts w:hint="eastAsia" w:ascii="宋体" w:hAnsi="宋体" w:eastAsia="宋体" w:cs="宋体"/>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广西骨伤医院骨科牵引床、双摇护理床采购项目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w:t>
      </w:r>
      <w:r>
        <w:rPr>
          <w:rFonts w:ascii="宋体" w:hAnsi="宋体" w:eastAsia="宋体"/>
          <w:szCs w:val="21"/>
        </w:rPr>
        <w:t>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cs="Calibri"/>
          <w:color w:val="000000"/>
          <w:kern w:val="0"/>
          <w:szCs w:val="21"/>
        </w:rPr>
        <w:t>。</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spacing w:line="3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rPr>
                <w:rFonts w:ascii="宋体" w:hAnsi="宋体" w:eastAsia="宋体" w:cs="Times New Roman"/>
                <w:color w:val="000000"/>
                <w:szCs w:val="21"/>
                <w:u w:val="single"/>
              </w:rPr>
            </w:pPr>
            <w:r>
              <w:rPr>
                <w:rFonts w:hint="eastAsia" w:ascii="宋体" w:hAnsi="宋体" w:eastAsia="宋体" w:cs="Times New Roman"/>
                <w:color w:val="000000"/>
                <w:szCs w:val="21"/>
              </w:rPr>
              <w:t>广西骨伤医院骨科牵引床、双摇护理床采购项目</w:t>
            </w:r>
          </w:p>
          <w:p>
            <w:pPr>
              <w:spacing w:line="320" w:lineRule="exact"/>
              <w:jc w:val="left"/>
              <w:rPr>
                <w:rFonts w:ascii="宋体" w:hAnsi="宋体" w:eastAsia="宋体" w:cs="宋体"/>
                <w:color w:val="000000"/>
                <w:szCs w:val="21"/>
              </w:rPr>
            </w:pP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骨科牵引床</w:t>
            </w:r>
            <w:r>
              <w:rPr>
                <w:rFonts w:hint="eastAsia" w:ascii="宋体" w:hAnsi="宋体" w:eastAsia="宋体" w:cs="Times New Roman"/>
                <w:color w:val="000000"/>
                <w:szCs w:val="21"/>
                <w:lang w:val="en-US" w:eastAsia="zh-CN"/>
              </w:rPr>
              <w:t>11张+</w:t>
            </w:r>
            <w:r>
              <w:rPr>
                <w:rFonts w:hint="eastAsia" w:ascii="宋体" w:hAnsi="宋体" w:eastAsia="宋体" w:cs="Times New Roman"/>
                <w:color w:val="000000"/>
                <w:szCs w:val="21"/>
              </w:rPr>
              <w:t>双摇护理床</w:t>
            </w:r>
            <w:r>
              <w:rPr>
                <w:rFonts w:hint="eastAsia" w:ascii="宋体" w:hAnsi="宋体" w:eastAsia="宋体" w:cs="Times New Roman"/>
                <w:color w:val="000000"/>
                <w:szCs w:val="21"/>
                <w:lang w:val="en-US" w:eastAsia="zh-CN"/>
              </w:rPr>
              <w:t>46张</w:t>
            </w:r>
          </w:p>
        </w:tc>
        <w:tc>
          <w:tcPr>
            <w:tcW w:w="6845" w:type="dxa"/>
          </w:tcPr>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一</w:t>
            </w:r>
            <w:r>
              <w:rPr>
                <w:rFonts w:hint="eastAsia" w:ascii="宋体" w:hAnsi="宋体" w:eastAsia="宋体" w:cs="Times New Roman"/>
                <w:color w:val="000000"/>
                <w:szCs w:val="21"/>
              </w:rPr>
              <w:t>、骨科牵引床</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1. 规格：≧2000×900×500mm；</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2. 功能：背部升降0-80°±5°，双下肢升降0-40°±5°；</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3. 整床可调节升降，带有轮子（可移动）和床腿（支撑）；</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4. 可满足头部、腰部、双下肢全部牵引；</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5. 床头床尾板采购ABS材料，一次冲压注塑成型，方便快速拆卸；</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6. 床架、床板采用高强度≥1.2mm冷轧钢板，整体压模成型，四角平滑完整；具有床垫防滑功能；</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7. 不锈钢或优质铝管双臂牵引架，配有滑轮和牵引挂钩；</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rPr>
              <w:t>8. ≧6cm厚度的半棕半棉一体式分腿床垫，棕榈厚度≧3cm（可按客户需求订制床垫分折情况）；</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9.</w:t>
            </w:r>
            <w:r>
              <w:rPr>
                <w:rFonts w:hint="eastAsia" w:ascii="宋体" w:hAnsi="宋体" w:eastAsia="宋体" w:cs="Times New Roman"/>
                <w:color w:val="000000"/>
                <w:szCs w:val="21"/>
              </w:rPr>
              <w:t>≧3个手摇杆，具有空转限位结构装置，手摇杆和护栏具有防夹手设计；</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牵引架上锻炼拉环全为金属制造；</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配置清单：床体1张，牵引架1套，床腿1付，床头床位板1对，护栏1对，轮子4个，床垫1张，餐桌板1个，鞋盆架1个，输液架1个，输液架插孔4个，引流袋挂钩4个，床头柜1个（带有轮子可移动、床头柜后面有置物架可放置暖水壶等、床头柜下面带有鞋架）。</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二</w:t>
            </w:r>
            <w:r>
              <w:rPr>
                <w:rFonts w:hint="eastAsia" w:ascii="宋体" w:hAnsi="宋体" w:eastAsia="宋体" w:cs="Times New Roman"/>
                <w:color w:val="000000"/>
                <w:szCs w:val="21"/>
              </w:rPr>
              <w:t>、双摇护理床</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规格：≧2000×900×500mm；</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功能：背部升降0-80°±5°，双下肢升降0-40°±5°；</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整床可调节升降，带有轮子（可移动）和床腿（支撑）；</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床头床尾板采购ABS材料，一次冲压注塑成型，方便快速拆卸；</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床架、床板采用高强度≥1.2mm冷轧钢板，整体压模成型，四角平滑完整；具有床垫防滑功能；</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≧6cm厚度的半棕半棉一体式床垫，棕榈厚度≧3cm（可按客户需求订制床垫分折情况）；</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7.</w:t>
            </w:r>
            <w:r>
              <w:rPr>
                <w:rFonts w:hint="eastAsia" w:ascii="宋体" w:hAnsi="宋体" w:eastAsia="宋体" w:cs="Times New Roman"/>
                <w:color w:val="000000"/>
                <w:szCs w:val="21"/>
              </w:rPr>
              <w:t>≧2个手摇杆，具有空转限位结构装置，手摇杆和护栏具有防夹手设计；</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配置清单：床体1张，床腿1付，床头床位板1对，护栏1对，轮子4个，床垫1张，餐桌板1个，鞋盆架1个，输液架1个，输液架插孔4个，引流袋挂钩4个，床头柜 1个（带有轮子可移动、床头柜后面有置物架可放置暖水壶等、床头柜下面带有鞋架）。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付款方式：货物验收</w:t>
            </w:r>
            <w:r>
              <w:rPr>
                <w:rFonts w:hint="eastAsia" w:ascii="宋体" w:hAnsi="宋体" w:eastAsia="宋体" w:cs="Times New Roman"/>
                <w:bCs/>
                <w:szCs w:val="21"/>
                <w:lang w:val="en-US" w:eastAsia="zh-CN"/>
              </w:rPr>
              <w:t>通过</w:t>
            </w:r>
            <w:r>
              <w:rPr>
                <w:rFonts w:hint="eastAsia" w:ascii="宋体" w:hAnsi="宋体" w:eastAsia="宋体" w:cs="Times New Roman"/>
                <w:bCs/>
                <w:szCs w:val="21"/>
              </w:rPr>
              <w:t>后，中标人应在30日内开具发票给采购人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w:t>
      </w:r>
      <w:r>
        <w:rPr>
          <w:rFonts w:hint="eastAsia" w:ascii="宋体" w:hAnsi="宋体" w:eastAsia="宋体" w:cs="宋体"/>
          <w:color w:val="000000"/>
          <w:szCs w:val="21"/>
          <w:lang w:val="en-US" w:eastAsia="zh-CN"/>
        </w:rPr>
        <w:t>评审专家</w:t>
      </w:r>
      <w:r>
        <w:rPr>
          <w:rFonts w:ascii="宋体" w:hAnsi="宋体" w:eastAsia="宋体" w:cs="宋体"/>
          <w:color w:val="000000"/>
          <w:szCs w:val="21"/>
        </w:rPr>
        <w:t>5</w:t>
      </w:r>
      <w:r>
        <w:rPr>
          <w:rFonts w:hint="eastAsia" w:ascii="宋体" w:hAnsi="宋体" w:eastAsia="宋体" w:cs="宋体"/>
          <w:color w:val="000000"/>
          <w:szCs w:val="21"/>
        </w:rPr>
        <w:t>人</w:t>
      </w:r>
      <w:r>
        <w:rPr>
          <w:rFonts w:hint="eastAsia" w:ascii="宋体" w:hAnsi="宋体" w:eastAsia="宋体" w:cs="宋体"/>
          <w:color w:val="000000"/>
          <w:szCs w:val="21"/>
          <w:lang w:val="en-US" w:eastAsia="zh-CN"/>
        </w:rPr>
        <w:t>及相关科室人员</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380" w:lineRule="exact"/>
              <w:ind w:left="-105" w:leftChars="-50" w:right="-105" w:rightChars="-50"/>
              <w:jc w:val="center"/>
              <w:textAlignment w:val="baseline"/>
              <w:rPr>
                <w:rFonts w:ascii="宋体" w:hAnsi="宋体" w:eastAsia="宋体" w:cs="Times New Roman"/>
                <w:bCs/>
                <w:color w:val="000000"/>
                <w:kern w:val="0"/>
                <w:szCs w:val="21"/>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6.1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Times New Roman"/>
                <w:color w:val="000000"/>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13</w:t>
            </w: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w:t>
            </w:r>
            <w:r>
              <w:rPr>
                <w:rFonts w:hint="eastAsia" w:ascii="宋体" w:hAnsi="宋体" w:eastAsia="宋体" w:cs="Times New Roman"/>
                <w:color w:val="000000"/>
                <w:szCs w:val="21"/>
                <w:lang w:val="en-US" w:eastAsia="zh-CN"/>
              </w:rPr>
              <w:t>21</w:t>
            </w:r>
            <w:r>
              <w:rPr>
                <w:rFonts w:hint="eastAsia" w:ascii="宋体" w:hAnsi="宋体" w:eastAsia="宋体" w:cs="Times New Roman"/>
                <w:color w:val="000000"/>
                <w:szCs w:val="21"/>
              </w:rPr>
              <w:t>年以来同</w:t>
            </w:r>
            <w:r>
              <w:rPr>
                <w:rFonts w:hint="eastAsia" w:ascii="宋体" w:hAnsi="宋体" w:eastAsia="宋体" w:cs="Times New Roman"/>
                <w:color w:val="000000"/>
                <w:szCs w:val="21"/>
                <w:lang w:val="en-US" w:eastAsia="zh-CN"/>
              </w:rPr>
              <w:t>产品</w:t>
            </w:r>
            <w:r>
              <w:rPr>
                <w:rFonts w:hint="eastAsia" w:ascii="宋体" w:hAnsi="宋体" w:eastAsia="宋体" w:cs="Times New Roman"/>
                <w:color w:val="000000"/>
                <w:szCs w:val="21"/>
              </w:rPr>
              <w:t>项目业绩分（提供合同复印件），每提供一个合同复印件得</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满分10分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szCs w:val="21"/>
          <w:lang w:eastAsia="zh-CN"/>
        </w:rPr>
        <w:t>，</w:t>
      </w:r>
      <w:r>
        <w:rPr>
          <w:rFonts w:hint="eastAsia" w:ascii="宋体" w:hAnsi="宋体" w:eastAsia="宋体"/>
          <w:szCs w:val="21"/>
          <w:lang w:val="en-US" w:eastAsia="zh-CN"/>
        </w:rPr>
        <w:t>推荐评审得分第一</w:t>
      </w:r>
      <w:r>
        <w:rPr>
          <w:rFonts w:hint="eastAsia" w:ascii="宋体" w:hAnsi="宋体" w:eastAsia="宋体"/>
          <w:szCs w:val="21"/>
          <w:lang w:eastAsia="zh-CN"/>
        </w:rPr>
        <w:t>的</w:t>
      </w:r>
      <w:r>
        <w:rPr>
          <w:rFonts w:hint="eastAsia" w:ascii="宋体" w:hAnsi="宋体" w:eastAsia="宋体"/>
          <w:szCs w:val="21"/>
          <w:lang w:val="en-US" w:eastAsia="zh-CN"/>
        </w:rPr>
        <w:t>为</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lang w:val="en-US" w:eastAsia="zh-CN"/>
        </w:rPr>
        <w:t>评审得分</w:t>
      </w:r>
      <w:r>
        <w:rPr>
          <w:rFonts w:hint="eastAsia" w:ascii="宋体" w:hAnsi="宋体" w:eastAsia="宋体"/>
          <w:szCs w:val="21"/>
        </w:rPr>
        <w:t>排名第一的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放弃中标、</w:t>
      </w:r>
      <w:r>
        <w:rPr>
          <w:rFonts w:hint="eastAsia" w:ascii="宋体" w:hAnsi="宋体" w:eastAsia="宋体"/>
          <w:szCs w:val="21"/>
          <w:lang w:val="en-US" w:eastAsia="zh-CN"/>
        </w:rPr>
        <w:t>或</w:t>
      </w:r>
      <w:r>
        <w:rPr>
          <w:rFonts w:hint="eastAsia" w:ascii="宋体" w:hAnsi="宋体" w:eastAsia="宋体"/>
          <w:szCs w:val="21"/>
        </w:rPr>
        <w:t>因不可抗力提出不能履行合同，</w:t>
      </w:r>
      <w:r>
        <w:rPr>
          <w:rFonts w:hint="eastAsia" w:ascii="宋体" w:hAnsi="宋体" w:eastAsia="宋体"/>
          <w:szCs w:val="21"/>
          <w:lang w:val="en-US" w:eastAsia="zh-CN"/>
        </w:rPr>
        <w:t>可以</w:t>
      </w:r>
      <w:r>
        <w:rPr>
          <w:rFonts w:hint="eastAsia" w:ascii="宋体" w:hAnsi="宋体" w:eastAsia="宋体"/>
          <w:szCs w:val="21"/>
        </w:rPr>
        <w:t>确定</w:t>
      </w:r>
      <w:r>
        <w:rPr>
          <w:rFonts w:hint="eastAsia" w:ascii="宋体" w:hAnsi="宋体" w:eastAsia="宋体"/>
          <w:szCs w:val="21"/>
          <w:lang w:val="en-US" w:eastAsia="zh-CN"/>
        </w:rPr>
        <w:t>评审得分</w:t>
      </w:r>
      <w:r>
        <w:rPr>
          <w:rFonts w:hint="eastAsia" w:ascii="宋体" w:hAnsi="宋体" w:eastAsia="宋体"/>
          <w:szCs w:val="21"/>
        </w:rPr>
        <w:t>排名第二的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为中标人</w:t>
      </w:r>
      <w:r>
        <w:rPr>
          <w:rFonts w:hint="eastAsia" w:ascii="宋体" w:hAnsi="宋体" w:eastAsia="宋体"/>
          <w:szCs w:val="21"/>
          <w:lang w:eastAsia="zh-CN"/>
        </w:rPr>
        <w:t>，</w:t>
      </w:r>
      <w:r>
        <w:rPr>
          <w:rFonts w:hint="eastAsia" w:ascii="宋体" w:hAnsi="宋体" w:eastAsia="宋体"/>
          <w:szCs w:val="21"/>
          <w:lang w:val="en-US" w:eastAsia="zh-CN"/>
        </w:rPr>
        <w:t>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楷体">
    <w:altName w:val="楷体_GB2312"/>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27DAF"/>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67099"/>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71D35CE"/>
    <w:rsid w:val="07E10079"/>
    <w:rsid w:val="0F3862D2"/>
    <w:rsid w:val="100B70C3"/>
    <w:rsid w:val="12633CFA"/>
    <w:rsid w:val="14B95F08"/>
    <w:rsid w:val="16A95621"/>
    <w:rsid w:val="1A632FBA"/>
    <w:rsid w:val="1AA933B9"/>
    <w:rsid w:val="1BB72373"/>
    <w:rsid w:val="1D523578"/>
    <w:rsid w:val="22DB2ECB"/>
    <w:rsid w:val="230C6132"/>
    <w:rsid w:val="267D2BB8"/>
    <w:rsid w:val="2C3C3D64"/>
    <w:rsid w:val="2D0E68A8"/>
    <w:rsid w:val="2D955057"/>
    <w:rsid w:val="2F60116C"/>
    <w:rsid w:val="303D69DF"/>
    <w:rsid w:val="36EF4890"/>
    <w:rsid w:val="39026745"/>
    <w:rsid w:val="399D69A6"/>
    <w:rsid w:val="3A2E7DBD"/>
    <w:rsid w:val="3CF86B7C"/>
    <w:rsid w:val="40F42EA3"/>
    <w:rsid w:val="45DB2F02"/>
    <w:rsid w:val="53FE114B"/>
    <w:rsid w:val="57874CD5"/>
    <w:rsid w:val="59B64834"/>
    <w:rsid w:val="5B787D64"/>
    <w:rsid w:val="5B80358E"/>
    <w:rsid w:val="5D72019D"/>
    <w:rsid w:val="5E9A1F4D"/>
    <w:rsid w:val="5EBA7B70"/>
    <w:rsid w:val="626E5665"/>
    <w:rsid w:val="64BF359F"/>
    <w:rsid w:val="64E861BC"/>
    <w:rsid w:val="6B030034"/>
    <w:rsid w:val="6D5A388E"/>
    <w:rsid w:val="722D1404"/>
    <w:rsid w:val="73E72C52"/>
    <w:rsid w:val="74DA269D"/>
    <w:rsid w:val="78D3337A"/>
    <w:rsid w:val="7D0E37F9"/>
    <w:rsid w:val="7E331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2"/>
    <w:autoRedefine/>
    <w:semiHidden/>
    <w:unhideWhenUsed/>
    <w:qFormat/>
    <w:uiPriority w:val="99"/>
    <w:pPr>
      <w:ind w:left="100" w:leftChars="2500"/>
    </w:p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semiHidden/>
    <w:unhideWhenUsed/>
    <w:qFormat/>
    <w:uiPriority w:val="99"/>
    <w:rPr>
      <w:color w:val="0000FF"/>
      <w:u w:val="single"/>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日期 字符"/>
    <w:basedOn w:val="8"/>
    <w:link w:val="3"/>
    <w:autoRedefine/>
    <w:semiHidden/>
    <w:qFormat/>
    <w:uiPriority w:val="99"/>
  </w:style>
  <w:style w:type="character" w:customStyle="1" w:styleId="13">
    <w:name w:val="标题 2 字符"/>
    <w:basedOn w:val="8"/>
    <w:link w:val="2"/>
    <w:autoRedefine/>
    <w:semiHidden/>
    <w:qFormat/>
    <w:uiPriority w:val="9"/>
    <w:rPr>
      <w:rFonts w:asciiTheme="majorHAnsi" w:hAnsiTheme="majorHAnsi" w:eastAsiaTheme="majorEastAsia" w:cstheme="majorBidi"/>
      <w:b/>
      <w:bCs/>
      <w:sz w:val="32"/>
      <w:szCs w:val="32"/>
    </w:rPr>
  </w:style>
  <w:style w:type="paragraph" w:styleId="14">
    <w:name w:val="List Paragraph"/>
    <w:basedOn w:val="1"/>
    <w:autoRedefine/>
    <w:qFormat/>
    <w:uiPriority w:val="34"/>
    <w:pPr>
      <w:ind w:firstLine="420" w:firstLineChars="200"/>
    </w:pPr>
  </w:style>
  <w:style w:type="character" w:customStyle="1" w:styleId="15">
    <w:name w:val="font91"/>
    <w:basedOn w:val="8"/>
    <w:autoRedefine/>
    <w:qFormat/>
    <w:uiPriority w:val="0"/>
    <w:rPr>
      <w:rFonts w:hint="eastAsia" w:ascii="宋体" w:hAnsi="宋体" w:eastAsia="宋体" w:cs="宋体"/>
      <w:color w:val="000000"/>
      <w:sz w:val="20"/>
      <w:szCs w:val="20"/>
      <w:u w:val="none"/>
    </w:rPr>
  </w:style>
  <w:style w:type="character" w:customStyle="1" w:styleId="16">
    <w:name w:val="font51"/>
    <w:basedOn w:val="8"/>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18593</Words>
  <Characters>19404</Characters>
  <Lines>160</Lines>
  <Paragraphs>45</Paragraphs>
  <TotalTime>3</TotalTime>
  <ScaleCrop>false</ScaleCrop>
  <LinksUpToDate>false</LinksUpToDate>
  <CharactersWithSpaces>21279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cp:lastPrinted>2022-12-12T03:34:00Z</cp:lastPrinted>
  <dcterms:modified xsi:type="dcterms:W3CDTF">2024-03-28T00:23:21Z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003F4B7C55754348827E781723701253</vt:lpwstr>
  </property>
</Properties>
</file>