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line="600" w:lineRule="exact"/>
        <w:jc w:val="center"/>
        <w:rPr>
          <w:rFonts w:ascii="方正小标宋简体" w:hAnsi="宋体" w:eastAsia="方正小标宋简体" w:cs="Times New Roman"/>
          <w:b/>
          <w:sz w:val="48"/>
          <w:szCs w:val="48"/>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154" w:leftChars="740" w:hanging="1600" w:hangingChars="498"/>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项目名称：广西骨伤医院消毒供应外包服务公司院内遴选</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highlight w:val="yellow"/>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GXGSYY-CGB-HLB-2024-01</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遴选公告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89"/>
      <w:bookmarkStart w:id="2" w:name="_Toc35393798"/>
      <w:bookmarkStart w:id="3" w:name="_Toc47452205"/>
      <w:bookmarkStart w:id="4" w:name="_Toc35393629"/>
      <w:bookmarkStart w:id="5" w:name="_Toc28359012"/>
      <w:bookmarkStart w:id="6" w:name="_Toc4422987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highlight w:val="yellow"/>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highlight w:val="none"/>
        </w:rPr>
        <w:t>GXGSYY-CGB-HLB-2024-01</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项目名称：广西骨伤医院消毒供应外包服务公司院内遴选</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遴选方式：竞争性磋商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bookmarkStart w:id="7" w:name="_Toc35393630"/>
      <w:bookmarkStart w:id="8" w:name="_Toc28359090"/>
      <w:bookmarkStart w:id="9" w:name="_Toc28359013"/>
      <w:bookmarkStart w:id="10" w:name="_Toc35393799"/>
      <w:bookmarkStart w:id="11" w:name="_Toc47452206"/>
      <w:bookmarkStart w:id="12" w:name="_Toc44229879"/>
      <w:r>
        <w:rPr>
          <w:rFonts w:hint="eastAsia" w:ascii="宋体" w:hAnsi="宋体" w:eastAsia="宋体" w:cs="Times New Roman"/>
          <w:color w:val="000000"/>
          <w:szCs w:val="21"/>
        </w:rPr>
        <w:t>.服务期限：</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服务需求</w:t>
      </w:r>
    </w:p>
    <w:tbl>
      <w:tblPr>
        <w:tblStyle w:val="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项目名称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项目需求及服务要求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59"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Calibri"/>
                <w:color w:val="000000"/>
                <w:szCs w:val="21"/>
              </w:rPr>
            </w:pPr>
            <w:r>
              <w:rPr>
                <w:rFonts w:hint="eastAsia" w:ascii="宋体" w:hAnsi="宋体" w:eastAsia="宋体" w:cs="Calibri"/>
                <w:color w:val="000000"/>
                <w:szCs w:val="21"/>
              </w:rPr>
              <w:t>广西骨伤医院消毒供应外包服务公司院内遴选</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972"/>
              <w:gridCol w:w="972"/>
              <w:gridCol w:w="972"/>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970"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序号</w:t>
                  </w:r>
                </w:p>
              </w:tc>
              <w:tc>
                <w:tcPr>
                  <w:tcW w:w="972"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名称</w:t>
                  </w:r>
                </w:p>
              </w:tc>
              <w:tc>
                <w:tcPr>
                  <w:tcW w:w="972"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单位</w:t>
                  </w:r>
                </w:p>
              </w:tc>
              <w:tc>
                <w:tcPr>
                  <w:tcW w:w="972"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上控价（元）</w:t>
                  </w:r>
                </w:p>
              </w:tc>
              <w:tc>
                <w:tcPr>
                  <w:tcW w:w="972"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公司报价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970"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1</w:t>
                  </w:r>
                </w:p>
              </w:tc>
              <w:tc>
                <w:tcPr>
                  <w:tcW w:w="972"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2.5起子（纺）</w:t>
                  </w:r>
                </w:p>
              </w:tc>
              <w:tc>
                <w:tcPr>
                  <w:tcW w:w="972"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包</w:t>
                  </w:r>
                </w:p>
              </w:tc>
              <w:tc>
                <w:tcPr>
                  <w:tcW w:w="972"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15</w:t>
                  </w:r>
                </w:p>
              </w:tc>
              <w:tc>
                <w:tcPr>
                  <w:tcW w:w="972" w:type="dxa"/>
                  <w:vAlign w:val="center"/>
                </w:tcPr>
                <w:p>
                  <w:pPr>
                    <w:widowControl/>
                    <w:spacing w:line="200" w:lineRule="exact"/>
                    <w:jc w:val="center"/>
                    <w:textAlignment w:val="center"/>
                    <w:rPr>
                      <w:rFonts w:ascii="Tahoma" w:hAnsi="Tahoma" w:eastAsia="Tahoma" w:cs="Tahoma"/>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970"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2</w:t>
                  </w:r>
                </w:p>
              </w:tc>
              <w:tc>
                <w:tcPr>
                  <w:tcW w:w="972"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3.5起子（纺）</w:t>
                  </w:r>
                </w:p>
              </w:tc>
              <w:tc>
                <w:tcPr>
                  <w:tcW w:w="972"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包</w:t>
                  </w:r>
                </w:p>
              </w:tc>
              <w:tc>
                <w:tcPr>
                  <w:tcW w:w="972"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15</w:t>
                  </w:r>
                </w:p>
              </w:tc>
              <w:tc>
                <w:tcPr>
                  <w:tcW w:w="972" w:type="dxa"/>
                  <w:vAlign w:val="center"/>
                </w:tcPr>
                <w:p>
                  <w:pPr>
                    <w:widowControl/>
                    <w:spacing w:line="200" w:lineRule="exact"/>
                    <w:jc w:val="center"/>
                    <w:textAlignment w:val="center"/>
                    <w:rPr>
                      <w:rFonts w:ascii="Tahoma" w:hAnsi="Tahoma" w:eastAsia="Tahoma" w:cs="Tahoma"/>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970"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3</w:t>
                  </w:r>
                </w:p>
              </w:tc>
              <w:tc>
                <w:tcPr>
                  <w:tcW w:w="972"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3.5丝锥（纺）</w:t>
                  </w:r>
                </w:p>
              </w:tc>
              <w:tc>
                <w:tcPr>
                  <w:tcW w:w="972"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把</w:t>
                  </w:r>
                </w:p>
              </w:tc>
              <w:tc>
                <w:tcPr>
                  <w:tcW w:w="972" w:type="dxa"/>
                  <w:vAlign w:val="center"/>
                </w:tcPr>
                <w:p>
                  <w:pPr>
                    <w:widowControl/>
                    <w:spacing w:line="200" w:lineRule="exact"/>
                    <w:jc w:val="center"/>
                    <w:textAlignment w:val="center"/>
                    <w:rPr>
                      <w:rFonts w:ascii="Tahoma" w:hAnsi="Tahoma" w:eastAsia="Tahoma" w:cs="Tahoma"/>
                      <w:color w:val="000000"/>
                      <w:kern w:val="0"/>
                      <w:sz w:val="18"/>
                      <w:szCs w:val="18"/>
                      <w:lang w:bidi="ar"/>
                    </w:rPr>
                  </w:pPr>
                  <w:r>
                    <w:rPr>
                      <w:rFonts w:hint="eastAsia" w:ascii="Tahoma" w:hAnsi="Tahoma" w:eastAsia="Tahoma" w:cs="Tahoma"/>
                      <w:color w:val="000000"/>
                      <w:kern w:val="0"/>
                      <w:sz w:val="18"/>
                      <w:szCs w:val="18"/>
                      <w:lang w:val="en-US" w:eastAsia="zh-CN" w:bidi="ar"/>
                    </w:rPr>
                    <w:t>10</w:t>
                  </w:r>
                </w:p>
              </w:tc>
              <w:tc>
                <w:tcPr>
                  <w:tcW w:w="972" w:type="dxa"/>
                  <w:vAlign w:val="center"/>
                </w:tcPr>
                <w:p>
                  <w:pPr>
                    <w:widowControl/>
                    <w:spacing w:line="200" w:lineRule="exact"/>
                    <w:jc w:val="center"/>
                    <w:textAlignment w:val="center"/>
                    <w:rPr>
                      <w:rFonts w:ascii="Tahoma" w:hAnsi="Tahoma" w:eastAsia="Tahoma" w:cs="Tahoma"/>
                      <w:color w:val="000000"/>
                      <w:kern w:val="0"/>
                      <w:sz w:val="18"/>
                      <w:szCs w:val="18"/>
                      <w:lang w:bidi="ar"/>
                    </w:rPr>
                  </w:pPr>
                </w:p>
              </w:tc>
            </w:tr>
          </w:tbl>
          <w:p>
            <w:pPr>
              <w:spacing w:line="320" w:lineRule="exact"/>
              <w:jc w:val="left"/>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91"/>
      <w:bookmarkStart w:id="14" w:name="_Toc28359014"/>
      <w:r>
        <w:rPr>
          <w:rFonts w:hint="eastAsia" w:ascii="宋体" w:hAnsi="宋体" w:eastAsia="宋体" w:cs="Times New Roman"/>
          <w:color w:val="000000"/>
          <w:szCs w:val="21"/>
        </w:rPr>
        <w:t>1满足《中华人民共和国政府采购法》第二十二条的规定要求。</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.本次招标不接受联合体投标。</w:t>
      </w:r>
    </w:p>
    <w:bookmarkEnd w:id="13"/>
    <w:bookmarkEnd w:id="14"/>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三、获取遴选文件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w:t>
      </w:r>
      <w:r>
        <w:rPr>
          <w:rFonts w:ascii="宋体" w:hAnsi="宋体" w:eastAsia="宋体" w:cs="Times New Roman"/>
          <w:color w:val="000000"/>
          <w:szCs w:val="21"/>
          <w:u w:val="single"/>
        </w:rPr>
        <w:t>202</w:t>
      </w:r>
      <w:r>
        <w:rPr>
          <w:rFonts w:hint="eastAsia" w:ascii="宋体" w:hAnsi="宋体" w:eastAsia="宋体" w:cs="Times New Roman"/>
          <w:color w:val="000000"/>
          <w:szCs w:val="21"/>
          <w:u w:val="single"/>
          <w:lang w:val="en-US" w:eastAsia="zh-CN"/>
        </w:rPr>
        <w:t>4</w:t>
      </w:r>
      <w:r>
        <w:rPr>
          <w:rFonts w:ascii="宋体" w:hAnsi="宋体" w:eastAsia="宋体" w:cs="Times New Roman"/>
          <w:color w:val="000000"/>
          <w:szCs w:val="21"/>
          <w:u w:val="single"/>
        </w:rPr>
        <w:t>年</w:t>
      </w:r>
      <w:r>
        <w:rPr>
          <w:rFonts w:hint="eastAsia" w:ascii="宋体" w:hAnsi="宋体" w:eastAsia="宋体" w:cs="Times New Roman"/>
          <w:color w:val="000000"/>
          <w:szCs w:val="21"/>
          <w:u w:val="single"/>
          <w:lang w:val="en-US" w:eastAsia="zh-CN"/>
        </w:rPr>
        <w:t>3</w:t>
      </w:r>
      <w:r>
        <w:rPr>
          <w:rFonts w:ascii="宋体" w:hAnsi="宋体" w:eastAsia="宋体" w:cs="Times New Roman"/>
          <w:color w:val="000000"/>
          <w:szCs w:val="21"/>
          <w:u w:val="single"/>
        </w:rPr>
        <w:t>月</w:t>
      </w:r>
      <w:r>
        <w:rPr>
          <w:rFonts w:hint="eastAsia" w:ascii="宋体" w:hAnsi="宋体" w:eastAsia="宋体" w:cs="Times New Roman"/>
          <w:color w:val="000000"/>
          <w:szCs w:val="21"/>
          <w:u w:val="single"/>
          <w:lang w:val="en-US" w:eastAsia="zh-CN"/>
        </w:rPr>
        <w:t>13</w:t>
      </w:r>
      <w:r>
        <w:rPr>
          <w:rFonts w:ascii="宋体" w:hAnsi="宋体" w:eastAsia="宋体" w:cs="Times New Roman"/>
          <w:color w:val="000000"/>
          <w:szCs w:val="21"/>
          <w:u w:val="single"/>
        </w:rPr>
        <w:t>日18时00分</w:t>
      </w:r>
      <w:r>
        <w:rPr>
          <w:rFonts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、遴选文件提交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响应文件提交开始时间：</w:t>
      </w:r>
      <w:r>
        <w:rPr>
          <w:rFonts w:hint="eastAsia" w:ascii="宋体" w:hAnsi="宋体" w:eastAsia="宋体" w:cs="Calibri"/>
          <w:bCs/>
          <w:color w:val="000000"/>
          <w:szCs w:val="21"/>
          <w:u w:val="single"/>
        </w:rPr>
        <w:t>202</w:t>
      </w:r>
      <w:r>
        <w:rPr>
          <w:rFonts w:hint="eastAsia" w:ascii="宋体" w:hAnsi="宋体" w:eastAsia="宋体" w:cs="Calibri"/>
          <w:bCs/>
          <w:color w:val="000000"/>
          <w:szCs w:val="21"/>
          <w:u w:val="single"/>
          <w:lang w:val="en-US" w:eastAsia="zh-CN"/>
        </w:rPr>
        <w:t>4</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3</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7</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响应文件提交截止时间：</w:t>
      </w:r>
      <w:r>
        <w:rPr>
          <w:rFonts w:hint="eastAsia" w:ascii="宋体" w:hAnsi="宋体" w:eastAsia="宋体" w:cs="Calibri"/>
          <w:color w:val="000000"/>
          <w:szCs w:val="21"/>
          <w:u w:val="single"/>
        </w:rPr>
        <w:t>202</w:t>
      </w:r>
      <w:r>
        <w:rPr>
          <w:rFonts w:hint="eastAsia" w:ascii="宋体" w:hAnsi="宋体" w:eastAsia="宋体" w:cs="Calibri"/>
          <w:color w:val="000000"/>
          <w:szCs w:val="21"/>
          <w:u w:val="single"/>
          <w:lang w:val="en-US" w:eastAsia="zh-CN"/>
        </w:rPr>
        <w:t>4</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3</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13</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注：供应商应当在响应文件提交截止时间前，将响应文件密封送达响应文件提交地点。在响应文件提交截止时间后送达的响应文件为无效文件，将被拒收。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五、评审</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凡对本次遴选提出询问，请按以下方式联系。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宋体" w:hAnsi="宋体" w:eastAsia="宋体" w:cs="Times New Roman"/>
          <w:color w:val="000000"/>
          <w:szCs w:val="21"/>
        </w:rPr>
      </w:pPr>
      <w:r>
        <w:rPr>
          <w:rFonts w:hint="eastAsia" w:ascii="Calibri" w:hAnsi="Calibri" w:eastAsia="宋体" w:cs="Times New Roman"/>
          <w:szCs w:val="24"/>
        </w:rPr>
        <w:t>联系方式：</w:t>
      </w:r>
      <w:r>
        <w:rPr>
          <w:rFonts w:hint="eastAsia" w:ascii="Calibri" w:hAnsi="Calibri" w:eastAsia="宋体" w:cs="Times New Roman"/>
          <w:szCs w:val="24"/>
          <w:u w:val="single"/>
        </w:rPr>
        <w:t xml:space="preserve">联系人：李老师；联系电话：0771-2622251  </w:t>
      </w:r>
      <w:r>
        <w:rPr>
          <w:rFonts w:ascii="Calibri" w:hAnsi="Calibri" w:eastAsia="宋体" w:cs="Times New Roman"/>
          <w:szCs w:val="24"/>
          <w:u w:val="single"/>
        </w:rPr>
        <w:t>17344229910</w:t>
      </w:r>
      <w:r>
        <w:rPr>
          <w:rFonts w:hint="eastAsia" w:ascii="宋体" w:hAnsi="宋体" w:eastAsia="宋体" w:cs="Times New Roman"/>
          <w:color w:val="000000"/>
          <w:szCs w:val="21"/>
        </w:rPr>
        <w:t> </w:t>
      </w:r>
    </w:p>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jc w:val="right"/>
        <w:rPr>
          <w:rFonts w:hint="eastAsia" w:ascii="Calibri" w:hAnsi="Calibri" w:eastAsia="宋体" w:cs="Times New Roman"/>
          <w:szCs w:val="24"/>
          <w:lang w:val="en-US" w:eastAsia="zh-CN"/>
        </w:rPr>
      </w:pPr>
      <w:r>
        <w:rPr>
          <w:rFonts w:hint="eastAsia" w:ascii="Calibri" w:hAnsi="Calibri" w:eastAsia="宋体" w:cs="Times New Roman"/>
          <w:szCs w:val="24"/>
          <w:lang w:val="en-US" w:eastAsia="zh-CN"/>
        </w:rPr>
        <w:t>广西骨伤医院</w:t>
      </w:r>
    </w:p>
    <w:p>
      <w:pPr>
        <w:spacing w:line="320" w:lineRule="exact"/>
        <w:ind w:firstLine="420" w:firstLineChars="200"/>
        <w:jc w:val="right"/>
        <w:rPr>
          <w:rFonts w:hint="default" w:ascii="Calibri" w:hAnsi="Calibri" w:eastAsia="宋体" w:cs="Times New Roman"/>
          <w:szCs w:val="24"/>
          <w:lang w:val="en-US" w:eastAsia="zh-CN"/>
        </w:rPr>
      </w:pPr>
      <w:r>
        <w:rPr>
          <w:rFonts w:hint="eastAsia" w:ascii="Calibri" w:hAnsi="Calibri" w:eastAsia="宋体" w:cs="Times New Roman"/>
          <w:szCs w:val="24"/>
          <w:lang w:val="en-US" w:eastAsia="zh-CN"/>
        </w:rPr>
        <w:t>2024年3月7</w:t>
      </w:r>
      <w:bookmarkStart w:id="27" w:name="_GoBack"/>
      <w:bookmarkEnd w:id="27"/>
      <w:r>
        <w:rPr>
          <w:rFonts w:hint="eastAsia" w:ascii="Calibri" w:hAnsi="Calibri" w:eastAsia="宋体" w:cs="Times New Roman"/>
          <w:szCs w:val="24"/>
          <w:lang w:val="en-US" w:eastAsia="zh-CN"/>
        </w:rPr>
        <w:t>日</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5" w:name="_Toc47452213"/>
      <w:r>
        <w:rPr>
          <w:rFonts w:hint="eastAsia" w:ascii="Cambria" w:hAnsi="Cambria" w:eastAsia="宋体" w:cs="Times New Roman"/>
          <w:b/>
          <w:bCs/>
          <w:color w:val="000000"/>
          <w:sz w:val="32"/>
          <w:szCs w:val="32"/>
          <w:lang w:val="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8"/>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：详见遴选公告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2023</w:t>
            </w:r>
            <w:r>
              <w:rPr>
                <w:rFonts w:hint="eastAsia" w:ascii="宋体" w:hAnsi="宋体" w:eastAsia="宋体" w:cs="宋体"/>
                <w:color w:val="000000"/>
                <w:szCs w:val="21"/>
              </w:rPr>
              <w:t>年</w:t>
            </w:r>
            <w:r>
              <w:rPr>
                <w:rFonts w:hint="eastAsia" w:ascii="宋体" w:hAnsi="宋体" w:eastAsia="宋体" w:cs="宋体"/>
                <w:color w:val="000000"/>
                <w:szCs w:val="21"/>
                <w:u w:val="single"/>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2023</w:t>
            </w:r>
            <w:r>
              <w:rPr>
                <w:rFonts w:hint="eastAsia" w:ascii="宋体" w:hAnsi="宋体" w:eastAsia="宋体" w:cs="宋体"/>
                <w:color w:val="000000"/>
                <w:szCs w:val="21"/>
              </w:rPr>
              <w:t>年</w:t>
            </w:r>
            <w:r>
              <w:rPr>
                <w:rFonts w:hint="eastAsia" w:ascii="宋体" w:hAnsi="宋体" w:eastAsia="宋体" w:cs="宋体"/>
                <w:color w:val="000000"/>
                <w:szCs w:val="21"/>
                <w:u w:val="single"/>
              </w:rPr>
              <w:t>9</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2023</w:t>
            </w:r>
            <w:r>
              <w:rPr>
                <w:rFonts w:hint="eastAsia" w:ascii="宋体" w:hAnsi="宋体" w:eastAsia="宋体" w:cs="宋体"/>
                <w:color w:val="000000"/>
                <w:szCs w:val="21"/>
              </w:rPr>
              <w:t>年</w:t>
            </w:r>
            <w:r>
              <w:rPr>
                <w:rFonts w:hint="eastAsia" w:ascii="宋体" w:hAnsi="宋体" w:eastAsia="宋体" w:cs="宋体"/>
                <w:color w:val="000000"/>
                <w:szCs w:val="21"/>
                <w:u w:val="single"/>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2023</w:t>
            </w:r>
            <w:r>
              <w:rPr>
                <w:rFonts w:hint="eastAsia" w:ascii="宋体" w:hAnsi="宋体" w:eastAsia="宋体" w:cs="宋体"/>
                <w:color w:val="000000"/>
                <w:szCs w:val="21"/>
              </w:rPr>
              <w:t>年</w:t>
            </w:r>
            <w:r>
              <w:rPr>
                <w:rFonts w:hint="eastAsia" w:ascii="宋体" w:hAnsi="宋体" w:eastAsia="宋体" w:cs="宋体"/>
                <w:color w:val="000000"/>
                <w:szCs w:val="21"/>
                <w:u w:val="single"/>
              </w:rPr>
              <w:t>9</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ascii="宋体" w:hAnsi="宋体" w:eastAsia="宋体" w:cs="宋体"/>
                <w:color w:val="000000"/>
                <w:szCs w:val="21"/>
              </w:rPr>
              <w:t>3</w:t>
            </w:r>
            <w:r>
              <w:rPr>
                <w:rFonts w:hint="eastAsia" w:ascii="宋体" w:hAnsi="宋体" w:eastAsia="宋体" w:cs="宋体"/>
                <w:color w:val="000000"/>
                <w:szCs w:val="21"/>
              </w:rPr>
              <w:t>.法定代表人授权委托书及委托代理人有效身份证正反面复印件（格式后附）；（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5</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 xml:space="preserve">.人员配置清单（格式自拟）； </w:t>
            </w:r>
          </w:p>
          <w:p>
            <w:pPr>
              <w:spacing w:line="320" w:lineRule="exact"/>
              <w:rPr>
                <w:rFonts w:ascii="宋体" w:hAnsi="宋体" w:eastAsia="宋体" w:cs="宋体"/>
                <w:color w:val="000000"/>
                <w:szCs w:val="21"/>
              </w:rPr>
            </w:pPr>
            <w:r>
              <w:rPr>
                <w:rFonts w:ascii="宋体" w:hAnsi="宋体" w:eastAsia="宋体" w:cs="宋体"/>
                <w:color w:val="000000"/>
                <w:szCs w:val="21"/>
              </w:rPr>
              <w:t>8</w:t>
            </w:r>
            <w:r>
              <w:rPr>
                <w:rFonts w:hint="eastAsia" w:ascii="宋体" w:hAnsi="宋体" w:eastAsia="宋体" w:cs="宋体"/>
                <w:color w:val="000000"/>
                <w:szCs w:val="21"/>
              </w:rPr>
              <w:t>.对应采购需求的商务条款提供的其他文件资料；</w:t>
            </w:r>
          </w:p>
          <w:p>
            <w:pPr>
              <w:spacing w:line="320" w:lineRule="exact"/>
              <w:rPr>
                <w:rFonts w:ascii="宋体" w:hAnsi="宋体" w:eastAsia="宋体" w:cs="宋体"/>
                <w:color w:val="000000"/>
                <w:szCs w:val="21"/>
              </w:rPr>
            </w:pPr>
            <w:r>
              <w:rPr>
                <w:rFonts w:ascii="宋体" w:hAnsi="宋体" w:eastAsia="宋体" w:cs="宋体"/>
                <w:color w:val="000000"/>
                <w:szCs w:val="21"/>
              </w:rPr>
              <w:t>9</w:t>
            </w:r>
            <w:r>
              <w:rPr>
                <w:rFonts w:hint="eastAsia" w:ascii="宋体" w:hAnsi="宋体" w:eastAsia="宋体" w:cs="宋体"/>
                <w:color w:val="000000"/>
                <w:szCs w:val="21"/>
              </w:rPr>
              <w:t>.对应采购需求的技术需求提供的其他文件资料；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响应文件提交地点：详见遴选公告。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评审小组的人数：</w:t>
            </w:r>
            <w:r>
              <w:rPr>
                <w:rFonts w:hint="eastAsia" w:ascii="宋体" w:hAnsi="宋体" w:eastAsia="宋体" w:cs="宋体"/>
                <w:color w:val="000000"/>
                <w:szCs w:val="21"/>
                <w:lang w:val="en-US" w:eastAsia="zh-CN"/>
              </w:rPr>
              <w:t>评审专家</w:t>
            </w:r>
            <w:r>
              <w:rPr>
                <w:rFonts w:ascii="宋体" w:hAnsi="宋体" w:eastAsia="宋体" w:cs="宋体"/>
                <w:color w:val="000000"/>
                <w:szCs w:val="21"/>
              </w:rPr>
              <w:t>5</w:t>
            </w:r>
            <w:r>
              <w:rPr>
                <w:rFonts w:hint="eastAsia" w:ascii="宋体" w:hAnsi="宋体" w:eastAsia="宋体" w:cs="宋体"/>
                <w:color w:val="000000"/>
                <w:szCs w:val="21"/>
              </w:rPr>
              <w:t>人</w:t>
            </w:r>
            <w:r>
              <w:rPr>
                <w:rFonts w:hint="eastAsia" w:ascii="宋体" w:hAnsi="宋体" w:eastAsia="宋体" w:cs="宋体"/>
                <w:color w:val="000000"/>
                <w:szCs w:val="21"/>
                <w:lang w:val="en-US" w:eastAsia="zh-CN"/>
              </w:rPr>
              <w:t>及相关科室人员</w:t>
            </w:r>
            <w:r>
              <w:rPr>
                <w:rFonts w:hint="eastAsia" w:ascii="宋体" w:hAnsi="宋体" w:eastAsia="宋体" w:cs="宋体"/>
                <w:color w:val="00000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响应文件的评审：采购人另行通知。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yellow"/>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Times New Roman"/>
          <w:color w:val="000000"/>
          <w:szCs w:val="21"/>
        </w:rPr>
        <w:t>广西骨伤医院消毒供应外包服务公司院内遴选项目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（1）遴选公告；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（3）项目需求；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w:t>
      </w:r>
      <w:r>
        <w:rPr>
          <w:rFonts w:hint="eastAsia" w:ascii="宋体" w:hAnsi="宋体" w:eastAsia="宋体" w:cs="Calibri"/>
          <w:szCs w:val="21"/>
        </w:rPr>
        <w:t>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项目需求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一、遴选项目需求一览表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8"/>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893"/>
        <w:gridCol w:w="7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67" w:type="dxa"/>
            <w:gridSpan w:val="3"/>
            <w:vAlign w:val="center"/>
          </w:tcPr>
          <w:p>
            <w:pPr>
              <w:tabs>
                <w:tab w:val="left" w:pos="180"/>
                <w:tab w:val="left" w:pos="1620"/>
              </w:tabs>
              <w:spacing w:line="440" w:lineRule="exact"/>
              <w:jc w:val="left"/>
              <w:rPr>
                <w:rFonts w:ascii="宋体" w:hAnsi="宋体" w:eastAsia="宋体" w:cs="宋体"/>
                <w:b/>
                <w:bCs/>
                <w:color w:val="000000"/>
                <w:szCs w:val="21"/>
              </w:rPr>
            </w:pPr>
            <w:r>
              <w:rPr>
                <w:rFonts w:hint="eastAsia" w:ascii="宋体" w:hAnsi="宋体" w:eastAsia="宋体" w:cs="宋体"/>
                <w:b/>
                <w:bCs/>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jc w:val="center"/>
        </w:trPr>
        <w:tc>
          <w:tcPr>
            <w:tcW w:w="945"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名 称</w:t>
            </w:r>
          </w:p>
        </w:tc>
        <w:tc>
          <w:tcPr>
            <w:tcW w:w="893" w:type="dxa"/>
            <w:vAlign w:val="center"/>
          </w:tcPr>
          <w:p>
            <w:pPr>
              <w:tabs>
                <w:tab w:val="left" w:pos="180"/>
                <w:tab w:val="left" w:pos="1620"/>
              </w:tabs>
              <w:jc w:val="center"/>
              <w:rPr>
                <w:rFonts w:ascii="宋体" w:hAnsi="宋体" w:eastAsia="宋体" w:cs="宋体"/>
                <w:b/>
                <w:bCs/>
                <w:color w:val="000000"/>
                <w:szCs w:val="21"/>
              </w:rPr>
            </w:pPr>
            <w:r>
              <w:rPr>
                <w:rFonts w:hint="eastAsia" w:ascii="宋体" w:hAnsi="宋体" w:eastAsia="宋体" w:cs="宋体"/>
                <w:b/>
                <w:bCs/>
                <w:color w:val="000000"/>
                <w:szCs w:val="21"/>
              </w:rPr>
              <w:t>数量及单位</w:t>
            </w:r>
          </w:p>
        </w:tc>
        <w:tc>
          <w:tcPr>
            <w:tcW w:w="7229"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项目需求及服务要求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2"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广西骨伤医院消毒供应外包服务公司院内遴选</w:t>
            </w:r>
          </w:p>
        </w:tc>
        <w:tc>
          <w:tcPr>
            <w:tcW w:w="8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7229" w:type="dxa"/>
          </w:tcPr>
          <w:tbl>
            <w:tblPr>
              <w:tblStyle w:val="8"/>
              <w:tblW w:w="70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9"/>
              <w:gridCol w:w="1970"/>
              <w:gridCol w:w="686"/>
              <w:gridCol w:w="1142"/>
              <w:gridCol w:w="1461"/>
              <w:gridCol w:w="9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7037"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消毒灭菌物品清单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序号</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名称</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单位</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上控价（元）</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公司报价（元）</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2.5起子（纺）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3.5起子（纺）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3.5丝锥（纺）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DAA拉钩（纺）</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DELTA（纺）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L型扳手（纺）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P钻（塑）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S拉钩（纺）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拔牙包（塑）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板手（纺）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备用包（纺）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碧兰麻注射器（塑）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玻璃板（塑）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玻璃滴瓶+滴管（塑）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剥离器（纺）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不锈钢杯（塑）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测探器（纺）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插管镜片（纺）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拆线包（纺）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车针盒（大72孔）（塑）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车针盒（小40孔）（塑）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成形片（塑）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成型器（塑）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持骨器（纺）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持骨器（纺）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持骨钳（纺）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持物筒包（纺）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持针器（塑）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尺子（塑）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充填器（塑）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出气阀（塑）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大骨器械包（纺）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大力剪（纺）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大弯钳（纺）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大小起子（纺）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大止血钳（纺）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带线器（纺）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单勾（纺）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刀柄（纺）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刀柄（塑）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点状复位钳（纺）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电钻（纺）</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电钻（纺）（仅灭菌）</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调刀（塑）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断钉取出工具（纺）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断钉取出工具包①、②（纺）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方盘（纺）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放取环包（纺）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缝合包（纺）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妇科治疗包（纺）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钢尺（纺）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钢丝剪（纺）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根测仪配件（塑）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根管测量仪+挂钩（塑）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根管锉（塑）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根尖挺（塑）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跟骨器械包（纺）（仅灭菌）</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工作套管（纺）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宫腔镜（纺）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勾刀（纺）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股骨工具（纺）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骨铲（纺）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骨穿包（纺）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骨锤（纺）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骨挫（纺）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骨锉（塑）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骨剪（纺）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骨劈开工具盒（仅灭菌）</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骨凿（纺）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骨凿（塑）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骨凿包（纺）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骨钻包(纺）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刮勺（塑）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刮匙（纺）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刮匙（塑）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刮匙包（纺）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关节镜器械包（纺）（仅灭菌）</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灌肠器（纺）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颌间高度测量尺（塑）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喉镜（纺）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滑车钳（纺）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环锯（纺）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脊柱微创手术工具包①、②（纺）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甲状腺拉勾包（纺）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洁牙机工作尖（塑）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洁牙机头（塑）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洁牙机钥匙（塑）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金刚砂磨头（塑）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金属剪（塑）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金属强吸头（塑）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颈椎后路包（纺）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颈椎拉勾（纺）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颈椎前路包（纺）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颈椎凿（纺）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胫骨平台工具（纺）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胫骨牵开器（纺）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静脉器械包（纺）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静切包（纺）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镜下融合器械（纺）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酒精滴瓶（塑）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卡尺（塑）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开口器（塑）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开口器包（纺）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开胸包（纺）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可视喉镜（纺）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克氏针（单枚）</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克氏针取出钳（纺）</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克氏针折弯器（纺）</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空心钉起子（纺）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孔镜大通道（纺）（仅灭菌）</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孔镜基础器械（纺）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孔镜器械包（纺）（仅灭菌）</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口镜（塑）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髋臼撬（纺）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髋臼撬（纺）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髋臼撬+DAA拉钩（纺）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窥器（纺）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拉勾（塑）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拉勾包（纺）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老虎钳（纺）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漏斗植骨棒（纺）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颅骨牵引包（纺）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颅骨牵引弓（纺）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慢机（塑）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梅花起子（各种型号）（纺）</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门型钉取出工具（纺）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迷你工具盒（仅灭菌）</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灭菌包（大）（仅灭菌）</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灭菌包（小）（仅灭菌）</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磨头（塑）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磨钻（纺）（仅灭菌）</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内热针（纺）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内提工具盒（仅灭菌）</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镊子（塑）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镊子筒（纺）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镍钛锉（塑）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镍钛机头（塑）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扭力扳手（塑）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排龈器（塑）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抛光磨头（塑）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刨削线（纺）（仅灭菌）</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皮肤环转（塑）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平面导板（塑）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气管插管（纺）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气枪（塑）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气切包（纺）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气切皮钳（纺）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强吸转换头（塑）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抢救包（纺）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清创取钉包（纺）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清创仪刀头（塑）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取活检针（纺）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取克氏针（纺）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取克氏针钳（纺）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取皮刀（纺）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去冠器（塑）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人流包（纺）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乳突牵开器（纺）</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上肢取钉包（纺）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神经拉勾（纺）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湿化罐（纺）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手机（塑）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手机（塑）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手科剥离子（纺）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手科剪（纺）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手科拉勾（纺）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手科起子（纺）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手科器械（纺）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手科凿(纺）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手术刀柄（塑）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手术剪刀（塑）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水杯（纺）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髓核钳（纺）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髓内钉取出工具（纺）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锁定起子（纺）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探针（塑）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烫热器（塑）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通液包（纺）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挖匙（塑）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外科器械包（纺）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弯盘（纺）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弯钳（塑）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无齿镊（塑）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五官科大方盒（纺）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吸呼气阀（纺）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吸气过滤器（纺）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吸引头（纺）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下肢取钉包（纺）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显微肌腱掌上剥离器（纺）</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显微器械包（纺）（仅灭菌）</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线剪（纺）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线剪（塑）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小丁钩（纺）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小方盒（纺）</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小毛刷（塑）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小直角钳（纺）</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心内针（塑）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单枚</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胸穿包（纺）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胸腰椎前路器械包（纺）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胸椎器械I（纺）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血管钳（塑）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压舌板（塑）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牙钳（塑）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牙挺（塑）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牙托两个装（塑）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牙托一个装（塑）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牙龈分离器（塑）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眼科剪（纺）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眼科剪（塑）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腰穿包（纺）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咬骨钳（纺）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一字批（纺）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银质针（纺）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龈下刮治器（塑）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引导器（纺）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有齿镊（塑）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217</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愈合基台（塑）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长拉钩（纺）</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支抗钉（塑）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直机头（塑）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直角钳（纺）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直钳（塑）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植骨棒（纺）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植牙工具盒（仅灭菌）</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植牙机头（塑）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止血钳（纺）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止血钳（塑）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中骨器械包（纺）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种植扳手（塑）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种植连接杆（塑）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种植螺丝刀（塑）</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椎板拉勾（纺）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椎间孔镜器械包（纺）（仅灭菌）</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椎间盘包（纺）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足踝工具（纺）（仅灭菌）</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组织剪（纺）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组织剪（塑）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w:t>
                  </w:r>
                </w:p>
              </w:tc>
              <w:tc>
                <w:tcPr>
                  <w:tcW w:w="1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组织钳（塑）</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61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left" w:pos="3356"/>
                    </w:tabs>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ab/>
                  </w:r>
                  <w:r>
                    <w:rPr>
                      <w:rFonts w:hint="eastAsia" w:ascii="宋体" w:hAnsi="宋体" w:eastAsia="宋体" w:cs="宋体"/>
                      <w:i w:val="0"/>
                      <w:iCs w:val="0"/>
                      <w:color w:val="000000"/>
                      <w:kern w:val="0"/>
                      <w:sz w:val="18"/>
                      <w:szCs w:val="18"/>
                      <w:u w:val="none"/>
                      <w:lang w:val="en-US" w:eastAsia="zh-CN" w:bidi="ar"/>
                    </w:rPr>
                    <w:t>合计：</w:t>
                  </w:r>
                </w:p>
              </w:tc>
              <w:tc>
                <w:tcPr>
                  <w:tcW w:w="2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pPr>
              <w:pStyle w:val="26"/>
              <w:spacing w:line="441" w:lineRule="exact"/>
              <w:ind w:left="0" w:leftChars="0" w:firstLine="0" w:firstLineChars="0"/>
              <w:jc w:val="left"/>
              <w:rPr>
                <w:rFonts w:cs="Times New Roman"/>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67"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ascii="Calibri" w:hAnsi="Calibri" w:eastAsia="宋体" w:cs="Times New Roman"/>
                <w:szCs w:val="24"/>
              </w:rPr>
            </w:pPr>
            <w:r>
              <w:rPr>
                <w:rFonts w:hint="eastAsia" w:ascii="Calibri" w:hAnsi="Calibri" w:eastAsia="宋体" w:cs="Times New Roman"/>
                <w:szCs w:val="24"/>
              </w:rPr>
              <w:t>报价要求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ascii="宋体" w:hAnsi="宋体" w:eastAsia="宋体" w:cs="宋体"/>
                <w:bCs/>
                <w:szCs w:val="21"/>
              </w:rPr>
            </w:pPr>
            <w:r>
              <w:rPr>
                <w:rFonts w:hint="eastAsia" w:ascii="宋体" w:hAnsi="宋体" w:eastAsia="宋体" w:cs="Times New Roman"/>
                <w:color w:val="000000"/>
                <w:szCs w:val="21"/>
              </w:rPr>
              <w:t>1.投标人对以上商品</w:t>
            </w:r>
            <w:r>
              <w:rPr>
                <w:rFonts w:hint="eastAsia" w:ascii="宋体" w:hAnsi="宋体" w:eastAsia="宋体" w:cs="Times New Roman"/>
                <w:color w:val="000000"/>
                <w:szCs w:val="21"/>
                <w:lang w:val="en-US" w:eastAsia="zh-CN"/>
              </w:rPr>
              <w:t>消毒</w:t>
            </w:r>
            <w:r>
              <w:rPr>
                <w:rFonts w:hint="eastAsia" w:ascii="宋体" w:hAnsi="宋体" w:eastAsia="宋体" w:cs="Times New Roman"/>
                <w:color w:val="000000"/>
                <w:szCs w:val="21"/>
              </w:rPr>
              <w:t>进行报价。以此报价参与磋商评分。</w:t>
            </w:r>
            <w:r>
              <w:rPr>
                <w:rFonts w:hint="eastAsia" w:ascii="宋体" w:hAnsi="宋体" w:eastAsia="宋体" w:cs="Times New Roman"/>
                <w:color w:val="000000"/>
                <w:szCs w:val="21"/>
                <w:lang w:val="en-US" w:eastAsia="zh-CN"/>
              </w:rPr>
              <w:t>投标人报价</w:t>
            </w:r>
            <w:r>
              <w:rPr>
                <w:rFonts w:hint="eastAsia" w:ascii="宋体" w:hAnsi="宋体" w:eastAsia="宋体" w:cs="Times New Roman"/>
                <w:color w:val="000000"/>
                <w:szCs w:val="21"/>
              </w:rPr>
              <w:t>不得高于</w:t>
            </w:r>
            <w:r>
              <w:rPr>
                <w:rFonts w:hint="eastAsia" w:ascii="宋体" w:hAnsi="宋体" w:eastAsia="宋体" w:cs="Times New Roman"/>
                <w:color w:val="000000"/>
                <w:szCs w:val="21"/>
                <w:lang w:val="en-US" w:eastAsia="zh-CN"/>
              </w:rPr>
              <w:t>产品上控价，报价包含但不限于运输、包装、清洗、税费等相关费用</w:t>
            </w:r>
            <w:r>
              <w:rPr>
                <w:rFonts w:hint="eastAsia" w:ascii="宋体" w:hAnsi="宋体" w:eastAsia="宋体"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ascii="宋体" w:hAnsi="宋体" w:eastAsia="宋体" w:cs="Times New Roman"/>
                <w:color w:val="000000"/>
                <w:szCs w:val="21"/>
                <w:highlight w:val="yellow"/>
              </w:rPr>
            </w:pPr>
            <w:r>
              <w:rPr>
                <w:rFonts w:hint="eastAsia" w:ascii="宋体" w:hAnsi="宋体" w:eastAsia="宋体" w:cs="宋体"/>
                <w:bCs/>
                <w:szCs w:val="21"/>
                <w:lang w:val="en-US" w:eastAsia="zh-CN"/>
              </w:rPr>
              <w:t>服务</w:t>
            </w:r>
            <w:r>
              <w:rPr>
                <w:rFonts w:hint="eastAsia" w:ascii="宋体" w:hAnsi="宋体" w:eastAsia="宋体" w:cs="宋体"/>
                <w:bCs/>
                <w:szCs w:val="21"/>
              </w:rPr>
              <w:t>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全院所有</w:t>
            </w:r>
            <w:r>
              <w:rPr>
                <w:rFonts w:hint="eastAsia" w:ascii="宋体" w:hAnsi="宋体" w:eastAsia="宋体" w:cs="Times New Roman"/>
                <w:color w:val="000000"/>
                <w:szCs w:val="21"/>
                <w:lang w:val="en-US" w:eastAsia="zh-CN"/>
              </w:rPr>
              <w:t>可重复使用的</w:t>
            </w:r>
            <w:r>
              <w:rPr>
                <w:rFonts w:hint="eastAsia" w:ascii="宋体" w:hAnsi="宋体" w:eastAsia="宋体" w:cs="Times New Roman"/>
                <w:color w:val="000000"/>
                <w:szCs w:val="21"/>
              </w:rPr>
              <w:t>污染物品</w:t>
            </w:r>
            <w:r>
              <w:rPr>
                <w:rFonts w:hint="eastAsia" w:ascii="宋体" w:hAnsi="宋体" w:eastAsia="宋体" w:cs="Times New Roman"/>
                <w:color w:val="000000"/>
                <w:szCs w:val="21"/>
                <w:lang w:val="en-US" w:eastAsia="zh-CN"/>
              </w:rPr>
              <w:t>及灭菌合格的</w:t>
            </w:r>
            <w:r>
              <w:rPr>
                <w:rFonts w:hint="eastAsia" w:ascii="宋体" w:hAnsi="宋体" w:eastAsia="宋体" w:cs="Times New Roman"/>
                <w:color w:val="000000"/>
                <w:szCs w:val="21"/>
              </w:rPr>
              <w:t>物品</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均由中标人专人直接与医院院供应室</w:t>
            </w:r>
            <w:r>
              <w:rPr>
                <w:rFonts w:hint="eastAsia" w:ascii="宋体" w:hAnsi="宋体" w:eastAsia="宋体" w:cs="Times New Roman"/>
                <w:color w:val="000000"/>
                <w:szCs w:val="21"/>
                <w:lang w:val="en-US" w:eastAsia="zh-CN"/>
              </w:rPr>
              <w:t>人员</w:t>
            </w:r>
            <w:r>
              <w:rPr>
                <w:rFonts w:hint="eastAsia" w:ascii="宋体" w:hAnsi="宋体" w:eastAsia="宋体" w:cs="Times New Roman"/>
                <w:color w:val="000000"/>
                <w:szCs w:val="21"/>
              </w:rPr>
              <w:t>进行交接。做好现场交接、质量检查及验收工作并完善签字程序，规范管理，保证医疗消毒供应质量。</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全院灭菌包及污器械交接次数为每天1</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次，具体</w:t>
            </w:r>
            <w:r>
              <w:rPr>
                <w:rFonts w:hint="eastAsia" w:ascii="宋体" w:hAnsi="宋体" w:eastAsia="宋体" w:cs="Times New Roman"/>
                <w:color w:val="000000"/>
                <w:szCs w:val="21"/>
                <w:lang w:val="en-US" w:eastAsia="zh-CN"/>
              </w:rPr>
              <w:t>交接</w:t>
            </w:r>
            <w:r>
              <w:rPr>
                <w:rFonts w:hint="eastAsia" w:ascii="宋体" w:hAnsi="宋体" w:eastAsia="宋体" w:cs="Times New Roman"/>
                <w:color w:val="000000"/>
                <w:szCs w:val="21"/>
              </w:rPr>
              <w:t>时间</w:t>
            </w:r>
            <w:r>
              <w:rPr>
                <w:rFonts w:hint="eastAsia" w:ascii="宋体" w:hAnsi="宋体" w:eastAsia="宋体" w:cs="Times New Roman"/>
                <w:color w:val="000000"/>
                <w:szCs w:val="21"/>
                <w:lang w:val="en-US" w:eastAsia="zh-CN"/>
              </w:rPr>
              <w:t>点</w:t>
            </w:r>
            <w:r>
              <w:rPr>
                <w:rFonts w:hint="eastAsia" w:ascii="宋体" w:hAnsi="宋体" w:eastAsia="宋体" w:cs="Times New Roman"/>
                <w:color w:val="000000"/>
                <w:szCs w:val="21"/>
              </w:rPr>
              <w:t>按医院要求执行。若有特殊情况，双方协商物流转运时间和频率。</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中标人负责将灭菌后的无菌包配送至供应室后，由供应室指定的交接人员对无菌包的数量及品种进行清点，并检查无菌包有无破包、湿包、灭菌指示带</w:t>
            </w:r>
            <w:r>
              <w:rPr>
                <w:rFonts w:hint="eastAsia" w:ascii="宋体" w:hAnsi="宋体" w:eastAsia="宋体" w:cs="Times New Roman"/>
                <w:color w:val="000000"/>
                <w:szCs w:val="21"/>
                <w:lang w:val="en-US" w:eastAsia="zh-CN"/>
              </w:rPr>
              <w:t>是否合格</w:t>
            </w:r>
            <w:r>
              <w:rPr>
                <w:rFonts w:hint="eastAsia" w:ascii="宋体" w:hAnsi="宋体" w:eastAsia="宋体" w:cs="Times New Roman"/>
                <w:color w:val="000000"/>
                <w:szCs w:val="21"/>
              </w:rPr>
              <w:t>等，</w:t>
            </w:r>
            <w:r>
              <w:rPr>
                <w:rFonts w:hint="eastAsia" w:ascii="宋体" w:hAnsi="宋体" w:eastAsia="宋体" w:cs="Times New Roman"/>
                <w:color w:val="000000"/>
                <w:szCs w:val="21"/>
                <w:lang w:val="en-US" w:eastAsia="zh-CN"/>
              </w:rPr>
              <w:t>验收合格后</w:t>
            </w:r>
            <w:r>
              <w:rPr>
                <w:rFonts w:hint="eastAsia" w:ascii="宋体" w:hAnsi="宋体" w:eastAsia="宋体" w:cs="Times New Roman"/>
                <w:color w:val="000000"/>
                <w:szCs w:val="21"/>
              </w:rPr>
              <w:t>当面交接，</w:t>
            </w:r>
            <w:r>
              <w:rPr>
                <w:rFonts w:hint="eastAsia" w:ascii="宋体" w:hAnsi="宋体" w:eastAsia="宋体" w:cs="Times New Roman"/>
                <w:color w:val="000000"/>
                <w:szCs w:val="21"/>
                <w:lang w:val="en-US" w:eastAsia="zh-CN"/>
              </w:rPr>
              <w:t>双方签字确认</w:t>
            </w:r>
            <w:r>
              <w:rPr>
                <w:rFonts w:hint="eastAsia" w:ascii="宋体" w:hAnsi="宋体" w:eastAsia="宋体" w:cs="Times New Roman"/>
                <w:color w:val="000000"/>
                <w:szCs w:val="21"/>
              </w:rPr>
              <w:t>。如不符合灭菌要求</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包括使用科室开包后发现的</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，将退回给中标人重新处理</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且采购人拒支付该</w:t>
            </w:r>
            <w:r>
              <w:rPr>
                <w:rFonts w:hint="eastAsia" w:ascii="宋体" w:hAnsi="宋体" w:eastAsia="宋体" w:cs="Times New Roman"/>
                <w:color w:val="000000"/>
                <w:szCs w:val="21"/>
              </w:rPr>
              <w:t>灭菌</w:t>
            </w:r>
            <w:r>
              <w:rPr>
                <w:rFonts w:hint="eastAsia" w:ascii="宋体" w:hAnsi="宋体" w:eastAsia="宋体" w:cs="Times New Roman"/>
                <w:color w:val="000000"/>
                <w:szCs w:val="21"/>
                <w:lang w:val="en-US" w:eastAsia="zh-CN"/>
              </w:rPr>
              <w:t>包的消毒灭菌费用</w:t>
            </w:r>
            <w:r>
              <w:rPr>
                <w:rFonts w:hint="eastAsia" w:ascii="宋体" w:hAnsi="宋体" w:eastAsia="宋体" w:cs="Times New Roman"/>
                <w:color w:val="000000"/>
                <w:szCs w:val="21"/>
              </w:rPr>
              <w:t>。</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rPr>
            </w:pPr>
            <w:r>
              <w:rPr>
                <w:rFonts w:hint="eastAsia" w:ascii="宋体" w:hAnsi="宋体" w:eastAsia="宋体" w:cs="Times New Roman"/>
                <w:color w:val="000000"/>
                <w:szCs w:val="21"/>
              </w:rPr>
              <w:t>4、器械清洗、消毒及灭菌质量要求符合中华人民共和国卫生行业标准《WS310.1-2016医院消毒供应中心 第1部分：管理规范》、《WS310.2-2016医院消毒供应中心 第2部分：清洗消毒及灭菌技术操作规范》、《WS310.3-2016医院消毒供应中心 第3部分：清洗消毒及灭菌效果监测标准》等相关技术规范和标准。</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rPr>
            </w:pPr>
            <w:r>
              <w:rPr>
                <w:rFonts w:hint="eastAsia" w:ascii="宋体" w:hAnsi="宋体" w:eastAsia="宋体" w:cs="Times New Roman"/>
                <w:color w:val="000000"/>
                <w:szCs w:val="21"/>
              </w:rPr>
              <w:t>5、符合《医疗机构消毒技术规范WS/T 367-2012》标准。</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rPr>
            </w:pPr>
            <w:r>
              <w:rPr>
                <w:rFonts w:hint="eastAsia" w:ascii="宋体" w:hAnsi="宋体" w:eastAsia="宋体" w:cs="Times New Roman"/>
                <w:color w:val="000000"/>
                <w:szCs w:val="21"/>
              </w:rPr>
              <w:t>6、外来器械应符合WS310-2016第1-3部分的要求，标准化处理。植入物灭菌必须进行生物监测，合格后才能放行；紧急状态下执行紧急放行制度和流程。医院、器械商和中标人必须严格遵守和执行针对外来器械拟定的标准化处理流程。</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7、中标人需要对手术器械进行定期保养和维护，包括但不限于除锈、上润滑油、松紧度检查等。</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8</w:t>
            </w:r>
            <w:r>
              <w:rPr>
                <w:rFonts w:hint="eastAsia" w:ascii="宋体" w:hAnsi="宋体" w:eastAsia="宋体" w:cs="Times New Roman"/>
                <w:color w:val="000000"/>
                <w:szCs w:val="21"/>
              </w:rPr>
              <w:t>、中标人拟派的专业人员要求参与前期准备工作，进驻到医院供应室及临床科室了解器械的使用周转规律、熟悉各类器械结构、功能、作用及清洗、监测、配包等要求。</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9</w:t>
            </w:r>
            <w:r>
              <w:rPr>
                <w:rFonts w:hint="eastAsia" w:ascii="宋体" w:hAnsi="宋体" w:eastAsia="宋体" w:cs="Times New Roman"/>
                <w:color w:val="000000"/>
                <w:szCs w:val="21"/>
              </w:rPr>
              <w:t>、院内交接给中标人后到灭菌器械使用前发生的器械丢失或损坏的由中标人承担赔偿责任。采购人在开包1小时内发现器械丢失或损坏，由中标人承担赔偿责任。</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、运送的物品清单每次随产品一同提交给采购人，相对应的服务对账单也需要每月提交给采购人，所提交的对账单中将每一样产品的服务费用明细列出。</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、物流服务:</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rPr>
            </w:pP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.1、为了满足医院器械周转需求，应具备</w:t>
            </w:r>
            <w:r>
              <w:rPr>
                <w:rFonts w:hint="eastAsia" w:ascii="宋体" w:hAnsi="宋体" w:eastAsia="宋体" w:cs="Times New Roman"/>
                <w:color w:val="000000"/>
                <w:szCs w:val="21"/>
                <w:lang w:val="en-US" w:eastAsia="zh-CN"/>
              </w:rPr>
              <w:t>高效的物流</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保证医院器械供应的及时性</w:t>
            </w:r>
            <w:r>
              <w:rPr>
                <w:rFonts w:hint="eastAsia" w:ascii="宋体" w:hAnsi="宋体" w:eastAsia="宋体" w:cs="Times New Roman"/>
                <w:color w:val="000000"/>
                <w:szCs w:val="21"/>
              </w:rPr>
              <w:t>。</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rPr>
            </w:pP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.2、物流服务系统为供应商自主运营，不得转包给第三方物流服务公司运营。</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rPr>
            </w:pP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.3、为医院提供物流货车和器械转运车，并配置物流司机，供器械循环供应。</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（1）运输车辆专车专用，符合院感管理要求，车厢密闭性好，易于清洁消毒，洁、污分开，标识清晰。</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（2）车辆安装全程GPS定位系统，定期对车辆进行维护保养。</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（3）转运箱洁、污分开，标识清晰，密闭性好。</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（4）严禁无菌物品、清洁物品及污染器械混装。</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（5）运</w:t>
            </w:r>
            <w:r>
              <w:rPr>
                <w:rFonts w:hint="eastAsia" w:ascii="宋体" w:hAnsi="宋体" w:eastAsia="宋体" w:cs="Times New Roman"/>
                <w:color w:val="000000"/>
                <w:szCs w:val="21"/>
                <w:lang w:eastAsia="zh-CN"/>
              </w:rPr>
              <w:t>输</w:t>
            </w:r>
            <w:r>
              <w:rPr>
                <w:rFonts w:hint="eastAsia" w:ascii="宋体" w:hAnsi="宋体" w:eastAsia="宋体" w:cs="Times New Roman"/>
                <w:color w:val="000000"/>
                <w:szCs w:val="21"/>
                <w:lang w:val="en-US" w:eastAsia="zh-CN"/>
              </w:rPr>
              <w:t>车、转运箱每次使用后清洁消毒干燥，记录完整。</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（6）严格进行交接验收，确保无菌物品使用安全。</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lang w:val="en-US"/>
              </w:rPr>
            </w:pPr>
            <w:r>
              <w:rPr>
                <w:rFonts w:hint="eastAsia" w:ascii="宋体" w:hAnsi="宋体" w:eastAsia="宋体" w:cs="Times New Roman"/>
                <w:color w:val="000000"/>
                <w:szCs w:val="21"/>
                <w:lang w:val="en-US" w:eastAsia="zh-CN"/>
              </w:rPr>
              <w:t>（7）无菌物品运输途中因车辆故障、大面积堵车或者交通意外等情况时，及时启动应急预案，将物品及时送到医院。</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（8）具体运送方案由成交供应商在合同签订后根据采购人运送情况进一步协商确定，方案调整需经采购人同意方可进行，确保物品及时到位。</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（9）运送的频率：无菌物品和污染物品，周一至周五每天运送至少2个班次，周末和节假日每天运送至少1个班次，根据业务量的需要，具体运送时间及班次双方协商。如遇特殊情况再协商调度。</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ascii="宋体" w:hAnsi="宋体" w:eastAsia="宋体" w:cs="Times New Roman"/>
                <w:color w:val="000000"/>
                <w:szCs w:val="21"/>
              </w:rPr>
            </w:pPr>
            <w:r>
              <w:rPr>
                <w:rFonts w:hint="eastAsia" w:ascii="宋体" w:hAnsi="宋体" w:eastAsia="宋体" w:cs="Times New Roman"/>
                <w:color w:val="000000"/>
                <w:szCs w:val="21"/>
                <w:lang w:val="en-US" w:eastAsia="zh-CN"/>
              </w:rPr>
              <w:t>11.4 可为医院提供加急服务：非固定时间加急收送4小时内处理完毕（不包含物流时间），且投标人需提供加急物流。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default" w:ascii="宋体" w:hAnsi="宋体" w:eastAsia="宋体" w:cs="宋体"/>
                <w:bCs/>
                <w:szCs w:val="21"/>
                <w:lang w:val="en-US" w:eastAsia="zh-CN"/>
              </w:rPr>
            </w:pPr>
            <w:r>
              <w:rPr>
                <w:rFonts w:hint="eastAsia" w:ascii="宋体" w:hAnsi="宋体" w:eastAsia="宋体" w:cs="宋体"/>
                <w:bCs/>
                <w:szCs w:val="21"/>
                <w:lang w:val="en-US" w:eastAsia="zh-CN"/>
              </w:rPr>
              <w:t>资质要求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bCs/>
                <w:szCs w:val="21"/>
                <w:lang w:val="en-US" w:eastAsia="zh-CN"/>
              </w:rPr>
            </w:pPr>
            <w:r>
              <w:rPr>
                <w:rFonts w:hint="eastAsia" w:ascii="宋体" w:hAnsi="宋体" w:eastAsia="宋体" w:cs="Times New Roman"/>
                <w:color w:val="000000"/>
                <w:szCs w:val="21"/>
                <w:lang w:val="en-US" w:eastAsia="zh-CN"/>
              </w:rPr>
              <w:t>投标人投标时提供营业执照、医疗机构执业许可证、相关的检测报告（含环境空气、清洗用水、无菌物品、物体表面、医护人员手、污水等）、消毒供应中心环境评估报告、消毒供应中心平面图（三区严格划分）。提供物品灭菌、物理监测、化学监测、生物监测的生产运行资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default" w:ascii="宋体" w:hAnsi="宋体" w:eastAsia="宋体" w:cs="宋体"/>
                <w:bCs/>
                <w:szCs w:val="21"/>
                <w:lang w:val="en-US" w:eastAsia="zh-CN"/>
              </w:rPr>
            </w:pPr>
            <w:r>
              <w:rPr>
                <w:rFonts w:hint="eastAsia" w:ascii="宋体" w:hAnsi="宋体" w:eastAsia="宋体" w:cs="宋体"/>
                <w:bCs/>
                <w:szCs w:val="21"/>
                <w:lang w:val="en-US" w:eastAsia="zh-CN"/>
              </w:rPr>
              <w:t>监管要求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1、投标人须具有有效期内的医疗许可证，且纳入卫生行政部门的监督管理范围。具体要求如下：</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1.1、接收、交运、储存的设施设备符合相关行业标准和要求。</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1.2、医疗器械回收处理标准符合相关要求。</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1.3、灭菌后物品的运输和验收符合现有法规要求。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消毒供应服务流程要求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对回收的所有可重复使用的各类手术器械、外来医疗器械及植入物、诊疗器械、器具、容器、聚丙烯材料的医用器具、棉布敷料包和其他可循环处理的物品按国家规范和消毒技术规范进行回收、清点、分类、运输、清洗、消毒、干燥、检查与保养、包装、灭菌、监测、配送等步骤。按时交接灭菌合格的器械物品（有不可抗拒因素如停电停水等意外情况除外）；医院有特殊手术情况需要时，能提供特殊时间段的器械物品处理及供给。加急服务：4小时清洗、灭菌完毕（不含物流时间）。</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1、回收</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1.1、配备专用密闭容器和设置定点污物接收区。</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1.2、回收车辆、污染转运箱每次使用后清洗、消毒、干燥备用。</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2、清洗：手工、机械清洗消毒流程应符合WS310-2016行业标准。</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2.1配备符合国家有关规定的机械清洗设备。</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2.2每月随机抽查我院器械包&gt;3个，检查清洗质量记录完整。</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3、消毒灭菌：机械热力消毒、压力蒸汽灭菌、环氧乙烷灭菌、过氧化氢低温等离子灭菌设备等符合国家规范与标准的要求，满足供应需求。</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4、储存发放</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4.1、配备专用储存场所和储存架；</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4.2、有温湿度监测设备和记录；</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4.3、车辆及转运箱洁污分开，标识清晰。</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5、质量监测</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1）遵循最新颁布的国家消毒供应中心三个标准，即第一部分管理规范编号WS310.1-2016；第二部分清洗消毒及灭菌技术操作规范编号WS310.2-2016；第三部分清洗消毒及灭菌效果监测标准编号WS310.3-2016；可复用的诊疗器械、器具、按照其清洗、消毒、包装、灭菌要求对其进行处理，对医用敷料按照其灭菌要求进行灭菌处理，并保证符合规范标准。</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（2）按国家规范要求定期对各项设备进行检测维修，对灭菌器进行BD测试，进行物理监测、化学监测，每周生物监测，植入物每批次生物监测合格后方可放行，记录规范。</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（3）按国家规范要求定期对生产区域空气、物体表面、人员手卫生、无菌物品、水质、转运车、转运箱等进行检测，检测报告合格。所有感控记录每月提供纸质资料给医院备案。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消毒供应服务质量要求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1、设有专门部门和人员负责质量控制。</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2、质量管理控制人员应具有护理、医药等相关专业背景。</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3、灭菌操作人员必须具有特种设备操作证。</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4、具有消毒灭菌质量定期检查评价制度和记录。</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5、具有主要设备审批、验收、维护、检修制度和记录。</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6、具有完善的监测制度和记录（至少包含清洗消毒、灭菌、BD效果监测和植入物生物及包内爬行卡监测）。</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7、具有视频在线监控和条码追溯系统及操作记录反馈。</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8、具有设备运行参数打印包括运行时间、温度监测。</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9、应及时向采购方反馈质量验收和质量监督存在的问题，并要求落实整改措施。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质量追溯管理信息系统</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p>
        </w:tc>
        <w:tc>
          <w:tcPr>
            <w:tcW w:w="812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1、投标人需提供追溯无菌物品生产使用信息的追溯信息系统，可追溯到无菌物品在回收、清洗消毒、包装、灭菌发放、使用等每一流通环节的详细情况。系统要求采用条形码技术，实现对灭菌包整个循环流程的全面追溯，并且与清洗消毒机、高温低温灭菌器等CSSD设备完全集成，在客户端能通过条形码扫描进行物品接收、发放、盘库及生产信息的实时查询。</w:t>
            </w: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2、追溯信息至少能保留3年，系统具有备份防灾机制。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管理要求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（1）建立质量保证措施，制定预处理、回收、清洗、消毒、干燥、检查包装、灭菌储存、运送等标准操作规程，并组织实施。定时接受采购方的质量督查，及时整改存在问题。</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（2）提供完善的应急预案，确保出现突发情况时，供应商能按时按质提供合格的清洗、消毒、灭菌服务；应急预案至少包含：设备应急、物流应急、场所应急等。</w:t>
            </w:r>
          </w:p>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（3）供应商指派专门的客服人员与采购人保持沟通。即使紧急服务也可立即得到解决。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ascii="宋体" w:hAnsi="宋体" w:eastAsia="宋体" w:cs="宋体"/>
                <w:bCs/>
                <w:szCs w:val="21"/>
              </w:rPr>
            </w:pPr>
            <w:r>
              <w:rPr>
                <w:rFonts w:hint="eastAsia" w:ascii="宋体" w:hAnsi="宋体" w:eastAsia="宋体" w:cs="宋体"/>
                <w:bCs/>
                <w:szCs w:val="21"/>
                <w:lang w:val="en-US" w:eastAsia="zh-CN"/>
              </w:rPr>
              <w:t>其他</w:t>
            </w:r>
            <w:r>
              <w:rPr>
                <w:rFonts w:hint="eastAsia" w:ascii="宋体" w:hAnsi="宋体" w:eastAsia="宋体" w:cs="宋体"/>
                <w:bCs/>
                <w:szCs w:val="21"/>
              </w:rPr>
              <w:t>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0"/>
              <w:rPr>
                <w:rFonts w:ascii="宋体" w:hAnsi="宋体" w:eastAsia="宋体" w:cs="宋体"/>
                <w:bCs/>
                <w:szCs w:val="21"/>
              </w:rPr>
            </w:pPr>
            <w:r>
              <w:rPr>
                <w:rFonts w:hint="eastAsia" w:ascii="宋体" w:hAnsi="宋体" w:eastAsia="宋体" w:cs="Times New Roman"/>
                <w:bCs/>
                <w:szCs w:val="21"/>
                <w:lang w:val="en-US" w:eastAsia="zh-CN"/>
              </w:rPr>
              <w:t>采购人外来器械服务价格需由外来器械供应商与本项目成交供应商另签署协议。因采购人有可能需要使用外来器械供应商提供的器械，针对该部分成交供应商需根据采购人使用要求与外来器械供应商签订消毒灭菌合同，按照外来器械要求实施管理，确保外来器械的清洗、消毒、灭菌、运输、生物监测工作按质按时完成，该清洗部分的费用由外来器械供应商另行支付，采购人不承担该部分的相关清洗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Times New Roman"/>
                <w:bCs/>
                <w:szCs w:val="21"/>
                <w:lang w:val="en-US" w:eastAsia="zh-CN"/>
              </w:rPr>
            </w:pPr>
            <w:r>
              <w:rPr>
                <w:rFonts w:hint="eastAsia" w:ascii="宋体" w:hAnsi="宋体" w:eastAsia="宋体" w:cs="Times New Roman"/>
                <w:bCs/>
                <w:szCs w:val="21"/>
              </w:rPr>
              <w:t>服务</w:t>
            </w:r>
            <w:r>
              <w:rPr>
                <w:rFonts w:hint="eastAsia" w:ascii="宋体" w:hAnsi="宋体" w:eastAsia="宋体" w:cs="Times New Roman"/>
                <w:bCs/>
                <w:szCs w:val="21"/>
                <w:lang w:val="en-US" w:eastAsia="zh-CN"/>
              </w:rPr>
              <w:t>方案</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ascii="宋体" w:hAnsi="宋体" w:eastAsia="宋体" w:cs="Times New Roman"/>
                <w:bCs/>
                <w:szCs w:val="21"/>
              </w:rPr>
            </w:pPr>
            <w:r>
              <w:rPr>
                <w:rFonts w:hint="eastAsia" w:ascii="宋体" w:hAnsi="宋体" w:eastAsia="宋体" w:cs="Times New Roman"/>
                <w:bCs/>
                <w:szCs w:val="21"/>
              </w:rPr>
              <w:t>投标人需提供服务方案及应急预案。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ascii="宋体" w:hAnsi="宋体" w:eastAsia="宋体" w:cs="宋体"/>
                <w:bCs/>
                <w:szCs w:val="21"/>
              </w:rPr>
            </w:pPr>
            <w:r>
              <w:rPr>
                <w:rFonts w:hint="eastAsia" w:ascii="宋体" w:hAnsi="宋体" w:eastAsia="宋体" w:cs="宋体"/>
                <w:bCs/>
                <w:szCs w:val="21"/>
              </w:rPr>
              <w:t>付款条件</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Calibri" w:hAnsi="Calibri" w:eastAsia="宋体" w:cs="Times New Roman"/>
                <w:color w:val="000000"/>
                <w:szCs w:val="24"/>
                <w:lang w:val="en-US"/>
              </w:rPr>
            </w:pPr>
            <w:r>
              <w:rPr>
                <w:rFonts w:hint="eastAsia" w:ascii="宋体" w:hAnsi="宋体" w:eastAsia="宋体" w:cs="Times New Roman"/>
                <w:bCs/>
                <w:szCs w:val="21"/>
                <w:lang w:val="en-US" w:eastAsia="zh-CN"/>
              </w:rPr>
              <w:t>付款方式及要求：每季度由中标人提交付款申请以及消毒清单给采购人核对，核对无误后，中标人开具发票，采购人按发票金额支付费用。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bCs/>
                <w:szCs w:val="21"/>
              </w:rPr>
            </w:pPr>
            <w:r>
              <w:rPr>
                <w:rFonts w:hint="eastAsia" w:ascii="宋体" w:hAnsi="宋体" w:eastAsia="宋体" w:cs="Times New Roman"/>
                <w:szCs w:val="21"/>
              </w:rPr>
              <w:t>备注</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报价、服务、实力等方面内容按百分制打分</w:t>
      </w:r>
      <w:r>
        <w:rPr>
          <w:rFonts w:hint="eastAsia" w:ascii="宋体" w:hAnsi="宋体" w:eastAsia="宋体" w:cs="Times New Roman"/>
          <w:bCs/>
          <w:color w:val="000000"/>
          <w:szCs w:val="21"/>
        </w:rPr>
        <w:t>。（计分方法按四舍五入取至百分位）</w:t>
      </w:r>
    </w:p>
    <w:p>
      <w:pPr>
        <w:ind w:firstLine="420" w:firstLineChars="200"/>
        <w:jc w:val="left"/>
        <w:rPr>
          <w:rFonts w:ascii="宋体" w:hAnsi="宋体" w:eastAsia="宋体"/>
          <w:szCs w:val="21"/>
        </w:rPr>
      </w:pPr>
    </w:p>
    <w:tbl>
      <w:tblPr>
        <w:tblStyle w:val="8"/>
        <w:tblW w:w="8637" w:type="dxa"/>
        <w:tblInd w:w="93" w:type="dxa"/>
        <w:tblLayout w:type="fixed"/>
        <w:tblCellMar>
          <w:top w:w="0" w:type="dxa"/>
          <w:left w:w="108" w:type="dxa"/>
          <w:bottom w:w="0" w:type="dxa"/>
          <w:right w:w="108" w:type="dxa"/>
        </w:tblCellMar>
      </w:tblPr>
      <w:tblGrid>
        <w:gridCol w:w="704"/>
        <w:gridCol w:w="1538"/>
        <w:gridCol w:w="6395"/>
      </w:tblGrid>
      <w:tr>
        <w:tblPrEx>
          <w:tblCellMar>
            <w:top w:w="0" w:type="dxa"/>
            <w:left w:w="108" w:type="dxa"/>
            <w:bottom w:w="0" w:type="dxa"/>
            <w:right w:w="108" w:type="dxa"/>
          </w:tblCellMar>
        </w:tblPrEx>
        <w:trPr>
          <w:trHeight w:val="588" w:hRule="atLeast"/>
        </w:trPr>
        <w:tc>
          <w:tcPr>
            <w:tcW w:w="70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400" w:lineRule="exact"/>
              <w:jc w:val="center"/>
              <w:rPr>
                <w:rFonts w:ascii="宋体" w:hAnsi="宋体" w:eastAsia="宋体" w:cs="Calibri"/>
                <w:color w:val="000000"/>
                <w:szCs w:val="21"/>
              </w:rPr>
            </w:pPr>
            <w:r>
              <w:rPr>
                <w:rFonts w:hint="eastAsia" w:ascii="宋体" w:hAnsi="宋体" w:eastAsia="宋体" w:cs="Tahoma"/>
                <w:b/>
                <w:bCs/>
                <w:color w:val="000000"/>
                <w:kern w:val="0"/>
                <w:szCs w:val="21"/>
              </w:rPr>
              <w:t>序号</w:t>
            </w:r>
          </w:p>
        </w:tc>
        <w:tc>
          <w:tcPr>
            <w:tcW w:w="15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spacing w:line="400" w:lineRule="exact"/>
              <w:jc w:val="center"/>
              <w:rPr>
                <w:rFonts w:ascii="宋体" w:hAnsi="宋体" w:eastAsia="宋体" w:cs="Calibri"/>
                <w:color w:val="000000"/>
                <w:szCs w:val="21"/>
              </w:rPr>
            </w:pPr>
            <w:r>
              <w:rPr>
                <w:rFonts w:hint="eastAsia" w:ascii="宋体" w:hAnsi="宋体" w:eastAsia="宋体" w:cs="Tahoma"/>
                <w:b/>
                <w:bCs/>
                <w:color w:val="000000"/>
                <w:kern w:val="0"/>
                <w:szCs w:val="21"/>
              </w:rPr>
              <w:t>评审因素</w:t>
            </w:r>
          </w:p>
        </w:tc>
        <w:tc>
          <w:tcPr>
            <w:tcW w:w="6395"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评分标准</w:t>
            </w:r>
          </w:p>
        </w:tc>
      </w:tr>
      <w:tr>
        <w:tblPrEx>
          <w:tblCellMar>
            <w:top w:w="0" w:type="dxa"/>
            <w:left w:w="108" w:type="dxa"/>
            <w:bottom w:w="0" w:type="dxa"/>
            <w:right w:w="108" w:type="dxa"/>
          </w:tblCellMar>
        </w:tblPrEx>
        <w:trPr>
          <w:trHeight w:val="1306" w:hRule="atLeast"/>
        </w:trPr>
        <w:tc>
          <w:tcPr>
            <w:tcW w:w="704" w:type="dxa"/>
            <w:tcBorders>
              <w:top w:val="single" w:color="000000" w:sz="8" w:space="0"/>
              <w:left w:val="single" w:color="000000" w:sz="8" w:space="0"/>
              <w:right w:val="single" w:color="000000" w:sz="8" w:space="0"/>
            </w:tcBorders>
            <w:shd w:val="clear" w:color="auto" w:fill="auto"/>
            <w:vAlign w:val="center"/>
          </w:tcPr>
          <w:p>
            <w:pPr>
              <w:spacing w:line="400" w:lineRule="exact"/>
              <w:jc w:val="center"/>
              <w:rPr>
                <w:rFonts w:hint="eastAsia" w:ascii="宋体" w:hAnsi="宋体" w:eastAsia="宋体" w:cs="Calibri"/>
                <w:color w:val="000000"/>
                <w:szCs w:val="21"/>
                <w:lang w:eastAsia="zh-CN"/>
              </w:rPr>
            </w:pPr>
            <w:r>
              <w:rPr>
                <w:rFonts w:hint="eastAsia" w:ascii="宋体" w:hAnsi="宋体" w:eastAsia="宋体" w:cs="Calibri"/>
                <w:color w:val="000000"/>
                <w:szCs w:val="21"/>
                <w:lang w:val="en-US" w:eastAsia="zh-CN"/>
              </w:rPr>
              <w:t>1</w:t>
            </w:r>
          </w:p>
        </w:tc>
        <w:tc>
          <w:tcPr>
            <w:tcW w:w="1538" w:type="dxa"/>
            <w:tcBorders>
              <w:top w:val="single" w:color="000000" w:sz="8" w:space="0"/>
              <w:left w:val="single" w:color="000000" w:sz="8" w:space="0"/>
              <w:right w:val="single" w:color="000000" w:sz="8" w:space="0"/>
            </w:tcBorders>
            <w:shd w:val="clear" w:color="auto" w:fill="auto"/>
            <w:vAlign w:val="center"/>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价格分（60分）</w:t>
            </w:r>
          </w:p>
        </w:tc>
        <w:tc>
          <w:tcPr>
            <w:tcW w:w="639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价格分（以进入评标的最低的评标报价为</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Calibri"/>
                <w:color w:val="000000"/>
                <w:szCs w:val="21"/>
              </w:rPr>
            </w:pPr>
            <w:r>
              <w:rPr>
                <w:rFonts w:ascii="宋体" w:hAnsi="宋体" w:eastAsia="宋体" w:cs="Times New Roman"/>
                <w:bCs/>
                <w:color w:val="000000"/>
                <w:szCs w:val="21"/>
              </w:rPr>
              <w:t xml:space="preserve">                   某投标人评标报价（金额）</w:t>
            </w:r>
          </w:p>
        </w:tc>
      </w:tr>
      <w:tr>
        <w:tblPrEx>
          <w:tblCellMar>
            <w:top w:w="0" w:type="dxa"/>
            <w:left w:w="108" w:type="dxa"/>
            <w:bottom w:w="0" w:type="dxa"/>
            <w:right w:w="108" w:type="dxa"/>
          </w:tblCellMar>
        </w:tblPrEx>
        <w:trPr>
          <w:trHeight w:val="588" w:hRule="atLeast"/>
        </w:trPr>
        <w:tc>
          <w:tcPr>
            <w:tcW w:w="704" w:type="dxa"/>
            <w:tcBorders>
              <w:top w:val="single" w:color="auto" w:sz="4" w:space="0"/>
              <w:left w:val="single" w:color="auto" w:sz="4" w:space="0"/>
              <w:right w:val="single" w:color="auto" w:sz="4" w:space="0"/>
            </w:tcBorders>
            <w:shd w:val="clear" w:color="auto" w:fill="auto"/>
            <w:vAlign w:val="center"/>
          </w:tcPr>
          <w:p>
            <w:pPr>
              <w:spacing w:line="400" w:lineRule="exact"/>
              <w:jc w:val="center"/>
              <w:rPr>
                <w:rFonts w:hint="eastAsia" w:ascii="宋体" w:hAnsi="宋体" w:eastAsia="宋体" w:cs="Calibri"/>
                <w:color w:val="000000"/>
                <w:szCs w:val="21"/>
                <w:lang w:eastAsia="zh-CN"/>
              </w:rPr>
            </w:pPr>
            <w:r>
              <w:rPr>
                <w:rFonts w:hint="eastAsia" w:ascii="宋体" w:hAnsi="宋体" w:eastAsia="宋体" w:cs="Calibri"/>
                <w:color w:val="000000"/>
                <w:szCs w:val="21"/>
                <w:lang w:val="en-US" w:eastAsia="zh-CN"/>
              </w:rPr>
              <w:t>2</w:t>
            </w:r>
          </w:p>
        </w:tc>
        <w:tc>
          <w:tcPr>
            <w:tcW w:w="153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rPr>
                <w:rFonts w:ascii="宋体" w:hAnsi="宋体" w:eastAsia="宋体" w:cs="Calibri"/>
                <w:color w:val="000000"/>
                <w:szCs w:val="21"/>
              </w:rPr>
            </w:pPr>
            <w:r>
              <w:rPr>
                <w:rFonts w:hint="eastAsia" w:ascii="Calibri" w:hAnsi="Calibri" w:eastAsia="宋体" w:cs="Times New Roman"/>
                <w:bCs/>
                <w:szCs w:val="24"/>
              </w:rPr>
              <w:t>服务方案分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0分）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是否有完整的服务方案，是否承诺提供稳定的服务队伍包括但不限于服务机构、承诺、措施、流程、应急响应等内容。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分）：其方案内容一般、有服务机构、流程有欠缺、方案有欠缺；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10.1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分）：其</w:t>
            </w:r>
            <w:r>
              <w:rPr>
                <w:rFonts w:hint="eastAsia" w:ascii="宋体" w:hAnsi="宋体" w:eastAsia="宋体" w:cs="Times New Roman"/>
                <w:color w:val="000000"/>
                <w:szCs w:val="21"/>
                <w:lang w:val="en-US" w:eastAsia="zh-CN"/>
              </w:rPr>
              <w:t>服务</w:t>
            </w:r>
            <w:r>
              <w:rPr>
                <w:rFonts w:hint="eastAsia" w:ascii="宋体" w:hAnsi="宋体" w:eastAsia="宋体" w:cs="Times New Roman"/>
                <w:color w:val="000000"/>
                <w:szCs w:val="21"/>
              </w:rPr>
              <w:t>方案内容部分完整、能提供快速的服务响应，并针对本项目提供专门的服务技术支持、服务保障方案及应急预案，方案良好；</w:t>
            </w:r>
          </w:p>
          <w:p>
            <w:pPr>
              <w:spacing w:line="400" w:lineRule="exact"/>
              <w:rPr>
                <w:rFonts w:ascii="宋体" w:hAnsi="宋体" w:eastAsia="宋体" w:cs="Calibri"/>
                <w:color w:val="000000"/>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20.1-30</w:t>
            </w:r>
            <w:r>
              <w:rPr>
                <w:rFonts w:hint="eastAsia" w:ascii="宋体" w:hAnsi="宋体" w:eastAsia="宋体" w:cs="Times New Roman"/>
                <w:color w:val="000000"/>
                <w:szCs w:val="21"/>
              </w:rPr>
              <w:t>分）：其</w:t>
            </w:r>
            <w:r>
              <w:rPr>
                <w:rFonts w:hint="eastAsia" w:ascii="宋体" w:hAnsi="宋体" w:eastAsia="宋体" w:cs="Times New Roman"/>
                <w:color w:val="000000"/>
                <w:szCs w:val="21"/>
                <w:lang w:val="en-US" w:eastAsia="zh-CN"/>
              </w:rPr>
              <w:t>服务</w:t>
            </w:r>
            <w:r>
              <w:rPr>
                <w:rFonts w:hint="eastAsia" w:ascii="宋体" w:hAnsi="宋体" w:eastAsia="宋体" w:cs="Times New Roman"/>
                <w:color w:val="000000"/>
                <w:szCs w:val="21"/>
              </w:rPr>
              <w:t>方案内容完整、并针对本项目提供专门的服务技术支持、服务保障方案及应急预案，承诺提供稳定的服务队伍及服务机构、措施得当、流程完整、且供应商的服务体系及措施、详细的服务人员信息表、服务方案内容的完整性、可行性、响应时间等方面内容有针对性，方案较优；</w:t>
            </w:r>
          </w:p>
        </w:tc>
      </w:tr>
      <w:tr>
        <w:tblPrEx>
          <w:tblCellMar>
            <w:top w:w="0" w:type="dxa"/>
            <w:left w:w="108" w:type="dxa"/>
            <w:bottom w:w="0" w:type="dxa"/>
            <w:right w:w="108" w:type="dxa"/>
          </w:tblCellMar>
        </w:tblPrEx>
        <w:trPr>
          <w:trHeight w:val="854" w:hRule="atLeast"/>
        </w:trPr>
        <w:tc>
          <w:tcPr>
            <w:tcW w:w="7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3</w:t>
            </w:r>
          </w:p>
        </w:tc>
        <w:tc>
          <w:tcPr>
            <w:tcW w:w="153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Calibri"/>
                <w:color w:val="000000"/>
                <w:szCs w:val="21"/>
                <w:lang w:val="en-US" w:eastAsia="zh-CN"/>
              </w:rPr>
              <w:t>业绩</w:t>
            </w:r>
            <w:r>
              <w:rPr>
                <w:rFonts w:hint="eastAsia" w:ascii="宋体" w:hAnsi="宋体" w:eastAsia="宋体" w:cs="Calibri"/>
                <w:color w:val="000000"/>
                <w:szCs w:val="21"/>
              </w:rPr>
              <w:t>分（</w:t>
            </w:r>
            <w:r>
              <w:rPr>
                <w:rFonts w:hint="eastAsia" w:ascii="宋体" w:hAnsi="宋体" w:eastAsia="宋体" w:cs="Calibri"/>
                <w:color w:val="000000"/>
                <w:szCs w:val="21"/>
                <w:lang w:val="en-US" w:eastAsia="zh-CN"/>
              </w:rPr>
              <w:t>1</w:t>
            </w:r>
            <w:r>
              <w:rPr>
                <w:rFonts w:hint="eastAsia" w:ascii="宋体" w:hAnsi="宋体" w:eastAsia="宋体" w:cs="Calibri"/>
                <w:color w:val="000000"/>
                <w:szCs w:val="21"/>
              </w:rPr>
              <w:t>0分）</w:t>
            </w:r>
          </w:p>
        </w:tc>
        <w:tc>
          <w:tcPr>
            <w:tcW w:w="6395" w:type="dxa"/>
            <w:tcBorders>
              <w:top w:val="single" w:color="000000" w:sz="8" w:space="0"/>
              <w:left w:val="single" w:color="auto" w:sz="4" w:space="0"/>
              <w:bottom w:val="single" w:color="000000" w:sz="8" w:space="0"/>
              <w:right w:val="single" w:color="000000" w:sz="8" w:space="0"/>
            </w:tcBorders>
            <w:shd w:val="clear" w:color="auto" w:fill="auto"/>
            <w:vAlign w:val="center"/>
          </w:tcPr>
          <w:p>
            <w:pPr>
              <w:spacing w:line="400" w:lineRule="exact"/>
              <w:rPr>
                <w:rFonts w:ascii="宋体" w:hAnsi="宋体" w:eastAsia="宋体" w:cs="Calibri"/>
                <w:color w:val="000000"/>
                <w:szCs w:val="21"/>
              </w:rPr>
            </w:pPr>
            <w:r>
              <w:rPr>
                <w:rFonts w:hint="eastAsia" w:ascii="宋体" w:hAnsi="宋体" w:eastAsia="宋体" w:cs="Times New Roman"/>
                <w:color w:val="000000"/>
                <w:szCs w:val="21"/>
              </w:rPr>
              <w:t>自202</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年以来</w:t>
            </w:r>
            <w:r>
              <w:rPr>
                <w:rFonts w:hint="eastAsia" w:ascii="宋体" w:hAnsi="宋体" w:eastAsia="宋体" w:cs="Times New Roman"/>
                <w:color w:val="000000"/>
                <w:szCs w:val="21"/>
                <w:lang w:val="en-US" w:eastAsia="zh-CN"/>
              </w:rPr>
              <w:t>所</w:t>
            </w:r>
            <w:r>
              <w:rPr>
                <w:rFonts w:hint="eastAsia" w:ascii="宋体" w:hAnsi="宋体" w:eastAsia="宋体" w:cs="Times New Roman"/>
                <w:color w:val="000000"/>
                <w:szCs w:val="21"/>
              </w:rPr>
              <w:t>投</w:t>
            </w:r>
            <w:r>
              <w:rPr>
                <w:rFonts w:hint="eastAsia" w:ascii="宋体" w:hAnsi="宋体" w:eastAsia="宋体" w:cs="Times New Roman"/>
                <w:color w:val="000000"/>
                <w:szCs w:val="21"/>
                <w:lang w:val="en-US" w:eastAsia="zh-CN"/>
              </w:rPr>
              <w:t>项目</w:t>
            </w:r>
            <w:r>
              <w:rPr>
                <w:rFonts w:hint="eastAsia" w:ascii="宋体" w:hAnsi="宋体" w:eastAsia="宋体" w:cs="Times New Roman"/>
                <w:color w:val="000000"/>
                <w:szCs w:val="21"/>
              </w:rPr>
              <w:t>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r>
    </w:tbl>
    <w:p>
      <w:pPr>
        <w:jc w:val="left"/>
        <w:rPr>
          <w:rFonts w:ascii="宋体" w:hAnsi="宋体" w:eastAsia="宋体"/>
          <w:szCs w:val="21"/>
        </w:rPr>
      </w:pPr>
    </w:p>
    <w:p>
      <w:pPr>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eastAsia="宋体"/>
          <w:szCs w:val="21"/>
        </w:rPr>
      </w:pPr>
      <w:r>
        <w:rPr>
          <w:rFonts w:hint="eastAsia" w:ascii="宋体" w:hAnsi="宋体" w:eastAsia="宋体"/>
          <w:szCs w:val="21"/>
        </w:rPr>
        <w:t>2</w:t>
      </w:r>
      <w:r>
        <w:rPr>
          <w:rFonts w:ascii="宋体" w:hAnsi="宋体" w:eastAsia="宋体"/>
          <w:szCs w:val="21"/>
        </w:rPr>
        <w:t>5.</w:t>
      </w:r>
      <w:r>
        <w:rPr>
          <w:rFonts w:hint="eastAsia" w:ascii="宋体" w:hAnsi="宋体" w:eastAsia="宋体"/>
          <w:szCs w:val="21"/>
        </w:rPr>
        <w:t>由磋商小组根据综合评分情况，按照评审得分由高到低顺序推荐评分排名第一的供应商为成交候选供应商，并编写评审报告。评审得分相同的，按照最后报价由低到高的顺序推荐。评审得分且最后报价相同的，按照按</w:t>
      </w:r>
      <w:r>
        <w:rPr>
          <w:rFonts w:hint="eastAsia" w:ascii="宋体" w:hAnsi="宋体" w:eastAsia="宋体"/>
          <w:szCs w:val="21"/>
          <w:lang w:val="en-US" w:eastAsia="zh-CN"/>
        </w:rPr>
        <w:t>服务</w:t>
      </w:r>
      <w:r>
        <w:rPr>
          <w:rFonts w:hint="eastAsia" w:ascii="宋体" w:hAnsi="宋体" w:eastAsia="宋体"/>
          <w:szCs w:val="21"/>
        </w:rPr>
        <w:t>得分由高到低的顺序推荐。评审得分、最后报价、</w:t>
      </w:r>
      <w:r>
        <w:rPr>
          <w:rFonts w:hint="eastAsia" w:ascii="宋体" w:hAnsi="宋体" w:eastAsia="宋体"/>
          <w:szCs w:val="21"/>
          <w:lang w:val="en-US" w:eastAsia="zh-CN"/>
        </w:rPr>
        <w:t>服务</w:t>
      </w:r>
      <w:r>
        <w:rPr>
          <w:rFonts w:hint="eastAsia" w:ascii="宋体" w:hAnsi="宋体" w:eastAsia="宋体"/>
          <w:szCs w:val="21"/>
        </w:rPr>
        <w:t>分、</w:t>
      </w:r>
      <w:r>
        <w:rPr>
          <w:rFonts w:hint="eastAsia" w:ascii="宋体" w:hAnsi="宋体" w:eastAsia="宋体"/>
          <w:szCs w:val="21"/>
          <w:lang w:val="en-US" w:eastAsia="zh-CN"/>
        </w:rPr>
        <w:t>业绩</w:t>
      </w:r>
      <w:r>
        <w:rPr>
          <w:rFonts w:hint="eastAsia" w:ascii="宋体" w:hAnsi="宋体" w:eastAsia="宋体"/>
          <w:szCs w:val="21"/>
        </w:rPr>
        <w:t>分均相同的，由磋商小组随机抽取推荐。</w:t>
      </w: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color w:val="000000"/>
        </w:rPr>
      </w:pPr>
      <w:r>
        <w:rPr>
          <w:rFonts w:hint="eastAsia" w:ascii="宋体" w:hAnsi="宋体" w:eastAsia="宋体" w:cs="Calibri"/>
          <w:b/>
          <w:bCs/>
          <w:color w:val="000000"/>
          <w:sz w:val="32"/>
          <w:szCs w:val="32"/>
        </w:rPr>
        <w:t>3.报价单</w:t>
      </w:r>
      <w:r>
        <w:rPr>
          <w:rFonts w:hint="eastAsia"/>
          <w:color w:val="000000"/>
        </w:rPr>
        <w:t>（详见技术及服务需求表</w:t>
      </w:r>
      <w:r>
        <w:rPr>
          <w:color w:val="000000"/>
        </w:rPr>
        <w:t>）</w:t>
      </w:r>
    </w:p>
    <w:p>
      <w:pPr>
        <w:spacing w:before="312" w:beforeLines="100" w:after="156" w:afterLines="50" w:line="520" w:lineRule="exact"/>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color w:val="000000"/>
          <w:szCs w:val="21"/>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8"/>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bCs/>
          <w:color w:val="000000"/>
          <w:sz w:val="32"/>
          <w:szCs w:val="32"/>
        </w:rPr>
        <w:t>3.人员配置清单</w:t>
      </w:r>
      <w:r>
        <w:rPr>
          <w:rFonts w:hint="eastAsia" w:ascii="宋体" w:hAnsi="宋体" w:eastAsia="宋体" w:cs="Calibri"/>
          <w:color w:val="000000"/>
          <w:sz w:val="32"/>
          <w:szCs w:val="32"/>
        </w:rPr>
        <w:t>（格式自拟）</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宋体" w:hAnsi="宋体" w:eastAsia="宋体" w:cs="Courier New"/>
          <w:b/>
          <w:color w:val="000000"/>
          <w:sz w:val="32"/>
          <w:szCs w:val="32"/>
        </w:rPr>
      </w:pPr>
      <w:r>
        <w:rPr>
          <w:rFonts w:hint="eastAsia" w:ascii="仿宋_GB2312" w:hAnsi="Calibri" w:eastAsia="仿宋_GB2312" w:cs="Calibri"/>
          <w:color w:val="000000"/>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ngLiU">
    <w:altName w:val="PMingLiU-ExtB"/>
    <w:panose1 w:val="02010609000101010101"/>
    <w:charset w:val="88"/>
    <w:family w:val="modern"/>
    <w:pitch w:val="default"/>
    <w:sig w:usb0="00000000" w:usb1="00000000" w:usb2="00000016" w:usb3="00000000" w:csb0="00100001"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Microsoft JhengHei UI">
    <w:panose1 w:val="020B0604030504040204"/>
    <w:charset w:val="88"/>
    <w:family w:val="auto"/>
    <w:pitch w:val="default"/>
    <w:sig w:usb0="000002A7" w:usb1="28CF4400" w:usb2="00000016" w:usb3="00000000" w:csb0="00100009"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34A2D"/>
    <w:rsid w:val="00040FB8"/>
    <w:rsid w:val="00057A98"/>
    <w:rsid w:val="00084F64"/>
    <w:rsid w:val="00095A9E"/>
    <w:rsid w:val="000C7845"/>
    <w:rsid w:val="000E7D02"/>
    <w:rsid w:val="000F1407"/>
    <w:rsid w:val="000F1777"/>
    <w:rsid w:val="00114539"/>
    <w:rsid w:val="00121AC4"/>
    <w:rsid w:val="001407E6"/>
    <w:rsid w:val="001947FD"/>
    <w:rsid w:val="001A09D8"/>
    <w:rsid w:val="001C2CC7"/>
    <w:rsid w:val="001C6C2E"/>
    <w:rsid w:val="001E068C"/>
    <w:rsid w:val="001E3760"/>
    <w:rsid w:val="00211BC0"/>
    <w:rsid w:val="00221713"/>
    <w:rsid w:val="0029431F"/>
    <w:rsid w:val="002943A1"/>
    <w:rsid w:val="002A654A"/>
    <w:rsid w:val="002B4E43"/>
    <w:rsid w:val="002D2574"/>
    <w:rsid w:val="002E5099"/>
    <w:rsid w:val="002F5FD6"/>
    <w:rsid w:val="003059E8"/>
    <w:rsid w:val="00327155"/>
    <w:rsid w:val="00336A70"/>
    <w:rsid w:val="00342228"/>
    <w:rsid w:val="00345625"/>
    <w:rsid w:val="0037196F"/>
    <w:rsid w:val="00387E5B"/>
    <w:rsid w:val="00394748"/>
    <w:rsid w:val="00395120"/>
    <w:rsid w:val="003A5090"/>
    <w:rsid w:val="003E6D85"/>
    <w:rsid w:val="00420458"/>
    <w:rsid w:val="00424DF9"/>
    <w:rsid w:val="004261FD"/>
    <w:rsid w:val="0043312E"/>
    <w:rsid w:val="00467B87"/>
    <w:rsid w:val="00475ACF"/>
    <w:rsid w:val="0049122E"/>
    <w:rsid w:val="004970E7"/>
    <w:rsid w:val="004B36A3"/>
    <w:rsid w:val="004B5BED"/>
    <w:rsid w:val="004B7907"/>
    <w:rsid w:val="004C1900"/>
    <w:rsid w:val="004C63A8"/>
    <w:rsid w:val="004E4867"/>
    <w:rsid w:val="00513989"/>
    <w:rsid w:val="00522BAE"/>
    <w:rsid w:val="005467AF"/>
    <w:rsid w:val="0055706B"/>
    <w:rsid w:val="005904DC"/>
    <w:rsid w:val="00590FB2"/>
    <w:rsid w:val="00596758"/>
    <w:rsid w:val="005A3E00"/>
    <w:rsid w:val="005B5BDB"/>
    <w:rsid w:val="005E5076"/>
    <w:rsid w:val="006208AC"/>
    <w:rsid w:val="0064134D"/>
    <w:rsid w:val="006728BD"/>
    <w:rsid w:val="00677924"/>
    <w:rsid w:val="00690C13"/>
    <w:rsid w:val="006A39CA"/>
    <w:rsid w:val="006C1533"/>
    <w:rsid w:val="006C5852"/>
    <w:rsid w:val="006D6959"/>
    <w:rsid w:val="006E0D75"/>
    <w:rsid w:val="006F31FF"/>
    <w:rsid w:val="00700092"/>
    <w:rsid w:val="00701B9C"/>
    <w:rsid w:val="0070309E"/>
    <w:rsid w:val="00725A52"/>
    <w:rsid w:val="00732FF0"/>
    <w:rsid w:val="00740BD6"/>
    <w:rsid w:val="00746451"/>
    <w:rsid w:val="0075598B"/>
    <w:rsid w:val="00764A4F"/>
    <w:rsid w:val="00771229"/>
    <w:rsid w:val="00783109"/>
    <w:rsid w:val="00795F07"/>
    <w:rsid w:val="007B02BA"/>
    <w:rsid w:val="007B0F96"/>
    <w:rsid w:val="007B1D4B"/>
    <w:rsid w:val="00804931"/>
    <w:rsid w:val="00851441"/>
    <w:rsid w:val="00876610"/>
    <w:rsid w:val="008B0597"/>
    <w:rsid w:val="008B759C"/>
    <w:rsid w:val="008C728A"/>
    <w:rsid w:val="008D1A95"/>
    <w:rsid w:val="009123EC"/>
    <w:rsid w:val="00914286"/>
    <w:rsid w:val="009149DA"/>
    <w:rsid w:val="00927326"/>
    <w:rsid w:val="009535DF"/>
    <w:rsid w:val="00982B40"/>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B112EA"/>
    <w:rsid w:val="00B207CB"/>
    <w:rsid w:val="00B66A6A"/>
    <w:rsid w:val="00B80DE8"/>
    <w:rsid w:val="00BA72C3"/>
    <w:rsid w:val="00BA798B"/>
    <w:rsid w:val="00BB3BE6"/>
    <w:rsid w:val="00BC4DF4"/>
    <w:rsid w:val="00BC7853"/>
    <w:rsid w:val="00BE6561"/>
    <w:rsid w:val="00BF0177"/>
    <w:rsid w:val="00C02C01"/>
    <w:rsid w:val="00C21E58"/>
    <w:rsid w:val="00C30370"/>
    <w:rsid w:val="00C36592"/>
    <w:rsid w:val="00C50FEF"/>
    <w:rsid w:val="00C51977"/>
    <w:rsid w:val="00C722EE"/>
    <w:rsid w:val="00C7251A"/>
    <w:rsid w:val="00C87A83"/>
    <w:rsid w:val="00C87E3C"/>
    <w:rsid w:val="00CB3325"/>
    <w:rsid w:val="00CC28C7"/>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8B"/>
    <w:rsid w:val="00E80774"/>
    <w:rsid w:val="00E832A8"/>
    <w:rsid w:val="00EB6E6F"/>
    <w:rsid w:val="00EE1BC2"/>
    <w:rsid w:val="00F1447C"/>
    <w:rsid w:val="00F47CB8"/>
    <w:rsid w:val="00F55F69"/>
    <w:rsid w:val="00F60E99"/>
    <w:rsid w:val="00F67C17"/>
    <w:rsid w:val="00F806B4"/>
    <w:rsid w:val="00F8364B"/>
    <w:rsid w:val="00F94595"/>
    <w:rsid w:val="00FA0D28"/>
    <w:rsid w:val="00FB3B21"/>
    <w:rsid w:val="00FE3298"/>
    <w:rsid w:val="01B66B6C"/>
    <w:rsid w:val="01BB6538"/>
    <w:rsid w:val="02566B47"/>
    <w:rsid w:val="02625B16"/>
    <w:rsid w:val="04525DF9"/>
    <w:rsid w:val="04627DB9"/>
    <w:rsid w:val="06380DBE"/>
    <w:rsid w:val="07864920"/>
    <w:rsid w:val="08797E46"/>
    <w:rsid w:val="0B2F7FEB"/>
    <w:rsid w:val="0B6940A1"/>
    <w:rsid w:val="0CFF3BA2"/>
    <w:rsid w:val="0DDD7BC5"/>
    <w:rsid w:val="0DDF2D96"/>
    <w:rsid w:val="15392A51"/>
    <w:rsid w:val="162172D7"/>
    <w:rsid w:val="17EC4843"/>
    <w:rsid w:val="1A4C797A"/>
    <w:rsid w:val="1BFD2FC2"/>
    <w:rsid w:val="1D020C63"/>
    <w:rsid w:val="1FC40A2F"/>
    <w:rsid w:val="1FDB0030"/>
    <w:rsid w:val="230C6132"/>
    <w:rsid w:val="24062DFC"/>
    <w:rsid w:val="24722845"/>
    <w:rsid w:val="267D2BB8"/>
    <w:rsid w:val="284E26BD"/>
    <w:rsid w:val="2B3C400C"/>
    <w:rsid w:val="2BAF7B59"/>
    <w:rsid w:val="2F391C13"/>
    <w:rsid w:val="302E16EF"/>
    <w:rsid w:val="303D69DF"/>
    <w:rsid w:val="33395F75"/>
    <w:rsid w:val="39CC0634"/>
    <w:rsid w:val="39FA5FFB"/>
    <w:rsid w:val="3A6523F7"/>
    <w:rsid w:val="3D5E0D9C"/>
    <w:rsid w:val="3F353E6B"/>
    <w:rsid w:val="42997517"/>
    <w:rsid w:val="43317922"/>
    <w:rsid w:val="439A3040"/>
    <w:rsid w:val="43C648DC"/>
    <w:rsid w:val="445E209A"/>
    <w:rsid w:val="45250531"/>
    <w:rsid w:val="456F454F"/>
    <w:rsid w:val="45A73ECC"/>
    <w:rsid w:val="45DB2F02"/>
    <w:rsid w:val="4A9213B0"/>
    <w:rsid w:val="4C81353D"/>
    <w:rsid w:val="5032464C"/>
    <w:rsid w:val="505E1DD8"/>
    <w:rsid w:val="533578E3"/>
    <w:rsid w:val="55690666"/>
    <w:rsid w:val="55DF0EB7"/>
    <w:rsid w:val="58E36829"/>
    <w:rsid w:val="5AB8147E"/>
    <w:rsid w:val="5AFF5BC6"/>
    <w:rsid w:val="5B527EF8"/>
    <w:rsid w:val="5CFC6D15"/>
    <w:rsid w:val="60761FF7"/>
    <w:rsid w:val="61CE3908"/>
    <w:rsid w:val="642464A6"/>
    <w:rsid w:val="6705150C"/>
    <w:rsid w:val="69AD1043"/>
    <w:rsid w:val="6A7554EE"/>
    <w:rsid w:val="71B870AF"/>
    <w:rsid w:val="758A215D"/>
    <w:rsid w:val="76042F76"/>
    <w:rsid w:val="760C4963"/>
    <w:rsid w:val="775752F5"/>
    <w:rsid w:val="777937CF"/>
    <w:rsid w:val="77DB735D"/>
    <w:rsid w:val="786A385D"/>
    <w:rsid w:val="797B7EEE"/>
    <w:rsid w:val="79FC418E"/>
    <w:rsid w:val="7A447DAF"/>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4"/>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1"/>
    <w:autoRedefine/>
    <w:qFormat/>
    <w:uiPriority w:val="0"/>
    <w:pPr>
      <w:widowControl w:val="0"/>
      <w:adjustRightInd/>
      <w:snapToGrid/>
      <w:spacing w:after="120"/>
      <w:jc w:val="both"/>
    </w:pPr>
    <w:rPr>
      <w:rFonts w:asciiTheme="minorHAnsi" w:hAnsiTheme="minorHAnsi" w:eastAsiaTheme="minorEastAsia"/>
      <w:kern w:val="2"/>
      <w:sz w:val="21"/>
      <w:szCs w:val="24"/>
    </w:rPr>
  </w:style>
  <w:style w:type="paragraph" w:styleId="4">
    <w:name w:val="Plain Text"/>
    <w:basedOn w:val="1"/>
    <w:autoRedefine/>
    <w:qFormat/>
    <w:uiPriority w:val="0"/>
    <w:rPr>
      <w:rFonts w:ascii="宋体" w:hAnsi="Courier New" w:eastAsia="宋体"/>
    </w:rPr>
  </w:style>
  <w:style w:type="paragraph" w:styleId="5">
    <w:name w:val="Date"/>
    <w:basedOn w:val="1"/>
    <w:next w:val="1"/>
    <w:link w:val="13"/>
    <w:autoRedefine/>
    <w:semiHidden/>
    <w:unhideWhenUsed/>
    <w:qFormat/>
    <w:uiPriority w:val="99"/>
    <w:pPr>
      <w:ind w:left="100" w:leftChars="2500"/>
    </w:pPr>
  </w:style>
  <w:style w:type="paragraph" w:styleId="6">
    <w:name w:val="footer"/>
    <w:basedOn w:val="1"/>
    <w:link w:val="12"/>
    <w:autoRedefine/>
    <w:unhideWhenUsed/>
    <w:qFormat/>
    <w:uiPriority w:val="99"/>
    <w:pPr>
      <w:tabs>
        <w:tab w:val="center" w:pos="4153"/>
        <w:tab w:val="right" w:pos="8306"/>
      </w:tabs>
      <w:snapToGrid w:val="0"/>
      <w:jc w:val="left"/>
    </w:pPr>
    <w:rPr>
      <w:sz w:val="18"/>
      <w:szCs w:val="18"/>
    </w:rPr>
  </w:style>
  <w:style w:type="paragraph" w:styleId="7">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7"/>
    <w:autoRedefine/>
    <w:qFormat/>
    <w:uiPriority w:val="99"/>
    <w:rPr>
      <w:sz w:val="18"/>
      <w:szCs w:val="18"/>
    </w:rPr>
  </w:style>
  <w:style w:type="character" w:customStyle="1" w:styleId="12">
    <w:name w:val="页脚 字符"/>
    <w:basedOn w:val="10"/>
    <w:link w:val="6"/>
    <w:autoRedefine/>
    <w:qFormat/>
    <w:uiPriority w:val="99"/>
    <w:rPr>
      <w:sz w:val="18"/>
      <w:szCs w:val="18"/>
    </w:rPr>
  </w:style>
  <w:style w:type="character" w:customStyle="1" w:styleId="13">
    <w:name w:val="日期 字符"/>
    <w:basedOn w:val="10"/>
    <w:link w:val="5"/>
    <w:autoRedefine/>
    <w:semiHidden/>
    <w:qFormat/>
    <w:uiPriority w:val="99"/>
  </w:style>
  <w:style w:type="character" w:customStyle="1" w:styleId="14">
    <w:name w:val="标题 2 字符"/>
    <w:basedOn w:val="10"/>
    <w:link w:val="2"/>
    <w:autoRedefine/>
    <w:semiHidden/>
    <w:qFormat/>
    <w:uiPriority w:val="9"/>
    <w:rPr>
      <w:rFonts w:asciiTheme="majorHAnsi" w:hAnsiTheme="majorHAnsi" w:eastAsiaTheme="majorEastAsia" w:cstheme="majorBidi"/>
      <w:b/>
      <w:bCs/>
      <w:sz w:val="32"/>
      <w:szCs w:val="32"/>
    </w:rPr>
  </w:style>
  <w:style w:type="paragraph" w:styleId="15">
    <w:name w:val="List Paragraph"/>
    <w:basedOn w:val="1"/>
    <w:autoRedefine/>
    <w:qFormat/>
    <w:uiPriority w:val="34"/>
    <w:pPr>
      <w:ind w:firstLine="420" w:firstLineChars="200"/>
    </w:pPr>
  </w:style>
  <w:style w:type="character" w:customStyle="1" w:styleId="16">
    <w:name w:val="font91"/>
    <w:basedOn w:val="10"/>
    <w:autoRedefine/>
    <w:qFormat/>
    <w:uiPriority w:val="0"/>
    <w:rPr>
      <w:rFonts w:hint="eastAsia" w:ascii="宋体" w:hAnsi="宋体" w:eastAsia="宋体" w:cs="宋体"/>
      <w:color w:val="000000"/>
      <w:sz w:val="20"/>
      <w:szCs w:val="20"/>
      <w:u w:val="none"/>
    </w:rPr>
  </w:style>
  <w:style w:type="character" w:customStyle="1" w:styleId="17">
    <w:name w:val="font51"/>
    <w:basedOn w:val="10"/>
    <w:autoRedefine/>
    <w:qFormat/>
    <w:uiPriority w:val="0"/>
    <w:rPr>
      <w:rFonts w:hint="default" w:ascii="Times New Roman" w:hAnsi="Times New Roman" w:cs="Times New Roman"/>
      <w:color w:val="000000"/>
      <w:sz w:val="20"/>
      <w:szCs w:val="20"/>
      <w:u w:val="none"/>
    </w:rPr>
  </w:style>
  <w:style w:type="character" w:customStyle="1" w:styleId="18">
    <w:name w:val="font21"/>
    <w:basedOn w:val="10"/>
    <w:autoRedefine/>
    <w:qFormat/>
    <w:uiPriority w:val="0"/>
    <w:rPr>
      <w:rFonts w:ascii="Arial" w:hAnsi="Arial" w:cs="Arial"/>
      <w:color w:val="000000"/>
      <w:sz w:val="16"/>
      <w:szCs w:val="16"/>
      <w:u w:val="none"/>
    </w:rPr>
  </w:style>
  <w:style w:type="character" w:customStyle="1" w:styleId="19">
    <w:name w:val="font71"/>
    <w:basedOn w:val="10"/>
    <w:autoRedefine/>
    <w:qFormat/>
    <w:uiPriority w:val="0"/>
    <w:rPr>
      <w:rFonts w:hint="eastAsia" w:ascii="宋体" w:hAnsi="宋体" w:eastAsia="宋体" w:cs="宋体"/>
      <w:color w:val="000000"/>
      <w:sz w:val="18"/>
      <w:szCs w:val="18"/>
      <w:u w:val="none"/>
    </w:rPr>
  </w:style>
  <w:style w:type="character" w:customStyle="1" w:styleId="20">
    <w:name w:val="font41"/>
    <w:basedOn w:val="10"/>
    <w:autoRedefine/>
    <w:qFormat/>
    <w:uiPriority w:val="0"/>
    <w:rPr>
      <w:rFonts w:hint="eastAsia" w:ascii="宋体" w:hAnsi="宋体" w:eastAsia="宋体" w:cs="宋体"/>
      <w:color w:val="000000"/>
      <w:sz w:val="16"/>
      <w:szCs w:val="16"/>
      <w:u w:val="none"/>
    </w:rPr>
  </w:style>
  <w:style w:type="character" w:customStyle="1" w:styleId="21">
    <w:name w:val="font61"/>
    <w:basedOn w:val="10"/>
    <w:autoRedefine/>
    <w:qFormat/>
    <w:uiPriority w:val="0"/>
    <w:rPr>
      <w:rFonts w:hint="default" w:ascii="PMingLiU" w:hAnsi="PMingLiU" w:eastAsia="PMingLiU" w:cs="PMingLiU"/>
      <w:color w:val="000000"/>
      <w:sz w:val="20"/>
      <w:szCs w:val="20"/>
      <w:u w:val="none"/>
    </w:rPr>
  </w:style>
  <w:style w:type="character" w:customStyle="1" w:styleId="22">
    <w:name w:val="font01"/>
    <w:basedOn w:val="10"/>
    <w:autoRedefine/>
    <w:qFormat/>
    <w:uiPriority w:val="0"/>
    <w:rPr>
      <w:rFonts w:hint="default" w:ascii="MingLiU" w:hAnsi="MingLiU" w:eastAsia="MingLiU" w:cs="MingLiU"/>
      <w:color w:val="000000"/>
      <w:sz w:val="20"/>
      <w:szCs w:val="20"/>
      <w:u w:val="none"/>
    </w:rPr>
  </w:style>
  <w:style w:type="character" w:customStyle="1" w:styleId="23">
    <w:name w:val="font31"/>
    <w:basedOn w:val="10"/>
    <w:autoRedefine/>
    <w:qFormat/>
    <w:uiPriority w:val="0"/>
    <w:rPr>
      <w:rFonts w:hint="eastAsia" w:ascii="宋体" w:hAnsi="宋体" w:eastAsia="宋体" w:cs="宋体"/>
      <w:color w:val="000000"/>
      <w:sz w:val="20"/>
      <w:szCs w:val="20"/>
      <w:u w:val="none"/>
    </w:rPr>
  </w:style>
  <w:style w:type="character" w:customStyle="1" w:styleId="24">
    <w:name w:val="font101"/>
    <w:basedOn w:val="10"/>
    <w:autoRedefine/>
    <w:qFormat/>
    <w:uiPriority w:val="0"/>
    <w:rPr>
      <w:rFonts w:hint="eastAsia" w:ascii="宋体" w:hAnsi="宋体" w:eastAsia="宋体" w:cs="宋体"/>
      <w:i/>
      <w:iCs/>
      <w:color w:val="000000"/>
      <w:sz w:val="20"/>
      <w:szCs w:val="20"/>
      <w:u w:val="none"/>
    </w:rPr>
  </w:style>
  <w:style w:type="paragraph" w:customStyle="1" w:styleId="25">
    <w:name w:val="Body text|2"/>
    <w:basedOn w:val="1"/>
    <w:autoRedefine/>
    <w:qFormat/>
    <w:uiPriority w:val="0"/>
    <w:pPr>
      <w:spacing w:after="240"/>
      <w:jc w:val="center"/>
    </w:pPr>
    <w:rPr>
      <w:rFonts w:ascii="宋体" w:hAnsi="宋体" w:eastAsia="宋体" w:cs="宋体"/>
      <w:sz w:val="26"/>
      <w:szCs w:val="26"/>
      <w:lang w:val="zh-TW" w:eastAsia="zh-TW" w:bidi="zh-TW"/>
    </w:rPr>
  </w:style>
  <w:style w:type="paragraph" w:customStyle="1" w:styleId="26">
    <w:name w:val="Body text|1"/>
    <w:basedOn w:val="1"/>
    <w:autoRedefine/>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7">
    <w:name w:val="Table caption|1"/>
    <w:basedOn w:val="1"/>
    <w:autoRedefine/>
    <w:qFormat/>
    <w:uiPriority w:val="0"/>
    <w:rPr>
      <w:rFonts w:ascii="宋体" w:hAnsi="宋体" w:eastAsia="宋体" w:cs="宋体"/>
      <w:sz w:val="20"/>
      <w:szCs w:val="20"/>
      <w:lang w:val="zh-TW" w:eastAsia="zh-TW" w:bidi="zh-TW"/>
    </w:rPr>
  </w:style>
  <w:style w:type="paragraph" w:customStyle="1" w:styleId="28">
    <w:name w:val="Other|1"/>
    <w:basedOn w:val="1"/>
    <w:autoRedefine/>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9">
    <w:name w:val="Heading #1|1"/>
    <w:basedOn w:val="1"/>
    <w:autoRedefine/>
    <w:qFormat/>
    <w:uiPriority w:val="0"/>
    <w:pPr>
      <w:spacing w:after="180"/>
      <w:jc w:val="center"/>
      <w:outlineLvl w:val="0"/>
    </w:pPr>
    <w:rPr>
      <w:rFonts w:ascii="宋体" w:hAnsi="宋体" w:eastAsia="宋体" w:cs="宋体"/>
      <w:sz w:val="26"/>
      <w:szCs w:val="26"/>
      <w:lang w:val="zh-TW" w:eastAsia="zh-TW" w:bidi="zh-TW"/>
    </w:rPr>
  </w:style>
  <w:style w:type="paragraph" w:customStyle="1" w:styleId="30">
    <w:name w:val="Header or footer|2"/>
    <w:basedOn w:val="1"/>
    <w:autoRedefine/>
    <w:qFormat/>
    <w:uiPriority w:val="0"/>
    <w:rPr>
      <w:sz w:val="20"/>
      <w:szCs w:val="20"/>
      <w:lang w:val="zh-TW" w:eastAsia="zh-TW" w:bidi="zh-TW"/>
    </w:rPr>
  </w:style>
  <w:style w:type="paragraph" w:styleId="31">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character" w:customStyle="1" w:styleId="32">
    <w:name w:val="font11"/>
    <w:basedOn w:val="10"/>
    <w:autoRedefine/>
    <w:qFormat/>
    <w:uiPriority w:val="0"/>
    <w:rPr>
      <w:rFonts w:hint="default" w:ascii="Tahoma" w:hAnsi="Tahoma" w:eastAsia="Tahoma" w:cs="Tahoma"/>
      <w:color w:val="000000"/>
      <w:sz w:val="22"/>
      <w:szCs w:val="22"/>
      <w:u w:val="none"/>
    </w:rPr>
  </w:style>
  <w:style w:type="character" w:customStyle="1" w:styleId="33">
    <w:name w:val="NormalCharacter"/>
    <w:autoRedefine/>
    <w:semiHidden/>
    <w:qFormat/>
    <w:uiPriority w:val="0"/>
  </w:style>
  <w:style w:type="paragraph" w:customStyle="1" w:styleId="34">
    <w:name w:val="表格文字"/>
    <w:next w:val="3"/>
    <w:autoRedefine/>
    <w:qFormat/>
    <w:uiPriority w:val="0"/>
    <w:pPr>
      <w:widowControl w:val="0"/>
      <w:adjustRightInd w:val="0"/>
      <w:spacing w:line="420" w:lineRule="atLeast"/>
      <w:textAlignment w:val="baseline"/>
    </w:pPr>
    <w:rPr>
      <w:rFonts w:ascii="Times New Roman" w:hAnsi="Times New Roman" w:eastAsia="宋体" w:cs="Times New Roman"/>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4685</Words>
  <Characters>26711</Characters>
  <Lines>222</Lines>
  <Paragraphs>62</Paragraphs>
  <TotalTime>34</TotalTime>
  <ScaleCrop>false</ScaleCrop>
  <LinksUpToDate>false</LinksUpToDate>
  <CharactersWithSpaces>31334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2023-10-13T08:30:00Z</dcterms:created>
  <dc:creator>魏宝兴</dc:creator>
  <cp:lastModifiedBy>7月LEO</cp:lastModifiedBy>
  <cp:lastPrinted>2024-03-06T00:57:00Z</cp:lastPrinted>
  <dcterms:modified xsi:type="dcterms:W3CDTF">2024-03-06T09:26:42Z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003F4B7C55754348827E781723701253</vt:lpwstr>
  </property>
</Properties>
</file>