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方正小标宋简体" w:hAnsi="宋体" w:eastAsia="方正小标宋简体" w:cs="Times New Roman"/>
          <w:b/>
          <w:sz w:val="44"/>
          <w:szCs w:val="44"/>
        </w:rPr>
      </w:pPr>
      <w:r>
        <w:rPr>
          <w:rFonts w:hint="eastAsia" w:ascii="方正小标宋简体" w:hAnsi="宋体" w:eastAsia="方正小标宋简体" w:cs="Times New Roman"/>
          <w:b/>
          <w:sz w:val="44"/>
          <w:szCs w:val="44"/>
        </w:rPr>
        <w:t>广西骨伤医院</w:t>
      </w:r>
      <w:r>
        <w:rPr>
          <w:rFonts w:hint="eastAsia" w:ascii="方正小标宋简体" w:hAnsi="宋体" w:eastAsia="方正小标宋简体" w:cs="Times New Roman"/>
          <w:b/>
          <w:sz w:val="44"/>
          <w:szCs w:val="44"/>
          <w:lang w:val="en-US" w:eastAsia="zh-CN"/>
        </w:rPr>
        <w:t>2024年</w:t>
      </w:r>
      <w:r>
        <w:rPr>
          <w:rFonts w:hint="eastAsia" w:ascii="方正小标宋简体" w:hAnsi="宋体" w:eastAsia="方正小标宋简体" w:cs="Times New Roman"/>
          <w:b/>
          <w:sz w:val="44"/>
          <w:szCs w:val="44"/>
        </w:rPr>
        <w:t>药品</w:t>
      </w:r>
      <w:r>
        <w:rPr>
          <w:rFonts w:hint="eastAsia" w:ascii="方正小标宋简体" w:hAnsi="宋体" w:eastAsia="方正小标宋简体" w:cs="Times New Roman"/>
          <w:b/>
          <w:sz w:val="44"/>
          <w:szCs w:val="44"/>
          <w:lang w:val="en-US" w:eastAsia="zh-CN"/>
        </w:rPr>
        <w:t>供应商</w:t>
      </w:r>
      <w:r>
        <w:rPr>
          <w:rFonts w:hint="eastAsia" w:ascii="方正小标宋简体" w:hAnsi="宋体" w:eastAsia="方正小标宋简体" w:cs="Times New Roman"/>
          <w:b/>
          <w:sz w:val="44"/>
          <w:szCs w:val="44"/>
        </w:rPr>
        <w:t>遴选</w:t>
      </w:r>
      <w:r>
        <w:rPr>
          <w:rFonts w:hint="eastAsia" w:ascii="方正小标宋简体" w:hAnsi="宋体" w:eastAsia="方正小标宋简体" w:cs="Times New Roman"/>
          <w:b/>
          <w:sz w:val="44"/>
          <w:szCs w:val="44"/>
          <w:lang w:val="en-US" w:eastAsia="zh-CN"/>
        </w:rPr>
        <w:t>项目遴选</w:t>
      </w:r>
      <w:r>
        <w:rPr>
          <w:rFonts w:hint="eastAsia" w:ascii="方正小标宋简体" w:hAnsi="宋体" w:eastAsia="方正小标宋简体" w:cs="Times New Roman"/>
          <w:b/>
          <w:sz w:val="44"/>
          <w:szCs w:val="44"/>
        </w:rPr>
        <w:t>文件</w:t>
      </w:r>
    </w:p>
    <w:p>
      <w:pPr>
        <w:spacing w:before="312" w:beforeLines="100" w:after="156" w:afterLines="50" w:line="600" w:lineRule="exact"/>
        <w:jc w:val="center"/>
        <w:rPr>
          <w:rFonts w:ascii="方正小标宋简体" w:hAnsi="方正小标宋简体" w:eastAsia="方正小标宋简体" w:cs="方正小标宋简体"/>
          <w:b/>
          <w:color w:val="000000"/>
          <w:sz w:val="44"/>
          <w:szCs w:val="44"/>
        </w:rPr>
      </w:pPr>
    </w:p>
    <w:p>
      <w:pPr>
        <w:snapToGrid w:val="0"/>
        <w:spacing w:before="156" w:beforeLines="50" w:line="360" w:lineRule="auto"/>
        <w:jc w:val="center"/>
        <w:rPr>
          <w:rFonts w:ascii="仿宋_GB2312" w:hAnsi="宋体" w:eastAsia="仿宋_GB2312" w:cs="Times New Roman"/>
          <w:color w:val="000000"/>
          <w:sz w:val="30"/>
          <w:szCs w:val="72"/>
        </w:rPr>
      </w:pPr>
    </w:p>
    <w:p>
      <w:pPr>
        <w:spacing w:line="400" w:lineRule="exact"/>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ind w:left="2942" w:leftChars="677" w:hanging="1520" w:hangingChars="473"/>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项目名称：</w:t>
      </w:r>
      <w:bookmarkStart w:id="0" w:name="_Hlk90536625"/>
      <w:r>
        <w:rPr>
          <w:rFonts w:hint="eastAsia" w:ascii="仿宋_GB2312" w:hAnsi="宋体" w:eastAsia="仿宋_GB2312" w:cs="Times New Roman"/>
          <w:b/>
          <w:color w:val="000000"/>
          <w:sz w:val="32"/>
          <w:szCs w:val="32"/>
        </w:rPr>
        <w:t>广西骨伤医院2024年药品供应商遴选项目</w:t>
      </w:r>
    </w:p>
    <w:bookmarkEnd w:id="0"/>
    <w:p>
      <w:pPr>
        <w:spacing w:line="400" w:lineRule="exact"/>
        <w:jc w:val="center"/>
        <w:rPr>
          <w:rFonts w:ascii="仿宋_GB2312" w:hAnsi="宋体" w:eastAsia="仿宋_GB2312" w:cs="Times New Roman"/>
          <w:b/>
          <w:color w:val="000000"/>
          <w:sz w:val="32"/>
          <w:szCs w:val="32"/>
        </w:rPr>
      </w:pPr>
    </w:p>
    <w:p>
      <w:pPr>
        <w:spacing w:line="400" w:lineRule="exact"/>
        <w:ind w:firstLine="1430" w:firstLineChars="445"/>
        <w:rPr>
          <w:rFonts w:ascii="仿宋_GB2312" w:hAnsi="宋体" w:eastAsia="仿宋_GB2312" w:cs="Times New Roman"/>
          <w:b/>
          <w:color w:val="000000"/>
          <w:sz w:val="32"/>
          <w:szCs w:val="32"/>
          <w:highlight w:val="none"/>
        </w:rPr>
      </w:pPr>
      <w:r>
        <w:rPr>
          <w:rFonts w:hint="eastAsia" w:ascii="仿宋_GB2312" w:hAnsi="宋体" w:eastAsia="仿宋_GB2312" w:cs="Times New Roman"/>
          <w:b/>
          <w:color w:val="000000"/>
          <w:sz w:val="32"/>
          <w:szCs w:val="32"/>
        </w:rPr>
        <w:t>项目编号：</w:t>
      </w:r>
      <w:r>
        <w:rPr>
          <w:rFonts w:hint="eastAsia" w:ascii="仿宋_GB2312" w:hAnsi="宋体" w:eastAsia="仿宋_GB2312" w:cs="Times New Roman"/>
          <w:b/>
          <w:color w:val="000000"/>
          <w:sz w:val="32"/>
          <w:szCs w:val="32"/>
          <w:highlight w:val="none"/>
        </w:rPr>
        <w:t>GXGSYY-CGB-YXB-2024-02</w:t>
      </w:r>
    </w:p>
    <w:p>
      <w:pPr>
        <w:spacing w:line="400" w:lineRule="exact"/>
        <w:jc w:val="center"/>
        <w:rPr>
          <w:rFonts w:ascii="仿宋_GB2312" w:hAnsi="宋体" w:eastAsia="仿宋_GB2312" w:cs="Times New Roman"/>
          <w:b/>
          <w:color w:val="000000"/>
          <w:sz w:val="32"/>
          <w:szCs w:val="32"/>
        </w:rPr>
      </w:pPr>
    </w:p>
    <w:p>
      <w:pPr>
        <w:spacing w:line="400" w:lineRule="exact"/>
        <w:ind w:firstLine="1430" w:firstLineChars="445"/>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 xml:space="preserve">采 购 人：广西骨伤医院 </w:t>
      </w: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both"/>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w:t>
      </w:r>
      <w:r>
        <w:rPr>
          <w:rFonts w:hint="eastAsia" w:ascii="仿宋_GB2312" w:hAnsi="宋体" w:eastAsia="仿宋_GB2312" w:cs="Times New Roman"/>
          <w:b/>
          <w:color w:val="000000"/>
          <w:sz w:val="32"/>
          <w:szCs w:val="32"/>
          <w:lang w:val="en-US" w:eastAsia="zh-CN"/>
        </w:rPr>
        <w:t>4</w:t>
      </w:r>
      <w:r>
        <w:rPr>
          <w:rFonts w:hint="eastAsia" w:ascii="仿宋_GB2312" w:hAnsi="宋体" w:eastAsia="仿宋_GB2312" w:cs="Times New Roman"/>
          <w:b/>
          <w:color w:val="000000"/>
          <w:sz w:val="32"/>
          <w:szCs w:val="32"/>
        </w:rPr>
        <w:t>年</w:t>
      </w:r>
      <w:r>
        <w:rPr>
          <w:rFonts w:hint="eastAsia" w:ascii="仿宋_GB2312" w:hAnsi="宋体" w:eastAsia="仿宋_GB2312" w:cs="Times New Roman"/>
          <w:b/>
          <w:color w:val="000000"/>
          <w:sz w:val="32"/>
          <w:szCs w:val="32"/>
          <w:lang w:val="en-US" w:eastAsia="zh-CN"/>
        </w:rPr>
        <w:t>2</w:t>
      </w:r>
      <w:r>
        <w:rPr>
          <w:rFonts w:hint="eastAsia" w:ascii="仿宋_GB2312" w:hAnsi="宋体" w:eastAsia="仿宋_GB2312" w:cs="Times New Roman"/>
          <w:b/>
          <w:color w:val="000000"/>
          <w:sz w:val="32"/>
          <w:szCs w:val="32"/>
        </w:rPr>
        <w:t xml:space="preserve">月 </w:t>
      </w:r>
      <w:r>
        <w:rPr>
          <w:rFonts w:hint="eastAsia" w:ascii="仿宋_GB2312" w:hAnsi="宋体" w:eastAsia="仿宋_GB2312" w:cs="Times New Roman"/>
          <w:b/>
          <w:color w:val="000000"/>
          <w:sz w:val="32"/>
          <w:szCs w:val="32"/>
          <w:lang w:val="en-US" w:eastAsia="zh-CN"/>
        </w:rPr>
        <w:t>18</w:t>
      </w:r>
      <w:r>
        <w:rPr>
          <w:rFonts w:hint="eastAsia" w:ascii="仿宋_GB2312" w:hAnsi="宋体" w:eastAsia="仿宋_GB2312" w:cs="Times New Roman"/>
          <w:b/>
          <w:color w:val="000000"/>
          <w:sz w:val="32"/>
          <w:szCs w:val="32"/>
        </w:rPr>
        <w:t>日</w:t>
      </w:r>
    </w:p>
    <w:p>
      <w:pPr>
        <w:keepNext/>
        <w:keepLines/>
        <w:spacing w:before="260" w:after="260" w:line="416" w:lineRule="auto"/>
        <w:jc w:val="center"/>
        <w:outlineLvl w:val="1"/>
        <w:rPr>
          <w:rFonts w:ascii="Cambria" w:hAnsi="Cambria" w:eastAsia="宋体" w:cs="Times New Roman"/>
          <w:b/>
          <w:bCs/>
          <w:color w:val="000000"/>
          <w:sz w:val="32"/>
          <w:szCs w:val="32"/>
          <w:lang w:val="zh-CN"/>
        </w:rPr>
      </w:pPr>
      <w:bookmarkStart w:id="1" w:name="_Toc47452204"/>
      <w:r>
        <w:rPr>
          <w:rFonts w:hint="eastAsia" w:ascii="Cambria" w:hAnsi="Cambria" w:eastAsia="宋体" w:cs="Times New Roman"/>
          <w:b/>
          <w:bCs/>
          <w:color w:val="000000"/>
          <w:sz w:val="32"/>
          <w:szCs w:val="32"/>
          <w:lang w:val="zh-CN"/>
        </w:rPr>
        <w:t>第一章 遴选会公告</w:t>
      </w:r>
      <w:bookmarkEnd w:id="1"/>
    </w:p>
    <w:p>
      <w:pPr>
        <w:keepNext/>
        <w:keepLines/>
        <w:spacing w:line="320" w:lineRule="exact"/>
        <w:ind w:firstLine="422" w:firstLineChars="200"/>
        <w:outlineLvl w:val="1"/>
        <w:rPr>
          <w:rFonts w:ascii="宋体" w:hAnsi="宋体" w:eastAsia="宋体" w:cs="宋体"/>
          <w:b/>
          <w:color w:val="000000"/>
          <w:szCs w:val="21"/>
          <w:lang w:val="zh-CN"/>
        </w:rPr>
      </w:pPr>
      <w:bookmarkStart w:id="2" w:name="_Toc35393798"/>
      <w:bookmarkStart w:id="3" w:name="_Toc28359089"/>
      <w:bookmarkStart w:id="4" w:name="_Toc28359012"/>
      <w:bookmarkStart w:id="5" w:name="_Toc47452205"/>
      <w:bookmarkStart w:id="6" w:name="_Toc35393629"/>
      <w:bookmarkStart w:id="7" w:name="_Toc44229878"/>
      <w:r>
        <w:rPr>
          <w:rFonts w:hint="eastAsia" w:ascii="宋体" w:hAnsi="宋体" w:eastAsia="宋体" w:cs="宋体"/>
          <w:b/>
          <w:color w:val="000000"/>
          <w:szCs w:val="21"/>
          <w:lang w:val="zh-CN"/>
        </w:rPr>
        <w:t>一、项目基本情况</w:t>
      </w:r>
      <w:bookmarkEnd w:id="2"/>
      <w:bookmarkEnd w:id="3"/>
      <w:bookmarkEnd w:id="4"/>
      <w:bookmarkEnd w:id="5"/>
      <w:bookmarkEnd w:id="6"/>
      <w:bookmarkEnd w:id="7"/>
    </w:p>
    <w:p>
      <w:pPr>
        <w:spacing w:line="32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rPr>
        <w:t>1</w:t>
      </w:r>
      <w:r>
        <w:rPr>
          <w:rFonts w:ascii="宋体" w:hAnsi="宋体" w:eastAsia="宋体" w:cs="Times New Roman"/>
          <w:color w:val="000000"/>
          <w:szCs w:val="21"/>
        </w:rPr>
        <w:t>.</w:t>
      </w:r>
      <w:r>
        <w:rPr>
          <w:rFonts w:hint="eastAsia" w:ascii="宋体" w:hAnsi="宋体" w:eastAsia="宋体" w:cs="Times New Roman"/>
          <w:color w:val="000000"/>
          <w:szCs w:val="21"/>
        </w:rPr>
        <w:t>项目编号</w:t>
      </w:r>
      <w:r>
        <w:rPr>
          <w:rFonts w:hint="eastAsia" w:ascii="宋体" w:hAnsi="宋体" w:eastAsia="宋体" w:cs="Times New Roman"/>
          <w:color w:val="000000"/>
          <w:szCs w:val="21"/>
          <w:highlight w:val="none"/>
        </w:rPr>
        <w:t>：GXGSYY-CGB-YXB-2024-02</w:t>
      </w:r>
    </w:p>
    <w:p>
      <w:pPr>
        <w:spacing w:line="320" w:lineRule="exact"/>
        <w:ind w:firstLine="420" w:firstLineChars="200"/>
        <w:rPr>
          <w:rFonts w:ascii="宋体" w:hAnsi="宋体" w:eastAsia="宋体" w:cs="Times New Roman"/>
          <w:color w:val="000000"/>
          <w:szCs w:val="21"/>
          <w:u w:val="single"/>
        </w:rPr>
      </w:pPr>
      <w:r>
        <w:rPr>
          <w:rFonts w:hint="eastAsia" w:ascii="宋体" w:hAnsi="宋体" w:eastAsia="宋体" w:cs="Times New Roman"/>
          <w:color w:val="000000"/>
          <w:szCs w:val="21"/>
          <w:highlight w:val="none"/>
        </w:rPr>
        <w:t>2</w:t>
      </w:r>
      <w:r>
        <w:rPr>
          <w:rFonts w:ascii="宋体" w:hAnsi="宋体" w:eastAsia="宋体" w:cs="Times New Roman"/>
          <w:color w:val="000000"/>
          <w:szCs w:val="21"/>
          <w:highlight w:val="none"/>
        </w:rPr>
        <w:t>.</w:t>
      </w:r>
      <w:r>
        <w:rPr>
          <w:rFonts w:hint="eastAsia" w:ascii="宋体" w:hAnsi="宋体" w:eastAsia="宋体" w:cs="Times New Roman"/>
          <w:color w:val="000000"/>
          <w:szCs w:val="21"/>
          <w:highlight w:val="none"/>
        </w:rPr>
        <w:t>项目名称：</w:t>
      </w:r>
      <w:r>
        <w:rPr>
          <w:rFonts w:hint="eastAsia" w:ascii="宋体" w:hAnsi="宋体" w:eastAsia="宋体" w:cs="Times New Roman"/>
          <w:color w:val="000000"/>
          <w:szCs w:val="21"/>
        </w:rPr>
        <w:t>广西骨伤医院2024年药品供应商遴选项目</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3</w:t>
      </w:r>
      <w:r>
        <w:rPr>
          <w:rFonts w:ascii="宋体" w:hAnsi="宋体" w:eastAsia="宋体" w:cs="Times New Roman"/>
          <w:color w:val="000000"/>
          <w:szCs w:val="21"/>
        </w:rPr>
        <w:t>.</w:t>
      </w:r>
      <w:r>
        <w:rPr>
          <w:rFonts w:hint="eastAsia" w:ascii="宋体" w:hAnsi="宋体" w:eastAsia="宋体" w:cs="Times New Roman"/>
          <w:color w:val="000000"/>
          <w:szCs w:val="21"/>
        </w:rPr>
        <w:t>项目需求：</w:t>
      </w:r>
      <w:r>
        <w:rPr>
          <w:rFonts w:ascii="宋体" w:hAnsi="宋体" w:eastAsia="宋体" w:cs="Times New Roman"/>
          <w:color w:val="000000"/>
          <w:szCs w:val="21"/>
        </w:rPr>
        <w:t xml:space="preserve"> </w:t>
      </w:r>
    </w:p>
    <w:p>
      <w:pPr>
        <w:spacing w:line="32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(1)遴选目标：为我院遴选药品</w:t>
      </w:r>
      <w:r>
        <w:rPr>
          <w:rFonts w:hint="eastAsia" w:ascii="宋体" w:hAnsi="宋体" w:eastAsia="宋体" w:cs="Times New Roman"/>
          <w:color w:val="000000"/>
          <w:szCs w:val="21"/>
          <w:lang w:val="en-US" w:eastAsia="zh-CN"/>
        </w:rPr>
        <w:t>供应商</w:t>
      </w:r>
      <w:r>
        <w:rPr>
          <w:rFonts w:ascii="宋体" w:hAnsi="宋体" w:eastAsia="宋体" w:cs="Times New Roman"/>
          <w:color w:val="000000"/>
          <w:szCs w:val="21"/>
        </w:rPr>
        <w:t>，负责</w:t>
      </w:r>
      <w:r>
        <w:rPr>
          <w:rFonts w:hint="eastAsia" w:ascii="宋体" w:hAnsi="宋体" w:eastAsia="宋体" w:cs="Times New Roman"/>
          <w:color w:val="000000"/>
          <w:szCs w:val="21"/>
          <w:lang w:val="en-US" w:eastAsia="zh-CN"/>
        </w:rPr>
        <w:t>供应</w:t>
      </w:r>
      <w:r>
        <w:rPr>
          <w:rFonts w:ascii="宋体" w:hAnsi="宋体" w:eastAsia="宋体" w:cs="Times New Roman"/>
          <w:color w:val="000000"/>
          <w:szCs w:val="21"/>
        </w:rPr>
        <w:t>我院西药、中成药（包括麻醉、精神等特殊药品）。</w:t>
      </w:r>
    </w:p>
    <w:p>
      <w:pPr>
        <w:spacing w:line="32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(2)配送周期：自合同签订之日起2年。</w:t>
      </w:r>
    </w:p>
    <w:p>
      <w:pPr>
        <w:spacing w:line="320" w:lineRule="exact"/>
        <w:ind w:firstLine="422" w:firstLineChars="200"/>
        <w:rPr>
          <w:rFonts w:ascii="宋体" w:hAnsi="宋体" w:eastAsia="宋体" w:cs="Times New Roman"/>
          <w:color w:val="000000"/>
          <w:szCs w:val="21"/>
        </w:rPr>
      </w:pPr>
      <w:r>
        <w:rPr>
          <w:rFonts w:hint="eastAsia" w:ascii="宋体" w:hAnsi="宋体" w:eastAsia="宋体" w:cs="Times New Roman"/>
          <w:b/>
          <w:bCs/>
          <w:color w:val="000000"/>
          <w:szCs w:val="21"/>
        </w:rPr>
        <w:t>二、对配送企业资质要求</w:t>
      </w:r>
      <w:r>
        <w:rPr>
          <w:rFonts w:hint="eastAsia" w:ascii="宋体" w:hAnsi="宋体" w:eastAsia="宋体" w:cs="Times New Roman"/>
          <w:color w:val="000000"/>
          <w:szCs w:val="21"/>
        </w:rPr>
        <w:t>：</w:t>
      </w:r>
    </w:p>
    <w:p>
      <w:pPr>
        <w:spacing w:line="32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1.配送企业必须取得《营业执照》、《药品经营许可证》、《药品经营质量管理规范认证证书》，经营范围必须包含能配送的所有药品类别。</w:t>
      </w:r>
    </w:p>
    <w:p>
      <w:pPr>
        <w:spacing w:line="32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2.配送企业必须具有广西壮族自治区药械集中采购网药品交易系统或广西药品集团采购服务平台药品交易系统的配送企业资质，同时具备上述两个平台配送资质的优先。</w:t>
      </w:r>
    </w:p>
    <w:p>
      <w:pPr>
        <w:spacing w:line="32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3.在近两年内未受到药监、纪检部门的违规通报，信誉度好。</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lang w:val="en-US" w:eastAsia="zh-CN"/>
        </w:rPr>
        <w:t>4</w:t>
      </w:r>
      <w:r>
        <w:rPr>
          <w:rFonts w:ascii="宋体" w:hAnsi="宋体" w:eastAsia="宋体" w:cs="Times New Roman"/>
          <w:color w:val="000000"/>
          <w:szCs w:val="21"/>
        </w:rPr>
        <w:t>.配送企业承诺内容：</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w:t>
      </w:r>
      <w:r>
        <w:rPr>
          <w:rFonts w:ascii="宋体" w:hAnsi="宋体" w:eastAsia="宋体" w:cs="Times New Roman"/>
          <w:color w:val="000000"/>
          <w:szCs w:val="21"/>
        </w:rPr>
        <w:t>1）配送药品的质量保证，以及特殊药品、高警示药品、冷链药品的安全保证。</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w:t>
      </w:r>
      <w:r>
        <w:rPr>
          <w:rFonts w:ascii="宋体" w:hAnsi="宋体" w:eastAsia="宋体" w:cs="Times New Roman"/>
          <w:color w:val="000000"/>
          <w:szCs w:val="21"/>
        </w:rPr>
        <w:t>2）配送药品的及时性及完成率（包括短缺药品的配送，急需药品配送）。</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w:t>
      </w:r>
      <w:r>
        <w:rPr>
          <w:rFonts w:ascii="宋体" w:hAnsi="宋体" w:eastAsia="宋体" w:cs="Times New Roman"/>
          <w:color w:val="000000"/>
          <w:szCs w:val="21"/>
        </w:rPr>
        <w:t>3）配送药品的售后服务（近效期、破损药品的调换等）。</w:t>
      </w:r>
    </w:p>
    <w:p>
      <w:pPr>
        <w:keepNext/>
        <w:keepLines/>
        <w:spacing w:line="276" w:lineRule="auto"/>
        <w:ind w:firstLine="422" w:firstLineChars="200"/>
        <w:outlineLvl w:val="1"/>
        <w:rPr>
          <w:rFonts w:ascii="宋体" w:hAnsi="宋体" w:eastAsia="宋体" w:cs="宋体"/>
          <w:b/>
          <w:color w:val="000000"/>
          <w:szCs w:val="21"/>
          <w:lang w:val="zh-CN"/>
        </w:rPr>
      </w:pPr>
      <w:bookmarkStart w:id="8" w:name="_Toc28359091"/>
      <w:bookmarkStart w:id="9" w:name="_Toc47452207"/>
      <w:bookmarkStart w:id="10" w:name="_Toc44229880"/>
      <w:bookmarkStart w:id="11" w:name="_Toc28359014"/>
      <w:bookmarkStart w:id="12" w:name="_Toc35393631"/>
      <w:bookmarkStart w:id="13" w:name="_Toc35393800"/>
      <w:r>
        <w:rPr>
          <w:rFonts w:hint="eastAsia" w:ascii="宋体" w:hAnsi="宋体" w:eastAsia="宋体" w:cs="宋体"/>
          <w:b/>
          <w:color w:val="000000"/>
          <w:szCs w:val="21"/>
          <w:lang w:val="zh-CN"/>
        </w:rPr>
        <w:t>三、投标文件要求：</w:t>
      </w:r>
    </w:p>
    <w:p>
      <w:pPr>
        <w:keepNext/>
        <w:keepLines/>
        <w:spacing w:line="276" w:lineRule="auto"/>
        <w:ind w:firstLine="420" w:firstLineChars="200"/>
        <w:outlineLvl w:val="1"/>
        <w:rPr>
          <w:rFonts w:ascii="宋体" w:hAnsi="宋体" w:eastAsia="宋体" w:cs="宋体"/>
          <w:bCs/>
          <w:color w:val="000000"/>
          <w:szCs w:val="21"/>
          <w:lang w:val="zh-CN"/>
        </w:rPr>
      </w:pPr>
      <w:r>
        <w:rPr>
          <w:rFonts w:ascii="宋体" w:hAnsi="宋体" w:eastAsia="宋体" w:cs="宋体"/>
          <w:bCs/>
          <w:color w:val="000000"/>
          <w:szCs w:val="21"/>
          <w:lang w:val="zh-CN"/>
        </w:rPr>
        <w:t>1.《营业执照》、《药品经营许可证》、《药品经营质量管理规范认证证书》复印件，法人代表授权委托书原件。</w:t>
      </w:r>
    </w:p>
    <w:p>
      <w:pPr>
        <w:keepNext/>
        <w:keepLines/>
        <w:spacing w:line="276" w:lineRule="auto"/>
        <w:ind w:firstLine="420" w:firstLineChars="200"/>
        <w:outlineLvl w:val="1"/>
        <w:rPr>
          <w:rFonts w:ascii="宋体" w:hAnsi="宋体" w:eastAsia="宋体" w:cs="宋体"/>
          <w:bCs/>
          <w:color w:val="000000"/>
          <w:szCs w:val="21"/>
          <w:lang w:val="zh-CN"/>
        </w:rPr>
      </w:pPr>
      <w:r>
        <w:rPr>
          <w:rFonts w:ascii="宋体" w:hAnsi="宋体" w:eastAsia="宋体" w:cs="宋体"/>
          <w:bCs/>
          <w:color w:val="000000"/>
          <w:szCs w:val="21"/>
          <w:lang w:val="zh-CN"/>
        </w:rPr>
        <w:t>2.2年内无违法违规的承诺或证明。</w:t>
      </w:r>
    </w:p>
    <w:p>
      <w:pPr>
        <w:keepNext/>
        <w:keepLines/>
        <w:spacing w:line="276" w:lineRule="auto"/>
        <w:ind w:firstLine="420" w:firstLineChars="200"/>
        <w:outlineLvl w:val="1"/>
        <w:rPr>
          <w:rFonts w:ascii="宋体" w:hAnsi="宋体" w:eastAsia="宋体" w:cs="宋体"/>
          <w:bCs/>
          <w:color w:val="000000"/>
          <w:szCs w:val="21"/>
          <w:lang w:val="zh-CN"/>
        </w:rPr>
      </w:pPr>
      <w:r>
        <w:rPr>
          <w:rFonts w:ascii="宋体" w:hAnsi="宋体" w:eastAsia="宋体" w:cs="宋体"/>
          <w:bCs/>
          <w:color w:val="000000"/>
          <w:szCs w:val="21"/>
          <w:lang w:val="zh-CN"/>
        </w:rPr>
        <w:t>3.企业基本情况简介（格式自拟，包括资质条件、经营运行状况、信誉保证、质量管理能力、药品仓储能力、药品配送服务方案、信息化系统等）</w:t>
      </w:r>
    </w:p>
    <w:p>
      <w:pPr>
        <w:keepNext/>
        <w:keepLines/>
        <w:spacing w:line="276" w:lineRule="auto"/>
        <w:ind w:firstLine="420" w:firstLineChars="200"/>
        <w:outlineLvl w:val="1"/>
        <w:rPr>
          <w:rFonts w:ascii="宋体" w:hAnsi="宋体" w:eastAsia="宋体" w:cs="宋体"/>
          <w:bCs/>
          <w:color w:val="000000"/>
          <w:szCs w:val="21"/>
          <w:lang w:val="zh-CN"/>
        </w:rPr>
      </w:pPr>
      <w:r>
        <w:rPr>
          <w:rFonts w:ascii="宋体" w:hAnsi="宋体" w:eastAsia="宋体" w:cs="宋体"/>
          <w:bCs/>
          <w:color w:val="000000"/>
          <w:szCs w:val="21"/>
          <w:lang w:val="zh-CN"/>
        </w:rPr>
        <w:t>4.广西壮族自治区药械集中采购网药品交易系统、广西药品集团采购服务平台的的配送品种目录。</w:t>
      </w:r>
    </w:p>
    <w:p>
      <w:pPr>
        <w:keepNext/>
        <w:keepLines/>
        <w:spacing w:line="276" w:lineRule="auto"/>
        <w:ind w:firstLine="420" w:firstLineChars="200"/>
        <w:outlineLvl w:val="1"/>
        <w:rPr>
          <w:rFonts w:ascii="宋体" w:hAnsi="宋体" w:eastAsia="宋体" w:cs="宋体"/>
          <w:bCs/>
          <w:color w:val="000000"/>
          <w:szCs w:val="21"/>
          <w:lang w:val="zh-CN"/>
        </w:rPr>
      </w:pPr>
      <w:r>
        <w:rPr>
          <w:rFonts w:ascii="宋体" w:hAnsi="宋体" w:eastAsia="宋体" w:cs="宋体"/>
          <w:bCs/>
          <w:color w:val="000000"/>
          <w:szCs w:val="21"/>
          <w:lang w:val="zh-CN"/>
        </w:rPr>
        <w:t>5.配送能力证明材料（按评分标准项目罗列）。</w:t>
      </w:r>
    </w:p>
    <w:p>
      <w:pPr>
        <w:keepNext/>
        <w:keepLines/>
        <w:spacing w:line="276" w:lineRule="auto"/>
        <w:ind w:firstLine="420" w:firstLineChars="200"/>
        <w:outlineLvl w:val="1"/>
        <w:rPr>
          <w:rFonts w:ascii="宋体" w:hAnsi="宋体" w:eastAsia="宋体" w:cs="宋体"/>
          <w:bCs/>
          <w:color w:val="000000"/>
          <w:szCs w:val="21"/>
          <w:lang w:val="zh-CN"/>
        </w:rPr>
      </w:pPr>
      <w:r>
        <w:rPr>
          <w:rFonts w:ascii="宋体" w:hAnsi="宋体" w:eastAsia="宋体" w:cs="宋体"/>
          <w:bCs/>
          <w:color w:val="000000"/>
          <w:szCs w:val="21"/>
          <w:lang w:val="zh-CN"/>
        </w:rPr>
        <w:t>6.配送及售后承诺内容。</w:t>
      </w:r>
    </w:p>
    <w:p>
      <w:pPr>
        <w:keepNext/>
        <w:keepLines/>
        <w:spacing w:line="276" w:lineRule="auto"/>
        <w:ind w:firstLine="420" w:firstLineChars="200"/>
        <w:outlineLvl w:val="1"/>
        <w:rPr>
          <w:rFonts w:ascii="宋体" w:hAnsi="宋体" w:eastAsia="宋体" w:cs="宋体"/>
          <w:bCs/>
          <w:color w:val="000000"/>
          <w:szCs w:val="21"/>
          <w:lang w:val="zh-CN"/>
        </w:rPr>
      </w:pPr>
      <w:r>
        <w:rPr>
          <w:rFonts w:ascii="宋体" w:hAnsi="宋体" w:eastAsia="宋体" w:cs="宋体"/>
          <w:bCs/>
          <w:color w:val="000000"/>
          <w:szCs w:val="21"/>
          <w:lang w:val="zh-CN"/>
        </w:rPr>
        <w:t>7.</w:t>
      </w:r>
      <w:r>
        <w:rPr>
          <w:rFonts w:hint="eastAsia" w:ascii="宋体" w:hAnsi="宋体" w:eastAsia="宋体" w:cs="宋体"/>
          <w:bCs/>
          <w:color w:val="000000"/>
          <w:szCs w:val="21"/>
          <w:lang w:val="en-US" w:eastAsia="zh-CN"/>
        </w:rPr>
        <w:t>2022或</w:t>
      </w:r>
      <w:r>
        <w:rPr>
          <w:rFonts w:ascii="宋体" w:hAnsi="宋体" w:eastAsia="宋体" w:cs="宋体"/>
          <w:bCs/>
          <w:color w:val="000000"/>
          <w:szCs w:val="21"/>
          <w:lang w:val="zh-CN"/>
        </w:rPr>
        <w:t>202</w:t>
      </w:r>
      <w:r>
        <w:rPr>
          <w:rFonts w:hint="eastAsia" w:ascii="宋体" w:hAnsi="宋体" w:eastAsia="宋体" w:cs="宋体"/>
          <w:bCs/>
          <w:color w:val="000000"/>
          <w:szCs w:val="21"/>
          <w:lang w:val="en-US" w:eastAsia="zh-CN"/>
        </w:rPr>
        <w:t>3</w:t>
      </w:r>
      <w:r>
        <w:rPr>
          <w:rFonts w:ascii="宋体" w:hAnsi="宋体" w:eastAsia="宋体" w:cs="宋体"/>
          <w:bCs/>
          <w:color w:val="000000"/>
          <w:szCs w:val="21"/>
          <w:lang w:val="zh-CN"/>
        </w:rPr>
        <w:t>年纳税金额证明</w:t>
      </w:r>
      <w:r>
        <w:rPr>
          <w:rFonts w:hint="eastAsia" w:ascii="宋体" w:hAnsi="宋体" w:eastAsia="宋体" w:cs="宋体"/>
          <w:bCs/>
          <w:color w:val="000000"/>
          <w:szCs w:val="21"/>
          <w:lang w:val="zh-CN"/>
        </w:rPr>
        <w:t>。</w:t>
      </w:r>
    </w:p>
    <w:p>
      <w:pPr>
        <w:keepNext/>
        <w:keepLines/>
        <w:spacing w:line="276" w:lineRule="auto"/>
        <w:ind w:firstLine="420" w:firstLineChars="200"/>
        <w:outlineLvl w:val="1"/>
        <w:rPr>
          <w:rFonts w:ascii="宋体" w:hAnsi="宋体" w:eastAsia="宋体" w:cs="宋体"/>
          <w:bCs/>
          <w:color w:val="000000"/>
          <w:szCs w:val="21"/>
          <w:lang w:val="zh-CN"/>
        </w:rPr>
      </w:pPr>
      <w:r>
        <w:rPr>
          <w:rFonts w:ascii="宋体" w:hAnsi="宋体" w:eastAsia="宋体" w:cs="宋体"/>
          <w:bCs/>
          <w:color w:val="000000"/>
          <w:szCs w:val="21"/>
          <w:lang w:val="zh-CN"/>
        </w:rPr>
        <w:t>8.企业认为需要加以说明的其他内容。</w:t>
      </w:r>
    </w:p>
    <w:p>
      <w:pPr>
        <w:keepNext/>
        <w:keepLines/>
        <w:spacing w:line="276" w:lineRule="auto"/>
        <w:ind w:firstLine="420" w:firstLineChars="200"/>
        <w:outlineLvl w:val="1"/>
        <w:rPr>
          <w:rFonts w:hint="eastAsia" w:ascii="宋体" w:hAnsi="宋体" w:eastAsia="宋体" w:cs="宋体"/>
          <w:bCs/>
          <w:color w:val="000000"/>
          <w:szCs w:val="21"/>
          <w:lang w:val="zh-CN"/>
        </w:rPr>
      </w:pPr>
      <w:r>
        <w:rPr>
          <w:rFonts w:hint="eastAsia" w:ascii="宋体" w:hAnsi="宋体" w:eastAsia="宋体" w:cs="宋体"/>
          <w:bCs/>
          <w:color w:val="000000"/>
          <w:szCs w:val="21"/>
          <w:lang w:val="en-US" w:eastAsia="zh-CN"/>
        </w:rPr>
        <w:t>每个投标人只能提交一份投标文件（一个正本五个副本，正本文件内所有资料均需加盖公司公章）</w:t>
      </w:r>
      <w:r>
        <w:rPr>
          <w:rFonts w:hint="eastAsia" w:ascii="宋体" w:hAnsi="宋体" w:eastAsia="宋体" w:cs="宋体"/>
          <w:bCs/>
          <w:color w:val="000000"/>
          <w:szCs w:val="21"/>
          <w:lang w:val="zh-CN"/>
        </w:rPr>
        <w:t>，如提供虚假或伪造文件，一经核实将取消参选资格。</w:t>
      </w:r>
    </w:p>
    <w:p>
      <w:pPr>
        <w:numPr>
          <w:ilvl w:val="0"/>
          <w:numId w:val="1"/>
        </w:numPr>
        <w:spacing w:line="400" w:lineRule="exact"/>
        <w:ind w:firstLine="422" w:firstLineChars="200"/>
        <w:rPr>
          <w:rFonts w:hint="eastAsia" w:ascii="宋体" w:hAnsi="宋体" w:eastAsia="宋体" w:cs="Times New Roman"/>
          <w:b/>
          <w:bCs w:val="0"/>
          <w:color w:val="000000"/>
          <w:szCs w:val="21"/>
          <w:highlight w:val="none"/>
          <w:lang w:val="en-US" w:eastAsia="zh-CN"/>
        </w:rPr>
      </w:pPr>
      <w:r>
        <w:rPr>
          <w:rFonts w:hint="eastAsia" w:ascii="宋体" w:hAnsi="宋体" w:eastAsia="宋体" w:cs="Times New Roman"/>
          <w:b/>
          <w:bCs w:val="0"/>
          <w:color w:val="000000"/>
          <w:szCs w:val="21"/>
          <w:highlight w:val="none"/>
          <w:lang w:val="en-US" w:eastAsia="zh-CN"/>
        </w:rPr>
        <w:t>其他要求</w:t>
      </w:r>
    </w:p>
    <w:p>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1.药品搬运、保管、运输、交通、配送等费用由中标公司自理，药品现场搬运或入库。</w:t>
      </w:r>
    </w:p>
    <w:p>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2.对开箱时发现的破损、近效期药品或其他不合格包装药品及时更换。</w:t>
      </w:r>
    </w:p>
    <w:p>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3.在院方指定地点为所供药品的临床应用进行现场讲解或培训。</w:t>
      </w:r>
    </w:p>
    <w:p>
      <w:pPr>
        <w:spacing w:line="400" w:lineRule="exact"/>
        <w:ind w:firstLine="420" w:firstLineChars="200"/>
        <w:rPr>
          <w:rFonts w:hint="default"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4.院方计划内缺货的药品，中标公司需及时告知。</w:t>
      </w:r>
    </w:p>
    <w:p>
      <w:pPr>
        <w:spacing w:line="400" w:lineRule="exact"/>
        <w:ind w:firstLine="420" w:firstLineChars="200"/>
        <w:rPr>
          <w:rFonts w:hint="default"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5.其他中标公司应提供的相关服务项目。</w:t>
      </w:r>
    </w:p>
    <w:bookmarkEnd w:id="8"/>
    <w:bookmarkEnd w:id="9"/>
    <w:bookmarkEnd w:id="10"/>
    <w:bookmarkEnd w:id="11"/>
    <w:bookmarkEnd w:id="12"/>
    <w:bookmarkEnd w:id="13"/>
    <w:p>
      <w:pPr>
        <w:spacing w:line="400" w:lineRule="exact"/>
        <w:ind w:firstLine="422" w:firstLineChars="200"/>
        <w:rPr>
          <w:rFonts w:hint="eastAsia" w:ascii="宋体" w:hAnsi="宋体" w:eastAsia="宋体" w:cs="Times New Roman"/>
          <w:b/>
          <w:bCs w:val="0"/>
          <w:color w:val="000000"/>
          <w:szCs w:val="21"/>
          <w:highlight w:val="none"/>
          <w:lang w:val="en-US" w:eastAsia="zh-CN"/>
        </w:rPr>
      </w:pPr>
      <w:r>
        <w:rPr>
          <w:rFonts w:hint="eastAsia" w:ascii="宋体" w:hAnsi="宋体" w:eastAsia="宋体" w:cs="Times New Roman"/>
          <w:b/>
          <w:bCs w:val="0"/>
          <w:color w:val="000000"/>
          <w:szCs w:val="21"/>
          <w:highlight w:val="none"/>
          <w:lang w:val="en-US" w:eastAsia="zh-CN"/>
        </w:rPr>
        <w:t>五、递交投标文件时间地点及联系人：</w:t>
      </w:r>
    </w:p>
    <w:p>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1.时间：2024年2月29日～2024年3月6日（周一至周五上午8:00～12：00，下午15：00～18：00，节假日除外）。</w:t>
      </w:r>
    </w:p>
    <w:p>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2.地址：南宁市青秀区东葛路1号锦华酒店副楼广西骨伤医院行政办公区401室。</w:t>
      </w:r>
    </w:p>
    <w:p>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3.联系人：李老师   0771-2622251     17344229910 </w:t>
      </w:r>
    </w:p>
    <w:p>
      <w:pPr>
        <w:spacing w:line="400" w:lineRule="exact"/>
        <w:ind w:firstLine="422"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
          <w:bCs w:val="0"/>
          <w:color w:val="000000"/>
          <w:szCs w:val="21"/>
          <w:highlight w:val="none"/>
          <w:lang w:val="en-US" w:eastAsia="zh-CN"/>
        </w:rPr>
        <w:t>六、遴选会时间及地点：</w:t>
      </w:r>
      <w:r>
        <w:rPr>
          <w:rFonts w:hint="eastAsia" w:ascii="宋体" w:hAnsi="宋体" w:eastAsia="宋体" w:cs="Times New Roman"/>
          <w:bCs/>
          <w:color w:val="000000"/>
          <w:szCs w:val="21"/>
          <w:highlight w:val="none"/>
          <w:lang w:val="en-US" w:eastAsia="zh-CN"/>
        </w:rPr>
        <w:t>另行通知。</w:t>
      </w:r>
    </w:p>
    <w:p>
      <w:pPr>
        <w:spacing w:line="400" w:lineRule="exact"/>
        <w:ind w:firstLine="420" w:firstLineChars="200"/>
        <w:rPr>
          <w:rFonts w:hint="default" w:ascii="宋体" w:hAnsi="宋体" w:eastAsia="宋体" w:cs="Times New Roman"/>
          <w:bCs/>
          <w:color w:val="000000"/>
          <w:szCs w:val="21"/>
          <w:highlight w:val="none"/>
          <w:lang w:val="en-US" w:eastAsia="zh-CN"/>
        </w:rPr>
      </w:pPr>
    </w:p>
    <w:p>
      <w:pPr>
        <w:spacing w:line="400" w:lineRule="exact"/>
        <w:ind w:firstLine="420" w:firstLineChars="200"/>
        <w:jc w:val="right"/>
        <w:rPr>
          <w:rFonts w:hint="default"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2024年2月29日</w:t>
      </w:r>
    </w:p>
    <w:p>
      <w:pPr>
        <w:spacing w:line="400" w:lineRule="exact"/>
        <w:ind w:firstLine="420" w:firstLineChars="200"/>
        <w:jc w:val="right"/>
        <w:rPr>
          <w:rFonts w:hint="default" w:ascii="宋体" w:hAnsi="宋体" w:eastAsia="宋体" w:cs="Times New Roman"/>
          <w:bCs/>
          <w:color w:val="000000"/>
          <w:szCs w:val="21"/>
          <w:highlight w:val="none"/>
          <w:lang w:val="en-US" w:eastAsia="zh-CN"/>
        </w:rPr>
      </w:pPr>
      <w:bookmarkStart w:id="14" w:name="_GoBack"/>
      <w:bookmarkEnd w:id="14"/>
      <w:r>
        <w:rPr>
          <w:rFonts w:hint="eastAsia" w:ascii="宋体" w:hAnsi="宋体" w:eastAsia="宋体" w:cs="Times New Roman"/>
          <w:bCs/>
          <w:color w:val="000000"/>
          <w:szCs w:val="21"/>
          <w:highlight w:val="none"/>
          <w:lang w:val="en-US" w:eastAsia="zh-CN"/>
        </w:rPr>
        <w:t>广西骨伤医院</w:t>
      </w:r>
    </w:p>
    <w:p>
      <w:pPr>
        <w:spacing w:line="360" w:lineRule="atLeast"/>
        <w:ind w:firstLine="495"/>
        <w:rPr>
          <w:rFonts w:ascii="Calibri" w:hAnsi="Calibri" w:eastAsia="宋体" w:cs="Times New Roman"/>
          <w:sz w:val="32"/>
          <w:szCs w:val="32"/>
        </w:rPr>
      </w:pPr>
    </w:p>
    <w:p>
      <w:pPr>
        <w:jc w:val="center"/>
        <w:rPr>
          <w:rFonts w:ascii="宋体" w:hAnsi="宋体" w:eastAsia="宋体"/>
          <w:b/>
          <w:bCs/>
          <w:sz w:val="32"/>
          <w:szCs w:val="32"/>
        </w:rPr>
      </w:pPr>
      <w:r>
        <w:rPr>
          <w:rFonts w:hint="eastAsia" w:ascii="宋体" w:hAnsi="宋体" w:eastAsia="宋体"/>
          <w:b/>
          <w:bCs/>
          <w:sz w:val="32"/>
          <w:szCs w:val="32"/>
        </w:rPr>
        <w:t xml:space="preserve">第二章 </w:t>
      </w:r>
      <w:r>
        <w:rPr>
          <w:rFonts w:ascii="宋体" w:hAnsi="宋体" w:eastAsia="宋体"/>
          <w:b/>
          <w:bCs/>
          <w:sz w:val="32"/>
          <w:szCs w:val="32"/>
        </w:rPr>
        <w:t xml:space="preserve"> </w:t>
      </w:r>
      <w:r>
        <w:rPr>
          <w:rFonts w:hint="eastAsia" w:ascii="宋体" w:hAnsi="宋体" w:eastAsia="宋体"/>
          <w:b/>
          <w:bCs/>
          <w:sz w:val="32"/>
          <w:szCs w:val="32"/>
        </w:rPr>
        <w:t>评</w:t>
      </w:r>
      <w:r>
        <w:rPr>
          <w:rFonts w:hint="eastAsia" w:ascii="宋体" w:hAnsi="宋体" w:eastAsia="宋体"/>
          <w:b/>
          <w:bCs/>
          <w:sz w:val="32"/>
          <w:szCs w:val="32"/>
          <w:lang w:val="en-US" w:eastAsia="zh-CN"/>
        </w:rPr>
        <w:t>审</w:t>
      </w:r>
      <w:r>
        <w:rPr>
          <w:rFonts w:hint="eastAsia" w:ascii="宋体" w:hAnsi="宋体" w:eastAsia="宋体"/>
          <w:b/>
          <w:bCs/>
          <w:sz w:val="32"/>
          <w:szCs w:val="32"/>
        </w:rPr>
        <w:t>办法及评分标准</w:t>
      </w:r>
    </w:p>
    <w:p>
      <w:pPr>
        <w:jc w:val="center"/>
        <w:rPr>
          <w:rFonts w:ascii="宋体" w:hAnsi="宋体" w:eastAsia="宋体"/>
          <w:b/>
          <w:bCs/>
          <w:sz w:val="32"/>
          <w:szCs w:val="32"/>
        </w:rPr>
      </w:pPr>
    </w:p>
    <w:p>
      <w:pPr>
        <w:spacing w:line="400" w:lineRule="exact"/>
        <w:ind w:firstLine="422" w:firstLineChars="200"/>
        <w:rPr>
          <w:rFonts w:ascii="宋体" w:hAnsi="宋体" w:eastAsia="宋体" w:cs="Times New Roman"/>
          <w:bCs/>
          <w:color w:val="000000"/>
          <w:szCs w:val="21"/>
        </w:rPr>
      </w:pPr>
      <w:r>
        <w:rPr>
          <w:rFonts w:hint="eastAsia" w:ascii="宋体" w:hAnsi="宋体" w:eastAsia="宋体" w:cs="Times New Roman"/>
          <w:b/>
          <w:color w:val="000000"/>
          <w:szCs w:val="21"/>
        </w:rPr>
        <w:t>一、评</w:t>
      </w:r>
      <w:r>
        <w:rPr>
          <w:rFonts w:hint="eastAsia" w:ascii="宋体" w:hAnsi="宋体" w:eastAsia="宋体" w:cs="Times New Roman"/>
          <w:b/>
          <w:color w:val="000000"/>
          <w:szCs w:val="21"/>
          <w:lang w:val="en-US" w:eastAsia="zh-CN"/>
        </w:rPr>
        <w:t>审</w:t>
      </w:r>
      <w:r>
        <w:rPr>
          <w:rFonts w:hint="eastAsia" w:ascii="宋体" w:hAnsi="宋体" w:eastAsia="宋体" w:cs="Times New Roman"/>
          <w:b/>
          <w:color w:val="000000"/>
          <w:szCs w:val="21"/>
        </w:rPr>
        <w:t>办法</w:t>
      </w:r>
      <w:r>
        <w:rPr>
          <w:rFonts w:hint="eastAsia" w:ascii="宋体" w:hAnsi="宋体" w:eastAsia="宋体" w:cs="Times New Roman"/>
          <w:bCs/>
          <w:color w:val="000000"/>
          <w:szCs w:val="21"/>
        </w:rPr>
        <w:t>：综合评分法。</w:t>
      </w:r>
    </w:p>
    <w:p>
      <w:pPr>
        <w:spacing w:line="400" w:lineRule="exact"/>
        <w:ind w:firstLine="422" w:firstLineChars="200"/>
        <w:rPr>
          <w:rFonts w:ascii="宋体" w:hAnsi="宋体" w:eastAsia="宋体" w:cs="Times New Roman"/>
          <w:b/>
          <w:color w:val="000000"/>
          <w:szCs w:val="21"/>
        </w:rPr>
      </w:pPr>
      <w:r>
        <w:rPr>
          <w:rFonts w:hint="eastAsia" w:ascii="宋体" w:hAnsi="宋体" w:eastAsia="宋体" w:cs="Times New Roman"/>
          <w:b/>
          <w:color w:val="000000"/>
          <w:szCs w:val="21"/>
        </w:rPr>
        <w:t>二、评审原则</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(一)评委构成：本招标采购项目的评委分别由</w:t>
      </w:r>
      <w:r>
        <w:rPr>
          <w:rFonts w:hint="eastAsia" w:ascii="宋体" w:hAnsi="宋体" w:eastAsia="宋体" w:cs="Times New Roman"/>
          <w:bCs/>
          <w:color w:val="000000"/>
          <w:szCs w:val="21"/>
        </w:rPr>
        <w:t>医院相关部门及医院评审专家</w:t>
      </w:r>
      <w:r>
        <w:rPr>
          <w:rFonts w:ascii="宋体" w:hAnsi="宋体" w:eastAsia="宋体" w:cs="Times New Roman"/>
          <w:bCs/>
          <w:color w:val="000000"/>
          <w:szCs w:val="21"/>
        </w:rPr>
        <w:t>共5人</w:t>
      </w:r>
      <w:r>
        <w:rPr>
          <w:rFonts w:hint="eastAsia" w:ascii="宋体" w:hAnsi="宋体" w:eastAsia="宋体" w:cs="Times New Roman"/>
          <w:bCs/>
          <w:color w:val="000000"/>
          <w:szCs w:val="21"/>
        </w:rPr>
        <w:t>及</w:t>
      </w:r>
      <w:r>
        <w:rPr>
          <w:rFonts w:ascii="宋体" w:hAnsi="宋体" w:eastAsia="宋体" w:cs="Times New Roman"/>
          <w:bCs/>
          <w:color w:val="000000"/>
          <w:szCs w:val="21"/>
        </w:rPr>
        <w:t>以上单数构成。</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(二)评</w:t>
      </w:r>
      <w:r>
        <w:rPr>
          <w:rFonts w:hint="eastAsia" w:ascii="宋体" w:hAnsi="宋体" w:eastAsia="宋体" w:cs="Times New Roman"/>
          <w:bCs/>
          <w:color w:val="000000"/>
          <w:szCs w:val="21"/>
          <w:lang w:val="en-US" w:eastAsia="zh-CN"/>
        </w:rPr>
        <w:t>审</w:t>
      </w:r>
      <w:r>
        <w:rPr>
          <w:rFonts w:ascii="宋体" w:hAnsi="宋体" w:eastAsia="宋体" w:cs="Times New Roman"/>
          <w:bCs/>
          <w:color w:val="000000"/>
          <w:szCs w:val="21"/>
        </w:rPr>
        <w:t>依据：评委将以招投标文件为评标依据，对投标人的</w:t>
      </w:r>
      <w:r>
        <w:rPr>
          <w:rFonts w:hint="eastAsia" w:ascii="宋体" w:hAnsi="宋体" w:eastAsia="宋体" w:cs="Times New Roman"/>
          <w:bCs/>
          <w:color w:val="000000"/>
          <w:szCs w:val="21"/>
        </w:rPr>
        <w:t>综合实力</w:t>
      </w:r>
      <w:r>
        <w:rPr>
          <w:rFonts w:ascii="宋体" w:hAnsi="宋体" w:eastAsia="宋体" w:cs="Times New Roman"/>
          <w:bCs/>
          <w:color w:val="000000"/>
          <w:szCs w:val="21"/>
        </w:rPr>
        <w:t>、</w:t>
      </w:r>
      <w:r>
        <w:rPr>
          <w:rFonts w:hint="eastAsia" w:ascii="宋体" w:hAnsi="宋体" w:eastAsia="宋体" w:cs="Times New Roman"/>
          <w:bCs/>
          <w:color w:val="000000"/>
          <w:szCs w:val="21"/>
        </w:rPr>
        <w:t>配送能力</w:t>
      </w:r>
      <w:r>
        <w:rPr>
          <w:rFonts w:ascii="宋体" w:hAnsi="宋体" w:eastAsia="宋体" w:cs="Times New Roman"/>
          <w:bCs/>
          <w:color w:val="000000"/>
          <w:szCs w:val="21"/>
        </w:rPr>
        <w:t>、</w:t>
      </w:r>
      <w:r>
        <w:rPr>
          <w:rFonts w:hint="eastAsia" w:ascii="宋体" w:hAnsi="宋体" w:eastAsia="宋体" w:cs="Times New Roman"/>
          <w:bCs/>
          <w:color w:val="000000"/>
          <w:szCs w:val="21"/>
        </w:rPr>
        <w:t>配送承诺、社会贡献</w:t>
      </w:r>
      <w:r>
        <w:rPr>
          <w:rFonts w:ascii="宋体" w:hAnsi="宋体" w:eastAsia="宋体" w:cs="Times New Roman"/>
          <w:bCs/>
          <w:color w:val="000000"/>
          <w:szCs w:val="21"/>
        </w:rPr>
        <w:t>等方面内容按百分制打分。其中</w:t>
      </w:r>
      <w:r>
        <w:rPr>
          <w:rFonts w:hint="eastAsia" w:ascii="宋体" w:hAnsi="宋体" w:eastAsia="宋体" w:cs="Times New Roman"/>
          <w:bCs/>
          <w:color w:val="000000"/>
          <w:szCs w:val="21"/>
        </w:rPr>
        <w:t>综合实力分4</w:t>
      </w:r>
      <w:r>
        <w:rPr>
          <w:rFonts w:ascii="宋体" w:hAnsi="宋体" w:eastAsia="宋体" w:cs="Times New Roman"/>
          <w:bCs/>
          <w:color w:val="000000"/>
          <w:szCs w:val="21"/>
        </w:rPr>
        <w:t>0</w:t>
      </w:r>
      <w:r>
        <w:rPr>
          <w:rFonts w:hint="eastAsia" w:ascii="宋体" w:hAnsi="宋体" w:eastAsia="宋体" w:cs="Times New Roman"/>
          <w:bCs/>
          <w:color w:val="000000"/>
          <w:szCs w:val="21"/>
        </w:rPr>
        <w:t>分、配送能力3</w:t>
      </w:r>
      <w:r>
        <w:rPr>
          <w:rFonts w:ascii="宋体" w:hAnsi="宋体" w:eastAsia="宋体" w:cs="Times New Roman"/>
          <w:bCs/>
          <w:color w:val="000000"/>
          <w:szCs w:val="21"/>
        </w:rPr>
        <w:t>0</w:t>
      </w:r>
      <w:r>
        <w:rPr>
          <w:rFonts w:hint="eastAsia" w:ascii="宋体" w:hAnsi="宋体" w:eastAsia="宋体" w:cs="Times New Roman"/>
          <w:bCs/>
          <w:color w:val="000000"/>
          <w:szCs w:val="21"/>
        </w:rPr>
        <w:t>分、配送承诺2</w:t>
      </w:r>
      <w:r>
        <w:rPr>
          <w:rFonts w:ascii="宋体" w:hAnsi="宋体" w:eastAsia="宋体" w:cs="Times New Roman"/>
          <w:bCs/>
          <w:color w:val="000000"/>
          <w:szCs w:val="21"/>
        </w:rPr>
        <w:t>0</w:t>
      </w:r>
      <w:r>
        <w:rPr>
          <w:rFonts w:hint="eastAsia" w:ascii="宋体" w:hAnsi="宋体" w:eastAsia="宋体" w:cs="Times New Roman"/>
          <w:bCs/>
          <w:color w:val="000000"/>
          <w:szCs w:val="21"/>
        </w:rPr>
        <w:t>分、社会贡献1</w:t>
      </w:r>
      <w:r>
        <w:rPr>
          <w:rFonts w:ascii="宋体" w:hAnsi="宋体" w:eastAsia="宋体" w:cs="Times New Roman"/>
          <w:bCs/>
          <w:color w:val="000000"/>
          <w:szCs w:val="21"/>
        </w:rPr>
        <w:t>0</w:t>
      </w:r>
      <w:r>
        <w:rPr>
          <w:rFonts w:hint="eastAsia" w:ascii="宋体" w:hAnsi="宋体" w:eastAsia="宋体" w:cs="Times New Roman"/>
          <w:bCs/>
          <w:color w:val="000000"/>
          <w:szCs w:val="21"/>
        </w:rPr>
        <w:t>分</w:t>
      </w:r>
      <w:r>
        <w:rPr>
          <w:rFonts w:ascii="宋体" w:hAnsi="宋体" w:eastAsia="宋体" w:cs="Times New Roman"/>
          <w:bCs/>
          <w:color w:val="000000"/>
          <w:szCs w:val="21"/>
        </w:rPr>
        <w:t>。</w:t>
      </w:r>
    </w:p>
    <w:p>
      <w:pPr>
        <w:spacing w:line="400" w:lineRule="exact"/>
        <w:ind w:firstLine="422" w:firstLineChars="200"/>
        <w:rPr>
          <w:rFonts w:ascii="宋体" w:hAnsi="宋体" w:eastAsia="宋体" w:cs="Times New Roman"/>
          <w:b/>
          <w:color w:val="000000"/>
          <w:szCs w:val="21"/>
        </w:rPr>
      </w:pPr>
      <w:r>
        <w:rPr>
          <w:rFonts w:hint="eastAsia" w:ascii="宋体" w:hAnsi="宋体" w:eastAsia="宋体" w:cs="Times New Roman"/>
          <w:b/>
          <w:color w:val="000000"/>
          <w:szCs w:val="21"/>
        </w:rPr>
        <w:t>三、评分方法</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（一）对进入详评的，采用百分制综合评分法。</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（二）计分办法：</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0"/>
        <w:gridCol w:w="1001"/>
        <w:gridCol w:w="2078"/>
        <w:gridCol w:w="2639"/>
        <w:gridCol w:w="23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94" w:hRule="atLeast"/>
        </w:trPr>
        <w:tc>
          <w:tcPr>
            <w:tcW w:w="500" w:type="dxa"/>
          </w:tcPr>
          <w:p>
            <w:pPr>
              <w:spacing w:line="400" w:lineRule="exact"/>
              <w:rPr>
                <w:rFonts w:ascii="宋体" w:hAnsi="宋体" w:eastAsia="宋体" w:cs="Times New Roman"/>
                <w:b/>
                <w:bCs/>
                <w:color w:val="000000"/>
                <w:szCs w:val="21"/>
              </w:rPr>
            </w:pPr>
            <w:r>
              <w:rPr>
                <w:rFonts w:hint="eastAsia" w:ascii="宋体" w:hAnsi="宋体" w:eastAsia="宋体" w:cs="Times New Roman"/>
                <w:b/>
                <w:bCs/>
                <w:color w:val="000000"/>
                <w:szCs w:val="21"/>
              </w:rPr>
              <w:t>序号</w:t>
            </w:r>
          </w:p>
        </w:tc>
        <w:tc>
          <w:tcPr>
            <w:tcW w:w="1001" w:type="dxa"/>
          </w:tcPr>
          <w:p>
            <w:pPr>
              <w:spacing w:line="400" w:lineRule="exact"/>
              <w:jc w:val="center"/>
              <w:rPr>
                <w:rFonts w:ascii="宋体" w:hAnsi="宋体" w:eastAsia="宋体" w:cs="Times New Roman"/>
                <w:b/>
                <w:bCs/>
                <w:color w:val="000000"/>
                <w:szCs w:val="21"/>
              </w:rPr>
            </w:pPr>
            <w:r>
              <w:rPr>
                <w:rFonts w:hint="eastAsia" w:ascii="宋体" w:hAnsi="宋体" w:eastAsia="宋体" w:cs="Times New Roman"/>
                <w:b/>
                <w:bCs/>
                <w:color w:val="000000"/>
                <w:szCs w:val="21"/>
              </w:rPr>
              <w:t>项目</w:t>
            </w:r>
          </w:p>
        </w:tc>
        <w:tc>
          <w:tcPr>
            <w:tcW w:w="2078" w:type="dxa"/>
          </w:tcPr>
          <w:p>
            <w:pPr>
              <w:spacing w:line="40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评审内容</w:t>
            </w:r>
          </w:p>
        </w:tc>
        <w:tc>
          <w:tcPr>
            <w:tcW w:w="2639" w:type="dxa"/>
          </w:tcPr>
          <w:p>
            <w:pPr>
              <w:spacing w:line="40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评分标准</w:t>
            </w:r>
          </w:p>
        </w:tc>
        <w:tc>
          <w:tcPr>
            <w:tcW w:w="2304" w:type="dxa"/>
          </w:tcPr>
          <w:p>
            <w:pPr>
              <w:spacing w:line="40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评分依据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00" w:hRule="atLeast"/>
        </w:trPr>
        <w:tc>
          <w:tcPr>
            <w:tcW w:w="500" w:type="dxa"/>
            <w:vMerge w:val="restart"/>
            <w:noWrap/>
          </w:tcPr>
          <w:p>
            <w:pPr>
              <w:spacing w:line="400" w:lineRule="exact"/>
              <w:jc w:val="center"/>
              <w:rPr>
                <w:rFonts w:ascii="宋体" w:hAnsi="宋体" w:eastAsia="宋体" w:cs="Times New Roman"/>
                <w:bCs/>
                <w:color w:val="000000"/>
                <w:szCs w:val="21"/>
              </w:rPr>
            </w:pPr>
            <w:r>
              <w:rPr>
                <w:rFonts w:hint="eastAsia" w:ascii="宋体" w:hAnsi="宋体" w:eastAsia="宋体" w:cs="Times New Roman"/>
                <w:bCs/>
                <w:color w:val="000000"/>
                <w:szCs w:val="21"/>
              </w:rPr>
              <w:t>1</w:t>
            </w:r>
          </w:p>
        </w:tc>
        <w:tc>
          <w:tcPr>
            <w:tcW w:w="1001" w:type="dxa"/>
            <w:vMerge w:val="restart"/>
          </w:tcPr>
          <w:p>
            <w:pPr>
              <w:spacing w:line="400" w:lineRule="exact"/>
              <w:rPr>
                <w:rFonts w:ascii="宋体" w:hAnsi="宋体" w:eastAsia="宋体" w:cs="Times New Roman"/>
                <w:bCs/>
                <w:color w:val="000000"/>
                <w:szCs w:val="21"/>
              </w:rPr>
            </w:pPr>
            <w:r>
              <w:rPr>
                <w:rFonts w:hint="eastAsia" w:ascii="宋体" w:hAnsi="宋体" w:eastAsia="宋体" w:cs="Times New Roman"/>
                <w:bCs/>
                <w:color w:val="000000"/>
                <w:szCs w:val="21"/>
              </w:rPr>
              <w:t>综合实力</w:t>
            </w:r>
          </w:p>
          <w:p>
            <w:pPr>
              <w:spacing w:line="400" w:lineRule="exact"/>
              <w:rPr>
                <w:rFonts w:ascii="宋体" w:hAnsi="宋体" w:eastAsia="宋体" w:cs="Times New Roman"/>
                <w:bCs/>
                <w:color w:val="000000"/>
                <w:szCs w:val="21"/>
              </w:rPr>
            </w:pPr>
            <w:r>
              <w:rPr>
                <w:rFonts w:hint="eastAsia" w:ascii="宋体" w:hAnsi="宋体" w:eastAsia="宋体" w:cs="Times New Roman"/>
                <w:bCs/>
                <w:color w:val="000000"/>
                <w:szCs w:val="21"/>
              </w:rPr>
              <w:t>（40分）</w:t>
            </w:r>
          </w:p>
        </w:tc>
        <w:tc>
          <w:tcPr>
            <w:tcW w:w="2078" w:type="dxa"/>
            <w:vAlign w:val="center"/>
          </w:tcPr>
          <w:p>
            <w:pPr>
              <w:spacing w:line="400" w:lineRule="exact"/>
              <w:rPr>
                <w:rFonts w:ascii="宋体" w:hAnsi="宋体" w:eastAsia="宋体" w:cs="Times New Roman"/>
                <w:bCs/>
                <w:color w:val="000000"/>
                <w:szCs w:val="21"/>
              </w:rPr>
            </w:pPr>
            <w:r>
              <w:rPr>
                <w:rFonts w:hint="eastAsia" w:ascii="宋体" w:hAnsi="宋体" w:eastAsia="宋体" w:cs="Times New Roman"/>
                <w:bCs/>
                <w:color w:val="000000"/>
                <w:szCs w:val="21"/>
              </w:rPr>
              <w:t>广西壮族自治区药械集中采购网药品交易系统配送品规数</w:t>
            </w:r>
          </w:p>
          <w:p>
            <w:pPr>
              <w:spacing w:line="400" w:lineRule="exact"/>
              <w:jc w:val="center"/>
              <w:rPr>
                <w:rFonts w:ascii="宋体" w:hAnsi="宋体" w:eastAsia="宋体" w:cs="Times New Roman"/>
                <w:bCs/>
                <w:color w:val="000000"/>
                <w:szCs w:val="21"/>
              </w:rPr>
            </w:pPr>
            <w:r>
              <w:rPr>
                <w:rFonts w:hint="eastAsia" w:ascii="宋体" w:hAnsi="宋体" w:eastAsia="宋体" w:cs="Times New Roman"/>
                <w:bCs/>
                <w:color w:val="000000"/>
                <w:szCs w:val="21"/>
              </w:rPr>
              <w:t>（20分）</w:t>
            </w:r>
          </w:p>
        </w:tc>
        <w:tc>
          <w:tcPr>
            <w:tcW w:w="2639" w:type="dxa"/>
          </w:tcPr>
          <w:p>
            <w:pPr>
              <w:spacing w:line="400" w:lineRule="exact"/>
              <w:rPr>
                <w:rFonts w:ascii="宋体" w:hAnsi="宋体" w:eastAsia="宋体" w:cs="Times New Roman"/>
                <w:bCs/>
                <w:color w:val="000000"/>
                <w:szCs w:val="21"/>
              </w:rPr>
            </w:pPr>
            <w:r>
              <w:rPr>
                <w:rFonts w:hint="eastAsia" w:ascii="宋体" w:hAnsi="宋体" w:eastAsia="宋体" w:cs="Times New Roman"/>
                <w:bCs/>
                <w:color w:val="000000"/>
                <w:szCs w:val="21"/>
              </w:rPr>
              <w:t>≥7000种   20分；</w:t>
            </w:r>
            <w:r>
              <w:rPr>
                <w:rFonts w:hint="eastAsia" w:ascii="宋体" w:hAnsi="宋体" w:eastAsia="宋体" w:cs="Times New Roman"/>
                <w:bCs/>
                <w:color w:val="000000"/>
                <w:szCs w:val="21"/>
              </w:rPr>
              <w:br w:type="textWrapping"/>
            </w:r>
            <w:r>
              <w:rPr>
                <w:rFonts w:hint="eastAsia" w:ascii="宋体" w:hAnsi="宋体" w:eastAsia="宋体" w:cs="Times New Roman"/>
                <w:bCs/>
                <w:color w:val="000000"/>
                <w:szCs w:val="21"/>
              </w:rPr>
              <w:t>4000-6999种 18分；</w:t>
            </w:r>
            <w:r>
              <w:rPr>
                <w:rFonts w:hint="eastAsia" w:ascii="宋体" w:hAnsi="宋体" w:eastAsia="宋体" w:cs="Times New Roman"/>
                <w:bCs/>
                <w:color w:val="000000"/>
                <w:szCs w:val="21"/>
              </w:rPr>
              <w:br w:type="textWrapping"/>
            </w:r>
            <w:r>
              <w:rPr>
                <w:rFonts w:hint="eastAsia" w:ascii="宋体" w:hAnsi="宋体" w:eastAsia="宋体" w:cs="Times New Roman"/>
                <w:bCs/>
                <w:color w:val="000000"/>
                <w:szCs w:val="21"/>
              </w:rPr>
              <w:t>1000-4000种  15分；</w:t>
            </w:r>
            <w:r>
              <w:rPr>
                <w:rFonts w:hint="eastAsia" w:ascii="宋体" w:hAnsi="宋体" w:eastAsia="宋体" w:cs="Times New Roman"/>
                <w:bCs/>
                <w:color w:val="000000"/>
                <w:szCs w:val="21"/>
              </w:rPr>
              <w:br w:type="textWrapping"/>
            </w:r>
            <w:r>
              <w:rPr>
                <w:rFonts w:hint="eastAsia" w:ascii="宋体" w:hAnsi="宋体" w:eastAsia="宋体" w:cs="Times New Roman"/>
                <w:bCs/>
                <w:color w:val="000000"/>
                <w:szCs w:val="21"/>
              </w:rPr>
              <w:t>400-999种    10分；</w:t>
            </w:r>
            <w:r>
              <w:rPr>
                <w:rFonts w:hint="eastAsia" w:ascii="宋体" w:hAnsi="宋体" w:eastAsia="宋体" w:cs="Times New Roman"/>
                <w:bCs/>
                <w:color w:val="000000"/>
                <w:szCs w:val="21"/>
              </w:rPr>
              <w:br w:type="textWrapping"/>
            </w:r>
            <w:r>
              <w:rPr>
                <w:rFonts w:hint="eastAsia" w:ascii="宋体" w:hAnsi="宋体" w:eastAsia="宋体" w:cs="Times New Roman"/>
                <w:bCs/>
                <w:color w:val="000000"/>
                <w:szCs w:val="21"/>
              </w:rPr>
              <w:t>＜400种     2分。</w:t>
            </w:r>
          </w:p>
        </w:tc>
        <w:tc>
          <w:tcPr>
            <w:tcW w:w="2304" w:type="dxa"/>
            <w:vAlign w:val="center"/>
          </w:tcPr>
          <w:p>
            <w:pPr>
              <w:spacing w:line="400" w:lineRule="exact"/>
              <w:rPr>
                <w:rFonts w:ascii="宋体" w:hAnsi="宋体" w:eastAsia="宋体" w:cs="Times New Roman"/>
                <w:bCs/>
                <w:color w:val="000000"/>
                <w:szCs w:val="21"/>
              </w:rPr>
            </w:pPr>
            <w:r>
              <w:rPr>
                <w:rFonts w:hint="eastAsia" w:ascii="宋体" w:hAnsi="宋体" w:eastAsia="宋体" w:cs="Times New Roman"/>
                <w:bCs/>
                <w:color w:val="000000"/>
                <w:szCs w:val="21"/>
              </w:rPr>
              <w:t>以广西壮族自治区药械集中采购网药品交易系统数据为准。须提供可配送品种的名录及中标序号。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 w:hRule="atLeast"/>
        </w:trPr>
        <w:tc>
          <w:tcPr>
            <w:tcW w:w="500" w:type="dxa"/>
            <w:vMerge w:val="continue"/>
          </w:tcPr>
          <w:p>
            <w:pPr>
              <w:spacing w:line="400" w:lineRule="exact"/>
              <w:ind w:firstLine="420" w:firstLineChars="200"/>
              <w:rPr>
                <w:rFonts w:ascii="宋体" w:hAnsi="宋体" w:eastAsia="宋体" w:cs="Times New Roman"/>
                <w:bCs/>
                <w:color w:val="000000"/>
                <w:szCs w:val="21"/>
              </w:rPr>
            </w:pPr>
          </w:p>
        </w:tc>
        <w:tc>
          <w:tcPr>
            <w:tcW w:w="1001" w:type="dxa"/>
            <w:vMerge w:val="continue"/>
          </w:tcPr>
          <w:p>
            <w:pPr>
              <w:spacing w:line="400" w:lineRule="exact"/>
              <w:ind w:firstLine="420" w:firstLineChars="200"/>
              <w:rPr>
                <w:rFonts w:ascii="宋体" w:hAnsi="宋体" w:eastAsia="宋体" w:cs="Times New Roman"/>
                <w:bCs/>
                <w:color w:val="000000"/>
                <w:szCs w:val="21"/>
              </w:rPr>
            </w:pPr>
          </w:p>
        </w:tc>
        <w:tc>
          <w:tcPr>
            <w:tcW w:w="2078" w:type="dxa"/>
            <w:vAlign w:val="center"/>
          </w:tcPr>
          <w:p>
            <w:pPr>
              <w:spacing w:line="400" w:lineRule="exact"/>
              <w:rPr>
                <w:rFonts w:ascii="宋体" w:hAnsi="宋体" w:eastAsia="宋体" w:cs="Times New Roman"/>
                <w:bCs/>
                <w:color w:val="000000"/>
                <w:szCs w:val="21"/>
              </w:rPr>
            </w:pPr>
            <w:r>
              <w:rPr>
                <w:rFonts w:hint="eastAsia" w:ascii="宋体" w:hAnsi="宋体" w:eastAsia="宋体" w:cs="Times New Roman"/>
                <w:bCs/>
                <w:color w:val="000000"/>
                <w:szCs w:val="21"/>
              </w:rPr>
              <w:t>取得药品集中带量采购药品配送资格品规数</w:t>
            </w:r>
          </w:p>
          <w:p>
            <w:pPr>
              <w:spacing w:line="400" w:lineRule="exact"/>
              <w:jc w:val="center"/>
              <w:rPr>
                <w:rFonts w:ascii="宋体" w:hAnsi="宋体" w:eastAsia="宋体" w:cs="Times New Roman"/>
                <w:bCs/>
                <w:color w:val="000000"/>
                <w:szCs w:val="21"/>
              </w:rPr>
            </w:pPr>
            <w:r>
              <w:rPr>
                <w:rFonts w:hint="eastAsia" w:ascii="宋体" w:hAnsi="宋体" w:eastAsia="宋体" w:cs="Times New Roman"/>
                <w:bCs/>
                <w:color w:val="000000"/>
                <w:szCs w:val="21"/>
              </w:rPr>
              <w:t>（</w:t>
            </w:r>
            <w:r>
              <w:rPr>
                <w:rFonts w:hint="eastAsia" w:ascii="宋体" w:hAnsi="宋体" w:eastAsia="宋体" w:cs="Times New Roman"/>
                <w:bCs/>
                <w:color w:val="000000"/>
                <w:szCs w:val="21"/>
                <w:lang w:val="en-US" w:eastAsia="zh-CN"/>
              </w:rPr>
              <w:t>2</w:t>
            </w:r>
            <w:r>
              <w:rPr>
                <w:rFonts w:hint="eastAsia" w:ascii="宋体" w:hAnsi="宋体" w:eastAsia="宋体" w:cs="Times New Roman"/>
                <w:bCs/>
                <w:color w:val="000000"/>
                <w:szCs w:val="21"/>
              </w:rPr>
              <w:t>0分）</w:t>
            </w:r>
          </w:p>
        </w:tc>
        <w:tc>
          <w:tcPr>
            <w:tcW w:w="2639" w:type="dxa"/>
          </w:tcPr>
          <w:p>
            <w:pPr>
              <w:spacing w:line="400" w:lineRule="exact"/>
              <w:rPr>
                <w:rFonts w:ascii="宋体" w:hAnsi="宋体" w:eastAsia="宋体" w:cs="Times New Roman"/>
                <w:bCs/>
                <w:color w:val="000000"/>
                <w:szCs w:val="21"/>
              </w:rPr>
            </w:pPr>
            <w:r>
              <w:rPr>
                <w:rFonts w:hint="eastAsia" w:ascii="宋体" w:hAnsi="宋体" w:eastAsia="宋体" w:cs="Times New Roman"/>
                <w:bCs/>
                <w:color w:val="000000"/>
                <w:szCs w:val="21"/>
              </w:rPr>
              <w:t>取得药品集中带量采购南宁市内配送资格品规数大于150个以上的得</w:t>
            </w:r>
            <w:r>
              <w:rPr>
                <w:rFonts w:hint="eastAsia" w:ascii="宋体" w:hAnsi="宋体" w:eastAsia="宋体" w:cs="Times New Roman"/>
                <w:bCs/>
                <w:color w:val="000000"/>
                <w:szCs w:val="21"/>
                <w:lang w:val="en-US" w:eastAsia="zh-CN"/>
              </w:rPr>
              <w:t>2</w:t>
            </w:r>
            <w:r>
              <w:rPr>
                <w:rFonts w:hint="eastAsia" w:ascii="宋体" w:hAnsi="宋体" w:eastAsia="宋体" w:cs="Times New Roman"/>
                <w:bCs/>
                <w:color w:val="000000"/>
                <w:szCs w:val="21"/>
              </w:rPr>
              <w:t>0分；130-149个的得</w:t>
            </w:r>
            <w:r>
              <w:rPr>
                <w:rFonts w:hint="eastAsia" w:ascii="宋体" w:hAnsi="宋体" w:eastAsia="宋体" w:cs="Times New Roman"/>
                <w:bCs/>
                <w:color w:val="000000"/>
                <w:szCs w:val="21"/>
                <w:lang w:val="en-US" w:eastAsia="zh-CN"/>
              </w:rPr>
              <w:t>15</w:t>
            </w:r>
            <w:r>
              <w:rPr>
                <w:rFonts w:hint="eastAsia" w:ascii="宋体" w:hAnsi="宋体" w:eastAsia="宋体" w:cs="Times New Roman"/>
                <w:bCs/>
                <w:color w:val="000000"/>
                <w:szCs w:val="21"/>
              </w:rPr>
              <w:t>分；110-129个的得</w:t>
            </w:r>
            <w:r>
              <w:rPr>
                <w:rFonts w:hint="eastAsia" w:ascii="宋体" w:hAnsi="宋体" w:eastAsia="宋体" w:cs="Times New Roman"/>
                <w:bCs/>
                <w:color w:val="000000"/>
                <w:szCs w:val="21"/>
                <w:lang w:val="en-US" w:eastAsia="zh-CN"/>
              </w:rPr>
              <w:t>13</w:t>
            </w:r>
            <w:r>
              <w:rPr>
                <w:rFonts w:hint="eastAsia" w:ascii="宋体" w:hAnsi="宋体" w:eastAsia="宋体" w:cs="Times New Roman"/>
                <w:bCs/>
                <w:color w:val="000000"/>
                <w:szCs w:val="21"/>
              </w:rPr>
              <w:t>分；90-109个的得</w:t>
            </w:r>
            <w:r>
              <w:rPr>
                <w:rFonts w:hint="eastAsia" w:ascii="宋体" w:hAnsi="宋体" w:eastAsia="宋体" w:cs="Times New Roman"/>
                <w:bCs/>
                <w:color w:val="000000"/>
                <w:szCs w:val="21"/>
                <w:lang w:val="en-US" w:eastAsia="zh-CN"/>
              </w:rPr>
              <w:t>10</w:t>
            </w:r>
            <w:r>
              <w:rPr>
                <w:rFonts w:hint="eastAsia" w:ascii="宋体" w:hAnsi="宋体" w:eastAsia="宋体" w:cs="Times New Roman"/>
                <w:bCs/>
                <w:color w:val="000000"/>
                <w:szCs w:val="21"/>
              </w:rPr>
              <w:t>分；70-89个的得6分；70以下得</w:t>
            </w:r>
            <w:r>
              <w:rPr>
                <w:rFonts w:hint="eastAsia" w:ascii="宋体" w:hAnsi="宋体" w:eastAsia="宋体" w:cs="Times New Roman"/>
                <w:bCs/>
                <w:color w:val="000000"/>
                <w:szCs w:val="21"/>
                <w:lang w:val="en-US" w:eastAsia="zh-CN"/>
              </w:rPr>
              <w:t>3</w:t>
            </w:r>
            <w:r>
              <w:rPr>
                <w:rFonts w:hint="eastAsia" w:ascii="宋体" w:hAnsi="宋体" w:eastAsia="宋体" w:cs="Times New Roman"/>
                <w:bCs/>
                <w:color w:val="000000"/>
                <w:szCs w:val="21"/>
              </w:rPr>
              <w:t>分，未取得配送资格的不得分。</w:t>
            </w:r>
          </w:p>
        </w:tc>
        <w:tc>
          <w:tcPr>
            <w:tcW w:w="2304" w:type="dxa"/>
          </w:tcPr>
          <w:p>
            <w:pPr>
              <w:spacing w:line="400" w:lineRule="exact"/>
              <w:rPr>
                <w:rFonts w:ascii="宋体" w:hAnsi="宋体" w:eastAsia="宋体" w:cs="Times New Roman"/>
                <w:bCs/>
                <w:color w:val="000000"/>
                <w:szCs w:val="21"/>
              </w:rPr>
            </w:pPr>
            <w:r>
              <w:rPr>
                <w:rFonts w:hint="eastAsia" w:ascii="宋体" w:hAnsi="宋体" w:eastAsia="宋体" w:cs="Times New Roman"/>
                <w:bCs/>
                <w:color w:val="000000"/>
                <w:szCs w:val="21"/>
              </w:rPr>
              <w:t>以广西药品集团采购服务平台药品系统数据为准，须提供可配送品种的目录及系统序号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19" w:hRule="atLeast"/>
        </w:trPr>
        <w:tc>
          <w:tcPr>
            <w:tcW w:w="500" w:type="dxa"/>
            <w:vMerge w:val="restart"/>
          </w:tcPr>
          <w:p>
            <w:pPr>
              <w:spacing w:line="400" w:lineRule="exact"/>
              <w:jc w:val="center"/>
              <w:rPr>
                <w:rFonts w:ascii="宋体" w:hAnsi="宋体" w:eastAsia="宋体" w:cs="Times New Roman"/>
                <w:bCs/>
                <w:color w:val="000000"/>
                <w:szCs w:val="21"/>
              </w:rPr>
            </w:pPr>
            <w:r>
              <w:rPr>
                <w:rFonts w:hint="eastAsia" w:ascii="宋体" w:hAnsi="宋体" w:eastAsia="宋体" w:cs="Times New Roman"/>
                <w:bCs/>
                <w:color w:val="000000"/>
                <w:szCs w:val="21"/>
              </w:rPr>
              <w:t>2</w:t>
            </w:r>
          </w:p>
        </w:tc>
        <w:tc>
          <w:tcPr>
            <w:tcW w:w="1001" w:type="dxa"/>
            <w:vMerge w:val="restart"/>
          </w:tcPr>
          <w:p>
            <w:pPr>
              <w:spacing w:line="400" w:lineRule="exact"/>
              <w:rPr>
                <w:rFonts w:ascii="宋体" w:hAnsi="宋体" w:eastAsia="宋体" w:cs="Times New Roman"/>
                <w:bCs/>
                <w:color w:val="000000"/>
                <w:szCs w:val="21"/>
              </w:rPr>
            </w:pPr>
            <w:r>
              <w:rPr>
                <w:rFonts w:hint="eastAsia" w:ascii="宋体" w:hAnsi="宋体" w:eastAsia="宋体" w:cs="Times New Roman"/>
                <w:bCs/>
                <w:color w:val="000000"/>
                <w:szCs w:val="21"/>
              </w:rPr>
              <w:t>配送能力</w:t>
            </w:r>
          </w:p>
          <w:p>
            <w:pPr>
              <w:spacing w:line="400" w:lineRule="exact"/>
              <w:rPr>
                <w:rFonts w:ascii="宋体" w:hAnsi="宋体" w:eastAsia="宋体" w:cs="Times New Roman"/>
                <w:bCs/>
                <w:color w:val="000000"/>
                <w:szCs w:val="21"/>
              </w:rPr>
            </w:pPr>
            <w:r>
              <w:rPr>
                <w:rFonts w:hint="eastAsia" w:ascii="宋体" w:hAnsi="宋体" w:eastAsia="宋体" w:cs="Times New Roman"/>
                <w:bCs/>
                <w:color w:val="000000"/>
                <w:szCs w:val="21"/>
              </w:rPr>
              <w:t>（30分）</w:t>
            </w:r>
          </w:p>
        </w:tc>
        <w:tc>
          <w:tcPr>
            <w:tcW w:w="2078" w:type="dxa"/>
          </w:tcPr>
          <w:p>
            <w:pPr>
              <w:spacing w:line="400" w:lineRule="exact"/>
              <w:jc w:val="center"/>
              <w:rPr>
                <w:rFonts w:ascii="宋体" w:hAnsi="宋体" w:eastAsia="宋体" w:cs="Times New Roman"/>
                <w:bCs/>
                <w:color w:val="000000"/>
                <w:szCs w:val="21"/>
              </w:rPr>
            </w:pPr>
            <w:r>
              <w:rPr>
                <w:rFonts w:hint="eastAsia" w:ascii="宋体" w:hAnsi="宋体" w:eastAsia="宋体" w:cs="Times New Roman"/>
                <w:bCs/>
                <w:color w:val="000000"/>
                <w:szCs w:val="21"/>
              </w:rPr>
              <w:t>仓储条件</w:t>
            </w:r>
          </w:p>
          <w:p>
            <w:pPr>
              <w:spacing w:line="400" w:lineRule="exact"/>
              <w:jc w:val="center"/>
              <w:rPr>
                <w:rFonts w:ascii="宋体" w:hAnsi="宋体" w:eastAsia="宋体" w:cs="Times New Roman"/>
                <w:bCs/>
                <w:color w:val="000000"/>
                <w:szCs w:val="21"/>
              </w:rPr>
            </w:pPr>
            <w:r>
              <w:rPr>
                <w:rFonts w:hint="eastAsia" w:ascii="宋体" w:hAnsi="宋体" w:eastAsia="宋体" w:cs="Times New Roman"/>
                <w:bCs/>
                <w:color w:val="000000"/>
                <w:szCs w:val="21"/>
              </w:rPr>
              <w:t>（10分）</w:t>
            </w:r>
          </w:p>
        </w:tc>
        <w:tc>
          <w:tcPr>
            <w:tcW w:w="2639" w:type="dxa"/>
          </w:tcPr>
          <w:p>
            <w:pPr>
              <w:spacing w:line="400" w:lineRule="exact"/>
              <w:rPr>
                <w:rFonts w:ascii="宋体" w:hAnsi="宋体" w:eastAsia="宋体" w:cs="Times New Roman"/>
                <w:bCs/>
                <w:color w:val="000000"/>
                <w:szCs w:val="21"/>
              </w:rPr>
            </w:pPr>
            <w:r>
              <w:rPr>
                <w:rFonts w:hint="eastAsia" w:ascii="宋体" w:hAnsi="宋体" w:eastAsia="宋体" w:cs="Times New Roman"/>
                <w:bCs/>
                <w:color w:val="000000"/>
                <w:szCs w:val="21"/>
              </w:rPr>
              <w:t>在南宁市的仓库面积大于等于10000平方米的得10分。每少1000平方米减少1分。</w:t>
            </w:r>
          </w:p>
        </w:tc>
        <w:tc>
          <w:tcPr>
            <w:tcW w:w="2304" w:type="dxa"/>
          </w:tcPr>
          <w:p>
            <w:pPr>
              <w:spacing w:line="400" w:lineRule="exact"/>
              <w:rPr>
                <w:rFonts w:ascii="宋体" w:hAnsi="宋体" w:eastAsia="宋体" w:cs="Times New Roman"/>
                <w:bCs/>
                <w:color w:val="000000"/>
                <w:szCs w:val="21"/>
              </w:rPr>
            </w:pPr>
            <w:r>
              <w:rPr>
                <w:rFonts w:hint="eastAsia" w:ascii="宋体" w:hAnsi="宋体" w:eastAsia="宋体" w:cs="Times New Roman"/>
                <w:bCs/>
                <w:color w:val="000000"/>
                <w:szCs w:val="21"/>
              </w:rPr>
              <w:t>以仓库产权、租赁合同复印件上的面积及地址或其它有效证明为依据。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52" w:hRule="atLeast"/>
        </w:trPr>
        <w:tc>
          <w:tcPr>
            <w:tcW w:w="500" w:type="dxa"/>
            <w:vMerge w:val="continue"/>
          </w:tcPr>
          <w:p>
            <w:pPr>
              <w:spacing w:line="400" w:lineRule="exact"/>
              <w:ind w:firstLine="420" w:firstLineChars="200"/>
              <w:rPr>
                <w:rFonts w:ascii="宋体" w:hAnsi="宋体" w:eastAsia="宋体" w:cs="Times New Roman"/>
                <w:bCs/>
                <w:color w:val="000000"/>
                <w:szCs w:val="21"/>
              </w:rPr>
            </w:pPr>
          </w:p>
        </w:tc>
        <w:tc>
          <w:tcPr>
            <w:tcW w:w="1001" w:type="dxa"/>
            <w:vMerge w:val="continue"/>
          </w:tcPr>
          <w:p>
            <w:pPr>
              <w:spacing w:line="400" w:lineRule="exact"/>
              <w:ind w:firstLine="420" w:firstLineChars="200"/>
              <w:rPr>
                <w:rFonts w:ascii="宋体" w:hAnsi="宋体" w:eastAsia="宋体" w:cs="Times New Roman"/>
                <w:bCs/>
                <w:color w:val="000000"/>
                <w:szCs w:val="21"/>
              </w:rPr>
            </w:pPr>
          </w:p>
        </w:tc>
        <w:tc>
          <w:tcPr>
            <w:tcW w:w="2078" w:type="dxa"/>
          </w:tcPr>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运输能力</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（10分）</w:t>
            </w:r>
          </w:p>
        </w:tc>
        <w:tc>
          <w:tcPr>
            <w:tcW w:w="2639" w:type="dxa"/>
          </w:tcPr>
          <w:p>
            <w:pPr>
              <w:spacing w:line="400" w:lineRule="exact"/>
              <w:rPr>
                <w:rFonts w:ascii="宋体" w:hAnsi="宋体" w:eastAsia="宋体" w:cs="Times New Roman"/>
                <w:bCs/>
                <w:color w:val="000000"/>
                <w:szCs w:val="21"/>
              </w:rPr>
            </w:pPr>
            <w:r>
              <w:rPr>
                <w:rFonts w:hint="eastAsia" w:ascii="宋体" w:hAnsi="宋体" w:eastAsia="宋体" w:cs="Times New Roman"/>
                <w:bCs/>
                <w:color w:val="000000"/>
                <w:szCs w:val="21"/>
              </w:rPr>
              <w:t>配备专门配送车辆30辆及以上的得10分；20-29辆的得8分；10-19辆的得6分；5-9车辆的得3分，少于5辆的不得分。</w:t>
            </w:r>
            <w:r>
              <w:rPr>
                <w:rFonts w:hint="eastAsia" w:ascii="宋体" w:hAnsi="宋体" w:eastAsia="宋体" w:cs="Times New Roman"/>
                <w:bCs/>
                <w:color w:val="000000"/>
                <w:szCs w:val="21"/>
              </w:rPr>
              <w:br w:type="textWrapping"/>
            </w:r>
            <w:r>
              <w:rPr>
                <w:rFonts w:hint="eastAsia" w:ascii="宋体" w:hAnsi="宋体" w:eastAsia="宋体" w:cs="Times New Roman"/>
                <w:bCs/>
                <w:color w:val="000000"/>
                <w:szCs w:val="21"/>
              </w:rPr>
              <w:t>车辆必须包含至少1辆冷链配送车，否则，该项不得分。</w:t>
            </w:r>
          </w:p>
        </w:tc>
        <w:tc>
          <w:tcPr>
            <w:tcW w:w="2304" w:type="dxa"/>
          </w:tcPr>
          <w:p>
            <w:pPr>
              <w:spacing w:line="400" w:lineRule="exact"/>
              <w:rPr>
                <w:rFonts w:ascii="宋体" w:hAnsi="宋体" w:eastAsia="宋体" w:cs="Times New Roman"/>
                <w:bCs/>
                <w:color w:val="000000"/>
                <w:szCs w:val="21"/>
              </w:rPr>
            </w:pPr>
            <w:r>
              <w:rPr>
                <w:rFonts w:hint="eastAsia" w:ascii="宋体" w:hAnsi="宋体" w:eastAsia="宋体" w:cs="Times New Roman"/>
                <w:bCs/>
                <w:color w:val="000000"/>
                <w:szCs w:val="21"/>
              </w:rPr>
              <w:t>以企业拥有产权的配送车辆产权证复印件为依据。</w:t>
            </w:r>
            <w:r>
              <w:rPr>
                <w:rFonts w:hint="eastAsia" w:ascii="宋体" w:hAnsi="宋体" w:eastAsia="宋体" w:cs="Times New Roman"/>
                <w:bCs/>
                <w:color w:val="000000"/>
                <w:szCs w:val="21"/>
              </w:rPr>
              <w:br w:type="textWrapping"/>
            </w:r>
            <w:r>
              <w:rPr>
                <w:rFonts w:hint="eastAsia" w:ascii="宋体" w:hAnsi="宋体" w:eastAsia="宋体" w:cs="Times New Roman"/>
                <w:bCs/>
                <w:color w:val="000000"/>
                <w:szCs w:val="21"/>
              </w:rPr>
              <w:t>单列冷链配送车数量及信息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20" w:hRule="atLeast"/>
        </w:trPr>
        <w:tc>
          <w:tcPr>
            <w:tcW w:w="500" w:type="dxa"/>
            <w:vMerge w:val="continue"/>
          </w:tcPr>
          <w:p>
            <w:pPr>
              <w:spacing w:line="400" w:lineRule="exact"/>
              <w:ind w:firstLine="420" w:firstLineChars="200"/>
              <w:rPr>
                <w:rFonts w:ascii="宋体" w:hAnsi="宋体" w:eastAsia="宋体" w:cs="Times New Roman"/>
                <w:bCs/>
                <w:color w:val="000000"/>
                <w:szCs w:val="21"/>
              </w:rPr>
            </w:pPr>
          </w:p>
        </w:tc>
        <w:tc>
          <w:tcPr>
            <w:tcW w:w="1001" w:type="dxa"/>
            <w:vMerge w:val="continue"/>
          </w:tcPr>
          <w:p>
            <w:pPr>
              <w:spacing w:line="400" w:lineRule="exact"/>
              <w:ind w:firstLine="420" w:firstLineChars="200"/>
              <w:rPr>
                <w:rFonts w:ascii="宋体" w:hAnsi="宋体" w:eastAsia="宋体" w:cs="Times New Roman"/>
                <w:bCs/>
                <w:color w:val="000000"/>
                <w:szCs w:val="21"/>
              </w:rPr>
            </w:pPr>
          </w:p>
        </w:tc>
        <w:tc>
          <w:tcPr>
            <w:tcW w:w="2078" w:type="dxa"/>
          </w:tcPr>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应急机制</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（10分）</w:t>
            </w:r>
          </w:p>
        </w:tc>
        <w:tc>
          <w:tcPr>
            <w:tcW w:w="2639" w:type="dxa"/>
          </w:tcPr>
          <w:p>
            <w:pPr>
              <w:spacing w:line="400" w:lineRule="exact"/>
              <w:rPr>
                <w:rFonts w:ascii="宋体" w:hAnsi="宋体" w:eastAsia="宋体" w:cs="Times New Roman"/>
                <w:bCs/>
                <w:color w:val="000000"/>
                <w:szCs w:val="21"/>
              </w:rPr>
            </w:pPr>
            <w:r>
              <w:rPr>
                <w:rFonts w:hint="eastAsia" w:ascii="宋体" w:hAnsi="宋体" w:eastAsia="宋体" w:cs="Times New Roman"/>
                <w:bCs/>
                <w:color w:val="000000"/>
                <w:szCs w:val="21"/>
              </w:rPr>
              <w:t>提供的方案同时满足三项10分；</w:t>
            </w:r>
            <w:r>
              <w:rPr>
                <w:rFonts w:hint="eastAsia" w:ascii="宋体" w:hAnsi="宋体" w:eastAsia="宋体" w:cs="Times New Roman"/>
                <w:bCs/>
                <w:color w:val="000000"/>
                <w:szCs w:val="21"/>
              </w:rPr>
              <w:br w:type="textWrapping"/>
            </w:r>
            <w:r>
              <w:rPr>
                <w:rFonts w:hint="eastAsia" w:ascii="宋体" w:hAnsi="宋体" w:eastAsia="宋体" w:cs="Times New Roman"/>
                <w:bCs/>
                <w:color w:val="000000"/>
                <w:szCs w:val="21"/>
              </w:rPr>
              <w:t>提供的方案满足其中两项6分；</w:t>
            </w:r>
            <w:r>
              <w:rPr>
                <w:rFonts w:hint="eastAsia" w:ascii="宋体" w:hAnsi="宋体" w:eastAsia="宋体" w:cs="Times New Roman"/>
                <w:bCs/>
                <w:color w:val="000000"/>
                <w:szCs w:val="21"/>
              </w:rPr>
              <w:br w:type="textWrapping"/>
            </w:r>
            <w:r>
              <w:rPr>
                <w:rFonts w:hint="eastAsia" w:ascii="宋体" w:hAnsi="宋体" w:eastAsia="宋体" w:cs="Times New Roman"/>
                <w:bCs/>
                <w:color w:val="000000"/>
                <w:szCs w:val="21"/>
              </w:rPr>
              <w:t>提供的方案只满足一项 2分；</w:t>
            </w:r>
            <w:r>
              <w:rPr>
                <w:rFonts w:hint="eastAsia" w:ascii="宋体" w:hAnsi="宋体" w:eastAsia="宋体" w:cs="Times New Roman"/>
                <w:bCs/>
                <w:color w:val="000000"/>
                <w:szCs w:val="21"/>
              </w:rPr>
              <w:br w:type="textWrapping"/>
            </w:r>
            <w:r>
              <w:rPr>
                <w:rFonts w:hint="eastAsia" w:ascii="宋体" w:hAnsi="宋体" w:eastAsia="宋体" w:cs="Times New Roman"/>
                <w:bCs/>
                <w:color w:val="000000"/>
                <w:szCs w:val="21"/>
              </w:rPr>
              <w:t>均不满足则不得分。</w:t>
            </w:r>
            <w:r>
              <w:rPr>
                <w:rFonts w:hint="eastAsia" w:ascii="宋体" w:hAnsi="宋体" w:eastAsia="宋体" w:cs="Times New Roman"/>
                <w:bCs/>
                <w:color w:val="000000"/>
                <w:szCs w:val="21"/>
              </w:rPr>
              <w:br w:type="textWrapping"/>
            </w:r>
            <w:r>
              <w:rPr>
                <w:rFonts w:hint="eastAsia" w:ascii="宋体" w:hAnsi="宋体" w:eastAsia="宋体" w:cs="Times New Roman"/>
                <w:bCs/>
                <w:color w:val="000000"/>
                <w:szCs w:val="21"/>
              </w:rPr>
              <w:t>若</w:t>
            </w:r>
            <w:r>
              <w:rPr>
                <w:rFonts w:hint="eastAsia" w:ascii="宋体" w:hAnsi="宋体" w:eastAsia="宋体" w:cs="Times New Roman"/>
                <w:bCs/>
                <w:color w:val="000000"/>
                <w:szCs w:val="21"/>
                <w:lang w:val="en-US" w:eastAsia="zh-CN"/>
              </w:rPr>
              <w:t>满足</w:t>
            </w:r>
            <w:r>
              <w:rPr>
                <w:rFonts w:hint="eastAsia" w:ascii="宋体" w:hAnsi="宋体" w:eastAsia="宋体" w:cs="Times New Roman"/>
                <w:bCs/>
                <w:color w:val="000000"/>
                <w:szCs w:val="21"/>
              </w:rPr>
              <w:t>评审内容第（3）点，</w:t>
            </w:r>
            <w:r>
              <w:rPr>
                <w:rFonts w:hint="eastAsia" w:ascii="宋体" w:hAnsi="宋体" w:eastAsia="宋体" w:cs="Times New Roman"/>
                <w:bCs/>
                <w:color w:val="000000"/>
                <w:szCs w:val="21"/>
                <w:lang w:val="en-US" w:eastAsia="zh-CN"/>
              </w:rPr>
              <w:t>需</w:t>
            </w:r>
            <w:r>
              <w:rPr>
                <w:rFonts w:hint="eastAsia" w:ascii="宋体" w:hAnsi="宋体" w:eastAsia="宋体" w:cs="Times New Roman"/>
                <w:bCs/>
                <w:color w:val="000000"/>
                <w:szCs w:val="21"/>
              </w:rPr>
              <w:t>提供有效的证明材料作为得分依据。</w:t>
            </w:r>
          </w:p>
        </w:tc>
        <w:tc>
          <w:tcPr>
            <w:tcW w:w="2304" w:type="dxa"/>
          </w:tcPr>
          <w:p>
            <w:pPr>
              <w:spacing w:line="400" w:lineRule="exact"/>
              <w:rPr>
                <w:rFonts w:ascii="宋体" w:hAnsi="宋体" w:eastAsia="宋体" w:cs="Times New Roman"/>
                <w:bCs/>
                <w:color w:val="000000"/>
                <w:szCs w:val="21"/>
              </w:rPr>
            </w:pPr>
            <w:r>
              <w:rPr>
                <w:rFonts w:hint="eastAsia" w:ascii="宋体" w:hAnsi="宋体" w:eastAsia="宋体" w:cs="Times New Roman"/>
                <w:bCs/>
                <w:color w:val="000000"/>
                <w:szCs w:val="21"/>
              </w:rPr>
              <w:t>评审内容：</w:t>
            </w:r>
            <w:r>
              <w:rPr>
                <w:rFonts w:hint="eastAsia" w:ascii="宋体" w:hAnsi="宋体" w:eastAsia="宋体" w:cs="Times New Roman"/>
                <w:bCs/>
                <w:color w:val="000000"/>
                <w:szCs w:val="21"/>
              </w:rPr>
              <w:br w:type="textWrapping"/>
            </w:r>
            <w:r>
              <w:rPr>
                <w:rFonts w:hint="eastAsia" w:ascii="宋体" w:hAnsi="宋体" w:eastAsia="宋体" w:cs="Times New Roman"/>
                <w:bCs/>
                <w:color w:val="000000"/>
                <w:szCs w:val="21"/>
              </w:rPr>
              <w:t>（1）抢救药、重大疫情及突发事件所需的药品或其他特殊加急药品的应对措施；</w:t>
            </w:r>
            <w:r>
              <w:rPr>
                <w:rFonts w:hint="eastAsia" w:ascii="宋体" w:hAnsi="宋体" w:eastAsia="宋体" w:cs="Times New Roman"/>
                <w:bCs/>
                <w:color w:val="000000"/>
                <w:szCs w:val="21"/>
              </w:rPr>
              <w:br w:type="textWrapping"/>
            </w:r>
            <w:r>
              <w:rPr>
                <w:rFonts w:hint="eastAsia" w:ascii="宋体" w:hAnsi="宋体" w:eastAsia="宋体" w:cs="Times New Roman"/>
                <w:bCs/>
                <w:color w:val="000000"/>
                <w:szCs w:val="21"/>
              </w:rPr>
              <w:t>（2）对于医院断电等特殊情况的冷藏药品的保障措施；</w:t>
            </w:r>
            <w:r>
              <w:rPr>
                <w:rFonts w:hint="eastAsia" w:ascii="宋体" w:hAnsi="宋体" w:eastAsia="宋体" w:cs="Times New Roman"/>
                <w:bCs/>
                <w:color w:val="000000"/>
                <w:szCs w:val="21"/>
              </w:rPr>
              <w:br w:type="textWrapping"/>
            </w:r>
            <w:r>
              <w:rPr>
                <w:rFonts w:hint="eastAsia" w:ascii="宋体" w:hAnsi="宋体" w:eastAsia="宋体" w:cs="Times New Roman"/>
                <w:bCs/>
                <w:color w:val="000000"/>
                <w:szCs w:val="21"/>
              </w:rPr>
              <w:t>（3）是否为本市药品储备单位。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75" w:hRule="atLeast"/>
        </w:trPr>
        <w:tc>
          <w:tcPr>
            <w:tcW w:w="500" w:type="dxa"/>
            <w:noWrap/>
          </w:tcPr>
          <w:p>
            <w:pPr>
              <w:spacing w:line="400" w:lineRule="exact"/>
              <w:jc w:val="center"/>
              <w:rPr>
                <w:rFonts w:ascii="宋体" w:hAnsi="宋体" w:eastAsia="宋体" w:cs="Times New Roman"/>
                <w:bCs/>
                <w:color w:val="000000"/>
                <w:szCs w:val="21"/>
              </w:rPr>
            </w:pPr>
            <w:r>
              <w:rPr>
                <w:rFonts w:hint="eastAsia" w:ascii="宋体" w:hAnsi="宋体" w:eastAsia="宋体" w:cs="Times New Roman"/>
                <w:bCs/>
                <w:color w:val="000000"/>
                <w:szCs w:val="21"/>
              </w:rPr>
              <w:t>3</w:t>
            </w:r>
          </w:p>
        </w:tc>
        <w:tc>
          <w:tcPr>
            <w:tcW w:w="1001" w:type="dxa"/>
          </w:tcPr>
          <w:p>
            <w:pPr>
              <w:spacing w:line="400" w:lineRule="exact"/>
              <w:rPr>
                <w:rFonts w:ascii="宋体" w:hAnsi="宋体" w:eastAsia="宋体" w:cs="Times New Roman"/>
                <w:bCs/>
                <w:color w:val="000000"/>
                <w:szCs w:val="21"/>
              </w:rPr>
            </w:pPr>
            <w:r>
              <w:rPr>
                <w:rFonts w:hint="eastAsia" w:ascii="宋体" w:hAnsi="宋体" w:eastAsia="宋体" w:cs="Times New Roman"/>
                <w:bCs/>
                <w:color w:val="000000"/>
                <w:szCs w:val="21"/>
              </w:rPr>
              <w:t>配送承诺</w:t>
            </w:r>
          </w:p>
          <w:p>
            <w:pPr>
              <w:spacing w:line="400" w:lineRule="exact"/>
              <w:rPr>
                <w:rFonts w:ascii="宋体" w:hAnsi="宋体" w:eastAsia="宋体" w:cs="Times New Roman"/>
                <w:bCs/>
                <w:color w:val="000000"/>
                <w:szCs w:val="21"/>
              </w:rPr>
            </w:pPr>
            <w:r>
              <w:rPr>
                <w:rFonts w:hint="eastAsia" w:ascii="宋体" w:hAnsi="宋体" w:eastAsia="宋体" w:cs="Times New Roman"/>
                <w:bCs/>
                <w:color w:val="000000"/>
                <w:szCs w:val="21"/>
              </w:rPr>
              <w:t>（20分）</w:t>
            </w:r>
          </w:p>
        </w:tc>
        <w:tc>
          <w:tcPr>
            <w:tcW w:w="2078" w:type="dxa"/>
          </w:tcPr>
          <w:p>
            <w:pPr>
              <w:spacing w:line="400" w:lineRule="exact"/>
              <w:rPr>
                <w:rFonts w:ascii="宋体" w:hAnsi="宋体" w:eastAsia="宋体" w:cs="Times New Roman"/>
                <w:bCs/>
                <w:color w:val="000000"/>
                <w:szCs w:val="21"/>
              </w:rPr>
            </w:pPr>
            <w:r>
              <w:rPr>
                <w:rFonts w:hint="eastAsia" w:ascii="宋体" w:hAnsi="宋体" w:eastAsia="宋体" w:cs="Times New Roman"/>
                <w:bCs/>
                <w:color w:val="000000"/>
                <w:szCs w:val="21"/>
              </w:rPr>
              <w:t>履约能力响应情况</w:t>
            </w:r>
          </w:p>
        </w:tc>
        <w:tc>
          <w:tcPr>
            <w:tcW w:w="2639" w:type="dxa"/>
          </w:tcPr>
          <w:p>
            <w:pPr>
              <w:spacing w:line="400" w:lineRule="exact"/>
              <w:rPr>
                <w:rFonts w:ascii="宋体" w:hAnsi="宋体" w:eastAsia="宋体" w:cs="Times New Roman"/>
                <w:bCs/>
                <w:color w:val="000000"/>
                <w:szCs w:val="21"/>
              </w:rPr>
            </w:pPr>
            <w:r>
              <w:rPr>
                <w:rFonts w:hint="eastAsia" w:ascii="宋体" w:hAnsi="宋体" w:eastAsia="宋体" w:cs="Times New Roman"/>
                <w:bCs/>
                <w:color w:val="000000"/>
                <w:szCs w:val="21"/>
              </w:rPr>
              <w:t>（1）响应人必须具备满足医疗机构临床需求的配送能力。不论医疗机构采购药品规模大小，响应人均应保证配送。</w:t>
            </w:r>
            <w:r>
              <w:rPr>
                <w:rFonts w:hint="eastAsia" w:ascii="宋体" w:hAnsi="宋体" w:eastAsia="宋体" w:cs="Times New Roman"/>
                <w:bCs/>
                <w:color w:val="000000"/>
                <w:szCs w:val="21"/>
              </w:rPr>
              <w:br w:type="textWrapping"/>
            </w:r>
            <w:r>
              <w:rPr>
                <w:rFonts w:hint="eastAsia" w:ascii="宋体" w:hAnsi="宋体" w:eastAsia="宋体" w:cs="Times New Roman"/>
                <w:bCs/>
                <w:color w:val="000000"/>
                <w:szCs w:val="21"/>
              </w:rPr>
              <w:t>可配送5分；否则不得分。</w:t>
            </w:r>
            <w:r>
              <w:rPr>
                <w:rFonts w:hint="eastAsia" w:ascii="宋体" w:hAnsi="宋体" w:eastAsia="宋体" w:cs="Times New Roman"/>
                <w:bCs/>
                <w:color w:val="000000"/>
                <w:szCs w:val="21"/>
              </w:rPr>
              <w:br w:type="textWrapping"/>
            </w:r>
            <w:r>
              <w:rPr>
                <w:rFonts w:hint="eastAsia" w:ascii="宋体" w:hAnsi="宋体" w:eastAsia="宋体" w:cs="Times New Roman"/>
                <w:bCs/>
                <w:color w:val="000000"/>
                <w:szCs w:val="21"/>
              </w:rPr>
              <w:t>（2）急救 2 小时内送达，急需药品 4 小时内送达，可得5分，承诺每增加1小时减1分，扣完为止；</w:t>
            </w:r>
            <w:r>
              <w:rPr>
                <w:rFonts w:hint="eastAsia" w:ascii="宋体" w:hAnsi="宋体" w:eastAsia="宋体" w:cs="Times New Roman"/>
                <w:bCs/>
                <w:color w:val="000000"/>
                <w:szCs w:val="21"/>
              </w:rPr>
              <w:br w:type="textWrapping"/>
            </w:r>
            <w:r>
              <w:rPr>
                <w:rFonts w:hint="eastAsia" w:ascii="宋体" w:hAnsi="宋体" w:eastAsia="宋体" w:cs="Times New Roman"/>
                <w:bCs/>
                <w:color w:val="000000"/>
                <w:szCs w:val="21"/>
              </w:rPr>
              <w:t>（3）一般药品 24 小时内送到，最长不超过 48 小时，节假日照常配送，保证一日多次配送。</w:t>
            </w:r>
            <w:r>
              <w:rPr>
                <w:rFonts w:hint="eastAsia" w:ascii="宋体" w:hAnsi="宋体" w:eastAsia="宋体" w:cs="Times New Roman"/>
                <w:bCs/>
                <w:color w:val="000000"/>
                <w:szCs w:val="21"/>
              </w:rPr>
              <w:br w:type="textWrapping"/>
            </w:r>
            <w:r>
              <w:rPr>
                <w:rFonts w:hint="eastAsia" w:ascii="宋体" w:hAnsi="宋体" w:eastAsia="宋体" w:cs="Times New Roman"/>
                <w:bCs/>
                <w:color w:val="000000"/>
                <w:szCs w:val="21"/>
              </w:rPr>
              <w:t>≤24小时送达 5 分，每增加12小时扣1分，扣完为止；</w:t>
            </w:r>
            <w:r>
              <w:rPr>
                <w:rFonts w:hint="eastAsia" w:ascii="宋体" w:hAnsi="宋体" w:eastAsia="宋体" w:cs="Times New Roman"/>
                <w:bCs/>
                <w:color w:val="000000"/>
                <w:szCs w:val="21"/>
              </w:rPr>
              <w:br w:type="textWrapping"/>
            </w:r>
            <w:r>
              <w:rPr>
                <w:rFonts w:hint="eastAsia" w:ascii="宋体" w:hAnsi="宋体" w:eastAsia="宋体" w:cs="Times New Roman"/>
                <w:bCs/>
                <w:color w:val="000000"/>
                <w:szCs w:val="21"/>
              </w:rPr>
              <w:t>（4）配送距离：20公里以内得 5 分，每增加 5 公里减 1 分，扣完为止。</w:t>
            </w:r>
          </w:p>
        </w:tc>
        <w:tc>
          <w:tcPr>
            <w:tcW w:w="2304" w:type="dxa"/>
          </w:tcPr>
          <w:p>
            <w:pPr>
              <w:spacing w:line="400" w:lineRule="exact"/>
              <w:rPr>
                <w:rFonts w:ascii="宋体" w:hAnsi="宋体" w:eastAsia="宋体" w:cs="Times New Roman"/>
                <w:bCs/>
                <w:color w:val="000000"/>
                <w:szCs w:val="21"/>
              </w:rPr>
            </w:pPr>
            <w:r>
              <w:rPr>
                <w:rFonts w:hint="eastAsia" w:ascii="宋体" w:hAnsi="宋体" w:eastAsia="宋体" w:cs="Times New Roman"/>
                <w:bCs/>
                <w:color w:val="000000"/>
                <w:szCs w:val="21"/>
              </w:rPr>
              <w:t>（1）响应人应配合院方采购计划进行配送；</w:t>
            </w:r>
            <w:r>
              <w:rPr>
                <w:rFonts w:hint="eastAsia" w:ascii="宋体" w:hAnsi="宋体" w:eastAsia="宋体" w:cs="Times New Roman"/>
                <w:bCs/>
                <w:color w:val="000000"/>
                <w:szCs w:val="21"/>
              </w:rPr>
              <w:br w:type="textWrapping"/>
            </w:r>
            <w:r>
              <w:rPr>
                <w:rFonts w:hint="eastAsia" w:ascii="宋体" w:hAnsi="宋体" w:eastAsia="宋体" w:cs="Times New Roman"/>
                <w:bCs/>
                <w:color w:val="000000"/>
                <w:szCs w:val="21"/>
              </w:rPr>
              <w:t>（2）急救及急需药品响应及送到时间；</w:t>
            </w:r>
            <w:r>
              <w:rPr>
                <w:rFonts w:hint="eastAsia" w:ascii="宋体" w:hAnsi="宋体" w:eastAsia="宋体" w:cs="Times New Roman"/>
                <w:bCs/>
                <w:color w:val="000000"/>
                <w:szCs w:val="21"/>
              </w:rPr>
              <w:br w:type="textWrapping"/>
            </w:r>
            <w:r>
              <w:rPr>
                <w:rFonts w:hint="eastAsia" w:ascii="宋体" w:hAnsi="宋体" w:eastAsia="宋体" w:cs="Times New Roman"/>
                <w:bCs/>
                <w:color w:val="000000"/>
                <w:szCs w:val="21"/>
              </w:rPr>
              <w:t>（3）普通药品响应及送达时间；</w:t>
            </w:r>
            <w:r>
              <w:rPr>
                <w:rFonts w:hint="eastAsia" w:ascii="宋体" w:hAnsi="宋体" w:eastAsia="宋体" w:cs="Times New Roman"/>
                <w:bCs/>
                <w:color w:val="000000"/>
                <w:szCs w:val="21"/>
              </w:rPr>
              <w:br w:type="textWrapping"/>
            </w:r>
            <w:r>
              <w:rPr>
                <w:rFonts w:hint="eastAsia" w:ascii="宋体" w:hAnsi="宋体" w:eastAsia="宋体" w:cs="Times New Roman"/>
                <w:bCs/>
                <w:color w:val="000000"/>
                <w:szCs w:val="21"/>
              </w:rPr>
              <w:t>（4）配送距离。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7" w:hRule="atLeast"/>
        </w:trPr>
        <w:tc>
          <w:tcPr>
            <w:tcW w:w="500" w:type="dxa"/>
            <w:noWrap/>
          </w:tcPr>
          <w:p>
            <w:pPr>
              <w:spacing w:line="400" w:lineRule="exact"/>
              <w:jc w:val="center"/>
              <w:rPr>
                <w:rFonts w:ascii="宋体" w:hAnsi="宋体" w:eastAsia="宋体" w:cs="Times New Roman"/>
                <w:bCs/>
                <w:color w:val="000000"/>
                <w:szCs w:val="21"/>
              </w:rPr>
            </w:pPr>
            <w:r>
              <w:rPr>
                <w:rFonts w:hint="eastAsia" w:ascii="宋体" w:hAnsi="宋体" w:eastAsia="宋体" w:cs="Times New Roman"/>
                <w:bCs/>
                <w:color w:val="000000"/>
                <w:szCs w:val="21"/>
              </w:rPr>
              <w:t>4</w:t>
            </w:r>
          </w:p>
        </w:tc>
        <w:tc>
          <w:tcPr>
            <w:tcW w:w="1001" w:type="dxa"/>
          </w:tcPr>
          <w:p>
            <w:pPr>
              <w:spacing w:line="400" w:lineRule="exact"/>
              <w:rPr>
                <w:rFonts w:ascii="宋体" w:hAnsi="宋体" w:eastAsia="宋体" w:cs="Times New Roman"/>
                <w:bCs/>
                <w:color w:val="000000"/>
                <w:szCs w:val="21"/>
              </w:rPr>
            </w:pPr>
            <w:r>
              <w:rPr>
                <w:rFonts w:hint="eastAsia" w:ascii="宋体" w:hAnsi="宋体" w:eastAsia="宋体" w:cs="Times New Roman"/>
                <w:bCs/>
                <w:color w:val="000000"/>
                <w:szCs w:val="21"/>
                <w:lang w:val="en-US" w:eastAsia="zh-CN"/>
              </w:rPr>
              <w:t>业绩分</w:t>
            </w:r>
            <w:r>
              <w:rPr>
                <w:rFonts w:hint="eastAsia" w:ascii="宋体" w:hAnsi="宋体" w:eastAsia="宋体" w:cs="Times New Roman"/>
                <w:bCs/>
                <w:color w:val="000000"/>
                <w:szCs w:val="21"/>
              </w:rPr>
              <w:t>（10分）</w:t>
            </w:r>
          </w:p>
        </w:tc>
        <w:tc>
          <w:tcPr>
            <w:tcW w:w="2078" w:type="dxa"/>
          </w:tcPr>
          <w:p>
            <w:pPr>
              <w:spacing w:line="400" w:lineRule="exact"/>
              <w:jc w:val="center"/>
              <w:rPr>
                <w:rFonts w:ascii="宋体" w:hAnsi="宋体" w:eastAsia="宋体" w:cs="Times New Roman"/>
                <w:bCs/>
                <w:color w:val="000000"/>
                <w:szCs w:val="21"/>
              </w:rPr>
            </w:pPr>
            <w:r>
              <w:rPr>
                <w:rFonts w:hint="eastAsia" w:ascii="宋体" w:hAnsi="宋体" w:eastAsia="宋体" w:cs="Times New Roman"/>
                <w:bCs/>
                <w:color w:val="000000"/>
                <w:szCs w:val="21"/>
                <w:lang w:val="en-US" w:eastAsia="zh-CN"/>
              </w:rPr>
              <w:t>业绩分</w:t>
            </w:r>
            <w:r>
              <w:rPr>
                <w:rFonts w:hint="eastAsia" w:ascii="宋体" w:hAnsi="宋体" w:eastAsia="宋体" w:cs="Times New Roman"/>
                <w:bCs/>
                <w:color w:val="000000"/>
                <w:szCs w:val="21"/>
              </w:rPr>
              <w:t>(10分)</w:t>
            </w:r>
          </w:p>
        </w:tc>
        <w:tc>
          <w:tcPr>
            <w:tcW w:w="2639" w:type="dxa"/>
          </w:tcPr>
          <w:p>
            <w:pPr>
              <w:spacing w:line="400" w:lineRule="exact"/>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提供与三甲医院的合同复印件，提供1个得2分，满分10分。</w:t>
            </w:r>
          </w:p>
        </w:tc>
        <w:tc>
          <w:tcPr>
            <w:tcW w:w="2304" w:type="dxa"/>
          </w:tcPr>
          <w:p>
            <w:pPr>
              <w:spacing w:line="400" w:lineRule="exact"/>
              <w:rPr>
                <w:rFonts w:ascii="宋体" w:hAnsi="宋体" w:eastAsia="宋体" w:cs="Times New Roman"/>
                <w:bCs/>
                <w:color w:val="000000"/>
                <w:szCs w:val="21"/>
              </w:rPr>
            </w:pPr>
          </w:p>
        </w:tc>
      </w:tr>
    </w:tbl>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（三）总得分</w:t>
      </w:r>
      <w:r>
        <w:rPr>
          <w:rFonts w:ascii="宋体" w:hAnsi="宋体" w:eastAsia="宋体" w:cs="Times New Roman"/>
          <w:bCs/>
          <w:color w:val="000000"/>
          <w:szCs w:val="21"/>
        </w:rPr>
        <w:t>=1+2+3</w:t>
      </w:r>
      <w:r>
        <w:rPr>
          <w:rFonts w:hint="eastAsia" w:ascii="宋体" w:hAnsi="宋体" w:eastAsia="宋体" w:cs="Times New Roman"/>
          <w:bCs/>
          <w:color w:val="000000"/>
          <w:szCs w:val="21"/>
        </w:rPr>
        <w:t>+</w:t>
      </w:r>
      <w:r>
        <w:rPr>
          <w:rFonts w:ascii="宋体" w:hAnsi="宋体" w:eastAsia="宋体" w:cs="Times New Roman"/>
          <w:bCs/>
          <w:color w:val="000000"/>
          <w:szCs w:val="21"/>
        </w:rPr>
        <w:t>4。</w:t>
      </w:r>
    </w:p>
    <w:p>
      <w:pPr>
        <w:spacing w:line="276" w:lineRule="auto"/>
        <w:ind w:firstLine="422" w:firstLineChars="200"/>
        <w:jc w:val="left"/>
        <w:rPr>
          <w:rFonts w:ascii="宋体" w:hAnsi="宋体" w:eastAsia="宋体"/>
          <w:b/>
          <w:bCs/>
          <w:szCs w:val="21"/>
        </w:rPr>
      </w:pPr>
      <w:r>
        <w:rPr>
          <w:rFonts w:hint="eastAsia" w:ascii="宋体" w:hAnsi="宋体" w:eastAsia="宋体"/>
          <w:b/>
          <w:bCs/>
          <w:szCs w:val="21"/>
        </w:rPr>
        <w:t>四、中标候选人推荐原则</w:t>
      </w:r>
    </w:p>
    <w:p>
      <w:pPr>
        <w:spacing w:line="276" w:lineRule="auto"/>
        <w:ind w:firstLine="420" w:firstLineChars="200"/>
        <w:jc w:val="left"/>
        <w:rPr>
          <w:rFonts w:ascii="宋体" w:hAnsi="宋体" w:eastAsia="宋体"/>
          <w:szCs w:val="21"/>
        </w:rPr>
      </w:pPr>
      <w:r>
        <w:rPr>
          <w:rFonts w:hint="eastAsia" w:ascii="宋体" w:hAnsi="宋体" w:eastAsia="宋体"/>
          <w:szCs w:val="21"/>
        </w:rPr>
        <w:t>评</w:t>
      </w:r>
      <w:r>
        <w:rPr>
          <w:rFonts w:hint="eastAsia" w:ascii="宋体" w:hAnsi="宋体" w:eastAsia="宋体"/>
          <w:szCs w:val="21"/>
          <w:lang w:val="en-US" w:eastAsia="zh-CN"/>
        </w:rPr>
        <w:t>审</w:t>
      </w:r>
      <w:r>
        <w:rPr>
          <w:rFonts w:hint="eastAsia" w:ascii="宋体" w:hAnsi="宋体" w:eastAsia="宋体"/>
          <w:szCs w:val="21"/>
        </w:rPr>
        <w:t>小组将根据得分由高到低排列次序（得分相同时，以综合实力分由高到低顺序排列；得分相同且综合实力分相同的，按配送能力分顺序排列）。评审小组</w:t>
      </w:r>
      <w:r>
        <w:rPr>
          <w:rFonts w:hint="eastAsia" w:ascii="宋体" w:hAnsi="宋体" w:eastAsia="宋体"/>
          <w:szCs w:val="21"/>
          <w:lang w:val="en-US" w:eastAsia="zh-CN"/>
        </w:rPr>
        <w:t>根据得分</w:t>
      </w:r>
      <w:r>
        <w:rPr>
          <w:rFonts w:hint="eastAsia" w:ascii="宋体" w:hAnsi="宋体" w:eastAsia="宋体"/>
          <w:szCs w:val="21"/>
        </w:rPr>
        <w:t>排名</w:t>
      </w:r>
      <w:r>
        <w:rPr>
          <w:rFonts w:hint="eastAsia" w:ascii="宋体" w:hAnsi="宋体" w:eastAsia="宋体"/>
          <w:szCs w:val="21"/>
          <w:lang w:val="en-US" w:eastAsia="zh-CN"/>
        </w:rPr>
        <w:t>及医院实际情况推荐中选人</w:t>
      </w:r>
      <w:r>
        <w:rPr>
          <w:rFonts w:hint="eastAsia" w:ascii="宋体" w:hAnsi="宋体" w:eastAsia="宋体"/>
          <w:szCs w:val="21"/>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9129E24"/>
    <w:multiLevelType w:val="singleLevel"/>
    <w:tmpl w:val="49129E24"/>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U1YzFiYTBmYzhkZTkxNjhiZTcwNjI2MTFkZjEwMzEifQ=="/>
  </w:docVars>
  <w:rsids>
    <w:rsidRoot w:val="004970E7"/>
    <w:rsid w:val="0000112F"/>
    <w:rsid w:val="000079F3"/>
    <w:rsid w:val="00025A8E"/>
    <w:rsid w:val="00042CED"/>
    <w:rsid w:val="000463F0"/>
    <w:rsid w:val="00066D0F"/>
    <w:rsid w:val="00076BFC"/>
    <w:rsid w:val="000D0650"/>
    <w:rsid w:val="000F1777"/>
    <w:rsid w:val="001115B9"/>
    <w:rsid w:val="0013782D"/>
    <w:rsid w:val="00141E47"/>
    <w:rsid w:val="0014724D"/>
    <w:rsid w:val="00164024"/>
    <w:rsid w:val="001863F1"/>
    <w:rsid w:val="00190FFF"/>
    <w:rsid w:val="001947FD"/>
    <w:rsid w:val="001E59EF"/>
    <w:rsid w:val="001F6FEB"/>
    <w:rsid w:val="0024032F"/>
    <w:rsid w:val="002433FD"/>
    <w:rsid w:val="00246FCB"/>
    <w:rsid w:val="002E5099"/>
    <w:rsid w:val="002F5D31"/>
    <w:rsid w:val="003235AC"/>
    <w:rsid w:val="00345625"/>
    <w:rsid w:val="003A17D0"/>
    <w:rsid w:val="003D02A1"/>
    <w:rsid w:val="003D4A28"/>
    <w:rsid w:val="004031EA"/>
    <w:rsid w:val="004261FD"/>
    <w:rsid w:val="004970E7"/>
    <w:rsid w:val="004B7907"/>
    <w:rsid w:val="005002A7"/>
    <w:rsid w:val="00500B77"/>
    <w:rsid w:val="005563CC"/>
    <w:rsid w:val="0055706B"/>
    <w:rsid w:val="00587767"/>
    <w:rsid w:val="005911FF"/>
    <w:rsid w:val="005A4B19"/>
    <w:rsid w:val="005E5076"/>
    <w:rsid w:val="00645695"/>
    <w:rsid w:val="006A1DFD"/>
    <w:rsid w:val="006E370F"/>
    <w:rsid w:val="0070309E"/>
    <w:rsid w:val="0070502A"/>
    <w:rsid w:val="00782048"/>
    <w:rsid w:val="00794DA6"/>
    <w:rsid w:val="007A7D54"/>
    <w:rsid w:val="00825E09"/>
    <w:rsid w:val="00841319"/>
    <w:rsid w:val="00874631"/>
    <w:rsid w:val="00890147"/>
    <w:rsid w:val="008B5B3D"/>
    <w:rsid w:val="008B759C"/>
    <w:rsid w:val="008C1B26"/>
    <w:rsid w:val="00931700"/>
    <w:rsid w:val="00976EF4"/>
    <w:rsid w:val="00991250"/>
    <w:rsid w:val="009A1BD7"/>
    <w:rsid w:val="009F3B4C"/>
    <w:rsid w:val="00A31622"/>
    <w:rsid w:val="00A440C3"/>
    <w:rsid w:val="00A80F63"/>
    <w:rsid w:val="00A90BD8"/>
    <w:rsid w:val="00B002D0"/>
    <w:rsid w:val="00B05279"/>
    <w:rsid w:val="00B207CB"/>
    <w:rsid w:val="00B91EBF"/>
    <w:rsid w:val="00BD2670"/>
    <w:rsid w:val="00BF0177"/>
    <w:rsid w:val="00BF2804"/>
    <w:rsid w:val="00C51223"/>
    <w:rsid w:val="00C70D50"/>
    <w:rsid w:val="00CA32F0"/>
    <w:rsid w:val="00CD139C"/>
    <w:rsid w:val="00D127F9"/>
    <w:rsid w:val="00D1732E"/>
    <w:rsid w:val="00D30EEA"/>
    <w:rsid w:val="00D32805"/>
    <w:rsid w:val="00D346A0"/>
    <w:rsid w:val="00D71981"/>
    <w:rsid w:val="00DA4613"/>
    <w:rsid w:val="00DB11EC"/>
    <w:rsid w:val="00DE118E"/>
    <w:rsid w:val="00DE69C9"/>
    <w:rsid w:val="00E82D84"/>
    <w:rsid w:val="00E96136"/>
    <w:rsid w:val="00EA78F3"/>
    <w:rsid w:val="00EC5631"/>
    <w:rsid w:val="00F44E94"/>
    <w:rsid w:val="00F65C52"/>
    <w:rsid w:val="00F72F08"/>
    <w:rsid w:val="00FA0D28"/>
    <w:rsid w:val="00FC37D6"/>
    <w:rsid w:val="00FE32DB"/>
    <w:rsid w:val="040C60E3"/>
    <w:rsid w:val="0DE823F1"/>
    <w:rsid w:val="0E36619C"/>
    <w:rsid w:val="12B14DAE"/>
    <w:rsid w:val="13311C38"/>
    <w:rsid w:val="18CD3E0D"/>
    <w:rsid w:val="2B487281"/>
    <w:rsid w:val="300B295A"/>
    <w:rsid w:val="46F154A1"/>
    <w:rsid w:val="47EF76F2"/>
    <w:rsid w:val="4AB14654"/>
    <w:rsid w:val="4E45014D"/>
    <w:rsid w:val="5409189A"/>
    <w:rsid w:val="551E5F54"/>
    <w:rsid w:val="5EDA020D"/>
    <w:rsid w:val="6A4E0CDE"/>
    <w:rsid w:val="6B751BCA"/>
    <w:rsid w:val="7E0B00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Date"/>
    <w:basedOn w:val="1"/>
    <w:next w:val="1"/>
    <w:link w:val="8"/>
    <w:autoRedefine/>
    <w:semiHidden/>
    <w:unhideWhenUsed/>
    <w:qFormat/>
    <w:uiPriority w:val="99"/>
    <w:pPr>
      <w:ind w:left="100" w:leftChars="2500"/>
    </w:pPr>
  </w:style>
  <w:style w:type="paragraph" w:styleId="3">
    <w:name w:val="footer"/>
    <w:basedOn w:val="1"/>
    <w:link w:val="9"/>
    <w:autoRedefine/>
    <w:unhideWhenUsed/>
    <w:qFormat/>
    <w:uiPriority w:val="99"/>
    <w:pPr>
      <w:tabs>
        <w:tab w:val="center" w:pos="4153"/>
        <w:tab w:val="right" w:pos="8306"/>
      </w:tabs>
      <w:snapToGrid w:val="0"/>
      <w:jc w:val="left"/>
    </w:pPr>
    <w:rPr>
      <w:sz w:val="18"/>
      <w:szCs w:val="18"/>
    </w:rPr>
  </w:style>
  <w:style w:type="paragraph" w:styleId="4">
    <w:name w:val="header"/>
    <w:basedOn w:val="1"/>
    <w:link w:val="10"/>
    <w:autoRedefine/>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日期 字符"/>
    <w:basedOn w:val="7"/>
    <w:link w:val="2"/>
    <w:autoRedefine/>
    <w:semiHidden/>
    <w:qFormat/>
    <w:uiPriority w:val="99"/>
  </w:style>
  <w:style w:type="character" w:customStyle="1" w:styleId="9">
    <w:name w:val="页脚 字符"/>
    <w:basedOn w:val="7"/>
    <w:link w:val="3"/>
    <w:autoRedefine/>
    <w:qFormat/>
    <w:uiPriority w:val="99"/>
    <w:rPr>
      <w:sz w:val="18"/>
      <w:szCs w:val="18"/>
    </w:rPr>
  </w:style>
  <w:style w:type="character" w:customStyle="1" w:styleId="10">
    <w:name w:val="页眉 字符"/>
    <w:basedOn w:val="7"/>
    <w:link w:val="4"/>
    <w:autoRedefine/>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402</Words>
  <Characters>2293</Characters>
  <Lines>19</Lines>
  <Paragraphs>5</Paragraphs>
  <TotalTime>28</TotalTime>
  <ScaleCrop>false</ScaleCrop>
  <LinksUpToDate>false</LinksUpToDate>
  <CharactersWithSpaces>2690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2022-01-24T03:20:00Z</dcterms:created>
  <dc:creator>魏宝兴</dc:creator>
  <cp:lastModifiedBy>7月LEO</cp:lastModifiedBy>
  <dcterms:modified xsi:type="dcterms:W3CDTF">2024-02-29T02:45:23Z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9022C0B81CE34690BF09C8D56079BB51</vt:lpwstr>
  </property>
</Properties>
</file>