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广西骨伤医院2024年度医疗责任保险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项目采购文件</w:t>
      </w:r>
    </w:p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ind w:left="3052" w:leftChars="704" w:hanging="1574" w:hangingChars="490"/>
        <w:rPr>
          <w:rFonts w:hint="default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项目名称：</w:t>
      </w:r>
      <w:bookmarkStart w:id="0" w:name="_Hlk90536625"/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广西骨伤医院2024年度医疗责任保险项目</w:t>
      </w:r>
    </w:p>
    <w:bookmarkEnd w:id="0"/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项目编号：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GXGSYY-CGB-YWB-2024-01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月 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日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</w:p>
    <w:p>
      <w:pPr>
        <w:jc w:val="center"/>
        <w:rPr>
          <w:rFonts w:hint="eastAsia" w:ascii="宋体" w:hAnsi="宋体" w:eastAsia="宋体"/>
          <w:b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val="zh-CN" w:eastAsia="zh-CN"/>
        </w:rPr>
        <w:t>第一章 项目概况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根据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工作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需要，我院拟对医院2024年度医疗责任保险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进行采购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，欢迎有意参与的公司前来参加。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一、项目基本情况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yellow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1.项目编号：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zh-CN" w:eastAsia="zh-CN"/>
        </w:rPr>
        <w:t>GXGSYY-CGB-YWB-2024-01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2.项目名称：广西骨伤医院2024年度医疗责任保险项目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3.采购方式：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院内竞争性磋商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4.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内容需求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）符合《广西壮族自治区医疗责任保险统保方案》文件要求。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）保险期限1年。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）医院2024年度医疗责任保险，每人赔偿限额系数，每人赔偿限额50万元，年累计限额150万元；方园、长虹社区卫生服务中心2024年度医疗责任保险，每人每次限额20万元，年累计限额100万元。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）附加险：1. 医疗机构工作人员遭受伤害责任保险 2. 医疗机构场所责任保险 3. 医务人员法定传染病责任保险。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）我院数据资料：2023年我院总院门急诊人次数为124511人次，入院人次数6864人次。方园社区卫生服务中心2023全年门诊就诊人次64994人，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长虹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社区卫生服务中心2023全年门诊就诊人次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4624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人。2024度年符合投保条件的医务人员人数为355人（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其中医院293人，长虹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社区卫生服务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中心16人，方园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社区卫生服务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中心46人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其他相关要求，详见附件。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二、参会的供应商或公司的资格要求：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除应具备《政府采购法》第二十二条资格条件外，还必须满足：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1.具有独立承担民事责任能力的在中华人民共和国境内注册的法人。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2.经营范围包含所投产品。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三、投标文件的编制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1.投标文件要求：每个投标人只能提交一份投标文件（一个正本五个副本，正本文件内所有资料均需加盖公司公章）。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2.投标文件的组成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（1）投标人情况简介、营业执照和相关资质、法定代表人授权委托书、产品授权书；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（2）报价、清单等相关信息；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（3）资格文件；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（4）技术参数响应表，商务要求响应表；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（5）投标人信誉证明，相关网站查询截图。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其他相关要求，详见附件。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四、投标人资格要求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1.本次招标要求投标人须具备相关资质。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2.信誉要求。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（1）根据最高人民法院等9部门《关于在招投标活动中对失信被执行人实施联合惩戒的通知》（法〔2016〕285号）规定，投标人、拟派项目负责人不得为失信被执行人（以评标阶段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3.其他投标条件要求：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（1）本项目不接受联合体投标； 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（2）投标人有依法缴纳税收和社会保障资金的良好记录；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（3）参加政府采购活动近三年内，在经营活动中没有重大违法记录；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（4）投标材料封面请备注所投项目名称、公司名称、公司联系人姓名、电话，否则视为无效投标。</w:t>
      </w:r>
    </w:p>
    <w:p>
      <w:pPr>
        <w:spacing w:line="400" w:lineRule="exact"/>
        <w:ind w:firstLine="420" w:firstLineChars="200"/>
        <w:rPr>
          <w:rFonts w:hint="eastAsia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其他相关要求，详见附件。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五、递交投标文件时间：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202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年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10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日～202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年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16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日（周一至周五上午8:00～12：00，下午15：00～18：00，节假日除外）。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六、递交投标文件地点：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地址：南宁市青秀区东葛路1号锦华酒店副楼广西骨伤医院行政办公区401室。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七、议价会时间及地点：另行通知。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 xml:space="preserve">八、联系人：李老师   0771-2622251 </w:t>
      </w:r>
      <w:bookmarkStart w:id="1" w:name="_GoBack"/>
      <w:bookmarkEnd w:id="1"/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 xml:space="preserve">    17344229910 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</w:p>
    <w:p>
      <w:pPr>
        <w:spacing w:line="400" w:lineRule="exact"/>
        <w:ind w:firstLine="420" w:firstLineChars="200"/>
        <w:jc w:val="right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202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年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10</w:t>
      </w: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日</w:t>
      </w:r>
    </w:p>
    <w:p>
      <w:pPr>
        <w:spacing w:line="400" w:lineRule="exact"/>
        <w:ind w:firstLine="420" w:firstLineChars="200"/>
        <w:jc w:val="right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>广西骨伤医院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</w:p>
    <w:p>
      <w:pPr>
        <w:pStyle w:val="2"/>
        <w:rPr>
          <w:rFonts w:hint="eastAsia"/>
          <w:lang w:val="zh-CN" w:eastAsia="zh-CN"/>
        </w:rPr>
      </w:pPr>
    </w:p>
    <w:p>
      <w:pPr>
        <w:jc w:val="center"/>
        <w:rPr>
          <w:rFonts w:hint="eastAsia" w:ascii="宋体" w:hAnsi="宋体" w:eastAsia="宋体"/>
          <w:b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val="zh-CN" w:eastAsia="zh-CN"/>
        </w:rPr>
        <w:t>第二章采购需求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 xml:space="preserve">1.采购需求一览表： </w:t>
      </w:r>
    </w:p>
    <w:tbl>
      <w:tblPr>
        <w:tblStyle w:val="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09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一、项目要求及技术需求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szCs w:val="21"/>
              </w:rPr>
              <w:t>内容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数量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广西骨伤医院2024年度医疗责任保险项目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年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）符合《广西壮族自治区医疗责任保险统保方案》文件要求。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）保险期限1年。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）医院2024年度医疗责任保险，每人赔偿限额系数，每人赔偿限额50万元，年累计限额150万元；方园、长虹社区卫生服务中心2024年度医疗责任保险，每人每次限额20万元，年累计限额100万元。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）附加险：1. 医疗机构工作人员遭受伤害责任保险 2. 医疗机构场所责任保险 3. 医务人员法定传染病责任保险。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）我院数据资料：2023年我院总院门急诊人次数为124511人次，入院人次数6864人次。方园社区卫生服务中心2023全年门诊就诊人次64994人，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长虹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社区卫生服务中心2023全年门诊就诊人次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4624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人。2024度年符合投保条件的医务人员人数为355人（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其中医院293人，长虹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社区卫生服务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中心16人，方园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社区卫生服务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中心46人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二、商务要求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服务方案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供应商根据本项目要求，提供相应的“项目实施方案”，该方案可从专业性、科学性、可行性等方面进行编制，包含但不限于：①承保设计方案；②理赔服务措施；③增值服务；④保险培训服务；⑤服务人员配置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处理问题响应时间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接到采购人处理问题通知后12小时内到达采购人指定现场。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Times New Roman"/>
                <w:szCs w:val="21"/>
              </w:rPr>
              <w:t>要求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1.具有独立承担民事责任的能力；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2.具有良好的商业信誉和健全的财务会计制度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供应商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u w:val="single"/>
              </w:rPr>
              <w:t>20</w:t>
            </w:r>
            <w:r>
              <w:rPr>
                <w:rFonts w:ascii="宋体" w:hAnsi="宋体" w:eastAsia="宋体" w:cs="Times New Roman"/>
                <w:color w:val="000000"/>
                <w:szCs w:val="21"/>
                <w:u w:val="single"/>
              </w:rPr>
              <w:t>2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u w:val="single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年财务状况报告复印件，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供应商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是法人的，应提供经审计的财务报告或其基本开户银行出具的资信证明；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供应商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是其他组织或自然人的，应提供经审计的财务报告或银行出具的资信证明）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；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3.具有履行合同所具备的专业技术能力；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4.有依法缴纳税收和社会保障资金的良好记录（需提供社保缴纳证明）；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5.参加本次采购活动前，在经营活动中没有重大违法记录（需提供佐证材料）；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6.法律、行政法规规定的其他条件。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付款条件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付款方式：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合同签订后，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采购人在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7个工作日内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支付合同总金额的1</w:t>
            </w:r>
            <w:r>
              <w:rPr>
                <w:rFonts w:ascii="宋体" w:hAnsi="宋体" w:eastAsia="宋体" w:cs="Times New Roman"/>
                <w:bCs/>
                <w:szCs w:val="21"/>
              </w:rPr>
              <w:t>00%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中标人收到款项3个工作日内，将保单交付甲方，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中标人应在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日内开具发票给采购人。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“▲”系指实质性要求条款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必须优先满足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</w:tbl>
    <w:p>
      <w:pPr>
        <w:spacing w:line="360" w:lineRule="atLeast"/>
        <w:ind w:firstLine="495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pStyle w:val="2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第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/>
          <w:b/>
          <w:bCs/>
          <w:sz w:val="32"/>
          <w:szCs w:val="32"/>
        </w:rPr>
        <w:t xml:space="preserve">章 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</w:rPr>
        <w:t>评标办法及评分标准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一、评标办法：综合评分法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二、评审原则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(一)评委构成：本招标采购项目的评委分别由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医院相关部门及医院评审专家</w:t>
      </w:r>
      <w:r>
        <w:rPr>
          <w:rFonts w:ascii="宋体" w:hAnsi="宋体" w:eastAsia="宋体" w:cs="Times New Roman"/>
          <w:bCs/>
          <w:color w:val="000000"/>
          <w:szCs w:val="21"/>
        </w:rPr>
        <w:t>共5人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及</w:t>
      </w:r>
      <w:r>
        <w:rPr>
          <w:rFonts w:ascii="宋体" w:hAnsi="宋体" w:eastAsia="宋体" w:cs="Times New Roman"/>
          <w:bCs/>
          <w:color w:val="000000"/>
          <w:szCs w:val="21"/>
        </w:rPr>
        <w:t>以上单数构成。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(二)评标依据：评委将以招投标文件为评标依据，对投标人的投标报价、技术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</w:t>
      </w:r>
      <w:r>
        <w:rPr>
          <w:rFonts w:ascii="宋体" w:hAnsi="宋体" w:eastAsia="宋体" w:cs="Times New Roman"/>
          <w:bCs/>
          <w:color w:val="000000"/>
          <w:szCs w:val="21"/>
        </w:rPr>
        <w:t>、信誉业绩等方面内容按百分制打分。其中价格分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50</w:t>
      </w:r>
      <w:r>
        <w:rPr>
          <w:rFonts w:ascii="宋体" w:hAnsi="宋体" w:eastAsia="宋体" w:cs="Times New Roman"/>
          <w:bCs/>
          <w:color w:val="000000"/>
          <w:szCs w:val="21"/>
        </w:rPr>
        <w:t>分、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综合实力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</w:t>
      </w:r>
      <w:r>
        <w:rPr>
          <w:rFonts w:ascii="宋体" w:hAnsi="宋体" w:eastAsia="宋体" w:cs="Times New Roman"/>
          <w:bCs/>
          <w:color w:val="000000"/>
          <w:szCs w:val="21"/>
        </w:rPr>
        <w:t>0分、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服务能力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20</w:t>
      </w:r>
      <w:r>
        <w:rPr>
          <w:rFonts w:ascii="宋体" w:hAnsi="宋体" w:eastAsia="宋体" w:cs="Times New Roman"/>
          <w:bCs/>
          <w:color w:val="000000"/>
          <w:szCs w:val="21"/>
        </w:rPr>
        <w:t>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三、评定方法</w:t>
      </w:r>
    </w:p>
    <w:tbl>
      <w:tblPr>
        <w:tblStyle w:val="6"/>
        <w:tblW w:w="96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8"/>
        <w:gridCol w:w="1572"/>
        <w:gridCol w:w="59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0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</w:rPr>
              <w:t>评分项目</w:t>
            </w: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</w:rPr>
              <w:t>评分项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</w:rPr>
              <w:t>评  分  标  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0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1.价格分（50分）</w:t>
            </w: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价格分（50分）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outlineLvl w:val="1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价格分（以进入评标的最低的评标报价为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0分。）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1"/>
              <w:rPr>
                <w:rFonts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有效投标人最低评标报价（金额）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某有效投标人价格分</w:t>
            </w:r>
            <w:r>
              <w:rPr>
                <w:rFonts w:ascii="宋体" w:hAnsi="宋体" w:eastAsia="宋体" w:cs="Times New Roman"/>
                <w:bCs/>
                <w:color w:val="000000"/>
                <w:szCs w:val="21"/>
              </w:rPr>
              <w:t>= ---------------------------- ×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Times New Roman"/>
                <w:bCs/>
                <w:color w:val="000000"/>
                <w:szCs w:val="21"/>
              </w:rPr>
              <w:t>0分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Times New Roman"/>
                <w:bCs/>
                <w:color w:val="000000"/>
                <w:szCs w:val="21"/>
              </w:rPr>
              <w:t>某投标人评标报价（金额）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05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2.综合实力（30分）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企业履约能力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（15分）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投标人总公司财务状况，经第三方专业机构审计的2022年度信息披露报告为准。（15分）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1.综合偿付能力充足率250%以上，得15分；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2.综合偿付能力充足率200%-250%（含），得10分；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3.综合偿付能力充足率150%-200%（含），得5分；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4.无综合偿付能力充足率报告或低于150%，得0分。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（提供审计报告复印件盖章）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058" w:type="dxa"/>
            <w:vMerge w:val="continue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承保经验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（15分）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投标人近三年（2021-2023年）具有类似医疗责任险统保经验，作为主承保人(或独家承保)的业绩计3分/个；计满15分为止(投标人须提供的证明材料为保单抄件或协议，须加盖公章)。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058" w:type="dxa"/>
            <w:vMerge w:val="restart"/>
            <w:tcBorders>
              <w:top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3.服务能力（20分）</w:t>
            </w:r>
          </w:p>
        </w:tc>
        <w:tc>
          <w:tcPr>
            <w:tcW w:w="1572" w:type="dxa"/>
            <w:tcBorders>
              <w:top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服务人员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投标人服务人员数量，每人得1分，最高3分。服务人员中具备医学相关专业另加2分。（提供劳动合同、学历证书复印件）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05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服务承诺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（15分）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投保人明确积极参与医患纠纷现场处置工作的，得5分，否则不得分。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明确理赔到账时效，在5个工作日内，得5分；10个工作内，得3分；15个工作日内，得1分；超过15个工作日不得分。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理赔所需单证材料，能在原来基础上简化，每1条得1分，最高得5分。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0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总得分=1+2+3</w:t>
            </w: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100分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 xml:space="preserve"> </w:t>
            </w:r>
          </w:p>
        </w:tc>
      </w:tr>
    </w:tbl>
    <w:p>
      <w:pPr>
        <w:spacing w:line="276" w:lineRule="auto"/>
        <w:ind w:firstLine="420" w:firstLineChars="200"/>
        <w:jc w:val="left"/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四、中标候选人推荐原则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评标小组将根据得分由高到低排列次序（得分相同时，以投标报价由低到高顺序排列）并推荐候选供应商。应当确定评审小组推荐排名第一的中标候选人为中标人。排名第一的中标候选人放弃中标、因不可抗力提出不能履行合同，可以确定排名第二的中标候选人为中标人。排名第二的中标候选人因前款规定的同样原因不能签订合同的，招标采购单位可以确定排名第三的中标候选人为中标人。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1YzFiYTBmYzhkZTkxNjhiZTcwNjI2MTFkZjEwMzE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76EF4"/>
    <w:rsid w:val="00A3162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C5631"/>
    <w:rsid w:val="00F65C52"/>
    <w:rsid w:val="00FA0D28"/>
    <w:rsid w:val="051D483E"/>
    <w:rsid w:val="05825674"/>
    <w:rsid w:val="062B3F4E"/>
    <w:rsid w:val="09F73749"/>
    <w:rsid w:val="0B7D6DD4"/>
    <w:rsid w:val="172605EF"/>
    <w:rsid w:val="17491C2B"/>
    <w:rsid w:val="18844F0F"/>
    <w:rsid w:val="1C290E7D"/>
    <w:rsid w:val="21F941EF"/>
    <w:rsid w:val="267B3FCF"/>
    <w:rsid w:val="26A5448A"/>
    <w:rsid w:val="27A37085"/>
    <w:rsid w:val="2B8B1F02"/>
    <w:rsid w:val="38AC5B4C"/>
    <w:rsid w:val="3B217306"/>
    <w:rsid w:val="3B782642"/>
    <w:rsid w:val="3BD52013"/>
    <w:rsid w:val="3DC90352"/>
    <w:rsid w:val="3F410D82"/>
    <w:rsid w:val="43C54D89"/>
    <w:rsid w:val="500718F9"/>
    <w:rsid w:val="551E5F54"/>
    <w:rsid w:val="5A6666CF"/>
    <w:rsid w:val="5DB7592E"/>
    <w:rsid w:val="606277F3"/>
    <w:rsid w:val="6158253D"/>
    <w:rsid w:val="61ED1C58"/>
    <w:rsid w:val="6A4E0CDE"/>
    <w:rsid w:val="6D002006"/>
    <w:rsid w:val="70F87B29"/>
    <w:rsid w:val="74D7439C"/>
    <w:rsid w:val="79A762AB"/>
    <w:rsid w:val="7A31311A"/>
    <w:rsid w:val="7E6A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3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1807</Words>
  <Characters>2039</Characters>
  <Lines>19</Lines>
  <Paragraphs>5</Paragraphs>
  <TotalTime>4</TotalTime>
  <ScaleCrop>false</ScaleCrop>
  <LinksUpToDate>false</LinksUpToDate>
  <CharactersWithSpaces>2090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2021-12-15T08:27:00Z</dcterms:created>
  <dc:creator>魏宝兴</dc:creator>
  <cp:lastModifiedBy>陆壹肆</cp:lastModifiedBy>
  <dcterms:modified xsi:type="dcterms:W3CDTF">2024-01-10T01:04:53Z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9022C0B81CE34690BF09C8D56079BB51</vt:lpwstr>
  </property>
</Properties>
</file>