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射频控温热凝器</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lang w:val="en-US" w:eastAsia="zh-CN"/>
        </w:rPr>
        <w:t>56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12"/>
      <w:bookmarkStart w:id="3" w:name="_Toc44229878"/>
      <w:bookmarkStart w:id="4" w:name="_Toc28359089"/>
      <w:bookmarkStart w:id="5" w:name="_Toc35393798"/>
      <w:bookmarkStart w:id="6" w:name="_Toc47452205"/>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56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射频控温热凝器</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35万元/台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630"/>
      <w:bookmarkStart w:id="8" w:name="_Toc44229879"/>
      <w:bookmarkStart w:id="9" w:name="_Toc35393799"/>
      <w:bookmarkStart w:id="10" w:name="_Toc28359013"/>
      <w:bookmarkStart w:id="11" w:name="_Toc28359090"/>
      <w:bookmarkStart w:id="12" w:name="_Toc47452206"/>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射频控温热凝器</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适用范围：适用于原发三叉神经痛以及保守治疗无效的脊神经根痛、椎间盘源性疼痛；</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电阻抗模式：优于人体生物阻抗特性的30~2999Ω宽频显示范围；</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r>
              <w:rPr>
                <w:rFonts w:hint="eastAsia" w:ascii="宋体" w:hAnsi="宋体" w:eastAsia="宋体" w:cs="Calibri"/>
                <w:color w:val="000000"/>
                <w:szCs w:val="21"/>
                <w:lang w:val="en-US" w:eastAsia="zh-CN"/>
              </w:rPr>
              <w:t>电刺激模式：具备恒定电流、恒定电压刺激功能；</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4.</w:t>
            </w:r>
            <w:r>
              <w:rPr>
                <w:rFonts w:hint="eastAsia" w:ascii="宋体" w:hAnsi="宋体" w:eastAsia="宋体" w:cs="Calibri"/>
                <w:color w:val="000000"/>
                <w:szCs w:val="21"/>
                <w:lang w:val="en-US" w:eastAsia="zh-CN"/>
              </w:rPr>
              <w:t>电压刺激幅度：至少具备0.00~5.0V，幅度可调；</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17</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bookmarkStart w:id="25" w:name="_GoBack"/>
      <w:bookmarkEnd w:id="25"/>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17</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射频控温热凝器</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射频控温热凝器</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适用范围：适用于原发三叉神经痛以及保守治疗无效的脊神经根痛、椎间盘源性疼痛；</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电阻抗模式：优于人体生物阻抗特性的30~2999Ω宽频显示范围；</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电刺激模式：具备恒定电流、恒定电压刺激功能；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电压刺激幅度：至少具备0.00~5.0V，幅度可调；</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电流刺激模式：至少具备0.00~10.0mA，幅度可调；</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热凝工作频率：主要频率440~490Hz±10Hz；</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射频输出功率：≤50W；</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测温范围：至少符合55~90℃；</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Times New Roman"/>
                <w:b/>
                <w:color w:val="000000"/>
                <w:szCs w:val="21"/>
              </w:rPr>
              <w:t>▲</w:t>
            </w: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显示器：≥7寸LED液晶屏；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10.</w:t>
            </w:r>
            <w:r>
              <w:rPr>
                <w:rFonts w:hint="eastAsia" w:ascii="宋体" w:hAnsi="宋体" w:eastAsia="宋体" w:cs="宋体"/>
                <w:bCs/>
                <w:szCs w:val="21"/>
                <w:lang w:val="en-US" w:eastAsia="zh-CN"/>
              </w:rPr>
              <w:t>操作界面：具备智能飞梭操作，切换自如；</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11.</w:t>
            </w:r>
            <w:r>
              <w:rPr>
                <w:rFonts w:hint="eastAsia" w:ascii="宋体" w:hAnsi="宋体" w:eastAsia="宋体" w:cs="宋体"/>
                <w:bCs/>
                <w:szCs w:val="21"/>
                <w:lang w:val="en-US" w:eastAsia="zh-CN"/>
              </w:rPr>
              <w:t>脉冲射频温度：至少具备35~90℃；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12.</w:t>
            </w:r>
            <w:r>
              <w:rPr>
                <w:rFonts w:hint="eastAsia" w:ascii="宋体" w:hAnsi="宋体" w:eastAsia="宋体" w:cs="宋体"/>
                <w:bCs/>
                <w:szCs w:val="21"/>
                <w:lang w:val="en-US" w:eastAsia="zh-CN"/>
              </w:rPr>
              <w:t>高电压脉冲模式：至少具备20~99V；</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13.</w:t>
            </w:r>
            <w:r>
              <w:rPr>
                <w:rFonts w:hint="eastAsia" w:ascii="宋体" w:hAnsi="宋体" w:eastAsia="宋体" w:cs="宋体"/>
                <w:bCs/>
                <w:szCs w:val="21"/>
                <w:lang w:val="en-US" w:eastAsia="zh-CN"/>
              </w:rPr>
              <w:t>脉宽脉冲模式：至少具备10~40ms；</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14.</w:t>
            </w:r>
            <w:r>
              <w:rPr>
                <w:rFonts w:hint="eastAsia" w:ascii="宋体" w:hAnsi="宋体" w:eastAsia="宋体" w:cs="宋体"/>
                <w:bCs/>
                <w:szCs w:val="21"/>
                <w:lang w:val="en-US" w:eastAsia="zh-CN"/>
              </w:rPr>
              <w:t>连续射频模式的温度范围：至少具备30~90℃；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15.</w:t>
            </w:r>
            <w:r>
              <w:rPr>
                <w:rFonts w:hint="eastAsia" w:ascii="宋体" w:hAnsi="宋体" w:eastAsia="宋体" w:cs="宋体"/>
                <w:bCs/>
                <w:szCs w:val="21"/>
                <w:lang w:val="en-US" w:eastAsia="zh-CN"/>
              </w:rPr>
              <w:t>射频治疗模式：至少具备单路应用、双极应用功能模式；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16.</w:t>
            </w:r>
            <w:r>
              <w:rPr>
                <w:rFonts w:hint="eastAsia" w:ascii="宋体" w:hAnsi="宋体" w:eastAsia="宋体" w:cs="宋体"/>
                <w:bCs/>
                <w:szCs w:val="21"/>
                <w:lang w:val="en-US" w:eastAsia="zh-CN"/>
              </w:rPr>
              <w:t>具备实时显示两个电极温度，控制每个电极温度，同时治疗不同部位功能；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17.</w:t>
            </w:r>
            <w:r>
              <w:rPr>
                <w:rFonts w:hint="eastAsia" w:ascii="宋体" w:hAnsi="宋体" w:eastAsia="宋体" w:cs="宋体"/>
                <w:bCs/>
                <w:szCs w:val="21"/>
                <w:lang w:val="en-US" w:eastAsia="zh-CN"/>
              </w:rPr>
              <w:t>连续射频模式：至少具备正常模式、阶段跳跃及功能模式；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18.</w:t>
            </w:r>
            <w:r>
              <w:rPr>
                <w:rFonts w:hint="eastAsia" w:ascii="宋体" w:hAnsi="宋体" w:eastAsia="宋体" w:cs="宋体"/>
                <w:bCs/>
                <w:szCs w:val="21"/>
                <w:lang w:val="en-US" w:eastAsia="zh-CN"/>
              </w:rPr>
              <w:t>脉冲射频模式：至少具备温度模式、电压模式和脉宽模式；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Times New Roman"/>
                <w:b/>
                <w:color w:val="000000"/>
                <w:szCs w:val="21"/>
              </w:rPr>
              <w:t>▲</w:t>
            </w:r>
            <w:r>
              <w:rPr>
                <w:rFonts w:hint="eastAsia" w:ascii="宋体" w:hAnsi="宋体" w:eastAsia="宋体" w:cs="宋体"/>
                <w:bCs/>
                <w:szCs w:val="21"/>
                <w:lang w:val="en-US" w:eastAsia="zh-CN"/>
              </w:rPr>
              <w:t>19.具有阻抗检测功能；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20.设备所用的耗材能医保收费，具有27位医保编码。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numPr>
                <w:ilvl w:val="0"/>
                <w:numId w:val="3"/>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p>
            <w:pPr>
              <w:numPr>
                <w:ilvl w:val="0"/>
                <w:numId w:val="3"/>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lang w:val="en-US" w:eastAsia="zh-CN"/>
              </w:rPr>
              <w:t>对该设备所使用的耗材进行报价，提供产品单价、规格、型号、厂家及27位医保编码等相关信息。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付款方式：货物验收合格后，中标人应开具发票给采购人，采购人支付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价格分（50分）=设备价格分（10分）+耗材价格分（40分）</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1</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lang w:val="en-US" w:eastAsia="zh-CN"/>
              </w:rPr>
              <w:t>2.耗材</w:t>
            </w:r>
            <w:r>
              <w:rPr>
                <w:rFonts w:hint="eastAsia" w:ascii="宋体" w:hAnsi="宋体" w:eastAsia="宋体" w:cs="Times New Roman"/>
                <w:color w:val="000000"/>
                <w:szCs w:val="21"/>
              </w:rPr>
              <w:t>价格分（以进入评标的最低的</w:t>
            </w:r>
            <w:r>
              <w:rPr>
                <w:rFonts w:hint="eastAsia" w:ascii="宋体" w:hAnsi="宋体" w:eastAsia="宋体" w:cs="Times New Roman"/>
                <w:color w:val="000000"/>
                <w:szCs w:val="21"/>
                <w:lang w:val="en-US" w:eastAsia="zh-CN"/>
              </w:rPr>
              <w:t>耗材</w:t>
            </w:r>
            <w:r>
              <w:rPr>
                <w:rFonts w:hint="eastAsia" w:ascii="宋体" w:hAnsi="宋体" w:eastAsia="宋体" w:cs="Times New Roman"/>
                <w:color w:val="000000"/>
                <w:szCs w:val="21"/>
              </w:rPr>
              <w:t>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Calibri" w:hAnsi="Calibri" w:eastAsia="宋体" w:cs="Calibri"/>
                <w:szCs w:val="21"/>
              </w:rPr>
            </w:pPr>
            <w:r>
              <w:rPr>
                <w:rFonts w:ascii="宋体" w:hAnsi="宋体" w:eastAsia="宋体" w:cs="Times New Roman"/>
                <w:bCs/>
                <w:color w:val="000000"/>
                <w:szCs w:val="21"/>
              </w:rPr>
              <w:t xml:space="preserve">                   某投标人评标报价（金额）</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w:t>
            </w:r>
            <w:r>
              <w:rPr>
                <w:rFonts w:hint="eastAsia" w:ascii="宋体" w:hAnsi="宋体" w:eastAsia="宋体" w:cs="Times New Roman"/>
                <w:bCs/>
                <w:color w:val="000000"/>
                <w:szCs w:val="21"/>
              </w:rPr>
              <w:t>；</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5.1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10.1-15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自2020年以来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numPr>
          <w:ilvl w:val="0"/>
          <w:numId w:val="4"/>
        </w:num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成交候选人推荐原则</w:t>
      </w:r>
    </w:p>
    <w:p>
      <w:pPr>
        <w:numPr>
          <w:ilvl w:val="0"/>
          <w:numId w:val="0"/>
        </w:numPr>
        <w:spacing w:line="400" w:lineRule="exact"/>
        <w:jc w:val="left"/>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5"/>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5"/>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1162346C"/>
    <w:multiLevelType w:val="singleLevel"/>
    <w:tmpl w:val="1162346C"/>
    <w:lvl w:ilvl="0" w:tentative="0">
      <w:start w:val="3"/>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412147E4"/>
    <w:multiLevelType w:val="singleLevel"/>
    <w:tmpl w:val="412147E4"/>
    <w:lvl w:ilvl="0" w:tentative="0">
      <w:start w:val="1"/>
      <w:numFmt w:val="decimal"/>
      <w:lvlText w:val="%1."/>
      <w:lvlJc w:val="left"/>
      <w:pPr>
        <w:tabs>
          <w:tab w:val="left" w:pos="312"/>
        </w:tabs>
      </w:pPr>
    </w:lvl>
  </w:abstractNum>
  <w:abstractNum w:abstractNumId="4">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59021F"/>
    <w:rsid w:val="09D12514"/>
    <w:rsid w:val="0CA2087B"/>
    <w:rsid w:val="0DEF17D8"/>
    <w:rsid w:val="0E04767E"/>
    <w:rsid w:val="0E2A78AA"/>
    <w:rsid w:val="0F21032D"/>
    <w:rsid w:val="100B70C3"/>
    <w:rsid w:val="12143431"/>
    <w:rsid w:val="13EE14DD"/>
    <w:rsid w:val="149435D9"/>
    <w:rsid w:val="15F14846"/>
    <w:rsid w:val="16D514D3"/>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EFF5D37"/>
    <w:rsid w:val="4FD74E04"/>
    <w:rsid w:val="51811736"/>
    <w:rsid w:val="53FE114B"/>
    <w:rsid w:val="547264F4"/>
    <w:rsid w:val="54AD1ED4"/>
    <w:rsid w:val="552876E5"/>
    <w:rsid w:val="57874CD5"/>
    <w:rsid w:val="59B64834"/>
    <w:rsid w:val="5A4368CD"/>
    <w:rsid w:val="5D72019D"/>
    <w:rsid w:val="5E9A1F4D"/>
    <w:rsid w:val="5EBA7B70"/>
    <w:rsid w:val="619928BA"/>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4F53FC4"/>
    <w:rsid w:val="771836DE"/>
    <w:rsid w:val="775B4E6B"/>
    <w:rsid w:val="779D6447"/>
    <w:rsid w:val="78D3337A"/>
    <w:rsid w:val="7A234B86"/>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1</TotalTime>
  <ScaleCrop>false</ScaleCrop>
  <LinksUpToDate>false</LinksUpToDate>
  <CharactersWithSpaces>21312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2023-11-11T09:44:10Z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