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一体化脊柱内镜摄像系统</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项目编号：GXGSYY-CGB-SBK-2023-</w:t>
      </w:r>
      <w:r>
        <w:rPr>
          <w:rFonts w:hint="eastAsia" w:ascii="仿宋_GB2312" w:hAnsi="宋体" w:eastAsia="仿宋_GB2312" w:cs="Times New Roman"/>
          <w:b/>
          <w:color w:val="000000"/>
          <w:sz w:val="32"/>
          <w:szCs w:val="32"/>
          <w:highlight w:val="none"/>
          <w:lang w:val="en-US" w:eastAsia="zh-CN"/>
        </w:rPr>
        <w:t>46</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2023年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r>
        <w:rPr>
          <w:rFonts w:hint="eastAsia" w:ascii="仿宋_GB2312" w:hAnsi="宋体" w:eastAsia="仿宋_GB2312" w:cs="Times New Roman"/>
          <w:b/>
          <w:color w:val="000000"/>
          <w:sz w:val="32"/>
          <w:szCs w:val="32"/>
          <w:lang w:val="en-US" w:eastAsia="zh-CN"/>
        </w:rPr>
        <w:t>29</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35393629"/>
      <w:bookmarkStart w:id="2" w:name="_Toc28359012"/>
      <w:bookmarkStart w:id="3" w:name="_Toc28359089"/>
      <w:bookmarkStart w:id="4" w:name="_Toc35393798"/>
      <w:bookmarkStart w:id="5" w:name="_Toc47452205"/>
      <w:bookmarkStart w:id="6" w:name="_Toc44229878"/>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项目编号：GXGSYY-CGB-SBK-2023-</w:t>
      </w:r>
      <w:r>
        <w:rPr>
          <w:rFonts w:hint="eastAsia" w:ascii="宋体" w:hAnsi="宋体" w:eastAsia="宋体" w:cs="Times New Roman"/>
          <w:color w:val="000000"/>
          <w:szCs w:val="21"/>
          <w:lang w:val="en-US" w:eastAsia="zh-CN"/>
        </w:rPr>
        <w:t>46</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一体化脊柱内镜摄像系统</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采购上控价：</w:t>
      </w:r>
      <w:r>
        <w:rPr>
          <w:rFonts w:hint="eastAsia" w:ascii="宋体" w:hAnsi="宋体" w:eastAsia="宋体" w:cs="Times New Roman"/>
          <w:color w:val="000000"/>
          <w:szCs w:val="21"/>
          <w:lang w:val="en-US" w:eastAsia="zh-CN"/>
        </w:rPr>
        <w:t>8.8万元/台</w:t>
      </w:r>
      <w:r>
        <w:rPr>
          <w:rFonts w:hint="eastAsia" w:ascii="宋体" w:hAnsi="宋体" w:eastAsia="宋体" w:cs="Times New Roman"/>
          <w:color w:val="000000"/>
          <w:szCs w:val="21"/>
        </w:rPr>
        <w:t>。</w:t>
      </w:r>
    </w:p>
    <w:p>
      <w:pPr>
        <w:spacing w:line="320" w:lineRule="exact"/>
        <w:ind w:firstLine="420" w:firstLineChars="200"/>
        <w:rPr>
          <w:rFonts w:ascii="宋体" w:hAnsi="宋体" w:eastAsia="宋体" w:cs="Times New Roman"/>
          <w:color w:val="000000"/>
          <w:szCs w:val="21"/>
        </w:rPr>
      </w:pPr>
      <w:bookmarkStart w:id="7" w:name="_Toc35393630"/>
      <w:bookmarkStart w:id="8" w:name="_Toc28359090"/>
      <w:bookmarkStart w:id="9" w:name="_Toc35393799"/>
      <w:bookmarkStart w:id="10" w:name="_Toc28359013"/>
      <w:bookmarkStart w:id="11" w:name="_Toc47452206"/>
      <w:bookmarkStart w:id="12" w:name="_Toc44229879"/>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9"/>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设备名称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eastAsia="zh-CN"/>
              </w:rPr>
              <w:t>一体化脊柱内镜摄像系统</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hint="eastAsia" w:ascii="宋体" w:hAnsi="宋体" w:eastAsia="宋体" w:cs="Times New Roman"/>
                <w:color w:val="000000"/>
                <w:szCs w:val="21"/>
                <w:lang w:eastAsia="zh-CN"/>
              </w:rPr>
            </w:pPr>
            <w:r>
              <w:rPr>
                <w:rFonts w:hint="eastAsia" w:ascii="宋体" w:hAnsi="宋体" w:eastAsia="宋体" w:cs="Times New Roman"/>
                <w:color w:val="000000"/>
                <w:szCs w:val="21"/>
                <w:lang w:val="en-US" w:eastAsia="zh-CN"/>
              </w:rPr>
              <w:t>1台</w:t>
            </w:r>
          </w:p>
        </w:tc>
        <w:tc>
          <w:tcPr>
            <w:tcW w:w="5103" w:type="dxa"/>
            <w:tcBorders>
              <w:top w:val="single" w:color="auto" w:sz="4" w:space="0"/>
              <w:left w:val="nil"/>
              <w:bottom w:val="single" w:color="auto" w:sz="4" w:space="0"/>
              <w:right w:val="single" w:color="auto" w:sz="4" w:space="0"/>
            </w:tcBorders>
          </w:tcPr>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一、设备要求：</w:t>
            </w:r>
          </w:p>
          <w:p>
            <w:pPr>
              <w:snapToGrid w:val="0"/>
              <w:spacing w:line="320" w:lineRule="exact"/>
              <w:jc w:val="left"/>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高清一体化集成显示器、摄像机、LED光源、图像录放存储功能的摄像系统。</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二、参数要求：</w:t>
            </w:r>
          </w:p>
          <w:p>
            <w:pPr>
              <w:snapToGrid w:val="0"/>
              <w:spacing w:line="320" w:lineRule="exact"/>
              <w:jc w:val="left"/>
              <w:rPr>
                <w:rFonts w:hint="eastAsia" w:ascii="宋体" w:hAnsi="宋体" w:eastAsia="宋体" w:cs="Calibri"/>
                <w:color w:val="000000"/>
                <w:szCs w:val="21"/>
                <w:lang w:val="en-US" w:eastAsia="zh-CN"/>
              </w:rPr>
            </w:pPr>
            <w:r>
              <w:rPr>
                <w:rFonts w:hint="eastAsia" w:ascii="宋体" w:hAnsi="宋体" w:eastAsia="宋体" w:cs="Calibri"/>
                <w:color w:val="000000"/>
                <w:szCs w:val="21"/>
                <w:lang w:val="en-US" w:eastAsia="zh-CN"/>
              </w:rPr>
              <w:t>（一）摄像主机Camera</w:t>
            </w:r>
          </w:p>
          <w:p>
            <w:pPr>
              <w:snapToGrid w:val="0"/>
              <w:spacing w:line="320" w:lineRule="exact"/>
              <w:jc w:val="left"/>
              <w:rPr>
                <w:rFonts w:hint="default" w:ascii="宋体" w:hAnsi="宋体" w:eastAsia="宋体" w:cs="Calibri"/>
                <w:color w:val="000000"/>
                <w:szCs w:val="21"/>
                <w:lang w:val="en-US" w:eastAsia="zh-CN"/>
              </w:rPr>
            </w:pPr>
            <w:r>
              <w:rPr>
                <w:rFonts w:hint="default" w:ascii="宋体" w:hAnsi="宋体" w:eastAsia="宋体" w:cs="Calibri"/>
                <w:color w:val="000000"/>
                <w:szCs w:val="21"/>
                <w:lang w:val="en-US" w:eastAsia="zh-CN"/>
              </w:rPr>
              <w:t>1.</w:t>
            </w:r>
            <w:r>
              <w:rPr>
                <w:rFonts w:hint="eastAsia" w:ascii="宋体" w:hAnsi="宋体" w:eastAsia="宋体" w:cs="Calibri"/>
                <w:color w:val="000000"/>
                <w:szCs w:val="21"/>
                <w:lang w:val="en-US" w:eastAsia="zh-CN"/>
              </w:rPr>
              <w:t>影像传感器：具备至少1/1.8~1/2全高清CMOS传感器；</w:t>
            </w:r>
          </w:p>
          <w:p>
            <w:pPr>
              <w:snapToGrid w:val="0"/>
              <w:spacing w:line="320" w:lineRule="exact"/>
              <w:jc w:val="left"/>
              <w:rPr>
                <w:rFonts w:hint="eastAsia" w:ascii="宋体" w:hAnsi="宋体" w:eastAsia="宋体" w:cs="Calibri"/>
                <w:color w:val="000000"/>
                <w:szCs w:val="21"/>
                <w:lang w:val="en-US" w:eastAsia="zh-CN"/>
              </w:rPr>
            </w:pPr>
            <w:r>
              <w:rPr>
                <w:rFonts w:hint="default" w:ascii="宋体" w:hAnsi="宋体" w:eastAsia="宋体" w:cs="Calibri"/>
                <w:color w:val="000000"/>
                <w:szCs w:val="21"/>
                <w:lang w:val="en-US" w:eastAsia="zh-CN"/>
              </w:rPr>
              <w:t>2.</w:t>
            </w:r>
            <w:r>
              <w:rPr>
                <w:rFonts w:hint="eastAsia" w:ascii="宋体" w:hAnsi="宋体" w:eastAsia="宋体" w:cs="Calibri"/>
                <w:color w:val="000000"/>
                <w:szCs w:val="21"/>
                <w:lang w:val="en-US" w:eastAsia="zh-CN"/>
              </w:rPr>
              <w:t>白平衡：具备自动/手动锁定，自动背景补偿；</w:t>
            </w:r>
          </w:p>
          <w:p>
            <w:pPr>
              <w:snapToGrid w:val="0"/>
              <w:spacing w:line="320" w:lineRule="exact"/>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rPr>
        <w:t>3</w:t>
      </w:r>
      <w:r>
        <w:rPr>
          <w:rFonts w:ascii="宋体" w:hAnsi="宋体" w:eastAsia="宋体" w:cs="Times New Roman"/>
          <w:color w:val="000000"/>
          <w:szCs w:val="21"/>
        </w:rPr>
        <w:t>年</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月</w:t>
      </w:r>
      <w:r>
        <w:rPr>
          <w:rFonts w:hint="eastAsia" w:ascii="宋体" w:hAnsi="宋体" w:eastAsia="宋体" w:cs="Times New Roman"/>
          <w:color w:val="000000"/>
          <w:szCs w:val="21"/>
          <w:lang w:val="en-US" w:eastAsia="zh-CN"/>
        </w:rPr>
        <w:t>11</w:t>
      </w:r>
      <w:bookmarkStart w:id="25" w:name="_GoBack"/>
      <w:bookmarkEnd w:id="25"/>
      <w:r>
        <w:rPr>
          <w:rFonts w:ascii="宋体" w:hAnsi="宋体" w:eastAsia="宋体" w:cs="Times New Roman"/>
          <w:color w:val="000000"/>
          <w:szCs w:val="21"/>
        </w:rPr>
        <w:t>日</w:t>
      </w:r>
      <w:r>
        <w:rPr>
          <w:rFonts w:hint="eastAsia" w:ascii="宋体" w:hAnsi="宋体" w:eastAsia="宋体" w:cs="Times New Roman"/>
          <w:color w:val="000000"/>
          <w:szCs w:val="21"/>
        </w:rPr>
        <w:t>18</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2023年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4</w:t>
      </w:r>
      <w:r>
        <w:rPr>
          <w:rFonts w:hint="eastAsia" w:ascii="宋体" w:hAnsi="宋体" w:eastAsia="宋体" w:cs="Calibri"/>
          <w:bCs/>
          <w:color w:val="000000"/>
          <w:szCs w:val="21"/>
          <w:u w:val="single"/>
        </w:rPr>
        <w:t>日8时00分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2023</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11</w:t>
      </w:r>
      <w:r>
        <w:rPr>
          <w:rFonts w:hint="eastAsia" w:ascii="宋体" w:hAnsi="宋体" w:eastAsia="宋体" w:cs="Calibri"/>
          <w:bCs/>
          <w:color w:val="000000"/>
          <w:szCs w:val="21"/>
          <w:u w:val="single"/>
        </w:rPr>
        <w:t>日18时00分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五、开启时间地点</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1.开启时间地点：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r>
        <w:rPr>
          <w:rFonts w:hint="eastAsia" w:ascii="Calibri" w:hAnsi="Calibri" w:eastAsia="宋体" w:cs="Times New Roman"/>
          <w:szCs w:val="24"/>
          <w:u w:val="single"/>
        </w:rPr>
        <w:t xml:space="preserve">  17344229910</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邮    箱：</w:t>
      </w:r>
      <w:r>
        <w:rPr>
          <w:rFonts w:hint="eastAsia" w:ascii="Calibri" w:hAnsi="Calibri" w:eastAsia="宋体" w:cs="Times New Roman"/>
          <w:szCs w:val="24"/>
          <w:u w:val="single"/>
        </w:rPr>
        <w:t>gxgsyycgb@163.com</w:t>
      </w:r>
      <w:r>
        <w:rPr>
          <w:rFonts w:hint="eastAsia" w:ascii="宋体" w:hAnsi="宋体" w:eastAsia="宋体" w:cs="Times New Roman"/>
          <w:color w:val="000000"/>
          <w:szCs w:val="21"/>
        </w:rPr>
        <w:t> </w:t>
      </w: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2022</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3</w:t>
            </w:r>
            <w:r>
              <w:rPr>
                <w:rFonts w:hint="eastAsia" w:ascii="宋体" w:hAnsi="宋体" w:eastAsia="宋体" w:cs="宋体"/>
                <w:color w:val="000000"/>
                <w:szCs w:val="21"/>
              </w:rPr>
              <w:t>年</w:t>
            </w:r>
            <w:r>
              <w:rPr>
                <w:rFonts w:ascii="宋体" w:hAnsi="宋体" w:eastAsia="宋体" w:cs="宋体"/>
                <w:color w:val="000000"/>
                <w:szCs w:val="21"/>
                <w:u w:val="single"/>
              </w:rPr>
              <w:t>5</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w:t>
            </w:r>
            <w:r>
              <w:rPr>
                <w:rFonts w:hint="eastAsia" w:ascii="宋体" w:hAnsi="宋体" w:eastAsia="宋体" w:cs="Times New Roman"/>
                <w:color w:val="000000"/>
                <w:szCs w:val="21"/>
                <w:u w:val="single"/>
              </w:rPr>
              <w:t>1年、2</w:t>
            </w:r>
            <w:r>
              <w:rPr>
                <w:rFonts w:ascii="宋体" w:hAnsi="宋体" w:eastAsia="宋体" w:cs="Times New Roman"/>
                <w:color w:val="000000"/>
                <w:szCs w:val="21"/>
                <w:u w:val="single"/>
              </w:rPr>
              <w:t>02</w:t>
            </w:r>
            <w:r>
              <w:rPr>
                <w:rFonts w:hint="eastAsia" w:ascii="宋体" w:hAnsi="宋体" w:eastAsia="宋体" w:cs="Times New Roman"/>
                <w:color w:val="000000"/>
                <w:szCs w:val="21"/>
                <w:u w:val="single"/>
              </w:rPr>
              <w:t>2</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不高于预算价格，应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w:t>
            </w:r>
            <w:r>
              <w:rPr>
                <w:rFonts w:hint="eastAsia" w:ascii="宋体" w:hAnsi="宋体" w:eastAsia="宋体" w:cs="宋体"/>
                <w:color w:val="000000"/>
                <w:szCs w:val="21"/>
                <w:u w:val="single"/>
              </w:rPr>
              <w:t>2</w:t>
            </w:r>
            <w:r>
              <w:rPr>
                <w:rFonts w:ascii="宋体" w:hAnsi="宋体" w:eastAsia="宋体" w:cs="宋体"/>
                <w:color w:val="000000"/>
                <w:szCs w:val="21"/>
                <w:u w:val="single"/>
              </w:rPr>
              <w:t xml:space="preserve">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一体化脊柱内镜摄像系统</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报价商务技术文件、资格证明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按照评审得分由高到低顺序推荐3名以上成交候选供应商，并编写评审报告。评审得分相同的，按照最后报价由低到高的顺序推荐。评审得分且最后报价相同的，按照技术指标优劣顺序推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p>
      <w:pPr>
        <w:ind w:firstLine="420" w:firstLineChars="200"/>
        <w:rPr>
          <w:rFonts w:ascii="宋体" w:hAnsi="宋体" w:eastAsia="宋体" w:cs="Times New Roman"/>
          <w:b/>
          <w:bCs/>
          <w:szCs w:val="21"/>
        </w:rPr>
      </w:pPr>
      <w:r>
        <w:rPr>
          <w:rFonts w:hint="eastAsia" w:ascii="宋体" w:hAnsi="宋体" w:eastAsia="宋体" w:cs="宋体"/>
          <w:color w:val="000000"/>
          <w:szCs w:val="21"/>
        </w:rPr>
        <w:t>一、采购服务需求</w:t>
      </w:r>
    </w:p>
    <w:tbl>
      <w:tblPr>
        <w:tblStyle w:val="9"/>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spacing w:line="320" w:lineRule="exact"/>
              <w:jc w:val="center"/>
              <w:rPr>
                <w:rFonts w:hint="eastAsia" w:ascii="宋体" w:hAnsi="宋体" w:eastAsia="宋体" w:cs="宋体"/>
                <w:color w:val="000000"/>
                <w:szCs w:val="21"/>
                <w:lang w:eastAsia="zh-CN"/>
              </w:rPr>
            </w:pPr>
            <w:r>
              <w:rPr>
                <w:rFonts w:hint="eastAsia" w:ascii="宋体" w:hAnsi="宋体" w:eastAsia="宋体" w:cs="Times New Roman"/>
                <w:color w:val="000000"/>
                <w:szCs w:val="21"/>
                <w:lang w:eastAsia="zh-CN"/>
              </w:rPr>
              <w:t>一体化脊柱内镜摄像系统</w:t>
            </w:r>
          </w:p>
        </w:tc>
        <w:tc>
          <w:tcPr>
            <w:tcW w:w="1210" w:type="dxa"/>
            <w:vAlign w:val="center"/>
          </w:tcPr>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1台</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一、设备要求：</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高清一体化集成显示器、摄像机、LED光源、图像录放存储功能的摄像系统。</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二、参数要求：</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（一）摄像主机Camera</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影像传感器：具备至少1/1.8~1/2全高清CMOS传感器；</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白平衡：具备自动/手动锁定，自动背景补偿；</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扫描系统：逐行扫描，无延迟；</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扫描帧数：≥60帧/秒；</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摄像主机分辨率：至少具备1920*1080P（具备高清4K为正偏离）；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6.</w:t>
            </w:r>
            <w:r>
              <w:rPr>
                <w:rFonts w:hint="eastAsia" w:ascii="宋体" w:hAnsi="宋体" w:eastAsia="宋体" w:cs="宋体"/>
                <w:bCs/>
                <w:szCs w:val="21"/>
                <w:lang w:val="en-US" w:eastAsia="zh-CN"/>
              </w:rPr>
              <w:t>电子快门：自动模式；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7.</w:t>
            </w:r>
            <w:r>
              <w:rPr>
                <w:rFonts w:hint="eastAsia" w:ascii="宋体" w:hAnsi="宋体" w:eastAsia="宋体" w:cs="宋体"/>
                <w:bCs/>
                <w:szCs w:val="21"/>
                <w:lang w:val="en-US" w:eastAsia="zh-CN"/>
              </w:rPr>
              <w:t>最小光照度：≤0.2Lux，手术减少视疲劳（具备≤0.01Lux为正偏离）；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8.</w:t>
            </w:r>
            <w:r>
              <w:rPr>
                <w:rFonts w:hint="eastAsia" w:ascii="宋体" w:hAnsi="宋体" w:eastAsia="宋体" w:cs="宋体"/>
                <w:bCs/>
                <w:szCs w:val="21"/>
                <w:lang w:val="en-US" w:eastAsia="zh-CN"/>
              </w:rPr>
              <w:t>亮度调节：至少具备0-100级可调（具备锐度及GAMMA调节功能为正偏离）；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9.</w:t>
            </w:r>
            <w:r>
              <w:rPr>
                <w:rFonts w:hint="eastAsia" w:ascii="宋体" w:hAnsi="宋体" w:eastAsia="宋体" w:cs="宋体"/>
                <w:bCs/>
                <w:szCs w:val="21"/>
                <w:lang w:val="en-US" w:eastAsia="zh-CN"/>
              </w:rPr>
              <w:t>摄像头遥控控制：可至少实现白平衡、放大、缩小、冻结拍照功能；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10.</w:t>
            </w:r>
            <w:r>
              <w:rPr>
                <w:rFonts w:hint="eastAsia" w:ascii="宋体" w:hAnsi="宋体" w:eastAsia="宋体" w:cs="宋体"/>
                <w:bCs/>
                <w:szCs w:val="21"/>
                <w:lang w:val="en-US" w:eastAsia="zh-CN"/>
              </w:rPr>
              <w:t>视频还原：色彩还原真实、通透、稳定性高（具备手术模式选择，能针对不同手术还原最佳视频为正偏离）；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11.</w:t>
            </w:r>
            <w:r>
              <w:rPr>
                <w:rFonts w:hint="eastAsia" w:ascii="宋体" w:hAnsi="宋体" w:eastAsia="宋体" w:cs="宋体"/>
                <w:bCs/>
                <w:szCs w:val="21"/>
                <w:lang w:val="en-US" w:eastAsia="zh-CN"/>
              </w:rPr>
              <w:t>视频输出模式：至少具备HDMI输出模式，可扩展至任意主流输出模式；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12.</w:t>
            </w:r>
            <w:r>
              <w:rPr>
                <w:rFonts w:hint="eastAsia" w:ascii="宋体" w:hAnsi="宋体" w:eastAsia="宋体" w:cs="宋体"/>
                <w:bCs/>
                <w:szCs w:val="21"/>
                <w:lang w:val="en-US" w:eastAsia="zh-CN"/>
              </w:rPr>
              <w:t>主机自带全高清图像录制、播放、储存功能；</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（二）高清显示屏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显示屏：具备≥15.6英寸LED医用专业高清显示屏（≥22英寸设为正偏离）；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显示屏分辨率：≥1920*1080；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对比度：≥1000:1；</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视角范围：至少具备上下178°，左右89°的视角范围；</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（三）LED光源</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光源功率：≥60W；</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色温：符合4000~6000K，±1000K；</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照度：≥700000Lux；</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显色指数：≥90；</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灯泡寿命：≥20000小时（灯泡终身免维护为正偏离）；</w:t>
            </w:r>
          </w:p>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（四）录制存储模块</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1.</w:t>
            </w:r>
            <w:r>
              <w:rPr>
                <w:rFonts w:hint="eastAsia" w:ascii="宋体" w:hAnsi="宋体" w:eastAsia="宋体" w:cs="宋体"/>
                <w:bCs/>
                <w:szCs w:val="21"/>
                <w:lang w:val="en-US" w:eastAsia="zh-CN"/>
              </w:rPr>
              <w:t>采集方式：可进行视频和图片采集；</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2.</w:t>
            </w:r>
            <w:r>
              <w:rPr>
                <w:rFonts w:hint="eastAsia" w:ascii="宋体" w:hAnsi="宋体" w:eastAsia="宋体" w:cs="宋体"/>
                <w:bCs/>
                <w:szCs w:val="21"/>
                <w:lang w:val="en-US" w:eastAsia="zh-CN"/>
              </w:rPr>
              <w:t>存储方式：内置FLASH，外置SD接口（连续录制存储时间≥6小时为正偏离）；</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3.</w:t>
            </w:r>
            <w:r>
              <w:rPr>
                <w:rFonts w:hint="eastAsia" w:ascii="宋体" w:hAnsi="宋体" w:eastAsia="宋体" w:cs="宋体"/>
                <w:bCs/>
                <w:szCs w:val="21"/>
                <w:lang w:val="en-US" w:eastAsia="zh-CN"/>
              </w:rPr>
              <w:t>录制格式：符合目前各项主流录制格式；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4.</w:t>
            </w:r>
            <w:r>
              <w:rPr>
                <w:rFonts w:hint="eastAsia" w:ascii="宋体" w:hAnsi="宋体" w:eastAsia="宋体" w:cs="宋体"/>
                <w:bCs/>
                <w:szCs w:val="21"/>
                <w:lang w:val="en-US" w:eastAsia="zh-CN"/>
              </w:rPr>
              <w:t>图片格式：符合目前各项主流图片格式；</w:t>
            </w:r>
          </w:p>
          <w:p>
            <w:pPr>
              <w:adjustRightInd w:val="0"/>
              <w:snapToGrid w:val="0"/>
              <w:spacing w:line="360" w:lineRule="exact"/>
              <w:jc w:val="left"/>
              <w:outlineLvl w:val="0"/>
              <w:rPr>
                <w:rFonts w:hint="default" w:ascii="宋体" w:hAnsi="宋体" w:eastAsia="宋体" w:cs="宋体"/>
                <w:bCs/>
                <w:szCs w:val="21"/>
                <w:lang w:val="en-US" w:eastAsia="zh-CN"/>
              </w:rPr>
            </w:pPr>
            <w:r>
              <w:rPr>
                <w:rFonts w:hint="default" w:ascii="宋体" w:hAnsi="宋体" w:eastAsia="宋体" w:cs="宋体"/>
                <w:bCs/>
                <w:szCs w:val="21"/>
                <w:lang w:val="en-US" w:eastAsia="zh-CN"/>
              </w:rPr>
              <w:t>5.</w:t>
            </w:r>
            <w:r>
              <w:rPr>
                <w:rFonts w:hint="eastAsia" w:ascii="宋体" w:hAnsi="宋体" w:eastAsia="宋体" w:cs="宋体"/>
                <w:bCs/>
                <w:szCs w:val="21"/>
                <w:lang w:val="en-US" w:eastAsia="zh-CN"/>
              </w:rPr>
              <w:t>界面操作：具备实时操作显示，随时录制及拍摄。</w:t>
            </w:r>
          </w:p>
          <w:p>
            <w:pPr>
              <w:adjustRightInd w:val="0"/>
              <w:snapToGrid w:val="0"/>
              <w:spacing w:line="360" w:lineRule="exact"/>
              <w:jc w:val="left"/>
              <w:outlineLvl w:val="0"/>
              <w:rPr>
                <w:rFonts w:hint="eastAsia" w:ascii="宋体" w:hAnsi="宋体" w:eastAsia="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hint="eastAsia" w:ascii="Calibri" w:hAnsi="Calibri" w:eastAsia="宋体" w:cs="Times New Roman"/>
                <w:szCs w:val="24"/>
                <w:lang w:val="en-US" w:eastAsia="zh-CN"/>
              </w:rPr>
              <w:t>15</w:t>
            </w:r>
            <w:r>
              <w:rPr>
                <w:rFonts w:hint="eastAsia" w:ascii="Calibri" w:hAnsi="Calibri" w:eastAsia="宋体" w:cs="Times New Roman"/>
                <w:szCs w:val="24"/>
              </w:rPr>
              <w:t>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w:t>
            </w:r>
            <w:r>
              <w:rPr>
                <w:rFonts w:hint="eastAsia" w:ascii="宋体" w:hAnsi="宋体" w:eastAsia="宋体" w:cs="Times New Roman"/>
                <w:bCs/>
                <w:szCs w:val="21"/>
                <w:lang w:val="en-US" w:eastAsia="zh-CN"/>
              </w:rPr>
              <w:t>三</w:t>
            </w:r>
            <w:r>
              <w:rPr>
                <w:rFonts w:hint="eastAsia" w:ascii="宋体" w:hAnsi="宋体" w:eastAsia="宋体" w:cs="Times New Roman"/>
                <w:bCs/>
                <w:szCs w:val="21"/>
              </w:rPr>
              <w:t>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付款方式：货物验收合格后，采购人支付</w:t>
            </w:r>
            <w:r>
              <w:rPr>
                <w:rFonts w:hint="eastAsia" w:ascii="宋体" w:hAnsi="宋体" w:eastAsia="宋体" w:cs="Times New Roman"/>
                <w:bCs/>
                <w:szCs w:val="21"/>
                <w:lang w:val="en-US" w:eastAsia="zh-CN"/>
              </w:rPr>
              <w:t>100</w:t>
            </w:r>
            <w:r>
              <w:rPr>
                <w:rFonts w:ascii="宋体" w:hAnsi="宋体" w:eastAsia="宋体" w:cs="Times New Roman"/>
                <w:bCs/>
                <w:szCs w:val="21"/>
              </w:rPr>
              <w:t>%货款</w:t>
            </w:r>
            <w:r>
              <w:rPr>
                <w:rFonts w:hint="eastAsia" w:ascii="宋体" w:hAnsi="宋体" w:eastAsia="宋体" w:cs="Times New Roman"/>
                <w:bCs/>
                <w:szCs w:val="21"/>
              </w:rPr>
              <w:t>，中标人应开具发票给采购人。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1.中标人保证向采购人提供的货物是全新、完整、未使用过的。</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2.投标时提供投标产品生产厂家公开发行的产品彩页或技术说明书（标明主要技术参数）、技术响应与彩页或技术说明书不一致的以彩页或技术说明书为准。</w:t>
            </w:r>
          </w:p>
          <w:p>
            <w:pPr>
              <w:spacing w:line="320" w:lineRule="exact"/>
              <w:jc w:val="left"/>
              <w:rPr>
                <w:rFonts w:hint="eastAsia" w:ascii="宋体" w:hAnsi="宋体" w:eastAsia="宋体" w:cs="宋体"/>
                <w:color w:val="000000"/>
                <w:szCs w:val="21"/>
              </w:rPr>
            </w:pPr>
            <w:r>
              <w:rPr>
                <w:rFonts w:hint="eastAsia" w:ascii="宋体" w:hAnsi="宋体" w:eastAsia="宋体" w:cs="宋体"/>
                <w:color w:val="000000"/>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4.若投标人不是投标产品生产厂家，必须提供产品生产厂家或国内代理商授权书原件（代理商授权的须同时提供代理证书复印件）。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eastAsia="宋体" w:cs="宋体"/>
                <w:color w:val="000000"/>
                <w:szCs w:val="21"/>
              </w:rPr>
            </w:pPr>
            <w:r>
              <w:rPr>
                <w:rFonts w:hint="eastAsia" w:ascii="宋体" w:hAnsi="宋体" w:eastAsia="宋体" w:cs="Times New Roman"/>
                <w:szCs w:val="21"/>
              </w:rPr>
              <w:t>备注</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eastAsia="宋体" w:cs="Times New Roman"/>
                <w:bCs/>
                <w:szCs w:val="21"/>
              </w:rPr>
            </w:pPr>
            <w:r>
              <w:rPr>
                <w:rFonts w:hint="eastAsia" w:ascii="宋体" w:hAnsi="宋体" w:eastAsia="宋体" w:cs="Times New Roman"/>
                <w:bCs/>
                <w:szCs w:val="21"/>
              </w:rPr>
              <w:t>“▲”系指实质性要求条款。</w:t>
            </w:r>
          </w:p>
        </w:tc>
      </w:tr>
    </w:tbl>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20</w:t>
      </w:r>
      <w:r>
        <w:rPr>
          <w:rFonts w:hint="eastAsia" w:ascii="宋体" w:hAnsi="宋体" w:eastAsia="宋体" w:cs="Calibri"/>
          <w:color w:val="000000"/>
          <w:szCs w:val="21"/>
        </w:rPr>
        <w:t>.最后报价结束后，磋商小组不得再与供应商进行任何形式的商谈。</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（五）比较与评价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.评审方法：综合评分法。</w:t>
      </w:r>
    </w:p>
    <w:p>
      <w:pPr>
        <w:spacing w:line="400" w:lineRule="exact"/>
        <w:ind w:firstLine="562"/>
        <w:rPr>
          <w:rFonts w:ascii="宋体" w:hAnsi="宋体" w:eastAsia="宋体" w:cs="Times New Roman"/>
          <w:b/>
          <w:color w:val="000000"/>
          <w:szCs w:val="21"/>
        </w:rPr>
      </w:pP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9"/>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1560"/>
        <w:gridCol w:w="6237"/>
        <w:gridCol w:w="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60"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237"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762"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237"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4</w:t>
            </w:r>
            <w:r>
              <w:rPr>
                <w:rFonts w:hint="eastAsia" w:ascii="宋体" w:hAnsi="宋体" w:eastAsia="宋体" w:cs="Times New Roman"/>
                <w:color w:val="000000"/>
                <w:szCs w:val="21"/>
              </w:rPr>
              <w:t>0分）</w:t>
            </w:r>
          </w:p>
          <w:p>
            <w:pPr>
              <w:spacing w:line="360" w:lineRule="exact"/>
              <w:ind w:firstLine="2310" w:firstLineChars="11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4</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4</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60"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6999"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60"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237" w:type="dxa"/>
            <w:vAlign w:val="center"/>
          </w:tcPr>
          <w:p>
            <w:pPr>
              <w:rPr>
                <w:rFonts w:ascii="宋体" w:hAnsi="宋体" w:eastAsia="宋体" w:cs="Times New Roman"/>
                <w:bCs/>
                <w:color w:val="000000"/>
                <w:szCs w:val="21"/>
              </w:rPr>
            </w:pPr>
            <w:r>
              <w:rPr>
                <w:rFonts w:hint="eastAsia" w:ascii="宋体" w:hAnsi="宋体" w:eastAsia="宋体" w:cs="Times New Roman"/>
                <w:bCs/>
                <w:color w:val="000000"/>
                <w:szCs w:val="21"/>
              </w:rPr>
              <w:t>投标文件技术参数无负偏离，得1</w:t>
            </w:r>
            <w:r>
              <w:rPr>
                <w:rFonts w:hint="eastAsia" w:ascii="宋体" w:hAnsi="宋体" w:eastAsia="宋体" w:cs="Times New Roman"/>
                <w:bCs/>
                <w:color w:val="000000"/>
                <w:szCs w:val="21"/>
                <w:lang w:val="en-US" w:eastAsia="zh-CN"/>
              </w:rPr>
              <w:t>0</w:t>
            </w:r>
            <w:r>
              <w:rPr>
                <w:rFonts w:ascii="宋体" w:hAnsi="宋体" w:eastAsia="宋体" w:cs="Times New Roman"/>
                <w:bCs/>
                <w:color w:val="000000"/>
                <w:szCs w:val="21"/>
              </w:rPr>
              <w:t>分</w:t>
            </w:r>
            <w:r>
              <w:rPr>
                <w:rFonts w:hint="eastAsia" w:ascii="宋体" w:hAnsi="宋体" w:eastAsia="宋体" w:cs="Times New Roman"/>
                <w:bCs/>
                <w:color w:val="000000"/>
                <w:szCs w:val="21"/>
              </w:rPr>
              <w:t>，每有</w:t>
            </w:r>
            <w:r>
              <w:rPr>
                <w:rFonts w:ascii="宋体" w:hAnsi="宋体" w:eastAsia="宋体" w:cs="Times New Roman"/>
                <w:bCs/>
                <w:color w:val="000000"/>
                <w:szCs w:val="21"/>
              </w:rPr>
              <w:t>1个正偏离</w:t>
            </w:r>
            <w:r>
              <w:rPr>
                <w:rFonts w:hint="eastAsia" w:ascii="宋体" w:hAnsi="宋体" w:eastAsia="宋体" w:cs="Times New Roman"/>
                <w:bCs/>
                <w:color w:val="000000"/>
                <w:szCs w:val="21"/>
              </w:rPr>
              <w:t>加</w:t>
            </w:r>
            <w:r>
              <w:rPr>
                <w:rFonts w:hint="eastAsia" w:ascii="宋体" w:hAnsi="宋体" w:eastAsia="宋体" w:cs="Times New Roman"/>
                <w:bCs/>
                <w:color w:val="000000"/>
                <w:szCs w:val="21"/>
                <w:lang w:val="en-US" w:eastAsia="zh-CN"/>
              </w:rPr>
              <w:t>3</w:t>
            </w:r>
            <w:r>
              <w:rPr>
                <w:rFonts w:hint="eastAsia" w:ascii="宋体" w:hAnsi="宋体" w:eastAsia="宋体" w:cs="Times New Roman"/>
                <w:bCs/>
                <w:color w:val="000000"/>
                <w:szCs w:val="21"/>
              </w:rPr>
              <w:t>分，满分</w:t>
            </w:r>
            <w:r>
              <w:rPr>
                <w:rFonts w:hint="eastAsia" w:ascii="宋体" w:hAnsi="宋体" w:eastAsia="宋体" w:cs="Times New Roman"/>
                <w:bCs/>
                <w:color w:val="000000"/>
                <w:szCs w:val="21"/>
                <w:lang w:val="en-US" w:eastAsia="zh-CN"/>
              </w:rPr>
              <w:t>30</w:t>
            </w:r>
            <w:r>
              <w:rPr>
                <w:rFonts w:hint="eastAsia" w:ascii="宋体" w:hAnsi="宋体" w:eastAsia="宋体" w:cs="Times New Roman"/>
                <w:bCs/>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投标文件技术参数有2个负偏离，得0分；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30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60"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 xml:space="preserve">一档：一般品牌(同一品牌，应同一分值)            </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hint="eastAsia" w:ascii="宋体" w:hAnsi="宋体" w:eastAsia="宋体" w:cs="Times New Roman"/>
                <w:color w:val="000000"/>
                <w:szCs w:val="21"/>
                <w:lang w:val="en-US" w:eastAsia="zh-CN"/>
              </w:rPr>
              <w:t>10</w:t>
            </w:r>
            <w:r>
              <w:rPr>
                <w:rFonts w:hint="eastAsia" w:ascii="宋体" w:hAnsi="宋体" w:eastAsia="宋体" w:cs="Times New Roman"/>
                <w:color w:val="000000"/>
                <w:szCs w:val="21"/>
              </w:rPr>
              <w:t>分</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562"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60"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237"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一档（0.1-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3.1</w:t>
            </w:r>
            <w:r>
              <w:rPr>
                <w:rFonts w:hint="eastAsia" w:ascii="宋体" w:hAnsi="宋体" w:eastAsia="宋体" w:cs="Times New Roman"/>
                <w:color w:val="000000"/>
                <w:szCs w:val="21"/>
              </w:rPr>
              <w:t>-</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6.1-10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762" w:type="dxa"/>
            <w:vAlign w:val="center"/>
          </w:tcPr>
          <w:p>
            <w:pPr>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5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60"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6999"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562" w:type="dxa"/>
            <w:vAlign w:val="center"/>
          </w:tcPr>
          <w:p>
            <w:pPr>
              <w:widowControl/>
              <w:spacing w:line="400" w:lineRule="exact"/>
              <w:jc w:val="center"/>
              <w:rPr>
                <w:rStyle w:val="17"/>
                <w:rFonts w:hint="default"/>
              </w:rPr>
            </w:pPr>
            <w:r>
              <w:rPr>
                <w:rStyle w:val="17"/>
                <w:rFonts w:hint="default"/>
              </w:rPr>
              <w:t>3.1</w:t>
            </w:r>
          </w:p>
        </w:tc>
        <w:tc>
          <w:tcPr>
            <w:tcW w:w="1560"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237" w:type="dxa"/>
            <w:vAlign w:val="center"/>
          </w:tcPr>
          <w:p>
            <w:pPr>
              <w:rPr>
                <w:rFonts w:ascii="宋体" w:hAnsi="宋体" w:eastAsia="宋体" w:cs="Arial"/>
                <w:szCs w:val="21"/>
              </w:rPr>
            </w:pPr>
            <w:r>
              <w:rPr>
                <w:rFonts w:hint="eastAsia" w:ascii="宋体" w:hAnsi="宋体" w:eastAsia="宋体" w:cs="Times New Roman"/>
                <w:color w:val="000000"/>
                <w:szCs w:val="21"/>
              </w:rPr>
              <w:t>投标产品自2020年以来同款产品业绩分（提供合同复印件），每提供一个合同复印件得</w:t>
            </w:r>
            <w:r>
              <w:rPr>
                <w:rFonts w:ascii="宋体" w:hAnsi="宋体" w:eastAsia="宋体" w:cs="Times New Roman"/>
                <w:color w:val="000000"/>
                <w:szCs w:val="21"/>
              </w:rPr>
              <w:t>2</w:t>
            </w:r>
            <w:r>
              <w:rPr>
                <w:rFonts w:hint="eastAsia" w:ascii="宋体" w:hAnsi="宋体" w:eastAsia="宋体" w:cs="Times New Roman"/>
                <w:color w:val="000000"/>
                <w:szCs w:val="21"/>
              </w:rPr>
              <w:t>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r>
              <w:rPr>
                <w:rFonts w:ascii="宋体" w:hAnsi="宋体" w:eastAsia="宋体" w:cs="Tahoma"/>
                <w:color w:val="000000"/>
                <w:kern w:val="0"/>
                <w:szCs w:val="21"/>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359"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762"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keepNext/>
        <w:keepLines/>
        <w:spacing w:before="260" w:after="260" w:line="415" w:lineRule="auto"/>
        <w:jc w:val="both"/>
        <w:outlineLvl w:val="1"/>
        <w:rPr>
          <w:rFonts w:hint="eastAsia" w:ascii="宋体" w:hAnsi="宋体" w:eastAsia="宋体" w:cs="宋体"/>
          <w:b/>
          <w:bCs/>
          <w:color w:val="000000"/>
          <w:sz w:val="32"/>
          <w:szCs w:val="32"/>
        </w:rPr>
      </w:pPr>
      <w:r>
        <w:rPr>
          <w:rFonts w:hint="eastAsia" w:ascii="宋体" w:hAnsi="宋体" w:eastAsia="宋体"/>
          <w:szCs w:val="21"/>
        </w:rPr>
        <w:t>2</w:t>
      </w:r>
      <w:r>
        <w:rPr>
          <w:rFonts w:ascii="宋体" w:hAnsi="宋体" w:eastAsia="宋体"/>
          <w:szCs w:val="21"/>
        </w:rPr>
        <w:t>5.由磋商小组根据综合评分情况，按照评审得分由高到低顺序推荐</w:t>
      </w:r>
      <w:r>
        <w:rPr>
          <w:rFonts w:hint="eastAsia" w:ascii="宋体" w:hAnsi="宋体" w:eastAsia="宋体"/>
          <w:szCs w:val="21"/>
        </w:rPr>
        <w:t>评分排名第一的供应商为</w:t>
      </w:r>
      <w:r>
        <w:rPr>
          <w:rFonts w:ascii="宋体" w:hAnsi="宋体" w:eastAsia="宋体"/>
          <w:szCs w:val="21"/>
        </w:rPr>
        <w:t>成交候选供应商，并编写评审报告。评审得分相同的，按照最后报价由低到高的顺序推荐。评审得分且最后报价相同的，按照按技术得分由高到低</w:t>
      </w:r>
      <w:r>
        <w:rPr>
          <w:rFonts w:hint="eastAsia" w:ascii="宋体" w:hAnsi="宋体" w:eastAsia="宋体"/>
          <w:szCs w:val="21"/>
        </w:rPr>
        <w:t>的顺</w:t>
      </w:r>
      <w:r>
        <w:rPr>
          <w:rFonts w:ascii="宋体" w:hAnsi="宋体" w:eastAsia="宋体"/>
          <w:szCs w:val="21"/>
        </w:rPr>
        <w:t>序</w:t>
      </w:r>
      <w:r>
        <w:rPr>
          <w:rFonts w:hint="eastAsia" w:ascii="宋体" w:hAnsi="宋体" w:eastAsia="宋体"/>
          <w:szCs w:val="21"/>
        </w:rPr>
        <w:t>推荐</w:t>
      </w:r>
      <w:r>
        <w:rPr>
          <w:rFonts w:ascii="宋体" w:hAnsi="宋体" w:eastAsia="宋体"/>
          <w:szCs w:val="21"/>
        </w:rPr>
        <w:t>。评审得分、最后报价、技术得分、</w:t>
      </w:r>
      <w:r>
        <w:rPr>
          <w:rFonts w:hint="eastAsia" w:ascii="宋体" w:hAnsi="宋体" w:eastAsia="宋体"/>
          <w:szCs w:val="21"/>
        </w:rPr>
        <w:t>商务</w:t>
      </w:r>
      <w:r>
        <w:rPr>
          <w:rFonts w:ascii="宋体" w:hAnsi="宋体" w:eastAsia="宋体"/>
          <w:szCs w:val="21"/>
        </w:rPr>
        <w:t>分均相同的，由磋商小组随机抽取推荐。</w:t>
      </w:r>
    </w:p>
    <w:p>
      <w:pPr>
        <w:keepNext/>
        <w:keepLines/>
        <w:spacing w:before="260" w:after="260" w:line="415" w:lineRule="auto"/>
        <w:jc w:val="both"/>
        <w:outlineLvl w:val="1"/>
        <w:rPr>
          <w:rFonts w:hint="eastAsia" w:ascii="宋体" w:hAnsi="宋体" w:eastAsia="宋体" w:cs="宋体"/>
          <w:b/>
          <w:bCs/>
          <w:color w:val="000000"/>
          <w:sz w:val="32"/>
          <w:szCs w:val="32"/>
        </w:rPr>
      </w:pPr>
    </w:p>
    <w:p>
      <w:pPr>
        <w:keepNext/>
        <w:keepLines/>
        <w:spacing w:before="260" w:after="260" w:line="415" w:lineRule="auto"/>
        <w:jc w:val="both"/>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3"/>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9"/>
        <w:tblpPr w:leftFromText="180" w:rightFromText="180" w:vertAnchor="text" w:horzAnchor="page" w:tblpX="1325" w:tblpY="580"/>
        <w:tblOverlap w:val="never"/>
        <w:tblW w:w="97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9"/>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b/>
          <w:color w:val="000000"/>
          <w:sz w:val="32"/>
          <w:szCs w:val="32"/>
        </w:rPr>
        <w:t>1.</w:t>
      </w:r>
      <w:r>
        <w:rPr>
          <w:rFonts w:hint="eastAsia" w:ascii="宋体" w:hAnsi="宋体" w:eastAsia="宋体" w:cs="Calibri"/>
          <w:b/>
          <w:bCs/>
          <w:color w:val="000000"/>
          <w:sz w:val="32"/>
          <w:szCs w:val="32"/>
        </w:rPr>
        <w:t>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abstractNum w:abstractNumId="1">
    <w:nsid w:val="2A2213E9"/>
    <w:multiLevelType w:val="multilevel"/>
    <w:tmpl w:val="2A2213E9"/>
    <w:lvl w:ilvl="0" w:tentative="0">
      <w:start w:val="1"/>
      <w:numFmt w:val="decimal"/>
      <w:lvlText w:val="%1."/>
      <w:lvlJc w:val="left"/>
      <w:pPr>
        <w:ind w:left="425" w:hanging="425"/>
      </w:pPr>
      <w:rPr>
        <w:rFonts w:hint="eastAsia"/>
      </w:rPr>
    </w:lvl>
    <w:lvl w:ilvl="1" w:tentative="0">
      <w:start w:val="1"/>
      <w:numFmt w:val="decimalZero"/>
      <w:lvlText w:val="%1.%2"/>
      <w:lvlJc w:val="left"/>
      <w:pPr>
        <w:tabs>
          <w:tab w:val="left" w:pos="992"/>
        </w:tabs>
        <w:ind w:left="992" w:hanging="567"/>
      </w:pPr>
      <w:rPr>
        <w:rFonts w:hint="eastAsia"/>
        <w:b w:val="0"/>
      </w:rPr>
    </w:lvl>
    <w:lvl w:ilvl="2" w:tentative="0">
      <w:start w:val="1"/>
      <w:numFmt w:val="decimal"/>
      <w:pStyle w:val="4"/>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
    <w:nsid w:val="55044965"/>
    <w:multiLevelType w:val="multilevel"/>
    <w:tmpl w:val="55044965"/>
    <w:lvl w:ilvl="0" w:tentative="0">
      <w:start w:val="1"/>
      <w:numFmt w:val="decimal"/>
      <w:pStyle w:val="2"/>
      <w:lvlText w:val="%1"/>
      <w:lvlJc w:val="left"/>
      <w:pPr>
        <w:ind w:left="0" w:firstLine="0"/>
      </w:pPr>
      <w:rPr>
        <w:rFonts w:hint="eastAsia"/>
      </w:rPr>
    </w:lvl>
    <w:lvl w:ilvl="1" w:tentative="0">
      <w:start w:val="1"/>
      <w:numFmt w:val="decimalZero"/>
      <w:suff w:val="space"/>
      <w:lvlText w:val="%1.%2  "/>
      <w:lvlJc w:val="left"/>
      <w:pPr>
        <w:ind w:left="4962" w:firstLine="0"/>
      </w:pPr>
      <w:rPr>
        <w:rFonts w:hint="eastAsia"/>
        <w:color w:val="1D1B11"/>
      </w:rPr>
    </w:lvl>
    <w:lvl w:ilvl="2" w:tentative="0">
      <w:start w:val="1"/>
      <w:numFmt w:val="decimal"/>
      <w:lvlText w:val="%1.%2.%3"/>
      <w:lvlJc w:val="left"/>
      <w:pPr>
        <w:ind w:left="0" w:firstLine="0"/>
      </w:pPr>
      <w:rPr>
        <w:rFonts w:hint="eastAsia"/>
        <w:color w:val="1D1B11"/>
      </w:rPr>
    </w:lvl>
    <w:lvl w:ilvl="3" w:tentative="0">
      <w:start w:val="1"/>
      <w:numFmt w:val="decimal"/>
      <w:lvlText w:val="%1.%2.%3.%4"/>
      <w:lvlJc w:val="left"/>
      <w:pPr>
        <w:ind w:left="0" w:firstLine="0"/>
      </w:pPr>
      <w:rPr>
        <w:rFonts w:hint="eastAsia"/>
        <w:color w:val="1D1B11"/>
      </w:rPr>
    </w:lvl>
    <w:lvl w:ilvl="4" w:tentative="0">
      <w:start w:val="1"/>
      <w:numFmt w:val="decimal"/>
      <w:lvlText w:val="%1.%2.%3.%4.%5"/>
      <w:lvlJc w:val="left"/>
      <w:pPr>
        <w:ind w:left="0" w:firstLine="0"/>
      </w:pPr>
      <w:rPr>
        <w:rFonts w:hint="eastAsia"/>
        <w:color w:val="1D1B11"/>
      </w:rPr>
    </w:lvl>
    <w:lvl w:ilvl="5" w:tentative="0">
      <w:start w:val="1"/>
      <w:numFmt w:val="decimal"/>
      <w:lvlText w:val="%1.%2.%3.%4.%5.%6"/>
      <w:lvlJc w:val="left"/>
      <w:pPr>
        <w:ind w:left="0" w:firstLine="0"/>
      </w:pPr>
      <w:rPr>
        <w:rFonts w:hint="eastAsia"/>
        <w:color w:val="1D1B11"/>
      </w:rPr>
    </w:lvl>
    <w:lvl w:ilvl="6" w:tentative="0">
      <w:start w:val="1"/>
      <w:numFmt w:val="decimal"/>
      <w:lvlText w:val="%1.%2.%3.%4.%5.%6.%7"/>
      <w:lvlJc w:val="left"/>
      <w:pPr>
        <w:ind w:left="0" w:firstLine="0"/>
      </w:pPr>
      <w:rPr>
        <w:rFonts w:hint="eastAsia"/>
        <w:color w:val="1D1B11"/>
      </w:rPr>
    </w:lvl>
    <w:lvl w:ilvl="7" w:tentative="0">
      <w:start w:val="1"/>
      <w:numFmt w:val="decimal"/>
      <w:lvlText w:val="%1.%2.%3.%4.%5.%6.%7.%8"/>
      <w:lvlJc w:val="left"/>
      <w:pPr>
        <w:ind w:left="0" w:firstLine="0"/>
      </w:pPr>
      <w:rPr>
        <w:rFonts w:hint="eastAsia"/>
        <w:color w:val="1D1B11"/>
      </w:rPr>
    </w:lvl>
    <w:lvl w:ilvl="8" w:tentative="0">
      <w:start w:val="1"/>
      <w:numFmt w:val="decimal"/>
      <w:lvlText w:val="%1.%2.%3.%4.%5.%6.%7.%8.%9"/>
      <w:lvlJc w:val="left"/>
      <w:pPr>
        <w:ind w:left="0" w:firstLine="0"/>
      </w:pPr>
      <w:rPr>
        <w:rFonts w:hint="eastAsia"/>
        <w:color w:val="1D1B11"/>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0529A"/>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506F"/>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3F179C"/>
    <w:rsid w:val="00420458"/>
    <w:rsid w:val="004261FD"/>
    <w:rsid w:val="0043312E"/>
    <w:rsid w:val="00437B08"/>
    <w:rsid w:val="00475ACF"/>
    <w:rsid w:val="00482B18"/>
    <w:rsid w:val="0049122E"/>
    <w:rsid w:val="004970E7"/>
    <w:rsid w:val="004B36A3"/>
    <w:rsid w:val="004B5BED"/>
    <w:rsid w:val="004B7907"/>
    <w:rsid w:val="004D1A32"/>
    <w:rsid w:val="004E4867"/>
    <w:rsid w:val="00522BAE"/>
    <w:rsid w:val="00524436"/>
    <w:rsid w:val="005467AF"/>
    <w:rsid w:val="0055706B"/>
    <w:rsid w:val="005904DC"/>
    <w:rsid w:val="00590FB2"/>
    <w:rsid w:val="005A3E00"/>
    <w:rsid w:val="005B5BDB"/>
    <w:rsid w:val="005E5076"/>
    <w:rsid w:val="005F7B66"/>
    <w:rsid w:val="006208AC"/>
    <w:rsid w:val="0064134D"/>
    <w:rsid w:val="00652A2F"/>
    <w:rsid w:val="00670DDD"/>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41F6"/>
    <w:rsid w:val="007C7A57"/>
    <w:rsid w:val="00804931"/>
    <w:rsid w:val="00841DE0"/>
    <w:rsid w:val="00851441"/>
    <w:rsid w:val="00866E90"/>
    <w:rsid w:val="00876610"/>
    <w:rsid w:val="008B0597"/>
    <w:rsid w:val="008B759C"/>
    <w:rsid w:val="008D1A95"/>
    <w:rsid w:val="008F2FB5"/>
    <w:rsid w:val="009021D5"/>
    <w:rsid w:val="009123EC"/>
    <w:rsid w:val="00914286"/>
    <w:rsid w:val="009149DA"/>
    <w:rsid w:val="00926E03"/>
    <w:rsid w:val="0093175C"/>
    <w:rsid w:val="009535DF"/>
    <w:rsid w:val="009A28A4"/>
    <w:rsid w:val="009B1BE3"/>
    <w:rsid w:val="009B74A4"/>
    <w:rsid w:val="00A1363E"/>
    <w:rsid w:val="00A26BC4"/>
    <w:rsid w:val="00A31622"/>
    <w:rsid w:val="00A44221"/>
    <w:rsid w:val="00A53207"/>
    <w:rsid w:val="00A554F0"/>
    <w:rsid w:val="00A6578C"/>
    <w:rsid w:val="00A70F25"/>
    <w:rsid w:val="00A71DF9"/>
    <w:rsid w:val="00A74200"/>
    <w:rsid w:val="00A7493B"/>
    <w:rsid w:val="00A82598"/>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71862"/>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48E0F02"/>
    <w:rsid w:val="053927FD"/>
    <w:rsid w:val="09D12514"/>
    <w:rsid w:val="0CA2087B"/>
    <w:rsid w:val="0DEF17D8"/>
    <w:rsid w:val="0E04767E"/>
    <w:rsid w:val="0E2A78AA"/>
    <w:rsid w:val="0F21032D"/>
    <w:rsid w:val="100B70C3"/>
    <w:rsid w:val="12143431"/>
    <w:rsid w:val="13EE14DD"/>
    <w:rsid w:val="149435D9"/>
    <w:rsid w:val="15F14846"/>
    <w:rsid w:val="16D514D3"/>
    <w:rsid w:val="18C732A1"/>
    <w:rsid w:val="19BD661E"/>
    <w:rsid w:val="1A632FBA"/>
    <w:rsid w:val="1F3802BD"/>
    <w:rsid w:val="1FE356EA"/>
    <w:rsid w:val="20F1271B"/>
    <w:rsid w:val="21C83E17"/>
    <w:rsid w:val="230C6132"/>
    <w:rsid w:val="25C10491"/>
    <w:rsid w:val="25E11E59"/>
    <w:rsid w:val="2656639C"/>
    <w:rsid w:val="267D2BB8"/>
    <w:rsid w:val="27605B00"/>
    <w:rsid w:val="28890F3B"/>
    <w:rsid w:val="29105A83"/>
    <w:rsid w:val="2C000E3B"/>
    <w:rsid w:val="2C805D95"/>
    <w:rsid w:val="2F60116C"/>
    <w:rsid w:val="303D69DF"/>
    <w:rsid w:val="31027D3B"/>
    <w:rsid w:val="34CC6136"/>
    <w:rsid w:val="36D70741"/>
    <w:rsid w:val="36EF4890"/>
    <w:rsid w:val="37CD68B3"/>
    <w:rsid w:val="39026745"/>
    <w:rsid w:val="399D69A6"/>
    <w:rsid w:val="3ABE2947"/>
    <w:rsid w:val="3CF86B7C"/>
    <w:rsid w:val="3ECC7C1F"/>
    <w:rsid w:val="41C0323C"/>
    <w:rsid w:val="41D3175E"/>
    <w:rsid w:val="43983142"/>
    <w:rsid w:val="44653A13"/>
    <w:rsid w:val="45DB2F02"/>
    <w:rsid w:val="48692577"/>
    <w:rsid w:val="4B7418F0"/>
    <w:rsid w:val="4BF86B15"/>
    <w:rsid w:val="4C20341C"/>
    <w:rsid w:val="4EFF5D37"/>
    <w:rsid w:val="4FD74E04"/>
    <w:rsid w:val="51811736"/>
    <w:rsid w:val="53FE114B"/>
    <w:rsid w:val="54AD1ED4"/>
    <w:rsid w:val="552876E5"/>
    <w:rsid w:val="57874CD5"/>
    <w:rsid w:val="583D649E"/>
    <w:rsid w:val="59B64834"/>
    <w:rsid w:val="5D72019D"/>
    <w:rsid w:val="5E9A1F4D"/>
    <w:rsid w:val="5EBA7B70"/>
    <w:rsid w:val="644615FA"/>
    <w:rsid w:val="649233E3"/>
    <w:rsid w:val="64BF359F"/>
    <w:rsid w:val="64E861BC"/>
    <w:rsid w:val="65A17C5D"/>
    <w:rsid w:val="65A90B76"/>
    <w:rsid w:val="65ED1B69"/>
    <w:rsid w:val="66567619"/>
    <w:rsid w:val="67802B6C"/>
    <w:rsid w:val="6B856D0D"/>
    <w:rsid w:val="6D0312DB"/>
    <w:rsid w:val="6D5A388E"/>
    <w:rsid w:val="6DA44EC3"/>
    <w:rsid w:val="6ED75AC7"/>
    <w:rsid w:val="6F1E7D10"/>
    <w:rsid w:val="71045D6C"/>
    <w:rsid w:val="715B3F7C"/>
    <w:rsid w:val="749E160D"/>
    <w:rsid w:val="74DA269D"/>
    <w:rsid w:val="775B4E6B"/>
    <w:rsid w:val="779D6447"/>
    <w:rsid w:val="78D3337A"/>
    <w:rsid w:val="7B591255"/>
    <w:rsid w:val="7C3D2E64"/>
    <w:rsid w:val="7D0E37F9"/>
    <w:rsid w:val="7F2C78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numPr>
        <w:ilvl w:val="0"/>
        <w:numId w:val="1"/>
      </w:numPr>
      <w:snapToGrid w:val="0"/>
      <w:spacing w:before="120" w:beforeLines="50" w:line="360" w:lineRule="auto"/>
      <w:outlineLvl w:val="0"/>
    </w:pPr>
    <w:rPr>
      <w:rFonts w:ascii="微软雅黑" w:hAnsi="微软雅黑" w:eastAsia="微软雅黑" w:cs="Arial"/>
      <w:b/>
      <w:bCs/>
      <w:color w:val="181717" w:themeColor="background2" w:themeShade="1A"/>
      <w:sz w:val="24"/>
      <w:szCs w:val="24"/>
    </w:rPr>
  </w:style>
  <w:style w:type="paragraph" w:styleId="3">
    <w:name w:val="heading 2"/>
    <w:basedOn w:val="4"/>
    <w:next w:val="1"/>
    <w:link w:val="15"/>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numPr>
        <w:ilvl w:val="2"/>
        <w:numId w:val="2"/>
      </w:numPr>
      <w:snapToGrid w:val="0"/>
      <w:spacing w:line="360" w:lineRule="auto"/>
      <w:jc w:val="left"/>
      <w:outlineLvl w:val="2"/>
    </w:pPr>
    <w:rPr>
      <w:rFonts w:ascii="微软雅黑" w:hAnsi="微软雅黑" w:eastAsia="微软雅黑" w:cs="Arial"/>
    </w:rPr>
  </w:style>
  <w:style w:type="paragraph" w:styleId="5">
    <w:name w:val="heading 4"/>
    <w:basedOn w:val="1"/>
    <w:next w:val="1"/>
    <w:qFormat/>
    <w:uiPriority w:val="0"/>
    <w:pPr>
      <w:keepNext/>
      <w:jc w:val="center"/>
      <w:outlineLvl w:val="3"/>
    </w:pPr>
    <w:rPr>
      <w:rFonts w:ascii="Arial" w:hAnsi="Arial" w:cs="Arial"/>
      <w:b/>
      <w:sz w:val="28"/>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6">
    <w:name w:val="Date"/>
    <w:basedOn w:val="1"/>
    <w:next w:val="1"/>
    <w:link w:val="14"/>
    <w:semiHidden/>
    <w:unhideWhenUsed/>
    <w:qFormat/>
    <w:uiPriority w:val="99"/>
    <w:pPr>
      <w:ind w:left="100" w:leftChars="2500"/>
    </w:p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8"/>
    <w:qFormat/>
    <w:uiPriority w:val="99"/>
    <w:rPr>
      <w:sz w:val="18"/>
      <w:szCs w:val="18"/>
    </w:rPr>
  </w:style>
  <w:style w:type="character" w:customStyle="1" w:styleId="13">
    <w:name w:val="页脚 字符"/>
    <w:basedOn w:val="11"/>
    <w:link w:val="7"/>
    <w:qFormat/>
    <w:uiPriority w:val="99"/>
    <w:rPr>
      <w:sz w:val="18"/>
      <w:szCs w:val="18"/>
    </w:rPr>
  </w:style>
  <w:style w:type="character" w:customStyle="1" w:styleId="14">
    <w:name w:val="日期 字符"/>
    <w:basedOn w:val="11"/>
    <w:link w:val="6"/>
    <w:semiHidden/>
    <w:qFormat/>
    <w:uiPriority w:val="99"/>
  </w:style>
  <w:style w:type="character" w:customStyle="1" w:styleId="15">
    <w:name w:val="标题 2 字符"/>
    <w:basedOn w:val="11"/>
    <w:link w:val="3"/>
    <w:semiHidden/>
    <w:qFormat/>
    <w:uiPriority w:val="9"/>
    <w:rPr>
      <w:rFonts w:asciiTheme="majorHAnsi" w:hAnsiTheme="majorHAnsi" w:eastAsiaTheme="majorEastAsia" w:cstheme="majorBidi"/>
      <w:b/>
      <w:bCs/>
      <w:sz w:val="32"/>
      <w:szCs w:val="32"/>
    </w:rPr>
  </w:style>
  <w:style w:type="paragraph" w:styleId="16">
    <w:name w:val="List Paragraph"/>
    <w:basedOn w:val="1"/>
    <w:qFormat/>
    <w:uiPriority w:val="34"/>
    <w:pPr>
      <w:ind w:firstLine="420" w:firstLineChars="200"/>
    </w:pPr>
  </w:style>
  <w:style w:type="character" w:customStyle="1" w:styleId="17">
    <w:name w:val="font91"/>
    <w:basedOn w:val="11"/>
    <w:qFormat/>
    <w:uiPriority w:val="0"/>
    <w:rPr>
      <w:rFonts w:hint="eastAsia" w:ascii="宋体" w:hAnsi="宋体" w:eastAsia="宋体" w:cs="宋体"/>
      <w:color w:val="000000"/>
      <w:sz w:val="20"/>
      <w:szCs w:val="20"/>
      <w:u w:val="none"/>
    </w:rPr>
  </w:style>
  <w:style w:type="character" w:customStyle="1" w:styleId="18">
    <w:name w:val="font51"/>
    <w:basedOn w:val="11"/>
    <w:qFormat/>
    <w:uiPriority w:val="0"/>
    <w:rPr>
      <w:rFonts w:hint="default" w:ascii="Times New Roman" w:hAnsi="Times New Roman" w:cs="Times New Roman"/>
      <w:color w:val="000000"/>
      <w:sz w:val="20"/>
      <w:szCs w:val="20"/>
      <w:u w:val="none"/>
    </w:rPr>
  </w:style>
  <w:style w:type="paragraph" w:customStyle="1" w:styleId="19">
    <w:name w:val="列出段落1"/>
    <w:basedOn w:val="1"/>
    <w:qFormat/>
    <w:uiPriority w:val="34"/>
    <w:pPr>
      <w:ind w:firstLine="420" w:firstLineChars="200"/>
    </w:pPr>
    <w:rPr>
      <w:rFonts w:ascii="Calibri" w:hAnsi="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33</Pages>
  <Words>18639</Words>
  <Characters>19465</Characters>
  <Lines>157</Lines>
  <Paragraphs>44</Paragraphs>
  <TotalTime>0</TotalTime>
  <ScaleCrop>false</ScaleCrop>
  <LinksUpToDate>false</LinksUpToDate>
  <CharactersWithSpaces>21312</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2023-06-06T00:41:00Z</dcterms:created>
  <dc:creator>魏宝兴</dc:creator>
  <cp:lastModifiedBy>7月LEO</cp:lastModifiedBy>
  <cp:lastPrinted>2022-12-12T03:30:00Z</cp:lastPrinted>
  <dcterms:modified xsi:type="dcterms:W3CDTF">2023-09-04T03:14:18Z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003F4B7C55754348827E781723701253</vt:lpwstr>
  </property>
</Properties>
</file>