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多功能心肺复苏机</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项目编号：GXGSYY-CGB-SBK-2023-</w:t>
      </w:r>
      <w:r>
        <w:rPr>
          <w:rFonts w:hint="eastAsia" w:ascii="仿宋_GB2312" w:hAnsi="宋体" w:eastAsia="仿宋_GB2312" w:cs="Times New Roman"/>
          <w:b/>
          <w:color w:val="000000"/>
          <w:sz w:val="32"/>
          <w:szCs w:val="32"/>
          <w:highlight w:val="none"/>
          <w:lang w:val="en-US" w:eastAsia="zh-CN"/>
        </w:rPr>
        <w:t>43</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29</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89"/>
      <w:bookmarkStart w:id="2" w:name="_Toc28359012"/>
      <w:bookmarkStart w:id="3" w:name="_Toc35393798"/>
      <w:bookmarkStart w:id="4" w:name="_Toc35393629"/>
      <w:bookmarkStart w:id="5" w:name="_Toc47452205"/>
      <w:bookmarkStart w:id="6" w:name="_Toc4422987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w:t>
      </w:r>
      <w:r>
        <w:rPr>
          <w:rFonts w:hint="eastAsia" w:ascii="宋体" w:hAnsi="宋体" w:eastAsia="宋体" w:cs="Times New Roman"/>
          <w:color w:val="000000"/>
          <w:szCs w:val="21"/>
          <w:lang w:val="en-US" w:eastAsia="zh-CN"/>
        </w:rPr>
        <w:t>43</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多功能心肺复苏机</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采购上控价：</w:t>
      </w:r>
      <w:r>
        <w:rPr>
          <w:rFonts w:hint="eastAsia" w:ascii="宋体" w:hAnsi="宋体" w:eastAsia="宋体" w:cs="Times New Roman"/>
          <w:color w:val="000000"/>
          <w:szCs w:val="21"/>
          <w:lang w:val="en-US" w:eastAsia="zh-CN"/>
        </w:rPr>
        <w:t>14万元/台</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bookmarkStart w:id="7" w:name="_Toc28359090"/>
      <w:bookmarkStart w:id="8" w:name="_Toc28359013"/>
      <w:bookmarkStart w:id="9" w:name="_Toc35393630"/>
      <w:bookmarkStart w:id="10" w:name="_Toc47452206"/>
      <w:bookmarkStart w:id="11" w:name="_Toc35393799"/>
      <w:bookmarkStart w:id="12" w:name="_Toc44229879"/>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eastAsia="zh-CN"/>
              </w:rPr>
              <w:t>多功能心肺复苏机</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1台</w:t>
            </w:r>
          </w:p>
        </w:tc>
        <w:tc>
          <w:tcPr>
            <w:tcW w:w="5103" w:type="dxa"/>
            <w:tcBorders>
              <w:top w:val="single" w:color="auto" w:sz="4" w:space="0"/>
              <w:left w:val="nil"/>
              <w:bottom w:val="single" w:color="auto" w:sz="4" w:space="0"/>
              <w:right w:val="single" w:color="auto" w:sz="4" w:space="0"/>
            </w:tcBorders>
          </w:tcPr>
          <w:p>
            <w:p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一、适用范围：</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1.</w:t>
            </w:r>
            <w:r>
              <w:rPr>
                <w:rFonts w:hint="eastAsia" w:ascii="宋体" w:hAnsi="宋体" w:eastAsia="宋体" w:cs="Calibri"/>
                <w:color w:val="000000"/>
                <w:szCs w:val="21"/>
                <w:lang w:val="en-US" w:eastAsia="zh-CN"/>
              </w:rPr>
              <w:t>符合最新国际2020版AHA和ERC心肺复苏及心血管急救指南中关于心肺复苏替代技术和辅助装置的相关规范；</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2.</w:t>
            </w:r>
            <w:r>
              <w:rPr>
                <w:rFonts w:hint="eastAsia" w:ascii="宋体" w:hAnsi="宋体" w:eastAsia="宋体" w:cs="Calibri"/>
                <w:color w:val="000000"/>
                <w:szCs w:val="21"/>
                <w:lang w:val="en-US" w:eastAsia="zh-CN"/>
              </w:rPr>
              <w:t>使用于对心跳呼吸骤停的成年患者进行胸外按压等心肺复苏抢救。</w:t>
            </w:r>
          </w:p>
          <w:p>
            <w:p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二、主要技术指标：</w:t>
            </w:r>
          </w:p>
          <w:p>
            <w:pPr>
              <w:snapToGrid w:val="0"/>
              <w:spacing w:line="320" w:lineRule="exact"/>
              <w:jc w:val="left"/>
              <w:rPr>
                <w:rFonts w:hint="eastAsia" w:ascii="宋体" w:hAnsi="宋体" w:eastAsia="宋体" w:cs="Calibri"/>
                <w:color w:val="000000"/>
                <w:szCs w:val="21"/>
                <w:lang w:val="en-US" w:eastAsia="zh-CN"/>
              </w:rPr>
            </w:pPr>
            <w:r>
              <w:rPr>
                <w:rFonts w:hint="default" w:ascii="宋体" w:hAnsi="宋体" w:eastAsia="宋体" w:cs="Calibri"/>
                <w:color w:val="000000"/>
                <w:szCs w:val="21"/>
                <w:lang w:val="en-US" w:eastAsia="zh-CN"/>
              </w:rPr>
              <w:t>1.</w:t>
            </w:r>
            <w:r>
              <w:rPr>
                <w:rFonts w:hint="eastAsia" w:ascii="宋体" w:hAnsi="宋体" w:eastAsia="宋体" w:cs="Calibri"/>
                <w:color w:val="000000"/>
                <w:szCs w:val="21"/>
                <w:lang w:val="en-US" w:eastAsia="zh-CN"/>
              </w:rPr>
              <w:t>按压技术：采用胸腔接触式按压方式，胸部无负荷、垂直按压、自动中心位置定位（可同时模仿人体胸部按压及口对口人工呼吸功能设为正偏离）；</w:t>
            </w:r>
          </w:p>
          <w:p>
            <w:pPr>
              <w:snapToGrid w:val="0"/>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9</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11</w:t>
      </w:r>
      <w:bookmarkStart w:id="25" w:name="_GoBack"/>
      <w:bookmarkEnd w:id="25"/>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4</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多功能心肺复苏机</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keepNext w:val="0"/>
              <w:keepLines w:val="0"/>
              <w:pageBreakBefore w:val="0"/>
              <w:widowControl w:val="0"/>
              <w:tabs>
                <w:tab w:val="left" w:pos="180"/>
                <w:tab w:val="left" w:pos="1620"/>
              </w:tabs>
              <w:kinsoku/>
              <w:wordWrap/>
              <w:overflowPunct/>
              <w:topLinePunct w:val="0"/>
              <w:autoSpaceDE/>
              <w:autoSpaceDN/>
              <w:bidi w:val="0"/>
              <w:spacing w:line="36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keepNext w:val="0"/>
              <w:keepLines w:val="0"/>
              <w:pageBreakBefore w:val="0"/>
              <w:widowControl w:val="0"/>
              <w:tabs>
                <w:tab w:val="left" w:pos="180"/>
                <w:tab w:val="left" w:pos="1620"/>
              </w:tabs>
              <w:kinsoku/>
              <w:wordWrap/>
              <w:overflowPunct/>
              <w:topLinePunct w:val="0"/>
              <w:autoSpaceDE/>
              <w:autoSpaceDN/>
              <w:bidi w:val="0"/>
              <w:spacing w:line="36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keepNext w:val="0"/>
              <w:keepLines w:val="0"/>
              <w:pageBreakBefore w:val="0"/>
              <w:widowControl w:val="0"/>
              <w:tabs>
                <w:tab w:val="left" w:pos="180"/>
                <w:tab w:val="left" w:pos="1620"/>
              </w:tabs>
              <w:kinsoku/>
              <w:wordWrap/>
              <w:overflowPunct/>
              <w:topLinePunct w:val="0"/>
              <w:autoSpaceDE/>
              <w:autoSpaceDN/>
              <w:bidi w:val="0"/>
              <w:spacing w:line="360" w:lineRule="exact"/>
              <w:jc w:val="center"/>
              <w:textAlignment w:val="auto"/>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keepNext w:val="0"/>
              <w:keepLines w:val="0"/>
              <w:pageBreakBefore w:val="0"/>
              <w:widowControl w:val="0"/>
              <w:kinsoku/>
              <w:wordWrap/>
              <w:overflowPunct/>
              <w:topLinePunct w:val="0"/>
              <w:autoSpaceDE/>
              <w:autoSpaceDN/>
              <w:bidi w:val="0"/>
              <w:spacing w:line="360" w:lineRule="exact"/>
              <w:jc w:val="center"/>
              <w:textAlignment w:val="auto"/>
              <w:rPr>
                <w:rFonts w:hint="eastAsia" w:ascii="宋体" w:hAnsi="宋体" w:eastAsia="宋体" w:cs="宋体"/>
                <w:color w:val="000000"/>
                <w:szCs w:val="21"/>
                <w:lang w:eastAsia="zh-CN"/>
              </w:rPr>
            </w:pPr>
            <w:r>
              <w:rPr>
                <w:rFonts w:hint="eastAsia" w:ascii="宋体" w:hAnsi="宋体" w:eastAsia="宋体" w:cs="Times New Roman"/>
                <w:color w:val="000000"/>
                <w:szCs w:val="21"/>
                <w:lang w:eastAsia="zh-CN"/>
              </w:rPr>
              <w:t>多功能心肺复苏机</w:t>
            </w:r>
          </w:p>
        </w:tc>
        <w:tc>
          <w:tcPr>
            <w:tcW w:w="1210" w:type="dxa"/>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1台</w:t>
            </w:r>
          </w:p>
        </w:tc>
        <w:tc>
          <w:tcPr>
            <w:tcW w:w="6845" w:type="dxa"/>
          </w:tcPr>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一、适用范围：</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1.</w:t>
            </w:r>
            <w:r>
              <w:rPr>
                <w:rFonts w:hint="eastAsia" w:ascii="宋体" w:hAnsi="宋体" w:eastAsia="宋体" w:cs="宋体"/>
                <w:color w:val="000000"/>
                <w:szCs w:val="21"/>
                <w:lang w:val="en-US" w:eastAsia="zh-CN"/>
              </w:rPr>
              <w:t>符合最新国际2020版AHA和ERC心肺复苏及心血管急救指南中关于心肺复苏替代技术和辅助装置的相关规范；</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2.</w:t>
            </w:r>
            <w:r>
              <w:rPr>
                <w:rFonts w:hint="eastAsia" w:ascii="宋体" w:hAnsi="宋体" w:eastAsia="宋体" w:cs="宋体"/>
                <w:color w:val="000000"/>
                <w:szCs w:val="21"/>
                <w:lang w:val="en-US" w:eastAsia="zh-CN"/>
              </w:rPr>
              <w:t>使用于对心跳呼吸骤停的成年患者进行胸外按压等心肺复苏抢救。</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二、主要技术指标：</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1.</w:t>
            </w:r>
            <w:r>
              <w:rPr>
                <w:rFonts w:hint="eastAsia" w:ascii="宋体" w:hAnsi="宋体" w:eastAsia="宋体" w:cs="宋体"/>
                <w:color w:val="000000"/>
                <w:szCs w:val="21"/>
                <w:lang w:val="en-US" w:eastAsia="zh-CN"/>
              </w:rPr>
              <w:t>按压技术：采用胸腔接触式按压方式，胸部无负荷、垂直按压、自动中心位置定位（可同时模仿人体胸部按压及口对口人工呼吸功能设为正偏离）；</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2.</w:t>
            </w:r>
            <w:r>
              <w:rPr>
                <w:rFonts w:hint="eastAsia" w:ascii="宋体" w:hAnsi="宋体" w:eastAsia="宋体" w:cs="宋体"/>
                <w:color w:val="000000"/>
                <w:szCs w:val="21"/>
                <w:lang w:val="en-US" w:eastAsia="zh-CN"/>
              </w:rPr>
              <w:t>工作模式：电动电控模式；</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3.</w:t>
            </w:r>
            <w:r>
              <w:rPr>
                <w:rFonts w:hint="eastAsia" w:ascii="宋体" w:hAnsi="宋体" w:eastAsia="宋体" w:cs="宋体"/>
                <w:color w:val="000000"/>
                <w:szCs w:val="21"/>
                <w:lang w:val="en-US" w:eastAsia="zh-CN"/>
              </w:rPr>
              <w:t>运行模式：至少具备30:2模式（具备15:2模式，连续按压模式设为正偏离）；</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4.</w:t>
            </w:r>
            <w:r>
              <w:rPr>
                <w:rFonts w:hint="eastAsia" w:ascii="宋体" w:hAnsi="宋体" w:eastAsia="宋体" w:cs="宋体"/>
                <w:color w:val="000000"/>
                <w:szCs w:val="21"/>
                <w:lang w:val="en-US" w:eastAsia="zh-CN"/>
              </w:rPr>
              <w:t>按压深度：30-60mm可调，误差±2mm；</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5.</w:t>
            </w:r>
            <w:r>
              <w:rPr>
                <w:rFonts w:hint="eastAsia" w:ascii="宋体" w:hAnsi="宋体" w:eastAsia="宋体" w:cs="宋体"/>
                <w:color w:val="000000"/>
                <w:szCs w:val="21"/>
                <w:lang w:val="en-US" w:eastAsia="zh-CN"/>
              </w:rPr>
              <w:t>按压频率：至少具备110bpm模式，实际按压频率与设置误差±2次/分钟（具备可切换100bpm、110bpm、120bpm模式设为正偏离）；</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6.</w:t>
            </w:r>
            <w:r>
              <w:rPr>
                <w:rFonts w:hint="eastAsia" w:ascii="宋体" w:hAnsi="宋体" w:eastAsia="宋体" w:cs="宋体"/>
                <w:color w:val="000000"/>
                <w:szCs w:val="21"/>
                <w:lang w:val="en-US" w:eastAsia="zh-CN"/>
              </w:rPr>
              <w:t>按压与通气比：至少具备30:2比例模式；</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7.</w:t>
            </w:r>
            <w:r>
              <w:rPr>
                <w:rFonts w:hint="eastAsia" w:ascii="宋体" w:hAnsi="宋体" w:eastAsia="宋体" w:cs="宋体"/>
                <w:color w:val="000000"/>
                <w:szCs w:val="21"/>
                <w:lang w:val="en-US" w:eastAsia="zh-CN"/>
              </w:rPr>
              <w:t>按压与释放比：至少符合1-1模式，允差±10%；</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8.</w:t>
            </w:r>
            <w:r>
              <w:rPr>
                <w:rFonts w:hint="eastAsia" w:ascii="宋体" w:hAnsi="宋体" w:eastAsia="宋体" w:cs="宋体"/>
                <w:color w:val="000000"/>
                <w:szCs w:val="21"/>
                <w:lang w:val="en-US" w:eastAsia="zh-CN"/>
              </w:rPr>
              <w:t>潮气量：400ml、500ml、600ml可调可控，允差±20%；</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9.</w:t>
            </w:r>
            <w:r>
              <w:rPr>
                <w:rFonts w:hint="eastAsia" w:ascii="宋体" w:hAnsi="宋体" w:eastAsia="宋体" w:cs="宋体"/>
                <w:color w:val="000000"/>
                <w:szCs w:val="21"/>
                <w:lang w:val="en-US" w:eastAsia="zh-CN"/>
              </w:rPr>
              <w:t>呼吸比：至少符合1-1.67模式；</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10.</w:t>
            </w:r>
            <w:r>
              <w:rPr>
                <w:rFonts w:hint="eastAsia" w:ascii="宋体" w:hAnsi="宋体" w:eastAsia="宋体" w:cs="宋体"/>
                <w:color w:val="000000"/>
                <w:szCs w:val="21"/>
                <w:lang w:val="en-US" w:eastAsia="zh-CN"/>
              </w:rPr>
              <w:t>通气时间：在30:2模式下，通气停顿时间≤3秒；</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11.</w:t>
            </w:r>
            <w:r>
              <w:rPr>
                <w:rFonts w:hint="eastAsia" w:ascii="宋体" w:hAnsi="宋体" w:eastAsia="宋体" w:cs="宋体"/>
                <w:color w:val="000000"/>
                <w:szCs w:val="21"/>
                <w:lang w:val="en-US" w:eastAsia="zh-CN"/>
              </w:rPr>
              <w:t>通气方式：正压通气；</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12.</w:t>
            </w:r>
            <w:r>
              <w:rPr>
                <w:rFonts w:hint="eastAsia" w:ascii="宋体" w:hAnsi="宋体" w:eastAsia="宋体" w:cs="宋体"/>
                <w:color w:val="000000"/>
                <w:szCs w:val="21"/>
                <w:lang w:val="en-US" w:eastAsia="zh-CN"/>
              </w:rPr>
              <w:t>低电压报警：电池电压过低时可报警提示欠压；</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13.</w:t>
            </w:r>
            <w:r>
              <w:rPr>
                <w:rFonts w:hint="eastAsia" w:ascii="宋体" w:hAnsi="宋体" w:eastAsia="宋体" w:cs="宋体"/>
                <w:color w:val="000000"/>
                <w:szCs w:val="21"/>
                <w:lang w:val="en-US" w:eastAsia="zh-CN"/>
              </w:rPr>
              <w:t>供电方式：可接外部交流电，锂电池一次性充满电后续航时间≥40min（续航时间≥60min设为正偏离）；</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14.</w:t>
            </w:r>
            <w:r>
              <w:rPr>
                <w:rFonts w:hint="eastAsia" w:ascii="宋体" w:hAnsi="宋体" w:eastAsia="宋体" w:cs="宋体"/>
                <w:color w:val="000000"/>
                <w:szCs w:val="21"/>
                <w:lang w:val="en-US" w:eastAsia="zh-CN"/>
              </w:rPr>
              <w:t>产品整机（含电池）总质量≤8kg；</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hint="default" w:ascii="宋体" w:hAnsi="宋体" w:eastAsia="宋体" w:cs="宋体"/>
                <w:color w:val="000000"/>
                <w:szCs w:val="21"/>
                <w:lang w:val="en-US" w:eastAsia="zh-CN"/>
              </w:rPr>
            </w:pPr>
            <w:r>
              <w:rPr>
                <w:rFonts w:hint="default" w:ascii="宋体" w:hAnsi="宋体" w:eastAsia="宋体" w:cs="宋体"/>
                <w:color w:val="000000"/>
                <w:szCs w:val="21"/>
                <w:lang w:val="en-US" w:eastAsia="zh-CN"/>
              </w:rPr>
              <w:t>15.</w:t>
            </w:r>
            <w:r>
              <w:rPr>
                <w:rFonts w:hint="eastAsia" w:ascii="宋体" w:hAnsi="宋体" w:eastAsia="宋体" w:cs="宋体"/>
                <w:color w:val="000000"/>
                <w:szCs w:val="21"/>
                <w:lang w:val="en-US" w:eastAsia="zh-CN"/>
              </w:rPr>
              <w:t>气道安全压力：可调节气道安全阀,最高泄压力不大于60cmH2O</w:t>
            </w:r>
          </w:p>
          <w:p>
            <w:pPr>
              <w:keepNext w:val="0"/>
              <w:keepLines w:val="0"/>
              <w:pageBreakBefore w:val="0"/>
              <w:widowControl w:val="0"/>
              <w:tabs>
                <w:tab w:val="left" w:pos="180"/>
                <w:tab w:val="left" w:pos="1620"/>
              </w:tabs>
              <w:kinsoku/>
              <w:wordWrap/>
              <w:overflowPunct/>
              <w:topLinePunct w:val="0"/>
              <w:autoSpaceDE/>
              <w:autoSpaceDN/>
              <w:bidi w:val="0"/>
              <w:spacing w:line="360" w:lineRule="exact"/>
              <w:jc w:val="left"/>
              <w:textAlignment w:val="auto"/>
              <w:rPr>
                <w:rFonts w:ascii="宋体" w:hAnsi="宋体" w:eastAsia="宋体" w:cs="宋体"/>
                <w:bCs/>
                <w:szCs w:val="21"/>
              </w:rPr>
            </w:pPr>
            <w:r>
              <w:rPr>
                <w:rFonts w:hint="default" w:ascii="宋体" w:hAnsi="宋体" w:eastAsia="宋体" w:cs="宋体"/>
                <w:color w:val="000000"/>
                <w:szCs w:val="21"/>
                <w:lang w:val="en-US" w:eastAsia="zh-CN"/>
              </w:rPr>
              <w:t>16.</w:t>
            </w:r>
            <w:r>
              <w:rPr>
                <w:rFonts w:hint="eastAsia" w:ascii="宋体" w:hAnsi="宋体" w:eastAsia="宋体" w:cs="宋体"/>
                <w:color w:val="000000"/>
                <w:szCs w:val="21"/>
                <w:lang w:val="en-US" w:eastAsia="zh-CN"/>
              </w:rPr>
              <w:t>对患者的保护：按压柱下方连接吸盘，具备吸附能力，保障按压后患者胸廓充分回弹。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hint="eastAsia" w:ascii="Calibri" w:hAnsi="Calibri" w:eastAsia="宋体" w:cs="Times New Roman"/>
                <w:szCs w:val="24"/>
                <w:lang w:val="en-US" w:eastAsia="zh-CN"/>
              </w:rPr>
              <w:t>15</w:t>
            </w:r>
            <w:r>
              <w:rPr>
                <w:rFonts w:hint="eastAsia" w:ascii="Calibri" w:hAnsi="Calibri" w:eastAsia="宋体" w:cs="Times New Roman"/>
                <w:szCs w:val="24"/>
              </w:rPr>
              <w:t>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w:t>
            </w:r>
            <w:r>
              <w:rPr>
                <w:rFonts w:hint="eastAsia" w:ascii="宋体" w:hAnsi="宋体" w:eastAsia="宋体" w:cs="Times New Roman"/>
                <w:bCs/>
                <w:szCs w:val="21"/>
                <w:lang w:val="en-US" w:eastAsia="zh-CN"/>
              </w:rPr>
              <w:t>三</w:t>
            </w:r>
            <w:r>
              <w:rPr>
                <w:rFonts w:hint="eastAsia" w:ascii="宋体" w:hAnsi="宋体" w:eastAsia="宋体" w:cs="Times New Roman"/>
                <w:bCs/>
                <w:szCs w:val="21"/>
              </w:rPr>
              <w:t>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付款方式：货物验收合格后，采购人支付</w:t>
            </w:r>
            <w:r>
              <w:rPr>
                <w:rFonts w:hint="eastAsia" w:ascii="宋体" w:hAnsi="宋体" w:eastAsia="宋体" w:cs="Times New Roman"/>
                <w:bCs/>
                <w:szCs w:val="21"/>
                <w:lang w:val="en-US" w:eastAsia="zh-CN"/>
              </w:rPr>
              <w:t>100</w:t>
            </w:r>
            <w:r>
              <w:rPr>
                <w:rFonts w:ascii="宋体" w:hAnsi="宋体" w:eastAsia="宋体" w:cs="Times New Roman"/>
                <w:bCs/>
                <w:szCs w:val="21"/>
              </w:rPr>
              <w:t>%货款</w:t>
            </w:r>
            <w:r>
              <w:rPr>
                <w:rFonts w:hint="eastAsia" w:ascii="宋体" w:hAnsi="宋体" w:eastAsia="宋体" w:cs="Times New Roman"/>
                <w:bCs/>
                <w:szCs w:val="21"/>
              </w:rPr>
              <w:t>，中标人应开具发票给采购人。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1.中标人保证向采购人提供的货物是全新、完整、未使用过的。</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2.投标时提供投标产品生产厂家公开发行的产品彩页或技术说明书（标明主要技术参数）、技术响应与彩页或技术说明书不一致的以彩页或技术说明书为准。</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投标文件技术参数无负偏离，得1</w:t>
            </w:r>
            <w:r>
              <w:rPr>
                <w:rFonts w:hint="eastAsia" w:ascii="宋体" w:hAnsi="宋体" w:eastAsia="宋体" w:cs="Times New Roman"/>
                <w:bCs/>
                <w:color w:val="000000"/>
                <w:szCs w:val="21"/>
                <w:lang w:val="en-US" w:eastAsia="zh-CN"/>
              </w:rPr>
              <w:t>0</w:t>
            </w:r>
            <w:r>
              <w:rPr>
                <w:rFonts w:ascii="宋体" w:hAnsi="宋体" w:eastAsia="宋体" w:cs="Times New Roman"/>
                <w:bCs/>
                <w:color w:val="000000"/>
                <w:szCs w:val="21"/>
              </w:rPr>
              <w:t>分</w:t>
            </w:r>
            <w:r>
              <w:rPr>
                <w:rFonts w:hint="eastAsia" w:ascii="宋体" w:hAnsi="宋体" w:eastAsia="宋体" w:cs="Times New Roman"/>
                <w:bCs/>
                <w:color w:val="000000"/>
                <w:szCs w:val="21"/>
              </w:rPr>
              <w:t>，每有</w:t>
            </w:r>
            <w:r>
              <w:rPr>
                <w:rFonts w:ascii="宋体" w:hAnsi="宋体" w:eastAsia="宋体" w:cs="Times New Roman"/>
                <w:bCs/>
                <w:color w:val="000000"/>
                <w:szCs w:val="21"/>
              </w:rPr>
              <w:t>1个正偏离</w:t>
            </w:r>
            <w:r>
              <w:rPr>
                <w:rFonts w:hint="eastAsia" w:ascii="宋体" w:hAnsi="宋体" w:eastAsia="宋体" w:cs="Times New Roman"/>
                <w:bCs/>
                <w:color w:val="000000"/>
                <w:szCs w:val="21"/>
              </w:rPr>
              <w:t>加</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分，满分</w:t>
            </w:r>
            <w:r>
              <w:rPr>
                <w:rFonts w:hint="eastAsia" w:ascii="宋体" w:hAnsi="宋体" w:eastAsia="宋体" w:cs="Times New Roman"/>
                <w:bCs/>
                <w:color w:val="000000"/>
                <w:szCs w:val="21"/>
                <w:lang w:val="en-US" w:eastAsia="zh-CN"/>
              </w:rPr>
              <w:t>25</w:t>
            </w:r>
            <w:r>
              <w:rPr>
                <w:rFonts w:hint="eastAsia" w:ascii="宋体" w:hAnsi="宋体" w:eastAsia="宋体" w:cs="Times New Roman"/>
                <w:bCs/>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6.1-10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投标产品自2020年以来同款产品业绩分（提供合同复印件），每提供一个合同复印件得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w:t>
      </w:r>
      <w:r>
        <w:rPr>
          <w:rFonts w:hint="eastAsia" w:ascii="宋体" w:hAnsi="宋体" w:eastAsia="宋体"/>
          <w:szCs w:val="21"/>
        </w:rPr>
        <w:t>评分排名第一的供应商为</w:t>
      </w:r>
      <w:r>
        <w:rPr>
          <w:rFonts w:ascii="宋体" w:hAnsi="宋体" w:eastAsia="宋体"/>
          <w:szCs w:val="21"/>
        </w:rPr>
        <w:t>成交候选供应商，并编写评审报告。评审得分相同的，按照最后报价由低到高的顺序推荐。评审得分且最后报价相同的，按照按技术得分由高到低</w:t>
      </w:r>
      <w:r>
        <w:rPr>
          <w:rFonts w:hint="eastAsia" w:ascii="宋体" w:hAnsi="宋体" w:eastAsia="宋体"/>
          <w:szCs w:val="21"/>
        </w:rPr>
        <w:t>的顺</w:t>
      </w:r>
      <w:r>
        <w:rPr>
          <w:rFonts w:ascii="宋体" w:hAnsi="宋体" w:eastAsia="宋体"/>
          <w:szCs w:val="21"/>
        </w:rPr>
        <w:t>序</w:t>
      </w:r>
      <w:r>
        <w:rPr>
          <w:rFonts w:hint="eastAsia" w:ascii="宋体" w:hAnsi="宋体" w:eastAsia="宋体"/>
          <w:szCs w:val="21"/>
        </w:rPr>
        <w:t>推荐</w:t>
      </w:r>
      <w:r>
        <w:rPr>
          <w:rFonts w:ascii="宋体" w:hAnsi="宋体" w:eastAsia="宋体"/>
          <w:szCs w:val="21"/>
        </w:rPr>
        <w:t>。评审得分、最后报价、技术得分、</w:t>
      </w:r>
      <w:r>
        <w:rPr>
          <w:rFonts w:hint="eastAsia" w:ascii="宋体" w:hAnsi="宋体" w:eastAsia="宋体"/>
          <w:szCs w:val="21"/>
        </w:rPr>
        <w:t>商务</w:t>
      </w:r>
      <w:r>
        <w:rPr>
          <w:rFonts w:ascii="宋体" w:hAnsi="宋体" w:eastAsia="宋体"/>
          <w:szCs w:val="21"/>
        </w:rPr>
        <w:t>分均相同的，由磋商小组随机抽取推荐。</w:t>
      </w: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center"/>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r>
        <w:rPr>
          <w:rFonts w:hint="eastAsia" w:ascii="宋体" w:hAnsi="宋体" w:eastAsia="宋体" w:cs="宋体"/>
          <w:b/>
          <w:bCs/>
          <w:color w:val="000000"/>
          <w:sz w:val="32"/>
          <w:szCs w:val="32"/>
          <w:lang w:val="en-US" w:eastAsia="zh-CN"/>
        </w:rPr>
        <w:t xml:space="preserve">    </w:t>
      </w: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lang w:val="en-US" w:eastAsia="zh-CN"/>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5F7B6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41DE0"/>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82598"/>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8E0F02"/>
    <w:rsid w:val="053927FD"/>
    <w:rsid w:val="08886C5A"/>
    <w:rsid w:val="0A260797"/>
    <w:rsid w:val="0CA2087B"/>
    <w:rsid w:val="0DEF17D8"/>
    <w:rsid w:val="0E04767E"/>
    <w:rsid w:val="0E2A78AA"/>
    <w:rsid w:val="0F21032D"/>
    <w:rsid w:val="100B70C3"/>
    <w:rsid w:val="12143431"/>
    <w:rsid w:val="149435D9"/>
    <w:rsid w:val="14CE010E"/>
    <w:rsid w:val="15F14846"/>
    <w:rsid w:val="18C732A1"/>
    <w:rsid w:val="19BD661E"/>
    <w:rsid w:val="1A632FBA"/>
    <w:rsid w:val="1F0144B8"/>
    <w:rsid w:val="1F3802BD"/>
    <w:rsid w:val="1FE356EA"/>
    <w:rsid w:val="20E406FC"/>
    <w:rsid w:val="20F1271B"/>
    <w:rsid w:val="21C83E17"/>
    <w:rsid w:val="230C6132"/>
    <w:rsid w:val="25C10491"/>
    <w:rsid w:val="25E11E59"/>
    <w:rsid w:val="2656639C"/>
    <w:rsid w:val="267D2BB8"/>
    <w:rsid w:val="27605B00"/>
    <w:rsid w:val="28890F3B"/>
    <w:rsid w:val="29105A83"/>
    <w:rsid w:val="2C805D95"/>
    <w:rsid w:val="2F60116C"/>
    <w:rsid w:val="303D69DF"/>
    <w:rsid w:val="31027D3B"/>
    <w:rsid w:val="34CC6136"/>
    <w:rsid w:val="35460E05"/>
    <w:rsid w:val="36D70741"/>
    <w:rsid w:val="36EF4890"/>
    <w:rsid w:val="37CD68B3"/>
    <w:rsid w:val="39026745"/>
    <w:rsid w:val="399D69A6"/>
    <w:rsid w:val="3ABE2947"/>
    <w:rsid w:val="3CF86B7C"/>
    <w:rsid w:val="3ECC7C1F"/>
    <w:rsid w:val="41C0323C"/>
    <w:rsid w:val="41D3175E"/>
    <w:rsid w:val="43983142"/>
    <w:rsid w:val="44653A13"/>
    <w:rsid w:val="45DB2F02"/>
    <w:rsid w:val="48692577"/>
    <w:rsid w:val="49C95368"/>
    <w:rsid w:val="4B7418F0"/>
    <w:rsid w:val="4BF86B15"/>
    <w:rsid w:val="4C20341C"/>
    <w:rsid w:val="4EFF5D37"/>
    <w:rsid w:val="4FD74E04"/>
    <w:rsid w:val="51811736"/>
    <w:rsid w:val="53FE114B"/>
    <w:rsid w:val="54AD1ED4"/>
    <w:rsid w:val="552876E5"/>
    <w:rsid w:val="57874CD5"/>
    <w:rsid w:val="59B64834"/>
    <w:rsid w:val="5D72019D"/>
    <w:rsid w:val="5E9A1F4D"/>
    <w:rsid w:val="5EBA7B70"/>
    <w:rsid w:val="62AC413F"/>
    <w:rsid w:val="644615FA"/>
    <w:rsid w:val="649233E3"/>
    <w:rsid w:val="64BF359F"/>
    <w:rsid w:val="64E861BC"/>
    <w:rsid w:val="65A17C5D"/>
    <w:rsid w:val="65A90B76"/>
    <w:rsid w:val="65ED1B69"/>
    <w:rsid w:val="66567619"/>
    <w:rsid w:val="67802B6C"/>
    <w:rsid w:val="6B856D0D"/>
    <w:rsid w:val="6CCC20DE"/>
    <w:rsid w:val="6D0312DB"/>
    <w:rsid w:val="6D5A388E"/>
    <w:rsid w:val="6DA44EC3"/>
    <w:rsid w:val="6F1E7D10"/>
    <w:rsid w:val="705E14F0"/>
    <w:rsid w:val="71045D6C"/>
    <w:rsid w:val="715B3F7C"/>
    <w:rsid w:val="74207764"/>
    <w:rsid w:val="749E160D"/>
    <w:rsid w:val="74DA269D"/>
    <w:rsid w:val="775B4E6B"/>
    <w:rsid w:val="779D6447"/>
    <w:rsid w:val="78D3337A"/>
    <w:rsid w:val="7B591255"/>
    <w:rsid w:val="7C3D2E64"/>
    <w:rsid w:val="7D0E37F9"/>
    <w:rsid w:val="7F2C7886"/>
    <w:rsid w:val="7FB61E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18639</Words>
  <Characters>19465</Characters>
  <Lines>157</Lines>
  <Paragraphs>44</Paragraphs>
  <TotalTime>3</TotalTime>
  <ScaleCrop>false</ScaleCrop>
  <LinksUpToDate>false</LinksUpToDate>
  <CharactersWithSpaces>21312</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2023-06-06T00:41:00Z</dcterms:created>
  <dc:creator>魏宝兴</dc:creator>
  <cp:lastModifiedBy>7月LEO</cp:lastModifiedBy>
  <cp:lastPrinted>2022-12-12T03:30:00Z</cp:lastPrinted>
  <dcterms:modified xsi:type="dcterms:W3CDTF">2023-09-04T03:12:29Z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003F4B7C55754348827E781723701253</vt:lpwstr>
  </property>
</Properties>
</file>