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61" w:leftChars="704" w:hanging="1683" w:hangingChars="524"/>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全面预算管理系统</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highlight w:val="yellow"/>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GXGSYY-CGB-XXWLZX-2023-02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7</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24</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28359012"/>
      <w:bookmarkStart w:id="2" w:name="_Toc35393798"/>
      <w:bookmarkStart w:id="3" w:name="_Toc44229878"/>
      <w:bookmarkStart w:id="4" w:name="_Toc47452205"/>
      <w:bookmarkStart w:id="5" w:name="_Toc28359089"/>
      <w:bookmarkStart w:id="6" w:name="_Toc35393629"/>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GXGSYY-CGB-XXWLZX-2023-02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val="en-US" w:eastAsia="zh-CN"/>
        </w:rPr>
        <w:t>全面</w:t>
      </w:r>
      <w:r>
        <w:rPr>
          <w:rFonts w:hint="eastAsia" w:ascii="宋体" w:hAnsi="宋体" w:eastAsia="宋体" w:cs="Times New Roman"/>
          <w:color w:val="000000"/>
          <w:szCs w:val="21"/>
        </w:rPr>
        <w:t>预算管理系统采购项目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采购上控价</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45万元</w:t>
      </w:r>
      <w:r>
        <w:rPr>
          <w:rFonts w:hint="eastAsia" w:ascii="宋体" w:hAnsi="宋体" w:eastAsia="宋体" w:cs="Times New Roman"/>
          <w:color w:val="000000"/>
          <w:szCs w:val="21"/>
        </w:rPr>
        <w:t>。</w:t>
      </w:r>
      <w:bookmarkStart w:id="7" w:name="_Toc47452206"/>
      <w:bookmarkStart w:id="8" w:name="_Toc35393630"/>
      <w:bookmarkStart w:id="9" w:name="_Toc28359090"/>
      <w:bookmarkStart w:id="10" w:name="_Toc28359013"/>
      <w:bookmarkStart w:id="11" w:name="_Toc35393799"/>
      <w:bookmarkStart w:id="12" w:name="_Toc44229879"/>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p>
      <w:pPr>
        <w:pStyle w:val="2"/>
        <w:ind w:firstLine="420" w:firstLineChars="200"/>
        <w:rPr>
          <w:rFonts w:hint="default" w:ascii="宋体" w:hAnsi="宋体" w:eastAsia="宋体" w:cs="Times New Roman"/>
          <w:color w:val="000000"/>
          <w:kern w:val="2"/>
          <w:sz w:val="21"/>
          <w:szCs w:val="21"/>
          <w:lang w:val="en-US" w:eastAsia="zh-CN" w:bidi="ar-SA"/>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Times New Roman"/>
                <w:color w:val="000000"/>
                <w:szCs w:val="21"/>
                <w:lang w:val="en-US" w:eastAsia="zh-CN"/>
              </w:rPr>
              <w:t>全面</w:t>
            </w:r>
            <w:r>
              <w:rPr>
                <w:rFonts w:hint="eastAsia" w:ascii="宋体" w:hAnsi="宋体" w:eastAsia="宋体" w:cs="Times New Roman"/>
                <w:color w:val="000000"/>
                <w:szCs w:val="21"/>
              </w:rPr>
              <w:t>预算管理系统</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一、</w:t>
            </w:r>
            <w:r>
              <w:rPr>
                <w:rFonts w:hint="eastAsia" w:ascii="宋体" w:hAnsi="宋体" w:eastAsia="宋体" w:cs="宋体"/>
                <w:b/>
                <w:bCs/>
                <w:sz w:val="21"/>
                <w:szCs w:val="21"/>
                <w:lang w:val="en-US" w:eastAsia="zh-CN"/>
              </w:rPr>
              <w:t>建设目标</w:t>
            </w:r>
          </w:p>
          <w:p>
            <w:pPr>
              <w:pStyle w:val="4"/>
              <w:keepNext w:val="0"/>
              <w:keepLines w:val="0"/>
              <w:pageBreakBefore w:val="0"/>
              <w:numPr>
                <w:ilvl w:val="0"/>
                <w:numId w:val="0"/>
              </w:numPr>
              <w:kinsoku/>
              <w:wordWrap/>
              <w:overflowPunct/>
              <w:topLinePunct w:val="0"/>
              <w:autoSpaceDE/>
              <w:autoSpaceDN/>
              <w:bidi w:val="0"/>
              <w:adjustRightInd/>
              <w:spacing w:line="2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规范公立医院经济运行，严格预算管理，强化预算约束，提高资金使用和资源利用效率，2020年12月国家卫生健康委和国家中医药管理局联合发布《公立医院全面预算管理制度实施办法》。公立医院的全面预算管理是指在医院战略发展规划和年度计划指引下，对医院未来经济业务开展全面地预测和规划，对预算执行进行过程管控，并将结果与既定的指标进行评估分析，帮助管理者及时动态了解和管理医院经济业务，提升医院的管理水平。</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1、实现预算全过程管理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于医院战略发展规划和计划目标，涵盖医疗、教学、科研等全部业务，自筹、财政、科教等全口径资金来源，将人、财、物各类经济资源进行分配和管理，实现预算项目入库，预算编制、预算执行与控制、预算分析、预算调整、预算绩效考核的全过程预算管理。</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pStyle w:val="2"/>
        <w:rPr>
          <w:rFonts w:hint="default" w:ascii="宋体" w:hAnsi="宋体" w:eastAsia="宋体" w:cs="Times New Roman"/>
          <w:b/>
          <w:bCs/>
          <w:color w:val="000000"/>
          <w:szCs w:val="21"/>
          <w:lang w:val="en-US" w:eastAsia="zh-CN"/>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7</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31</w:t>
      </w:r>
      <w:r>
        <w:rPr>
          <w:rFonts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24</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日18时00分（北京时间）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11"/>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6</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6</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五</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全面</w:t>
      </w:r>
      <w:r>
        <w:rPr>
          <w:rFonts w:hint="eastAsia" w:ascii="宋体" w:hAnsi="宋体" w:eastAsia="宋体" w:cs="Times New Roman"/>
          <w:color w:val="000000"/>
          <w:szCs w:val="21"/>
        </w:rPr>
        <w:t>预算管理系统采购项目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pStyle w:val="2"/>
        <w:rPr>
          <w:rFonts w:hint="default" w:ascii="宋体" w:hAnsi="宋体" w:eastAsia="宋体" w:cs="Times New Roman"/>
          <w:b/>
          <w:bCs/>
          <w:szCs w:val="21"/>
          <w:lang w:val="en-US" w:eastAsia="zh-CN"/>
        </w:rPr>
      </w:pP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Times New Roman"/>
                <w:color w:val="000000"/>
                <w:szCs w:val="21"/>
                <w:lang w:val="en-US" w:eastAsia="zh-CN"/>
              </w:rPr>
              <w:t>全面</w:t>
            </w:r>
            <w:r>
              <w:rPr>
                <w:rFonts w:hint="eastAsia" w:ascii="宋体" w:hAnsi="宋体" w:eastAsia="宋体" w:cs="Times New Roman"/>
                <w:color w:val="000000"/>
                <w:szCs w:val="21"/>
              </w:rPr>
              <w:t>预算管理系统</w:t>
            </w:r>
          </w:p>
        </w:tc>
        <w:tc>
          <w:tcPr>
            <w:tcW w:w="993" w:type="dxa"/>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6022" w:type="dxa"/>
          </w:tcPr>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一、</w:t>
            </w:r>
            <w:r>
              <w:rPr>
                <w:rFonts w:hint="eastAsia" w:ascii="宋体" w:hAnsi="宋体" w:eastAsia="宋体" w:cs="宋体"/>
                <w:b/>
                <w:bCs/>
                <w:sz w:val="21"/>
                <w:szCs w:val="21"/>
                <w:lang w:val="en-US" w:eastAsia="zh-CN"/>
              </w:rPr>
              <w:t>建设目标</w:t>
            </w:r>
          </w:p>
          <w:p>
            <w:pPr>
              <w:pStyle w:val="4"/>
              <w:keepNext w:val="0"/>
              <w:keepLines w:val="0"/>
              <w:pageBreakBefore w:val="0"/>
              <w:numPr>
                <w:ilvl w:val="0"/>
                <w:numId w:val="0"/>
              </w:numPr>
              <w:kinsoku/>
              <w:wordWrap/>
              <w:overflowPunct/>
              <w:topLinePunct w:val="0"/>
              <w:autoSpaceDE/>
              <w:autoSpaceDN/>
              <w:bidi w:val="0"/>
              <w:adjustRightInd/>
              <w:spacing w:line="2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规范公立医院经济运行，严格预算管理，强化预算约束，提高资金使用和资源利用效率，2020年12月国家卫生健康委和国家中医药管理局联合发布《公立医院全面预算管理制度实施办法》。公立医院的全面预算管理是指在医院战略发展规划和年度计划指引下，对医院未来经济业务开展全面地预测和规划，对预算执行进行过程管控，并将结果与既定的指标进行评估分析，帮助管理者及时动态了解和管理医院经济业务，提升医院的管理水平。</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1、实现预算全过程管理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于医院战略发展规划和计划目标，涵盖医疗、教学、科研等全部业务，自筹、财政、科教等全口径资金来源，将人、财、物各类经济资源进行分配和管理，实现预算项目入库，预算编制、预算执行与控制、预算分析、预算调整、预算绩效考核的全过程预算管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2、搭建财务业务一体化平台</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搭建以预算管理为抓手、业财融合的一体化信息平台，打破信息系统壁垒，连接医院</w:t>
            </w:r>
            <w:r>
              <w:rPr>
                <w:rFonts w:hint="eastAsia" w:ascii="宋体" w:hAnsi="宋体" w:eastAsia="宋体" w:cs="宋体"/>
                <w:sz w:val="21"/>
                <w:szCs w:val="21"/>
                <w:highlight w:val="none"/>
                <w:lang w:val="en-US" w:eastAsia="zh-CN"/>
              </w:rPr>
              <w:t>会计核算系统、</w:t>
            </w:r>
            <w:r>
              <w:rPr>
                <w:rFonts w:hint="eastAsia" w:ascii="宋体" w:hAnsi="宋体" w:eastAsia="宋体" w:cs="宋体"/>
                <w:strike w:val="0"/>
                <w:dstrike w:val="0"/>
                <w:color w:val="auto"/>
                <w:sz w:val="21"/>
                <w:szCs w:val="21"/>
                <w:highlight w:val="none"/>
                <w:lang w:val="en-US" w:eastAsia="zh-CN"/>
              </w:rPr>
              <w:t>成本</w:t>
            </w:r>
            <w:r>
              <w:rPr>
                <w:rFonts w:hint="eastAsia" w:ascii="宋体" w:hAnsi="宋体" w:eastAsia="宋体" w:cs="宋体"/>
                <w:sz w:val="21"/>
                <w:szCs w:val="21"/>
                <w:highlight w:val="none"/>
                <w:lang w:val="en-US" w:eastAsia="zh-CN"/>
              </w:rPr>
              <w:t>核算系统、</w:t>
            </w:r>
            <w:r>
              <w:rPr>
                <w:rFonts w:hint="eastAsia" w:ascii="宋体" w:hAnsi="宋体" w:eastAsia="宋体" w:cs="宋体"/>
                <w:sz w:val="21"/>
                <w:szCs w:val="21"/>
                <w:lang w:val="en-US" w:eastAsia="zh-CN"/>
              </w:rPr>
              <w:t>HIS系统</w:t>
            </w:r>
            <w:r>
              <w:rPr>
                <w:rFonts w:hint="eastAsia" w:ascii="宋体" w:hAnsi="宋体" w:eastAsia="宋体" w:cs="宋体"/>
                <w:color w:val="auto"/>
                <w:sz w:val="21"/>
                <w:szCs w:val="21"/>
                <w:lang w:val="en-US" w:eastAsia="zh-CN"/>
              </w:rPr>
              <w:t>、合同管理系统</w:t>
            </w:r>
            <w:r>
              <w:rPr>
                <w:rFonts w:hint="eastAsia" w:ascii="宋体" w:hAnsi="宋体" w:eastAsia="宋体" w:cs="宋体"/>
                <w:sz w:val="21"/>
                <w:szCs w:val="21"/>
                <w:lang w:val="en-US" w:eastAsia="zh-CN"/>
              </w:rPr>
              <w:t>等，实现预算业务全流程闭环管理，资源流通可跟踪、可监控、可视化，全面提升医院运营质效，有效促进预算精益化。</w:t>
            </w:r>
          </w:p>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二、</w:t>
            </w:r>
            <w:r>
              <w:rPr>
                <w:rFonts w:hint="eastAsia" w:ascii="宋体" w:hAnsi="宋体" w:eastAsia="宋体" w:cs="宋体"/>
                <w:b/>
                <w:bCs/>
                <w:sz w:val="21"/>
                <w:szCs w:val="21"/>
                <w:lang w:val="en-US" w:eastAsia="zh-CN"/>
              </w:rPr>
              <w:t>建设需求</w:t>
            </w:r>
          </w:p>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实行全面预算管理，包括预算编制、审批、执行、调整、分析和考核等制度，实现医院预算三级管理体系：院方一级、职能科室二级、核算科室三级。</w:t>
            </w:r>
          </w:p>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lang w:val="en-US" w:eastAsia="zh-CN"/>
              </w:rPr>
              <w:t>全面预算的内容主要包括：运营预算（含收入\支出预算、</w:t>
            </w:r>
            <w:r>
              <w:rPr>
                <w:rFonts w:hint="eastAsia" w:ascii="宋体" w:hAnsi="宋体" w:eastAsia="宋体" w:cs="宋体"/>
                <w:color w:val="auto"/>
                <w:sz w:val="21"/>
                <w:szCs w:val="21"/>
                <w:lang w:val="en-US" w:eastAsia="zh-CN"/>
              </w:rPr>
              <w:t>财务预算</w:t>
            </w:r>
            <w:r>
              <w:rPr>
                <w:rFonts w:hint="eastAsia" w:ascii="宋体" w:hAnsi="宋体" w:eastAsia="宋体" w:cs="宋体"/>
                <w:sz w:val="21"/>
                <w:szCs w:val="21"/>
                <w:lang w:val="en-US" w:eastAsia="zh-CN"/>
              </w:rPr>
              <w:t>）、资本性预算（含项目预算\资产购置预算）、专项经费预算等。</w:t>
            </w:r>
          </w:p>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lang w:val="en-US" w:eastAsia="zh-CN"/>
              </w:rPr>
              <w:t>实现对各类预算的管理，并可达到对其执行情况进行实时监控、查询、分析和超预算预警的目标。</w:t>
            </w:r>
          </w:p>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lang w:val="en-US" w:eastAsia="zh-CN"/>
              </w:rPr>
              <w:t>通过“各科室的收入预算”，满足医院实时查询各科室收入完成情况的需求，帮助医院及时发现偏差、查找原因，采取必要措施，保证预算整体目标顺利完成。</w:t>
            </w:r>
          </w:p>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lang w:val="en-US" w:eastAsia="zh-CN"/>
              </w:rPr>
              <w:t>可按医院管理者需要自动生成预算执行各种图表：（1）总收入预算执行率；（2）医疗收入预算执行率；（3）总支出预算执行率；（4）预算执行情况表、同比环比分析表等（5）根据医院管理需要，能自定义各种所需的报表。</w:t>
            </w:r>
          </w:p>
          <w:p>
            <w:pPr>
              <w:pStyle w:val="4"/>
              <w:keepNext w:val="0"/>
              <w:keepLines w:val="0"/>
              <w:pageBreakBefore w:val="0"/>
              <w:numPr>
                <w:ilvl w:val="0"/>
                <w:numId w:val="0"/>
              </w:numPr>
              <w:kinsoku/>
              <w:wordWrap/>
              <w:overflowPunct/>
              <w:topLinePunct w:val="0"/>
              <w:autoSpaceDE/>
              <w:autoSpaceDN/>
              <w:bidi w:val="0"/>
              <w:adjustRightIn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lang w:val="en-US" w:eastAsia="zh-CN"/>
              </w:rPr>
              <w:t>能及时对收入预算、费用预算、项目预算等执行情况各项分析表格的生成，实时查询预算的执行情况，实现对费用支出、项目预算执行情况、采购预算的实时控制。</w:t>
            </w:r>
          </w:p>
          <w:p>
            <w:pPr>
              <w:pStyle w:val="4"/>
              <w:keepNext w:val="0"/>
              <w:keepLines w:val="0"/>
              <w:pageBreakBefore w:val="0"/>
              <w:numPr>
                <w:ilvl w:val="0"/>
                <w:numId w:val="0"/>
              </w:numPr>
              <w:kinsoku/>
              <w:wordWrap/>
              <w:overflowPunct/>
              <w:topLinePunct w:val="0"/>
              <w:autoSpaceDE/>
              <w:autoSpaceDN/>
              <w:bidi w:val="0"/>
              <w:adjustRightIn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lang w:val="en-US" w:eastAsia="zh-CN"/>
              </w:rPr>
              <w:t>预算分析和执行监控：提供执行监控功能，能够从业务数据获取执行数，对业务系统进行预算控制和预警；支持预算数据通过医疗机构报表进行分析。</w:t>
            </w:r>
          </w:p>
          <w:p>
            <w:pPr>
              <w:pStyle w:val="4"/>
              <w:keepNext w:val="0"/>
              <w:keepLines w:val="0"/>
              <w:pageBreakBefore w:val="0"/>
              <w:numPr>
                <w:ilvl w:val="0"/>
                <w:numId w:val="0"/>
              </w:numPr>
              <w:kinsoku/>
              <w:wordWrap/>
              <w:overflowPunct/>
              <w:topLinePunct w:val="0"/>
              <w:autoSpaceDE/>
              <w:autoSpaceDN/>
              <w:bidi w:val="0"/>
              <w:adjustRightIn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lang w:val="en-US" w:eastAsia="zh-CN"/>
              </w:rPr>
              <w:t>支持Excel客户端，通过Excel客户端，完成预算表单设计；通过Excel客户端进行数据填制；通过Excel客户端进行预算分析，并通过系统保存分析文档。</w:t>
            </w:r>
          </w:p>
          <w:p>
            <w:pPr>
              <w:pStyle w:val="4"/>
              <w:keepNext w:val="0"/>
              <w:keepLines w:val="0"/>
              <w:pageBreakBefore w:val="0"/>
              <w:numPr>
                <w:ilvl w:val="0"/>
                <w:numId w:val="0"/>
              </w:numPr>
              <w:kinsoku/>
              <w:wordWrap/>
              <w:overflowPunct/>
              <w:topLinePunct w:val="0"/>
              <w:autoSpaceDE/>
              <w:autoSpaceDN/>
              <w:bidi w:val="0"/>
              <w:adjustRightIn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9、</w:t>
            </w:r>
            <w:r>
              <w:rPr>
                <w:rFonts w:hint="eastAsia" w:ascii="宋体" w:hAnsi="宋体" w:eastAsia="宋体" w:cs="宋体"/>
                <w:sz w:val="21"/>
                <w:szCs w:val="21"/>
                <w:lang w:val="en-US" w:eastAsia="zh-CN"/>
              </w:rPr>
              <w:t>预算数据支持自动向上汇总，可按归口进行汇总、按全院总体预算进行汇总。</w:t>
            </w:r>
          </w:p>
          <w:p>
            <w:pPr>
              <w:pStyle w:val="4"/>
              <w:keepNext w:val="0"/>
              <w:keepLines w:val="0"/>
              <w:pageBreakBefore w:val="0"/>
              <w:numPr>
                <w:ilvl w:val="0"/>
                <w:numId w:val="0"/>
              </w:numPr>
              <w:kinsoku/>
              <w:wordWrap/>
              <w:overflowPunct/>
              <w:topLinePunct w:val="0"/>
              <w:autoSpaceDE/>
              <w:autoSpaceDN/>
              <w:bidi w:val="0"/>
              <w:adjustRightIn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10、</w:t>
            </w:r>
            <w:r>
              <w:rPr>
                <w:rFonts w:hint="eastAsia" w:ascii="宋体" w:hAnsi="宋体" w:eastAsia="宋体" w:cs="宋体"/>
                <w:sz w:val="21"/>
                <w:szCs w:val="21"/>
                <w:lang w:val="en-US" w:eastAsia="zh-CN"/>
              </w:rPr>
              <w:t>支持多种预算周期，提供年、季度、月编制预算的周期，既可满足财务预算、资金预算，也可以满足业务预算的需求。</w:t>
            </w:r>
          </w:p>
          <w:p>
            <w:pPr>
              <w:pStyle w:val="4"/>
              <w:keepNext w:val="0"/>
              <w:keepLines w:val="0"/>
              <w:pageBreakBefore w:val="0"/>
              <w:numPr>
                <w:ilvl w:val="0"/>
                <w:numId w:val="0"/>
              </w:numPr>
              <w:kinsoku/>
              <w:wordWrap/>
              <w:overflowPunct/>
              <w:topLinePunct w:val="0"/>
              <w:autoSpaceDE/>
              <w:autoSpaceDN/>
              <w:bidi w:val="0"/>
              <w:adjustRightIn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11、</w:t>
            </w:r>
            <w:r>
              <w:rPr>
                <w:rFonts w:hint="eastAsia" w:ascii="宋体" w:hAnsi="宋体" w:eastAsia="宋体" w:cs="宋体"/>
                <w:sz w:val="21"/>
                <w:szCs w:val="21"/>
                <w:lang w:val="en-US" w:eastAsia="zh-CN"/>
              </w:rPr>
              <w:t>支持预算对象、预算项目的自定义审批流程。</w:t>
            </w:r>
          </w:p>
          <w:p>
            <w:pPr>
              <w:pStyle w:val="4"/>
              <w:keepNext w:val="0"/>
              <w:keepLines w:val="0"/>
              <w:pageBreakBefore w:val="0"/>
              <w:numPr>
                <w:ilvl w:val="0"/>
                <w:numId w:val="0"/>
              </w:numPr>
              <w:kinsoku/>
              <w:wordWrap/>
              <w:overflowPunct/>
              <w:topLinePunct w:val="0"/>
              <w:autoSpaceDE/>
              <w:autoSpaceDN/>
              <w:bidi w:val="0"/>
              <w:adjustRightInd/>
              <w:spacing w:line="24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12、</w:t>
            </w:r>
            <w:r>
              <w:rPr>
                <w:rFonts w:hint="eastAsia" w:ascii="宋体" w:hAnsi="宋体" w:eastAsia="宋体" w:cs="宋体"/>
                <w:sz w:val="21"/>
                <w:szCs w:val="21"/>
                <w:lang w:val="en-US" w:eastAsia="zh-CN"/>
              </w:rPr>
              <w:t>支持预算的自动预警功能，根据自定义的预警条件，自动提醒预算执行率将超出预算。</w:t>
            </w:r>
          </w:p>
          <w:p>
            <w:pPr>
              <w:pStyle w:val="4"/>
              <w:keepNext w:val="0"/>
              <w:keepLines w:val="0"/>
              <w:pageBreakBefore w:val="0"/>
              <w:numPr>
                <w:ilvl w:val="0"/>
                <w:numId w:val="0"/>
              </w:numPr>
              <w:kinsoku/>
              <w:wordWrap/>
              <w:overflowPunct/>
              <w:topLinePunct w:val="0"/>
              <w:autoSpaceDE/>
              <w:autoSpaceDN/>
              <w:bidi w:val="0"/>
              <w:adjustRightInd/>
              <w:spacing w:line="24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三、</w:t>
            </w:r>
            <w:r>
              <w:rPr>
                <w:rFonts w:hint="eastAsia" w:ascii="宋体" w:hAnsi="宋体" w:eastAsia="宋体" w:cs="宋体"/>
                <w:b/>
                <w:bCs/>
                <w:sz w:val="21"/>
                <w:szCs w:val="21"/>
                <w:lang w:val="en-US" w:eastAsia="zh-CN"/>
              </w:rPr>
              <w:t>具体需求</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1、</w:t>
            </w:r>
            <w:r>
              <w:rPr>
                <w:rFonts w:hint="eastAsia" w:ascii="宋体" w:hAnsi="宋体" w:eastAsia="宋体" w:cs="宋体"/>
                <w:b/>
                <w:bCs/>
                <w:sz w:val="21"/>
                <w:szCs w:val="21"/>
                <w:lang w:val="en-US" w:eastAsia="zh-CN"/>
              </w:rPr>
              <w:t>期初录入</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bidi="ar"/>
              </w:rPr>
              <w:t>（1）</w:t>
            </w:r>
            <w:r>
              <w:rPr>
                <w:rFonts w:hint="eastAsia" w:ascii="宋体" w:hAnsi="宋体" w:eastAsia="宋体" w:cs="宋体"/>
                <w:sz w:val="21"/>
                <w:szCs w:val="21"/>
                <w:lang w:val="en-US" w:eastAsia="zh-CN"/>
              </w:rPr>
              <w:t>基础资料管理：能够将历年（至少近三年）的基础数据维护或导入，为本年度的预算提供依据和参考，实现测算、自动编制功能。建立预算编制模型化，按模型建立预算编制表，满足预算编制、审核、汇总的管理需要。</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bidi="ar"/>
              </w:rPr>
              <w:t>（2）</w:t>
            </w:r>
            <w:r>
              <w:rPr>
                <w:rFonts w:hint="eastAsia" w:ascii="宋体" w:hAnsi="宋体" w:eastAsia="宋体" w:cs="宋体"/>
                <w:sz w:val="21"/>
                <w:szCs w:val="21"/>
                <w:lang w:val="en-US" w:eastAsia="zh-CN"/>
              </w:rPr>
              <w:t>系统期初录入功能提供两种业务操作，一是将上年预算余额通过编制“预算编制期初录入单”，纳入到本年累计预算数当中。二是对刚刚启用预算模块的，可以将系统启用前的预算数据进行录入或导入。</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2、</w:t>
            </w:r>
            <w:r>
              <w:rPr>
                <w:rFonts w:hint="eastAsia" w:ascii="宋体" w:hAnsi="宋体" w:eastAsia="宋体" w:cs="宋体"/>
                <w:b/>
                <w:bCs/>
                <w:sz w:val="21"/>
                <w:szCs w:val="21"/>
                <w:lang w:val="en-US" w:eastAsia="zh-CN"/>
              </w:rPr>
              <w:t>预算编制</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年度预算编制根据实际业务需求，设置不同的预算编制流程，在预算编制过程中采用分级授权方式，能够按不同的预算类型配置审批流程，实现预算的编制、审批等过程管理。预算编制时期，用户可以利用系统对预算进行编制，也可以将已核定的预算数据，直接录入或导入预算系统。系统支持EXCEL外部数据导入和手工输入数据。预算编制实现基本数字表、收入预算、支出预算、</w:t>
            </w:r>
            <w:r>
              <w:rPr>
                <w:rFonts w:hint="eastAsia" w:ascii="宋体" w:hAnsi="宋体" w:eastAsia="宋体" w:cs="宋体"/>
                <w:color w:val="auto"/>
                <w:sz w:val="21"/>
                <w:szCs w:val="21"/>
                <w:lang w:val="en-US" w:eastAsia="zh-CN"/>
              </w:rPr>
              <w:t>财务预算、</w:t>
            </w:r>
            <w:r>
              <w:rPr>
                <w:rFonts w:hint="eastAsia" w:ascii="宋体" w:hAnsi="宋体" w:eastAsia="宋体" w:cs="宋体"/>
                <w:sz w:val="21"/>
                <w:szCs w:val="21"/>
                <w:lang w:val="en-US" w:eastAsia="zh-CN"/>
              </w:rPr>
              <w:t>采购预算、资本性预算等各类预算信息的编制，并按照预算编制的业务流程，提供业务科室、归口科室审批、汇总功能。编制项目预算时，设置有预算项目库、预算执行库，当执行项目预算时，系统自动从预算项目库转到预算执行库，并自动按项目、执行金额情况计算预算执行率。</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支持预算数据的导出、打印、公式审核等，可以查看审批记录、驳回记录等。</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bidi="ar"/>
              </w:rPr>
              <w:t>（1）</w:t>
            </w:r>
            <w:r>
              <w:rPr>
                <w:rFonts w:hint="eastAsia" w:ascii="宋体" w:hAnsi="宋体" w:eastAsia="宋体" w:cs="宋体"/>
                <w:sz w:val="21"/>
                <w:szCs w:val="21"/>
                <w:lang w:val="en-US" w:eastAsia="zh-CN"/>
              </w:rPr>
              <w:t>总体预算编制</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以收入，支出，药占比，耗占比，手术例数，门诊人次，入院人次，平均住院日共八项来完成基本总体预算规划。</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（2）医疗收入编制</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包含归口科室预算标准设置、科室工作量预算、医疗收入预算汇总，根据科室填报的预算数据并结合次均费用汇总计算出各项目的医疗收入预算。</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（3）财政补助收入编制</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通过选项年份和项目分类的支出，自动加载系统内置的各种项目，并维护明年的预算值。</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（4）科教收入编制</w:t>
            </w:r>
          </w:p>
          <w:p>
            <w:pPr>
              <w:keepNext w:val="0"/>
              <w:keepLines w:val="0"/>
              <w:pageBreakBefore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由对应的归口科室来对各个科教收入预算项目进行预算金额的填报，实现科教收入预算的编制。</w:t>
            </w:r>
          </w:p>
          <w:p>
            <w:pPr>
              <w:keepNext w:val="0"/>
              <w:keepLines w:val="0"/>
              <w:pageBreakBefore w:val="0"/>
              <w:kinsoku/>
              <w:wordWrap/>
              <w:overflowPunct/>
              <w:topLinePunct w:val="0"/>
              <w:autoSpaceDE/>
              <w:autoSpaceDN/>
              <w:bidi w:val="0"/>
              <w:adjustRightInd/>
              <w:spacing w:line="240" w:lineRule="exact"/>
              <w:jc w:val="left"/>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bidi="ar"/>
              </w:rPr>
              <w:t>（5）</w:t>
            </w:r>
            <w:r>
              <w:rPr>
                <w:rFonts w:hint="eastAsia" w:ascii="宋体" w:hAnsi="宋体" w:eastAsia="宋体" w:cs="宋体"/>
                <w:sz w:val="21"/>
                <w:szCs w:val="21"/>
                <w:lang w:val="en-US" w:eastAsia="zh-CN"/>
              </w:rPr>
              <w:t>人员经费预算</w:t>
            </w:r>
          </w:p>
          <w:p>
            <w:pPr>
              <w:keepNext w:val="0"/>
              <w:keepLines w:val="0"/>
              <w:pageBreakBefore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通过人员经费预算项目，结合各个预算项目去年的人数及金额，由归口科室填报下年度各预算项目的人数来进行下年度的人员经费项目预算，最终实现人员经费的预算编制。人员经费预算填报包含</w:t>
            </w:r>
            <w:r>
              <w:rPr>
                <w:rFonts w:hint="eastAsia" w:ascii="宋体" w:hAnsi="宋体" w:eastAsia="宋体" w:cs="宋体"/>
                <w:strike w:val="0"/>
                <w:dstrike w:val="0"/>
                <w:color w:val="auto"/>
                <w:sz w:val="21"/>
                <w:szCs w:val="21"/>
                <w:lang w:val="en-US" w:eastAsia="zh-CN"/>
              </w:rPr>
              <w:t>基本</w:t>
            </w:r>
            <w:r>
              <w:rPr>
                <w:rFonts w:hint="eastAsia" w:ascii="宋体" w:hAnsi="宋体" w:eastAsia="宋体" w:cs="宋体"/>
                <w:sz w:val="21"/>
                <w:szCs w:val="21"/>
                <w:lang w:val="en-US" w:eastAsia="zh-CN"/>
              </w:rPr>
              <w:t>工资</w:t>
            </w:r>
            <w:r>
              <w:rPr>
                <w:rFonts w:hint="eastAsia" w:ascii="宋体" w:hAnsi="宋体" w:eastAsia="宋体" w:cs="宋体"/>
                <w:color w:val="auto"/>
                <w:sz w:val="21"/>
                <w:szCs w:val="21"/>
                <w:lang w:val="en-US" w:eastAsia="zh-CN"/>
              </w:rPr>
              <w:t>、</w:t>
            </w:r>
            <w:r>
              <w:rPr>
                <w:rFonts w:hint="eastAsia" w:ascii="宋体" w:hAnsi="宋体" w:eastAsia="宋体" w:cs="宋体"/>
                <w:strike w:val="0"/>
                <w:dstrike w:val="0"/>
                <w:color w:val="auto"/>
                <w:sz w:val="21"/>
                <w:szCs w:val="21"/>
                <w:lang w:val="en-US" w:eastAsia="zh-CN"/>
              </w:rPr>
              <w:t>绩效工资</w:t>
            </w:r>
            <w:r>
              <w:rPr>
                <w:rFonts w:hint="eastAsia" w:ascii="宋体" w:hAnsi="宋体" w:eastAsia="宋体" w:cs="宋体"/>
                <w:color w:val="auto"/>
                <w:sz w:val="21"/>
                <w:szCs w:val="21"/>
                <w:lang w:val="en-US" w:eastAsia="zh-CN"/>
              </w:rPr>
              <w:t>、</w:t>
            </w:r>
            <w:r>
              <w:rPr>
                <w:rFonts w:hint="eastAsia" w:ascii="宋体" w:hAnsi="宋体" w:eastAsia="宋体" w:cs="宋体"/>
                <w:sz w:val="21"/>
                <w:szCs w:val="21"/>
                <w:lang w:val="en-US" w:eastAsia="zh-CN"/>
              </w:rPr>
              <w:t>津贴</w:t>
            </w:r>
            <w:r>
              <w:rPr>
                <w:rFonts w:hint="eastAsia" w:ascii="宋体" w:hAnsi="宋体" w:eastAsia="宋体" w:cs="宋体"/>
                <w:color w:val="auto"/>
                <w:sz w:val="21"/>
                <w:szCs w:val="21"/>
                <w:lang w:val="en-US" w:eastAsia="zh-CN"/>
              </w:rPr>
              <w:t>补贴</w:t>
            </w:r>
            <w:r>
              <w:rPr>
                <w:rFonts w:hint="eastAsia" w:ascii="宋体" w:hAnsi="宋体" w:eastAsia="宋体" w:cs="宋体"/>
                <w:sz w:val="21"/>
                <w:szCs w:val="21"/>
                <w:lang w:val="en-US" w:eastAsia="zh-CN"/>
              </w:rPr>
              <w:t>、住房公积金、社保缴费、离退休费、医疗补助等项目。</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（6）办公经费预算编制</w:t>
            </w:r>
          </w:p>
          <w:p>
            <w:pPr>
              <w:pStyle w:val="2"/>
              <w:keepNext w:val="0"/>
              <w:keepLines w:val="0"/>
              <w:pageBreakBefore w:val="0"/>
              <w:kinsoku/>
              <w:wordWrap/>
              <w:overflowPunct/>
              <w:topLinePunct w:val="0"/>
              <w:autoSpaceDE/>
              <w:autoSpaceDN/>
              <w:bidi w:val="0"/>
              <w:adjustRightInd/>
              <w:spacing w:line="240" w:lineRule="exact"/>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办公经费预算编制包含科室填报和归口科室汇总审批两部分。其中，科室填报是由各个科室根据去年值和科室运行状况填报下年度的办公经费预算项目金额，实现科室办公经费的预算填报。具体细化项目分为：办公费，接待费，市内交通费，市外交通费，其他共五项来构成。归口科室汇总审批是归口科室根据各科室填报的项目预算进行审批调整，汇总后提交至上级预算部门。</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（7）专项经费预算编制</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归口科室通过各个专项经费预算项目的去年值和实际情况对专项经费项目进行预算编制。专项经费预算项目分为：宣传费用，培训费，捐赠支出，电话，邮寄费，外事费，律师顾问费，网络维护费，职工福利支出，消防保卫费用，维稳费，医疗质量安全基金，专科医生培训基金，医疗纠纷补偿费用，离退休慰问费等。</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（8）医疗支出预算编制</w:t>
            </w:r>
          </w:p>
          <w:p>
            <w:pPr>
              <w:pStyle w:val="2"/>
              <w:keepNext w:val="0"/>
              <w:keepLines w:val="0"/>
              <w:pageBreakBefore w:val="0"/>
              <w:kinsoku/>
              <w:wordWrap/>
              <w:overflowPunct/>
              <w:topLinePunct w:val="0"/>
              <w:autoSpaceDE/>
              <w:autoSpaceDN/>
              <w:bidi w:val="0"/>
              <w:adjustRightInd/>
              <w:spacing w:line="240" w:lineRule="exact"/>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由归口科室对各个医疗支出预算项目的去年值和实际情况进行下年度的医疗支出预算填报。具体细化项目分为：药品支出，血液支出，卫生材料支出，其他材料支出，低值易耗品支出共五项来构成，其中，药品支出和卫生材料支出会根据收入预算中的药品收入预算和卫生材料收入预算系统直接获取。</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（9）采购预算编制</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采购预算为资本性支出预算，由各科室进行填报，然后根据各个科室填报的预算额进行采购预算汇总。由在建工程预算，固定资产，无形资产共三项构成。其中科目细分为：网络信息建设费，医疗设备购置费，办公设备购置费，交通工具购置费，房屋维修费，其他共六项来构成。</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3、</w:t>
            </w:r>
            <w:r>
              <w:rPr>
                <w:rFonts w:hint="eastAsia" w:ascii="宋体" w:hAnsi="宋体" w:eastAsia="宋体" w:cs="宋体"/>
                <w:b/>
                <w:bCs/>
                <w:sz w:val="21"/>
                <w:szCs w:val="21"/>
                <w:lang w:val="en-US" w:eastAsia="zh-CN"/>
              </w:rPr>
              <w:t>试算平衡</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提供全院预算的试算平衡，支持全院级预算审核和驳回，以及启用二上、三上编制；能够生成上会报表；提供全院层面的编制状态查看和编制数据查看（含在途）。</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4、</w:t>
            </w:r>
            <w:r>
              <w:rPr>
                <w:rFonts w:hint="eastAsia" w:ascii="宋体" w:hAnsi="宋体" w:eastAsia="宋体" w:cs="宋体"/>
                <w:b/>
                <w:bCs/>
                <w:sz w:val="21"/>
                <w:szCs w:val="21"/>
                <w:lang w:val="en-US" w:eastAsia="zh-CN"/>
              </w:rPr>
              <w:t>预算批复</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right="0" w:rightChars="0"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汇总各归口科室上报的全面预算数据，提交审议通过后，批复全院预算，将批复结果下达给各个科室。如果驳回可生成一下、二下版本。可查看全院预算汇总表和对外报送的上报表。提供预算分解功能，预算批复后对代编的预算科室和细分的预算指标进行分解。</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5、</w:t>
            </w:r>
            <w:r>
              <w:rPr>
                <w:rFonts w:hint="eastAsia" w:ascii="宋体" w:hAnsi="宋体" w:eastAsia="宋体" w:cs="宋体"/>
                <w:b/>
                <w:bCs/>
                <w:sz w:val="21"/>
                <w:szCs w:val="21"/>
                <w:lang w:val="en-US" w:eastAsia="zh-CN"/>
              </w:rPr>
              <w:t>年度预算下发</w:t>
            </w:r>
          </w:p>
          <w:p>
            <w:pPr>
              <w:keepNext w:val="0"/>
              <w:keepLines w:val="0"/>
              <w:pageBreakBefore w:val="0"/>
              <w:widowControl/>
              <w:suppressLineNumbers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预算数据进入系统后，尚处于“未激活”的状态，待预算专员核对无误后，经相关领导审批，本年预算额度即被“激活”,用户即可按照年初的预算记录、控制、对比医院今年的预算情况。</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6、</w:t>
            </w:r>
            <w:r>
              <w:rPr>
                <w:rFonts w:hint="eastAsia" w:ascii="宋体" w:hAnsi="宋体" w:eastAsia="宋体" w:cs="宋体"/>
                <w:b/>
                <w:bCs/>
                <w:sz w:val="21"/>
                <w:szCs w:val="21"/>
                <w:lang w:val="en-US" w:eastAsia="zh-CN"/>
              </w:rPr>
              <w:t>预算执行与控制</w:t>
            </w:r>
          </w:p>
          <w:p>
            <w:pPr>
              <w:keepNext w:val="0"/>
              <w:keepLines w:val="0"/>
              <w:pageBreakBefore w:val="0"/>
              <w:widowControl/>
              <w:suppressLineNumbers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通过预算系统与总账系统、报销系统等业务系统的集成使用，实时控制反馈预算的执行情况。系统支持设置预算控制规则，包含控制类型设置、控制方向设置、控制维度设置、执行预警设置等。对于超预算的单据，系统自动弹出警告信息，并弹出操作选择。在预算执行过程中，各科室能查看本科室预算执行情况。可以动态显示当前预算执行情况，主要展示信息为：预算数、执行数、执行百分比、结余数。支持自动核销预算和手工核销预算数据功能。</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7、</w:t>
            </w:r>
            <w:r>
              <w:rPr>
                <w:rFonts w:hint="eastAsia" w:ascii="宋体" w:hAnsi="宋体" w:eastAsia="宋体" w:cs="宋体"/>
                <w:b/>
                <w:bCs/>
                <w:sz w:val="21"/>
                <w:szCs w:val="21"/>
                <w:lang w:val="en-US" w:eastAsia="zh-CN"/>
              </w:rPr>
              <w:t>预算分析</w:t>
            </w:r>
          </w:p>
          <w:p>
            <w:pPr>
              <w:keepNext w:val="0"/>
              <w:keepLines w:val="0"/>
              <w:pageBreakBefore w:val="0"/>
              <w:widowControl/>
              <w:suppressLineNumbers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color w:val="4E4E4F"/>
                <w:kern w:val="0"/>
                <w:sz w:val="21"/>
                <w:szCs w:val="21"/>
                <w:lang w:val="en-US" w:eastAsia="zh-CN" w:bidi="ar"/>
              </w:rPr>
            </w:pPr>
            <w:r>
              <w:rPr>
                <w:rFonts w:hint="eastAsia" w:ascii="宋体" w:hAnsi="宋体" w:eastAsia="宋体" w:cs="宋体"/>
                <w:kern w:val="2"/>
                <w:sz w:val="21"/>
                <w:szCs w:val="21"/>
                <w:lang w:val="en-US" w:eastAsia="zh-CN" w:bidi="ar-SA"/>
              </w:rPr>
              <w:t>系统提供各种预算分析查询功能，如执行情况分析，各个下级单位的预算或执行情况的对比分析，预算与往年的对比分析，以及按任意要素的查询分析功能。</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8、</w:t>
            </w:r>
            <w:r>
              <w:rPr>
                <w:rFonts w:hint="eastAsia" w:ascii="宋体" w:hAnsi="宋体" w:eastAsia="宋体" w:cs="宋体"/>
                <w:b/>
                <w:bCs/>
                <w:sz w:val="21"/>
                <w:szCs w:val="21"/>
                <w:lang w:val="en-US" w:eastAsia="zh-CN"/>
              </w:rPr>
              <w:t>预算调整</w:t>
            </w:r>
          </w:p>
          <w:p>
            <w:pPr>
              <w:keepNext w:val="0"/>
              <w:keepLines w:val="0"/>
              <w:pageBreakBefore w:val="0"/>
              <w:widowControl/>
              <w:suppressLineNumbers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系统系统支持预算调整，预算执行过程中因内、外经营情况变化存在大的误差或对于年初编制的预算不够科学或者是临时支出等，需要调整预算的业务。当需要追加或追减预算时，系统应提供预算调整功能，可以由业务科室或预算部门进行录入，经批复后方可生效。</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9、</w:t>
            </w:r>
            <w:r>
              <w:rPr>
                <w:rFonts w:hint="eastAsia" w:ascii="宋体" w:hAnsi="宋体" w:eastAsia="宋体" w:cs="宋体"/>
                <w:b/>
                <w:bCs/>
                <w:sz w:val="21"/>
                <w:szCs w:val="21"/>
                <w:lang w:val="en-US" w:eastAsia="zh-CN"/>
              </w:rPr>
              <w:t>预算报表</w:t>
            </w:r>
          </w:p>
          <w:p>
            <w:pPr>
              <w:keepNext w:val="0"/>
              <w:keepLines w:val="0"/>
              <w:pageBreakBefore w:val="0"/>
              <w:widowControl/>
              <w:suppressLineNumbers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提供满足医院各种样表个性化定制，用户可以根据自身预算样表格式随意定制。支持固定表和浮动表设置。预算报表体系有：全院预算编制报表、全院预算执行报表、预算多维数据汇总。</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10、</w:t>
            </w:r>
            <w:r>
              <w:rPr>
                <w:rFonts w:hint="eastAsia" w:ascii="宋体" w:hAnsi="宋体" w:eastAsia="宋体" w:cs="宋体"/>
                <w:b/>
                <w:bCs/>
                <w:sz w:val="21"/>
                <w:szCs w:val="21"/>
                <w:lang w:val="en-US" w:eastAsia="zh-CN"/>
              </w:rPr>
              <w:t>预算考核</w:t>
            </w:r>
          </w:p>
          <w:p>
            <w:pPr>
              <w:keepNext w:val="0"/>
              <w:keepLines w:val="0"/>
              <w:pageBreakBefore w:val="0"/>
              <w:widowControl/>
              <w:suppressLineNumbers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按预算管理制度，通过建立预算日常统计分析报表、月度及中期预算比较分析报表和年度预算考核报告等预算考核体系，可以及时监督和考核预算的执行情况，配合绩效系统对科室的绩效评价。与人力系统集成、绩效管理系统集成，获得复杂的分析方法。</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11、</w:t>
            </w:r>
            <w:r>
              <w:rPr>
                <w:rFonts w:hint="eastAsia" w:ascii="宋体" w:hAnsi="宋体" w:eastAsia="宋体" w:cs="宋体"/>
                <w:b/>
                <w:bCs/>
                <w:sz w:val="21"/>
                <w:szCs w:val="21"/>
                <w:lang w:val="en-US" w:eastAsia="zh-CN"/>
              </w:rPr>
              <w:t>预算权限管理</w:t>
            </w:r>
          </w:p>
          <w:p>
            <w:pPr>
              <w:keepNext w:val="0"/>
              <w:keepLines w:val="0"/>
              <w:pageBreakBefore w:val="0"/>
              <w:widowControl/>
              <w:suppressLineNumbers w:val="0"/>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提供对预算编制权限、审核权限进行维护管理，实现职能科室代编、业务科室编制的模式，并能够按权限进行汇总、审核。</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12、</w:t>
            </w:r>
            <w:r>
              <w:rPr>
                <w:rFonts w:hint="eastAsia" w:ascii="宋体" w:hAnsi="宋体" w:eastAsia="宋体" w:cs="宋体"/>
                <w:b/>
                <w:bCs/>
                <w:sz w:val="21"/>
                <w:szCs w:val="21"/>
                <w:lang w:val="en-US" w:eastAsia="zh-CN"/>
              </w:rPr>
              <w:t>基础设置要求</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（1）包括参数设置、预算指标设置、预算启用等基础设置。</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（2）提供定义、维护预算编制的维度。</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（3）预算科室信息：参与预算管理科室的维护,由预算管理人员维护。</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预算项目信息：各科室预算项目维护,由预算管理人员按照主题,如公用支出、维修支出等,按项目,如购买定额文件资料、复印机维护和配件等完成预算项目字典的维护。对于预算管理人员没有定义的预算项目，如果有特殊要求可以灵活自定义预算项目。</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（5）预算申请信息：医院各预算申请科室通过内部信息网指定网站登录预算申请页面，进行本科室的预算申请。</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（6）预算决算设置：根据院内系统接口来获取对应预算项目的决算额，也可由预算管理科室填报对应的决算额。通过项目的预算和决算可以对院内预算的执行情况进行分析，为医院的决策提供数据支持。</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exact"/>
              <w:ind w:left="0" w:leftChars="0" w:right="0" w:rightChars="0"/>
              <w:jc w:val="left"/>
              <w:textAlignment w:val="auto"/>
              <w:rPr>
                <w:rFonts w:ascii="宋体" w:hAnsi="宋体" w:eastAsia="宋体" w:cs="Times New Roman"/>
                <w:kern w:val="0"/>
                <w:szCs w:val="21"/>
              </w:rPr>
            </w:pPr>
            <w:r>
              <w:rPr>
                <w:rFonts w:hint="eastAsia" w:ascii="宋体" w:hAnsi="宋体" w:eastAsia="宋体" w:cs="宋体"/>
                <w:sz w:val="21"/>
                <w:szCs w:val="21"/>
                <w:highlight w:val="none"/>
                <w:lang w:val="en-US" w:eastAsia="zh-CN"/>
              </w:rPr>
              <w:t>（7）能够与成本管理系统、报销系统实现数据对接</w:t>
            </w: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自项目验收合格之日起1年</w:t>
            </w:r>
            <w:r>
              <w:rPr>
                <w:rFonts w:hint="eastAsia" w:ascii="宋体" w:hAnsi="宋体" w:eastAsia="宋体" w:cs="Times New Roman"/>
                <w:color w:val="000000"/>
                <w:szCs w:val="21"/>
                <w:lang w:val="en-US" w:eastAsia="zh-CN"/>
              </w:rPr>
              <w:t>及以上</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w:t>
            </w:r>
            <w:r>
              <w:rPr>
                <w:rFonts w:hint="eastAsia" w:ascii="宋体" w:hAnsi="宋体" w:eastAsia="宋体" w:cs="宋体"/>
                <w:sz w:val="21"/>
                <w:szCs w:val="21"/>
                <w:lang w:val="en-US" w:eastAsia="zh-CN"/>
              </w:rPr>
              <w:t>系统交付时间要求自签订合同之日起90个日历日内安装、调试完毕并交付使用</w:t>
            </w:r>
            <w:r>
              <w:rPr>
                <w:rFonts w:hint="eastAsia" w:ascii="宋体" w:hAnsi="宋体" w:eastAsia="宋体" w:cs="Times New Roman"/>
                <w:color w:val="000000"/>
                <w:szCs w:val="21"/>
              </w:rPr>
              <w:t>。</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33" w:firstLineChars="16"/>
              <w:rPr>
                <w:rFonts w:ascii="宋体" w:hAnsi="宋体" w:eastAsia="宋体" w:cs="宋体"/>
                <w:bCs/>
                <w:szCs w:val="21"/>
              </w:rPr>
            </w:pPr>
            <w:r>
              <w:rPr>
                <w:rFonts w:hint="eastAsia" w:ascii="宋体" w:hAnsi="宋体" w:eastAsia="宋体" w:cs="宋体"/>
                <w:bCs/>
                <w:szCs w:val="21"/>
              </w:rPr>
              <w:t>1.质保期内，免费进行软件修改、完善和升级。如系统设计存在重大缺陷，导致无法运行或效率低下，须对系统进行结构性调整开发至满足使用要求；质保期未完成修改、完善和升级开发的，质保期相应顺延。</w:t>
            </w:r>
          </w:p>
          <w:p>
            <w:pPr>
              <w:spacing w:line="320" w:lineRule="exact"/>
              <w:ind w:firstLine="33" w:firstLineChars="16"/>
              <w:rPr>
                <w:rFonts w:ascii="宋体" w:hAnsi="宋体" w:eastAsia="宋体" w:cs="宋体"/>
                <w:bCs/>
                <w:szCs w:val="21"/>
              </w:rPr>
            </w:pPr>
            <w:r>
              <w:rPr>
                <w:rFonts w:hint="eastAsia" w:ascii="宋体" w:hAnsi="宋体" w:eastAsia="宋体" w:cs="宋体"/>
                <w:bCs/>
                <w:szCs w:val="21"/>
              </w:rPr>
              <w:t>2.服务期限内第三方因其它信息系统建设需进行数据交换时免费提供接口开发服务，并提供详细使用说明。</w:t>
            </w:r>
          </w:p>
          <w:p>
            <w:pPr>
              <w:spacing w:line="320" w:lineRule="exact"/>
              <w:ind w:firstLine="33" w:firstLineChars="16"/>
              <w:rPr>
                <w:rFonts w:ascii="宋体" w:hAnsi="宋体" w:eastAsia="宋体" w:cs="Times New Roman"/>
              </w:rPr>
            </w:pPr>
            <w:r>
              <w:rPr>
                <w:rFonts w:hint="eastAsia" w:ascii="宋体" w:hAnsi="宋体" w:eastAsia="宋体" w:cs="宋体"/>
                <w:bCs/>
                <w:szCs w:val="21"/>
              </w:rPr>
              <w:t>3.</w:t>
            </w:r>
            <w:r>
              <w:rPr>
                <w:rFonts w:hint="eastAsia" w:ascii="宋体" w:hAnsi="宋体" w:eastAsia="宋体" w:cs="Times New Roman"/>
              </w:rPr>
              <w:t>免费维护和技术支持的范围为：</w:t>
            </w:r>
          </w:p>
          <w:p>
            <w:pPr>
              <w:spacing w:line="320" w:lineRule="exact"/>
              <w:ind w:firstLine="33" w:firstLineChars="16"/>
              <w:rPr>
                <w:rFonts w:ascii="宋体" w:hAnsi="宋体" w:eastAsia="宋体" w:cs="Times New Roman"/>
              </w:rPr>
            </w:pPr>
            <w:r>
              <w:rPr>
                <w:rFonts w:hint="eastAsia" w:ascii="宋体" w:hAnsi="宋体" w:eastAsia="宋体" w:cs="Times New Roman"/>
              </w:rPr>
              <w:t>（1）软件系统功能、操作等级别问题的技术支持服务。</w:t>
            </w:r>
          </w:p>
          <w:p>
            <w:pPr>
              <w:spacing w:line="320" w:lineRule="exact"/>
              <w:ind w:firstLine="33" w:firstLineChars="16"/>
              <w:rPr>
                <w:rFonts w:ascii="宋体" w:hAnsi="宋体" w:eastAsia="宋体" w:cs="Times New Roman"/>
              </w:rPr>
            </w:pPr>
            <w:r>
              <w:rPr>
                <w:rFonts w:hint="eastAsia" w:ascii="宋体" w:hAnsi="宋体" w:eastAsia="宋体" w:cs="Times New Roman"/>
              </w:rPr>
              <w:t>（2）软件系统本身的缺陷而引起的问题。</w:t>
            </w:r>
          </w:p>
          <w:p>
            <w:pPr>
              <w:spacing w:line="320" w:lineRule="exact"/>
              <w:ind w:firstLine="33" w:firstLineChars="16"/>
              <w:rPr>
                <w:rFonts w:ascii="宋体" w:hAnsi="宋体" w:eastAsia="宋体" w:cs="Times New Roman"/>
              </w:rPr>
            </w:pPr>
            <w:r>
              <w:rPr>
                <w:rFonts w:hint="eastAsia" w:ascii="宋体" w:hAnsi="宋体" w:eastAsia="宋体" w:cs="Times New Roman"/>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rPr>
            </w:pPr>
            <w:r>
              <w:rPr>
                <w:rFonts w:hint="eastAsia" w:ascii="宋体" w:hAnsi="宋体" w:eastAsia="宋体" w:cs="宋体"/>
                <w:bCs/>
                <w:szCs w:val="21"/>
              </w:rPr>
              <w:t>4.故障响应时间：</w:t>
            </w:r>
            <w:r>
              <w:rPr>
                <w:rFonts w:hint="eastAsia" w:ascii="宋体" w:hAnsi="宋体" w:eastAsia="宋体" w:cs="Times New Roman"/>
              </w:rPr>
              <w:t>提供7*24小时的实时故障响应。</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（1）按国家有关“三包”规定执行“三包”，软件及配套系统设备产品免费保修期至少1年及1年以上，系统的免费维护期1年及1年以上（自验收合格之日起计算）；</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（2）采购范围内的货物免费送货上门、免费安装调试合格、免费培训使用；</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（3）系统交付验收时移交系统技术文档（数据库字典、系统操作说明书等）给医院信息网络中心；</w:t>
            </w:r>
          </w:p>
          <w:p>
            <w:pPr>
              <w:pStyle w:val="5"/>
              <w:keepNext w:val="0"/>
              <w:keepLines w:val="0"/>
              <w:pageBreakBefore w:val="0"/>
              <w:widowControl w:val="0"/>
              <w:kinsoku/>
              <w:wordWrap/>
              <w:overflowPunct/>
              <w:topLinePunct w:val="0"/>
              <w:autoSpaceDE/>
              <w:autoSpaceDN/>
              <w:bidi w:val="0"/>
              <w:adjustRightInd/>
              <w:spacing w:line="320" w:lineRule="exact"/>
              <w:jc w:val="left"/>
              <w:textAlignment w:val="auto"/>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（4）负责为医院培养2名技术工程师，项目结束后2名工程师能达到独立运维的能力；</w:t>
            </w:r>
          </w:p>
          <w:p>
            <w:pPr>
              <w:keepNext w:val="0"/>
              <w:keepLines w:val="0"/>
              <w:pageBreakBefore w:val="0"/>
              <w:widowControl w:val="0"/>
              <w:kinsoku/>
              <w:wordWrap/>
              <w:overflowPunct/>
              <w:topLinePunct w:val="0"/>
              <w:autoSpaceDE/>
              <w:autoSpaceDN/>
              <w:bidi w:val="0"/>
              <w:adjustRightInd/>
              <w:spacing w:line="320" w:lineRule="exact"/>
              <w:ind w:firstLine="33" w:firstLineChars="16"/>
              <w:textAlignment w:val="auto"/>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（5）应急维修时间：接到故障通知后4小时内做出有效回应，并在48小时内完成应急维修要求。</w:t>
            </w:r>
          </w:p>
          <w:p>
            <w:pPr>
              <w:spacing w:line="320" w:lineRule="exact"/>
              <w:ind w:firstLine="33" w:firstLineChars="16"/>
              <w:rPr>
                <w:rFonts w:ascii="Calibri" w:hAnsi="Calibri" w:eastAsia="宋体" w:cs="宋体"/>
                <w:bCs/>
                <w:szCs w:val="21"/>
              </w:rPr>
            </w:pPr>
            <w:r>
              <w:rPr>
                <w:rFonts w:hint="eastAsia" w:ascii="宋体" w:hAnsi="宋体" w:eastAsia="宋体" w:cs="Times New Roman"/>
              </w:rPr>
              <w:t>5</w:t>
            </w:r>
            <w:r>
              <w:rPr>
                <w:rFonts w:ascii="宋体" w:hAnsi="宋体" w:eastAsia="宋体" w:cs="Times New Roman"/>
              </w:rPr>
              <w:t>.</w:t>
            </w:r>
            <w:r>
              <w:rPr>
                <w:rFonts w:hint="eastAsia" w:ascii="宋体" w:hAnsi="宋体" w:eastAsia="宋体" w:cs="Times New Roman"/>
              </w:rPr>
              <w:t>定期跟踪。供应商应提供每</w:t>
            </w:r>
            <w:r>
              <w:rPr>
                <w:rFonts w:ascii="宋体" w:hAnsi="宋体" w:eastAsia="宋体" w:cs="Times New Roman"/>
              </w:rPr>
              <w:t>3个月不少于1次现场巡检服务，及时发现和排除潜在问题或故障隐患，保证平台的稳定运行。</w:t>
            </w:r>
          </w:p>
          <w:p>
            <w:pPr>
              <w:spacing w:line="320" w:lineRule="exact"/>
              <w:ind w:firstLine="33" w:firstLineChars="16"/>
              <w:rPr>
                <w:rFonts w:ascii="宋体" w:hAnsi="宋体" w:eastAsia="宋体" w:cs="宋体"/>
                <w:bCs/>
                <w:szCs w:val="21"/>
              </w:rPr>
            </w:pPr>
            <w:r>
              <w:rPr>
                <w:rFonts w:ascii="宋体" w:hAnsi="宋体" w:eastAsia="宋体" w:cs="Times New Roman"/>
                <w:szCs w:val="21"/>
              </w:rPr>
              <w:t>6</w:t>
            </w:r>
            <w:r>
              <w:rPr>
                <w:rFonts w:hint="eastAsia" w:ascii="宋体" w:hAnsi="宋体" w:eastAsia="宋体" w:cs="Times New Roman"/>
                <w:szCs w:val="21"/>
              </w:rPr>
              <w:t>.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达到本招标文件要求的业务处理能力、系统满足功能要求和相应的技术规范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ascii="Calibri" w:hAnsi="Calibri" w:eastAsia="宋体" w:cs="Times New Roman"/>
                <w:szCs w:val="24"/>
              </w:rPr>
              <w:t>验收：以</w:t>
            </w:r>
            <w:r>
              <w:rPr>
                <w:rFonts w:hint="eastAsia" w:ascii="Calibri" w:hAnsi="Calibri" w:eastAsia="宋体" w:cs="Times New Roman"/>
                <w:szCs w:val="24"/>
                <w:lang w:val="en-US" w:eastAsia="zh-CN"/>
              </w:rPr>
              <w:t>使用</w:t>
            </w:r>
            <w:r>
              <w:rPr>
                <w:rFonts w:ascii="Calibri" w:hAnsi="Calibri" w:eastAsia="宋体" w:cs="Times New Roman"/>
                <w:szCs w:val="24"/>
              </w:rPr>
              <w:t>部门的使用认可</w:t>
            </w:r>
            <w:r>
              <w:rPr>
                <w:rFonts w:hint="eastAsia" w:ascii="Calibri" w:hAnsi="Calibri" w:eastAsia="宋体" w:cs="Times New Roman"/>
                <w:szCs w:val="24"/>
              </w:rPr>
              <w:t>，验收小组签字验收合格</w:t>
            </w:r>
            <w:r>
              <w:rPr>
                <w:rFonts w:ascii="Calibri" w:hAnsi="Calibri" w:eastAsia="宋体" w:cs="Times New Roman"/>
                <w:szCs w:val="24"/>
              </w:rPr>
              <w:t>视为软件验收通过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jc w:val="left"/>
              <w:rPr>
                <w:rFonts w:hint="eastAsia" w:ascii="宋体" w:hAnsi="宋体" w:eastAsia="宋体" w:cs="Times New Roman"/>
                <w:color w:val="auto"/>
              </w:rPr>
            </w:pPr>
            <w:r>
              <w:rPr>
                <w:rFonts w:hint="eastAsia" w:ascii="宋体" w:hAnsi="宋体" w:eastAsia="宋体" w:cs="Times New Roman"/>
              </w:rPr>
              <w:t>合同签订后10个工作日内采购人向</w:t>
            </w:r>
            <w:r>
              <w:rPr>
                <w:rFonts w:hint="eastAsia" w:ascii="宋体" w:hAnsi="宋体" w:eastAsia="宋体" w:cs="Times New Roman"/>
                <w:lang w:val="en-US" w:eastAsia="zh-CN"/>
              </w:rPr>
              <w:t>中标人</w:t>
            </w:r>
            <w:r>
              <w:rPr>
                <w:rFonts w:hint="eastAsia" w:ascii="宋体" w:hAnsi="宋体" w:eastAsia="宋体" w:cs="Times New Roman"/>
              </w:rPr>
              <w:t>预付合同金额的</w:t>
            </w:r>
            <w:r>
              <w:rPr>
                <w:rFonts w:hint="eastAsia" w:ascii="宋体" w:hAnsi="宋体" w:eastAsia="宋体" w:cs="Times New Roman"/>
                <w:color w:val="auto"/>
                <w:lang w:val="en-US" w:eastAsia="zh-CN"/>
              </w:rPr>
              <w:t>3</w:t>
            </w:r>
            <w:r>
              <w:rPr>
                <w:rFonts w:hint="eastAsia" w:ascii="宋体" w:hAnsi="宋体" w:eastAsia="宋体" w:cs="Times New Roman"/>
                <w:color w:val="auto"/>
              </w:rPr>
              <w:t>0%作为前期开发经费，同时成交供应商向采购人开具等额发票。</w:t>
            </w:r>
          </w:p>
          <w:p>
            <w:pPr>
              <w:spacing w:line="320" w:lineRule="exact"/>
              <w:jc w:val="left"/>
              <w:rPr>
                <w:rFonts w:ascii="宋体" w:hAnsi="宋体" w:eastAsia="宋体" w:cs="Times New Roman"/>
                <w:color w:val="auto"/>
              </w:rPr>
            </w:pPr>
            <w:r>
              <w:rPr>
                <w:rFonts w:hint="eastAsia" w:ascii="宋体" w:hAnsi="宋体" w:eastAsia="宋体" w:cs="Times New Roman"/>
                <w:color w:val="auto"/>
                <w:lang w:val="en-US" w:eastAsia="zh-CN"/>
              </w:rPr>
              <w:t>2</w:t>
            </w:r>
            <w:r>
              <w:rPr>
                <w:rFonts w:hint="eastAsia" w:ascii="宋体" w:hAnsi="宋体" w:eastAsia="宋体" w:cs="Times New Roman"/>
                <w:color w:val="auto"/>
              </w:rPr>
              <w:t>.</w:t>
            </w:r>
            <w:r>
              <w:rPr>
                <w:rFonts w:hint="eastAsia" w:ascii="宋体" w:hAnsi="宋体" w:eastAsia="宋体" w:cs="Times New Roman"/>
                <w:color w:val="auto"/>
                <w:lang w:val="en-US" w:eastAsia="zh-CN"/>
              </w:rPr>
              <w:t>项目上线</w:t>
            </w:r>
            <w:r>
              <w:rPr>
                <w:rFonts w:hint="eastAsia" w:ascii="宋体" w:hAnsi="宋体" w:eastAsia="宋体" w:cs="Times New Roman"/>
                <w:color w:val="auto"/>
              </w:rPr>
              <w:t>后10个工作日内采购人向</w:t>
            </w:r>
            <w:r>
              <w:rPr>
                <w:rFonts w:hint="eastAsia" w:ascii="宋体" w:hAnsi="宋体" w:eastAsia="宋体" w:cs="Times New Roman"/>
                <w:color w:val="auto"/>
                <w:lang w:val="en-US" w:eastAsia="zh-CN"/>
              </w:rPr>
              <w:t>中标人</w:t>
            </w:r>
            <w:r>
              <w:rPr>
                <w:rFonts w:hint="eastAsia" w:ascii="宋体" w:hAnsi="宋体" w:eastAsia="宋体" w:cs="Times New Roman"/>
                <w:color w:val="auto"/>
              </w:rPr>
              <w:t>预付合同金额的</w:t>
            </w:r>
            <w:r>
              <w:rPr>
                <w:rFonts w:hint="eastAsia" w:ascii="宋体" w:hAnsi="宋体" w:eastAsia="宋体" w:cs="Times New Roman"/>
                <w:color w:val="auto"/>
                <w:lang w:val="en-US" w:eastAsia="zh-CN"/>
              </w:rPr>
              <w:t>2</w:t>
            </w:r>
            <w:r>
              <w:rPr>
                <w:rFonts w:hint="eastAsia" w:ascii="宋体" w:hAnsi="宋体" w:eastAsia="宋体" w:cs="Times New Roman"/>
                <w:color w:val="auto"/>
              </w:rPr>
              <w:t>0%作为</w:t>
            </w:r>
            <w:r>
              <w:rPr>
                <w:rFonts w:hint="eastAsia" w:ascii="宋体" w:hAnsi="宋体" w:eastAsia="宋体" w:cs="Times New Roman"/>
                <w:color w:val="auto"/>
                <w:lang w:val="en-US" w:eastAsia="zh-CN"/>
              </w:rPr>
              <w:t>上线进度款</w:t>
            </w:r>
            <w:r>
              <w:rPr>
                <w:rFonts w:hint="eastAsia" w:ascii="宋体" w:hAnsi="宋体" w:eastAsia="宋体" w:cs="Times New Roman"/>
                <w:color w:val="auto"/>
              </w:rPr>
              <w:t>，同时成交供应商向采购人开具等额发票。</w:t>
            </w:r>
          </w:p>
          <w:p>
            <w:pPr>
              <w:spacing w:line="320" w:lineRule="exact"/>
              <w:jc w:val="left"/>
              <w:rPr>
                <w:rFonts w:ascii="Calibri" w:hAnsi="Calibri" w:eastAsia="宋体" w:cs="Times New Roman"/>
                <w:color w:val="000000"/>
                <w:szCs w:val="24"/>
              </w:rPr>
            </w:pPr>
            <w:r>
              <w:rPr>
                <w:rFonts w:hint="eastAsia" w:ascii="宋体" w:hAnsi="宋体" w:eastAsia="宋体" w:cs="Times New Roman"/>
                <w:lang w:val="en-US" w:eastAsia="zh-CN"/>
              </w:rPr>
              <w:t>3</w:t>
            </w:r>
            <w:r>
              <w:rPr>
                <w:rFonts w:ascii="宋体" w:hAnsi="宋体" w:eastAsia="宋体" w:cs="Times New Roman"/>
              </w:rPr>
              <w:t>.</w:t>
            </w:r>
            <w:r>
              <w:rPr>
                <w:rFonts w:hint="eastAsia" w:ascii="宋体" w:hAnsi="宋体" w:eastAsia="宋体" w:cs="Times New Roman"/>
                <w:lang w:val="en-US" w:eastAsia="zh-CN"/>
              </w:rPr>
              <w:t>验收合格后，中标人开具剩余50%的发票，采购人支付剩余款项</w:t>
            </w:r>
            <w:r>
              <w:rPr>
                <w:rFonts w:hint="eastAsia" w:ascii="宋体" w:hAnsi="宋体" w:eastAsia="宋体"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szCs w:val="21"/>
                <w:highlight w:val="yellow"/>
              </w:rPr>
            </w:pPr>
            <w:r>
              <w:rPr>
                <w:rFonts w:hint="eastAsia" w:ascii="Calibri" w:hAnsi="Calibri" w:eastAsia="宋体" w:cs="Times New Roman"/>
                <w:szCs w:val="24"/>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szCs w:val="21"/>
              </w:rPr>
            </w:pPr>
            <w:r>
              <w:rPr>
                <w:rFonts w:hint="eastAsia" w:ascii="宋体" w:hAnsi="宋体" w:eastAsia="宋体" w:cs="宋体"/>
                <w:bCs/>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操作员培训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供应商针对操作员进行全员培训，提供详细的培训计划，包括培训课程内容（以操作为主）、培训制度、培训考核办法等。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ascii="宋体" w:hAnsi="宋体" w:eastAsia="宋体" w:cs="宋体"/>
                <w:color w:val="000000"/>
                <w:szCs w:val="21"/>
              </w:rPr>
              <w:t>技术人员培训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（1）供应商应负责采购人技术人员的培训，提供详细的培训计划，并对参加培训的技术人员提出基本要求；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（2）培训内容应包括系统管理、维护，数据库及其他软件等。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3</w:t>
            </w:r>
            <w:r>
              <w:rPr>
                <w:rFonts w:ascii="宋体" w:hAnsi="宋体" w:eastAsia="宋体" w:cs="宋体"/>
                <w:color w:val="000000"/>
                <w:szCs w:val="21"/>
              </w:rPr>
              <w:t>.</w:t>
            </w:r>
            <w:r>
              <w:rPr>
                <w:rFonts w:hint="eastAsia" w:ascii="宋体" w:hAnsi="宋体" w:eastAsia="宋体" w:cs="宋体"/>
                <w:color w:val="000000"/>
                <w:szCs w:val="21"/>
              </w:rPr>
              <w:t>管理人员培训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（1）供应商应负责采购人管理人员的培训，提供详细的培训计划，并对参加培训的人员提出基本要求；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（2）培训内容应包括系统流程和相关管理理念。</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w:t>
            </w:r>
            <w:r>
              <w:rPr>
                <w:rFonts w:ascii="宋体" w:hAnsi="宋体" w:eastAsia="宋体" w:cs="宋体"/>
                <w:color w:val="000000"/>
                <w:szCs w:val="21"/>
              </w:rPr>
              <w:t>.</w:t>
            </w:r>
            <w:r>
              <w:rPr>
                <w:rFonts w:hint="eastAsia" w:ascii="宋体" w:hAnsi="宋体" w:eastAsia="宋体" w:cs="宋体"/>
                <w:color w:val="000000"/>
                <w:szCs w:val="21"/>
              </w:rPr>
              <w:t>维护人员培训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系统试运行期间，供应商负责为采购人免费培训系统维护人员，通过培训，使维护人员能熟练规范的进行操作，对一般故障能进行处理和日常维护。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供应商需提供完整的实施方案，包含具体的实施进度和人员安排，保证整个项目建设的连续性。</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11"/>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spacing w:line="400" w:lineRule="exact"/>
              <w:rPr>
                <w:rFonts w:ascii="Calibri" w:hAnsi="Calibri" w:eastAsia="宋体" w:cs="Calibri"/>
                <w:szCs w:val="21"/>
              </w:rPr>
            </w:pPr>
            <w:r>
              <w:rPr>
                <w:rFonts w:hint="eastAsia" w:ascii="宋体" w:hAnsi="宋体" w:eastAsia="宋体" w:cs="Courier New"/>
                <w:bCs/>
                <w:color w:val="000000"/>
                <w:szCs w:val="21"/>
              </w:rPr>
              <w:t>以进入比较与评价环节的最低的评审价为基准价，基准价得分为</w:t>
            </w:r>
            <w:r>
              <w:rPr>
                <w:rFonts w:ascii="宋体" w:hAnsi="宋体" w:eastAsia="宋体" w:cs="Courier New"/>
                <w:bCs/>
                <w:color w:val="000000"/>
                <w:szCs w:val="21"/>
                <w:u w:val="single"/>
              </w:rPr>
              <w:t>30</w:t>
            </w:r>
            <w:r>
              <w:rPr>
                <w:rFonts w:hint="eastAsia" w:ascii="宋体" w:hAnsi="宋体" w:eastAsia="宋体" w:cs="Courier New"/>
                <w:bCs/>
                <w:color w:val="000000"/>
                <w:szCs w:val="21"/>
                <w:u w:val="single"/>
              </w:rPr>
              <w:t>分</w:t>
            </w:r>
            <w:r>
              <w:rPr>
                <w:rFonts w:hint="eastAsia" w:ascii="宋体" w:hAnsi="宋体" w:eastAsia="宋体" w:cs="Courier New"/>
                <w:bCs/>
                <w:color w:val="000000"/>
                <w:szCs w:val="21"/>
              </w:rPr>
              <w:t>。价格分计算公式：报价得分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（基准价</w:t>
            </w:r>
            <w:r>
              <w:rPr>
                <w:rFonts w:hint="eastAsia" w:ascii="Calibri" w:hAnsi="Calibri" w:eastAsia="宋体" w:cs="Calibri"/>
                <w:bCs/>
                <w:color w:val="000000"/>
                <w:szCs w:val="21"/>
              </w:rPr>
              <w:t>/</w:t>
            </w:r>
            <w:r>
              <w:rPr>
                <w:rFonts w:hint="eastAsia" w:ascii="宋体" w:hAnsi="宋体" w:eastAsia="宋体" w:cs="Courier New"/>
                <w:bCs/>
                <w:color w:val="000000"/>
                <w:szCs w:val="21"/>
              </w:rPr>
              <w:t>最后报价）×</w:t>
            </w:r>
            <w:r>
              <w:rPr>
                <w:rFonts w:ascii="Calibri" w:hAnsi="Calibri" w:eastAsia="宋体" w:cs="Calibri"/>
                <w:bCs/>
                <w:color w:val="000000"/>
                <w:szCs w:val="21"/>
                <w:u w:val="single"/>
              </w:rPr>
              <w:t>30</w:t>
            </w:r>
            <w:r>
              <w:rPr>
                <w:rFonts w:hint="eastAsia" w:ascii="宋体" w:hAnsi="宋体" w:eastAsia="宋体" w:cs="Courier New"/>
                <w:bCs/>
                <w:color w:val="000000"/>
                <w:szCs w:val="21"/>
                <w:u w:val="single"/>
              </w:rPr>
              <w:t>分</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技术方案分</w:t>
            </w:r>
          </w:p>
        </w:tc>
        <w:tc>
          <w:tcPr>
            <w:tcW w:w="6309" w:type="dxa"/>
            <w:vAlign w:val="center"/>
          </w:tcPr>
          <w:p>
            <w:pPr>
              <w:spacing w:line="400" w:lineRule="exact"/>
              <w:rPr>
                <w:rFonts w:ascii="宋体" w:hAnsi="宋体" w:eastAsia="宋体" w:cs="Courier New"/>
                <w:bCs/>
                <w:color w:val="000000"/>
                <w:kern w:val="0"/>
                <w:szCs w:val="21"/>
              </w:rPr>
            </w:pPr>
            <w:r>
              <w:rPr>
                <w:rFonts w:ascii="宋体" w:hAnsi="宋体" w:eastAsia="宋体" w:cs="Courier New"/>
                <w:bCs/>
                <w:color w:val="000000"/>
                <w:kern w:val="0"/>
                <w:szCs w:val="21"/>
              </w:rPr>
              <w:t>2.1 方案设计（</w:t>
            </w:r>
            <w:r>
              <w:rPr>
                <w:rFonts w:hint="eastAsia" w:ascii="宋体" w:hAnsi="宋体" w:eastAsia="宋体" w:cs="Courier New"/>
                <w:bCs/>
                <w:color w:val="000000"/>
                <w:kern w:val="0"/>
                <w:szCs w:val="21"/>
                <w:lang w:val="en-US" w:eastAsia="zh-CN"/>
              </w:rPr>
              <w:t>10</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每项方案设计合理，针对性强、能最大限度的考虑采购人的实</w:t>
            </w:r>
            <w:r>
              <w:rPr>
                <w:rFonts w:ascii="宋体" w:hAnsi="宋体" w:eastAsia="宋体" w:cs="Courier New"/>
                <w:bCs/>
                <w:color w:val="000000"/>
                <w:kern w:val="0"/>
                <w:szCs w:val="21"/>
              </w:rPr>
              <w:t xml:space="preserve"> 际需求和利益的，得</w:t>
            </w:r>
            <w:r>
              <w:rPr>
                <w:rFonts w:hint="eastAsia" w:ascii="宋体" w:hAnsi="宋体" w:eastAsia="宋体" w:cs="Courier New"/>
                <w:bCs/>
                <w:color w:val="000000"/>
                <w:kern w:val="0"/>
                <w:szCs w:val="21"/>
                <w:lang w:val="en-US" w:eastAsia="zh-CN"/>
              </w:rPr>
              <w:t>10</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每项方案设计较合理，有一定的针对性、能考虑采购人的实际</w:t>
            </w:r>
            <w:r>
              <w:rPr>
                <w:rFonts w:ascii="宋体" w:hAnsi="宋体" w:eastAsia="宋体" w:cs="Courier New"/>
                <w:bCs/>
                <w:color w:val="000000"/>
                <w:kern w:val="0"/>
                <w:szCs w:val="21"/>
              </w:rPr>
              <w:t xml:space="preserve"> 需求和利益的，得 </w:t>
            </w:r>
            <w:r>
              <w:rPr>
                <w:rFonts w:hint="eastAsia" w:ascii="宋体" w:hAnsi="宋体" w:eastAsia="宋体" w:cs="Courier New"/>
                <w:bCs/>
                <w:color w:val="000000"/>
                <w:kern w:val="0"/>
                <w:szCs w:val="21"/>
                <w:lang w:val="en-US" w:eastAsia="zh-CN"/>
              </w:rPr>
              <w:t>6</w:t>
            </w:r>
            <w:r>
              <w:rPr>
                <w:rFonts w:ascii="宋体" w:hAnsi="宋体" w:eastAsia="宋体" w:cs="Courier New"/>
                <w:bCs/>
                <w:color w:val="000000"/>
                <w:kern w:val="0"/>
                <w:szCs w:val="21"/>
              </w:rPr>
              <w:t xml:space="preserve">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每项方案设计欠缺合理，未能考虑采购人的实际需求和利益的，</w:t>
            </w:r>
            <w:r>
              <w:rPr>
                <w:rFonts w:ascii="宋体" w:hAnsi="宋体" w:eastAsia="宋体" w:cs="Courier New"/>
                <w:bCs/>
                <w:color w:val="000000"/>
                <w:kern w:val="0"/>
                <w:szCs w:val="21"/>
              </w:rPr>
              <w:t xml:space="preserve"> 得 </w:t>
            </w:r>
            <w:r>
              <w:rPr>
                <w:rFonts w:hint="eastAsia" w:ascii="宋体" w:hAnsi="宋体" w:eastAsia="宋体" w:cs="Courier New"/>
                <w:bCs/>
                <w:color w:val="000000"/>
                <w:kern w:val="0"/>
                <w:szCs w:val="21"/>
                <w:lang w:val="en-US" w:eastAsia="zh-CN"/>
              </w:rPr>
              <w:t>3</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不提供方案设计的不得分。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投标文件技术参数无负偏离且有1个及以上正偏离，得</w:t>
            </w:r>
            <w:r>
              <w:rPr>
                <w:rFonts w:hint="eastAsia" w:ascii="宋体" w:hAnsi="宋体" w:eastAsia="宋体" w:cs="Courier New"/>
                <w:bCs/>
                <w:color w:val="000000"/>
                <w:kern w:val="0"/>
                <w:szCs w:val="21"/>
                <w:lang w:val="en-US" w:eastAsia="zh-CN"/>
              </w:rPr>
              <w:t>25</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投标文件技术参数无正、负偏离，得</w:t>
            </w:r>
            <w:r>
              <w:rPr>
                <w:rFonts w:hint="eastAsia" w:ascii="宋体" w:hAnsi="宋体" w:eastAsia="宋体" w:cs="Courier New"/>
                <w:bCs/>
                <w:color w:val="000000"/>
                <w:kern w:val="0"/>
                <w:szCs w:val="21"/>
                <w:lang w:val="en-US" w:eastAsia="zh-CN"/>
              </w:rPr>
              <w:t>15</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投标文件技术参数有1个负偏离，得</w:t>
            </w:r>
            <w:r>
              <w:rPr>
                <w:rFonts w:hint="eastAsia" w:ascii="宋体" w:hAnsi="宋体" w:eastAsia="宋体" w:cs="Courier New"/>
                <w:bCs/>
                <w:color w:val="000000"/>
                <w:kern w:val="0"/>
                <w:szCs w:val="21"/>
                <w:lang w:val="en-US" w:eastAsia="zh-CN"/>
              </w:rPr>
              <w:t>5</w:t>
            </w:r>
            <w:r>
              <w:rPr>
                <w:rFonts w:hint="eastAsia" w:ascii="宋体" w:hAnsi="宋体" w:eastAsia="宋体" w:cs="Courier New"/>
                <w:bCs/>
                <w:color w:val="000000"/>
                <w:kern w:val="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实施方案分</w:t>
            </w:r>
          </w:p>
        </w:tc>
        <w:tc>
          <w:tcPr>
            <w:tcW w:w="6309" w:type="dxa"/>
            <w:vAlign w:val="center"/>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项目实施方案应包含施工进度计划及保证措施、质量保证计划及保证措施、劳动力计划及保障措施、安全施工计划及保证措施和维保服务承诺：</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一档：实施方案基本齐全，施工计划不合理，保障措施无力得</w:t>
            </w:r>
            <w:r>
              <w:rPr>
                <w:rFonts w:hint="eastAsia" w:ascii="宋体" w:hAnsi="宋体" w:eastAsia="宋体" w:cs="Courier New"/>
                <w:bCs/>
                <w:color w:val="000000"/>
                <w:szCs w:val="21"/>
                <w:lang w:val="en-US" w:eastAsia="zh-CN"/>
              </w:rPr>
              <w:t>3</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二档：实施方案内容齐全，各项计划基本合理得</w:t>
            </w:r>
            <w:r>
              <w:rPr>
                <w:rFonts w:hint="eastAsia" w:ascii="宋体" w:hAnsi="宋体" w:eastAsia="宋体" w:cs="Courier New"/>
                <w:bCs/>
                <w:color w:val="000000"/>
                <w:szCs w:val="21"/>
                <w:lang w:val="en-US" w:eastAsia="zh-CN"/>
              </w:rPr>
              <w:t>6</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三挡：实施方案内容齐全，各项计划合理、保障措施有力得</w:t>
            </w:r>
            <w:r>
              <w:rPr>
                <w:rFonts w:hint="eastAsia" w:ascii="宋体" w:hAnsi="宋体" w:eastAsia="宋体" w:cs="Courier New"/>
                <w:bCs/>
                <w:color w:val="000000"/>
                <w:szCs w:val="21"/>
                <w:lang w:val="en-US" w:eastAsia="zh-CN"/>
              </w:rPr>
              <w:t>10</w:t>
            </w:r>
            <w:r>
              <w:rPr>
                <w:rFonts w:hint="eastAsia" w:ascii="宋体" w:hAnsi="宋体" w:eastAsia="宋体" w:cs="Courier New"/>
                <w:bCs/>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autoSpaceDE w:val="0"/>
              <w:autoSpaceDN w:val="0"/>
              <w:spacing w:line="440" w:lineRule="exact"/>
              <w:rPr>
                <w:rFonts w:ascii="宋体" w:hAnsi="宋体" w:eastAsia="宋体" w:cs="仿宋"/>
                <w:szCs w:val="21"/>
              </w:rPr>
            </w:pPr>
            <w:r>
              <w:rPr>
                <w:rFonts w:hint="eastAsia" w:ascii="宋体" w:hAnsi="宋体" w:eastAsia="宋体" w:cs="仿宋"/>
                <w:szCs w:val="21"/>
              </w:rPr>
              <w:t>1</w:t>
            </w:r>
            <w:r>
              <w:rPr>
                <w:rFonts w:ascii="宋体" w:hAnsi="宋体" w:eastAsia="宋体" w:cs="仿宋"/>
                <w:szCs w:val="21"/>
              </w:rPr>
              <w:t>.</w:t>
            </w:r>
            <w:r>
              <w:rPr>
                <w:rFonts w:hint="eastAsia" w:ascii="宋体" w:hAnsi="宋体" w:eastAsia="宋体" w:cs="仿宋"/>
                <w:szCs w:val="21"/>
              </w:rPr>
              <w:t>是否有完整的售后服务方案，是否承诺提供稳定的售后服务队伍包括但不限于售后服务机构、承诺、措施、流程、应急响应等内容。</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一档（</w:t>
            </w:r>
            <w:r>
              <w:rPr>
                <w:rFonts w:hint="eastAsia" w:ascii="宋体" w:hAnsi="宋体" w:eastAsia="宋体" w:cs="仿宋"/>
                <w:szCs w:val="21"/>
                <w:lang w:val="en-US" w:eastAsia="zh-CN"/>
              </w:rPr>
              <w:t>3</w:t>
            </w:r>
            <w:r>
              <w:rPr>
                <w:rFonts w:hint="eastAsia" w:ascii="宋体" w:hAnsi="宋体" w:eastAsia="宋体" w:cs="仿宋"/>
                <w:szCs w:val="21"/>
              </w:rPr>
              <w:t>分）：其方案内容一般、有售后服务机构、流程有欠缺、方案有欠缺；</w:t>
            </w:r>
          </w:p>
          <w:p>
            <w:pPr>
              <w:autoSpaceDE w:val="0"/>
              <w:autoSpaceDN w:val="0"/>
              <w:spacing w:line="440" w:lineRule="exact"/>
              <w:rPr>
                <w:rFonts w:ascii="宋体" w:hAnsi="宋体" w:eastAsia="宋体" w:cs="仿宋"/>
                <w:szCs w:val="21"/>
              </w:rPr>
            </w:pPr>
            <w:r>
              <w:rPr>
                <w:rFonts w:hint="eastAsia" w:ascii="宋体" w:hAnsi="宋体" w:eastAsia="宋体" w:cs="仿宋"/>
                <w:szCs w:val="21"/>
              </w:rPr>
              <w:t>二档（</w:t>
            </w:r>
            <w:r>
              <w:rPr>
                <w:rFonts w:hint="eastAsia" w:ascii="宋体" w:hAnsi="宋体" w:eastAsia="宋体" w:cs="仿宋"/>
                <w:szCs w:val="21"/>
                <w:lang w:val="en-US" w:eastAsia="zh-CN"/>
              </w:rPr>
              <w:t>6</w:t>
            </w:r>
            <w:r>
              <w:rPr>
                <w:rFonts w:hint="eastAsia" w:ascii="宋体" w:hAnsi="宋体" w:eastAsia="宋体" w:cs="仿宋"/>
                <w:szCs w:val="21"/>
              </w:rPr>
              <w:t>分）：其方案内容部分完整、能提供快速的售后服务响应，并针对本项目提供专门的售后服务技术支持、服务保障方案及应急预案，方案良好；</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三档（</w:t>
            </w:r>
            <w:r>
              <w:rPr>
                <w:rFonts w:hint="eastAsia" w:ascii="宋体" w:hAnsi="宋体" w:eastAsia="宋体" w:cs="仿宋"/>
                <w:szCs w:val="21"/>
                <w:lang w:val="en-US" w:eastAsia="zh-CN"/>
              </w:rPr>
              <w:t>10</w:t>
            </w:r>
            <w:r>
              <w:rPr>
                <w:rFonts w:hint="eastAsia" w:ascii="宋体" w:hAnsi="宋体" w:eastAsia="宋体" w:cs="仿宋"/>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p>
            <w:pPr>
              <w:autoSpaceDE w:val="0"/>
              <w:autoSpaceDN w:val="0"/>
              <w:spacing w:line="440" w:lineRule="exact"/>
              <w:rPr>
                <w:rFonts w:ascii="宋体" w:hAnsi="宋体" w:eastAsia="宋体" w:cs="仿宋"/>
                <w:szCs w:val="21"/>
              </w:rPr>
            </w:pPr>
            <w:r>
              <w:rPr>
                <w:rFonts w:hint="eastAsia" w:ascii="宋体" w:hAnsi="宋体" w:eastAsia="宋体" w:cs="仿宋"/>
                <w:szCs w:val="21"/>
              </w:rPr>
              <w:t>2</w:t>
            </w:r>
            <w:r>
              <w:rPr>
                <w:rFonts w:ascii="宋体" w:hAnsi="宋体" w:eastAsia="宋体" w:cs="仿宋"/>
                <w:szCs w:val="21"/>
              </w:rPr>
              <w:t>.</w:t>
            </w:r>
            <w:r>
              <w:rPr>
                <w:rFonts w:hint="eastAsia" w:ascii="宋体" w:hAnsi="宋体" w:eastAsia="宋体" w:cs="仿宋"/>
                <w:szCs w:val="21"/>
              </w:rPr>
              <w:t>开放全部软件源代码，得2分。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hint="eastAsia" w:ascii="宋体" w:hAnsi="宋体" w:eastAsia="宋体" w:cs="Arial"/>
                <w:szCs w:val="21"/>
                <w:lang w:val="en-US" w:eastAsia="zh-CN"/>
              </w:rPr>
              <w:t>20</w:t>
            </w:r>
            <w:r>
              <w:rPr>
                <w:rFonts w:hint="eastAsia" w:ascii="宋体" w:hAnsi="宋体" w:eastAsia="宋体" w:cs="Arial"/>
                <w:szCs w:val="21"/>
              </w:rPr>
              <w:t>年</w:t>
            </w:r>
            <w:r>
              <w:rPr>
                <w:rFonts w:hint="eastAsia" w:ascii="宋体" w:hAnsi="宋体" w:eastAsia="宋体" w:cs="Arial"/>
                <w:szCs w:val="21"/>
                <w:lang w:val="en-US" w:eastAsia="zh-CN"/>
              </w:rPr>
              <w:t>6</w:t>
            </w:r>
            <w:r>
              <w:rPr>
                <w:rFonts w:hint="eastAsia" w:ascii="宋体" w:hAnsi="宋体" w:eastAsia="宋体" w:cs="Arial"/>
                <w:szCs w:val="21"/>
              </w:rPr>
              <w:t>月1日以来具有同类服务项目的销售业绩的，每项得</w:t>
            </w:r>
            <w:r>
              <w:rPr>
                <w:rFonts w:ascii="宋体" w:hAnsi="宋体" w:eastAsia="宋体" w:cs="Arial"/>
                <w:szCs w:val="21"/>
              </w:rPr>
              <w:t>1</w:t>
            </w:r>
            <w:r>
              <w:rPr>
                <w:rFonts w:hint="eastAsia" w:ascii="宋体" w:hAnsi="宋体" w:eastAsia="宋体" w:cs="Arial"/>
                <w:szCs w:val="21"/>
              </w:rPr>
              <w:t>分。（以响应文件中提供</w:t>
            </w:r>
            <w:r>
              <w:rPr>
                <w:rFonts w:ascii="宋体" w:hAnsi="宋体" w:eastAsia="宋体" w:cs="Arial"/>
                <w:szCs w:val="21"/>
              </w:rPr>
              <w:t>提供合同复印件作为证明材料，不提供不得分。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（1）具有系统实施、系统维护、服务支持的服务人员队伍，服务团队不低于3人，以202</w:t>
            </w:r>
            <w:r>
              <w:rPr>
                <w:rFonts w:hint="eastAsia" w:ascii="宋体" w:hAnsi="宋体" w:eastAsia="宋体" w:cs="Arial"/>
                <w:szCs w:val="21"/>
                <w:lang w:val="en-US" w:eastAsia="zh-CN"/>
              </w:rPr>
              <w:t>2</w:t>
            </w:r>
            <w:r>
              <w:rPr>
                <w:rFonts w:hint="eastAsia" w:ascii="宋体" w:hAnsi="宋体" w:eastAsia="宋体" w:cs="Arial"/>
                <w:szCs w:val="21"/>
              </w:rPr>
              <w:t>年</w:t>
            </w:r>
            <w:r>
              <w:rPr>
                <w:rFonts w:ascii="宋体" w:hAnsi="宋体" w:eastAsia="宋体" w:cs="Arial"/>
                <w:szCs w:val="21"/>
              </w:rPr>
              <w:t>6</w:t>
            </w:r>
            <w:r>
              <w:rPr>
                <w:rFonts w:hint="eastAsia" w:ascii="宋体" w:hAnsi="宋体" w:eastAsia="宋体" w:cs="Arial"/>
                <w:szCs w:val="21"/>
              </w:rPr>
              <w:t>月至今任意三个月供应商为技术人员缴纳社保的证明材料复印件并加盖供应商公章为准，无社保证明不得分； 满足条件的服务人数每增加1人得1分，满分</w:t>
            </w:r>
            <w:r>
              <w:rPr>
                <w:rFonts w:hint="eastAsia" w:ascii="宋体" w:hAnsi="宋体" w:eastAsia="宋体" w:cs="Arial"/>
                <w:szCs w:val="21"/>
                <w:lang w:val="en-US" w:eastAsia="zh-CN"/>
              </w:rPr>
              <w:t>3</w:t>
            </w:r>
            <w:r>
              <w:rPr>
                <w:rFonts w:hint="eastAsia" w:ascii="宋体" w:hAnsi="宋体" w:eastAsia="宋体" w:cs="Arial"/>
                <w:szCs w:val="21"/>
              </w:rPr>
              <w:t>分；</w:t>
            </w:r>
          </w:p>
          <w:p>
            <w:pPr>
              <w:rPr>
                <w:rFonts w:ascii="宋体" w:hAnsi="宋体" w:eastAsia="宋体" w:cs="Arial"/>
                <w:szCs w:val="21"/>
              </w:rPr>
            </w:pPr>
            <w:r>
              <w:rPr>
                <w:rFonts w:hint="eastAsia" w:ascii="宋体" w:hAnsi="宋体" w:eastAsia="宋体" w:cs="Arial"/>
                <w:szCs w:val="21"/>
              </w:rPr>
              <w:t>（2）供应商通过ISO9001质量体系认证的得2分（响应文件中提供证书复印件）；</w:t>
            </w:r>
          </w:p>
          <w:p>
            <w:pPr>
              <w:rPr>
                <w:rFonts w:ascii="宋体" w:hAnsi="宋体" w:eastAsia="宋体" w:cs="Arial"/>
                <w:szCs w:val="21"/>
              </w:rPr>
            </w:pPr>
            <w:r>
              <w:rPr>
                <w:rFonts w:hint="eastAsia" w:ascii="宋体" w:hAnsi="宋体" w:eastAsia="宋体" w:cs="Arial"/>
                <w:szCs w:val="21"/>
              </w:rPr>
              <w:t>（3）供应商具有自主知识产权的计算机软件著作权登记证书，得</w:t>
            </w:r>
            <w:r>
              <w:rPr>
                <w:rFonts w:ascii="宋体" w:hAnsi="宋体" w:eastAsia="宋体" w:cs="Arial"/>
                <w:szCs w:val="21"/>
              </w:rPr>
              <w:t xml:space="preserve"> 1 分</w:t>
            </w:r>
            <w:r>
              <w:rPr>
                <w:rFonts w:hint="eastAsia" w:ascii="宋体" w:hAnsi="宋体" w:eastAsia="宋体" w:cs="Arial"/>
                <w:szCs w:val="21"/>
              </w:rPr>
              <w:t>（响应文件中提供证书复印件）；</w:t>
            </w:r>
          </w:p>
          <w:p>
            <w:pPr>
              <w:rPr>
                <w:rFonts w:ascii="宋体" w:hAnsi="宋体" w:eastAsia="宋体" w:cs="Arial"/>
                <w:szCs w:val="21"/>
              </w:rPr>
            </w:pPr>
            <w:r>
              <w:rPr>
                <w:rFonts w:hint="eastAsia" w:ascii="宋体" w:hAnsi="宋体" w:eastAsia="宋体" w:cs="Arial"/>
                <w:szCs w:val="21"/>
              </w:rPr>
              <w:t>（4）供应商具有商务诚信等级评价证书，得</w:t>
            </w:r>
            <w:r>
              <w:rPr>
                <w:rFonts w:ascii="宋体" w:hAnsi="宋体" w:eastAsia="宋体" w:cs="Arial"/>
                <w:szCs w:val="21"/>
              </w:rPr>
              <w:t xml:space="preserve"> 1 分</w:t>
            </w:r>
            <w:r>
              <w:rPr>
                <w:rFonts w:hint="eastAsia" w:ascii="宋体" w:hAnsi="宋体" w:eastAsia="宋体" w:cs="Arial"/>
                <w:szCs w:val="21"/>
              </w:rPr>
              <w:t>（响应文件中提供证书复印件）；</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hint="eastAsia"/>
          <w:lang w:val="en-US" w:eastAsia="zh-CN"/>
        </w:rPr>
      </w:pPr>
    </w:p>
    <w:p>
      <w:pPr>
        <w:pStyle w:val="2"/>
        <w:rPr>
          <w:rFonts w:hint="eastAsia"/>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bookmarkStart w:id="27" w:name="_GoBack"/>
      <w:bookmarkEnd w:id="27"/>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1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1"/>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hint="eastAsia"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无串通竞标行为的承诺函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宋体" w:hAnsi="宋体" w:cs="宋体"/>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一、我方承诺无下列相互串通竞标的情形：</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1.不同供应商的响应文件由同一单位或者个人编制； </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2.不同供应商委托同一单位或者个人办理竞标事宜；</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3.不同供应商的响应文件载明的项目管理员为同一个人；</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4.不同供应商的响应文件异常一致或者竞标报价呈规律性差异；</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5.不同供应商的响应文件相互混装；</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6.不同供应商的磋商保证金从同一单位或者个人账户转出。</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二、我方承诺无下列恶意串通的情形：</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1.供应商直接或者间接从采购人或者采购代理机构处获得其他供应商的相关信息并修改其响应文件；</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2.供应商按照采购人或者采购代理机构的授意撤换、修改响应文件；</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3.供应商之间协商报价、技术方案等响应文件的实质性内容；</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4.属于同一集团、协会、商会等组织成员的供应商按照该组织要求协同参加采购活动；</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5.供应商之间事先约定一致抬高或者压低竞标报价，或者在竞争性磋商项目中事先约定轮流以高价位或者低价位成交，或者事先约定由某一特定供应商成交，然后再参加竞标；</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6.供应商之间商定部分供应商放弃参加采购活动或者放弃成交；</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7.供应商与采购人或者采购代理机构之间、供应商相互之间，为谋求特定供应商成交或者排斥其他供应商的其他串通行为。</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以上情形一经核查属实，我方愿意承担一切后果，并不再寻求任何旨在减轻或者免除法律责任的辩解。</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autoSpaceDE w:val="0"/>
        <w:autoSpaceDN w:val="0"/>
        <w:spacing w:line="300" w:lineRule="auto"/>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snapToGrid w:val="0"/>
        <w:jc w:val="center"/>
        <w:rPr>
          <w:rFonts w:hint="eastAsia" w:ascii="宋体" w:hAnsi="宋体" w:cs="宋体"/>
          <w:b/>
          <w:sz w:val="28"/>
          <w:szCs w:val="28"/>
        </w:rPr>
      </w:pPr>
    </w:p>
    <w:p>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供应商直接管理关系信息表</w:t>
      </w:r>
    </w:p>
    <w:p>
      <w:pPr>
        <w:snapToGrid w:val="0"/>
        <w:spacing w:line="360" w:lineRule="auto"/>
        <w:jc w:val="center"/>
        <w:rPr>
          <w:rFonts w:hint="eastAsia" w:ascii="宋体" w:hAnsi="宋体" w:cs="宋体"/>
          <w:b/>
          <w:sz w:val="24"/>
        </w:rPr>
      </w:pPr>
    </w:p>
    <w:tbl>
      <w:tblPr>
        <w:tblStyle w:val="1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jc w:val="both"/>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bl>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注：</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1.管理关系：是指不具有出资持股关系的其他单位之间存在的管理与被管理关系，如一些上下级关系的事业单位和团体组织。</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2.本表所指的管理关系仅限于直接管理关系，不包括间接的管理关系。</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3.供应商不存在直接管理关系的，则填“无”。</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p>
    <w:p>
      <w:pPr>
        <w:spacing w:line="520" w:lineRule="exact"/>
        <w:rPr>
          <w:rFonts w:hint="eastAsia" w:ascii="仿宋_GB2312" w:hAnsi="Calibri" w:eastAsia="仿宋_GB2312" w:cs="Calibri"/>
          <w:color w:val="000000"/>
          <w:sz w:val="32"/>
          <w:szCs w:val="32"/>
        </w:rPr>
      </w:pP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法定代表人或者委托代理人签字：               </w:t>
      </w: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ind w:firstLine="640" w:firstLineChars="200"/>
        <w:rPr>
          <w:rFonts w:hint="eastAsia" w:ascii="仿宋_GB2312" w:hAnsi="Calibri" w:eastAsia="仿宋_GB2312" w:cs="Calibri"/>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D9F2A"/>
    <w:multiLevelType w:val="singleLevel"/>
    <w:tmpl w:val="854D9F2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66A6A"/>
    <w:rsid w:val="00B80DE8"/>
    <w:rsid w:val="00BA72C3"/>
    <w:rsid w:val="00BA798B"/>
    <w:rsid w:val="00BE6561"/>
    <w:rsid w:val="00BF0177"/>
    <w:rsid w:val="00C02C01"/>
    <w:rsid w:val="00C21E58"/>
    <w:rsid w:val="00C36592"/>
    <w:rsid w:val="00C7251A"/>
    <w:rsid w:val="00C87E3C"/>
    <w:rsid w:val="00CB3325"/>
    <w:rsid w:val="00CC28C7"/>
    <w:rsid w:val="00CE36F2"/>
    <w:rsid w:val="00D068D6"/>
    <w:rsid w:val="00D346A0"/>
    <w:rsid w:val="00D4283D"/>
    <w:rsid w:val="00D505E4"/>
    <w:rsid w:val="00D63FF1"/>
    <w:rsid w:val="00D84C7E"/>
    <w:rsid w:val="00DC2664"/>
    <w:rsid w:val="00DE5045"/>
    <w:rsid w:val="00DE59C3"/>
    <w:rsid w:val="00DE69C9"/>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A0D28"/>
    <w:rsid w:val="00FB3B21"/>
    <w:rsid w:val="00FE3298"/>
    <w:rsid w:val="01C03AC7"/>
    <w:rsid w:val="02AB7794"/>
    <w:rsid w:val="038A57B0"/>
    <w:rsid w:val="07983A0B"/>
    <w:rsid w:val="1780180B"/>
    <w:rsid w:val="1AB97848"/>
    <w:rsid w:val="2F9230FC"/>
    <w:rsid w:val="43D33022"/>
    <w:rsid w:val="443B6D2B"/>
    <w:rsid w:val="4A1C2405"/>
    <w:rsid w:val="50C05D1E"/>
    <w:rsid w:val="51A33D57"/>
    <w:rsid w:val="54A621F2"/>
    <w:rsid w:val="62B23F51"/>
    <w:rsid w:val="653E0E59"/>
    <w:rsid w:val="69A87B4B"/>
    <w:rsid w:val="74A40537"/>
    <w:rsid w:val="75963F57"/>
    <w:rsid w:val="7AE02CE9"/>
    <w:rsid w:val="7BBC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4">
    <w:name w:val="annotation text"/>
    <w:basedOn w:val="1"/>
    <w:qFormat/>
    <w:uiPriority w:val="99"/>
    <w:pPr>
      <w:jc w:val="left"/>
    </w:pPr>
  </w:style>
  <w:style w:type="paragraph" w:styleId="5">
    <w:name w:val="Body Text"/>
    <w:basedOn w:val="1"/>
    <w:next w:val="1"/>
    <w:qFormat/>
    <w:uiPriority w:val="99"/>
    <w:pPr>
      <w:adjustRightInd w:val="0"/>
      <w:snapToGrid w:val="0"/>
      <w:spacing w:line="336" w:lineRule="auto"/>
      <w:jc w:val="center"/>
    </w:pPr>
    <w:rPr>
      <w:kern w:val="0"/>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Date"/>
    <w:basedOn w:val="1"/>
    <w:next w:val="1"/>
    <w:link w:val="16"/>
    <w:semiHidden/>
    <w:unhideWhenUsed/>
    <w:qFormat/>
    <w:uiPriority w:val="99"/>
    <w:pPr>
      <w:ind w:left="100" w:leftChars="2500"/>
    </w:p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6"/>
    <w:qFormat/>
    <w:uiPriority w:val="99"/>
    <w:pPr>
      <w:tabs>
        <w:tab w:val="left" w:pos="8280"/>
      </w:tabs>
      <w:spacing w:line="360" w:lineRule="auto"/>
      <w:ind w:left="200" w:firstLine="200" w:firstLineChars="200"/>
    </w:pPr>
    <w:rPr>
      <w:rFonts w:ascii="Times New Roman" w:eastAsia="仿宋_GB2312"/>
      <w:sz w:val="24"/>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3"/>
    <w:link w:val="8"/>
    <w:qFormat/>
    <w:uiPriority w:val="99"/>
    <w:rPr>
      <w:sz w:val="18"/>
      <w:szCs w:val="18"/>
    </w:rPr>
  </w:style>
  <w:style w:type="character" w:customStyle="1" w:styleId="15">
    <w:name w:val="页脚 字符"/>
    <w:basedOn w:val="13"/>
    <w:link w:val="2"/>
    <w:qFormat/>
    <w:uiPriority w:val="99"/>
    <w:rPr>
      <w:sz w:val="18"/>
      <w:szCs w:val="18"/>
    </w:rPr>
  </w:style>
  <w:style w:type="character" w:customStyle="1" w:styleId="16">
    <w:name w:val="日期 字符"/>
    <w:basedOn w:val="13"/>
    <w:link w:val="7"/>
    <w:semiHidden/>
    <w:qFormat/>
    <w:uiPriority w:val="99"/>
  </w:style>
  <w:style w:type="character" w:customStyle="1" w:styleId="17">
    <w:name w:val="标题 2 字符"/>
    <w:basedOn w:val="13"/>
    <w:link w:val="3"/>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29158</Words>
  <Characters>30003</Characters>
  <Lines>193</Lines>
  <Paragraphs>54</Paragraphs>
  <TotalTime>15</TotalTime>
  <ScaleCrop>false</ScaleCrop>
  <LinksUpToDate>false</LinksUpToDate>
  <CharactersWithSpaces>31950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2022-05-16T07:21:00Z</cp:lastPrinted>
  <dcterms:modified xsi:type="dcterms:W3CDTF">2023-07-24T07:54:53Z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C812E5A5E5E14A3FBF76BBBFCC4085E5_13</vt:lpwstr>
  </property>
</Properties>
</file>