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61" w:leftChars="704" w:hanging="1683" w:hangingChars="52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人力资源管理系统</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GXGSYY-CGB-XXWLZX-2023-0</w:t>
      </w:r>
      <w:r>
        <w:rPr>
          <w:rFonts w:hint="eastAsia" w:ascii="仿宋_GB2312" w:hAnsi="宋体" w:eastAsia="仿宋_GB2312" w:cs="Times New Roman"/>
          <w:b/>
          <w:color w:val="000000"/>
          <w:sz w:val="32"/>
          <w:szCs w:val="32"/>
          <w:highlight w:val="none"/>
          <w:lang w:val="en-US" w:eastAsia="zh-CN"/>
        </w:rPr>
        <w:t>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35393798"/>
      <w:bookmarkStart w:id="2" w:name="_Toc44229878"/>
      <w:bookmarkStart w:id="3" w:name="_Toc28359012"/>
      <w:bookmarkStart w:id="4" w:name="_Toc28359089"/>
      <w:bookmarkStart w:id="5" w:name="_Toc47452205"/>
      <w:bookmarkStart w:id="6" w:name="_Toc35393629"/>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GXGSYY-CGB-XXWLZX-2023-0</w:t>
      </w:r>
      <w:r>
        <w:rPr>
          <w:rFonts w:hint="eastAsia" w:ascii="宋体" w:hAnsi="宋体" w:eastAsia="宋体" w:cs="Times New Roman"/>
          <w:color w:val="000000"/>
          <w:szCs w:val="21"/>
          <w:highlight w:val="none"/>
          <w:lang w:val="en-US" w:eastAsia="zh-CN"/>
        </w:rPr>
        <w:t>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项目名称：广西骨伤医院人力资源管理系统采购项目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采购上控价</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30万元</w:t>
      </w:r>
      <w:r>
        <w:rPr>
          <w:rFonts w:hint="eastAsia" w:ascii="宋体" w:hAnsi="宋体" w:eastAsia="宋体" w:cs="Times New Roman"/>
          <w:color w:val="000000"/>
          <w:szCs w:val="21"/>
        </w:rPr>
        <w:t>。</w:t>
      </w:r>
      <w:bookmarkStart w:id="7" w:name="_Toc35393799"/>
      <w:bookmarkStart w:id="8" w:name="_Toc47452206"/>
      <w:bookmarkStart w:id="9" w:name="_Toc35393630"/>
      <w:bookmarkStart w:id="10" w:name="_Toc28359090"/>
      <w:bookmarkStart w:id="11" w:name="_Toc44229879"/>
      <w:bookmarkStart w:id="12" w:name="_Toc28359013"/>
    </w:p>
    <w:p>
      <w:pPr>
        <w:spacing w:line="320" w:lineRule="exact"/>
        <w:ind w:firstLine="420" w:firstLineChars="200"/>
        <w:rPr>
          <w:rFonts w:hint="eastAsia" w:ascii="宋体" w:hAnsi="宋体" w:eastAsia="宋体" w:cs="Times New Roman"/>
          <w:b/>
          <w:bCs/>
          <w:color w:val="000000"/>
          <w:szCs w:val="21"/>
          <w:lang w:val="en-US" w:eastAsia="zh-CN"/>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p>
      <w:pPr>
        <w:pStyle w:val="2"/>
        <w:rPr>
          <w:rFonts w:hint="eastAsia" w:ascii="宋体" w:hAnsi="宋体" w:eastAsia="宋体" w:cs="Times New Roman"/>
          <w:b/>
          <w:bCs/>
          <w:color w:val="000000"/>
          <w:szCs w:val="21"/>
          <w:lang w:val="en-US"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rPr>
              <w:t>人力资源管理系统</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pStyle w:val="4"/>
              <w:keepNext w:val="0"/>
              <w:keepLines w:val="0"/>
              <w:pageBreakBefore w:val="0"/>
              <w:numPr>
                <w:ilvl w:val="0"/>
                <w:numId w:val="0"/>
              </w:numPr>
              <w:kinsoku/>
              <w:wordWrap/>
              <w:overflowPunct/>
              <w:topLinePunct w:val="0"/>
              <w:autoSpaceDE/>
              <w:autoSpaceDN/>
              <w:bidi w:val="0"/>
              <w:spacing w:line="24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一、</w:t>
            </w:r>
            <w:r>
              <w:rPr>
                <w:rFonts w:hint="eastAsia" w:ascii="宋体" w:hAnsi="宋体" w:eastAsia="宋体" w:cs="宋体"/>
                <w:b/>
                <w:bCs/>
                <w:sz w:val="21"/>
                <w:szCs w:val="21"/>
                <w:lang w:val="en-US" w:eastAsia="zh-CN"/>
              </w:rPr>
              <w:t>项目建设目标</w:t>
            </w:r>
          </w:p>
          <w:p>
            <w:pPr>
              <w:pStyle w:val="4"/>
              <w:keepNext w:val="0"/>
              <w:keepLines w:val="0"/>
              <w:pageBreakBefore w:val="0"/>
              <w:numPr>
                <w:ilvl w:val="0"/>
                <w:numId w:val="0"/>
              </w:numPr>
              <w:kinsoku/>
              <w:wordWrap/>
              <w:overflowPunct/>
              <w:topLinePunct w:val="0"/>
              <w:autoSpaceDE/>
              <w:autoSpaceDN/>
              <w:bidi w:val="0"/>
              <w:spacing w:line="240" w:lineRule="exact"/>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kern w:val="0"/>
                <w:sz w:val="21"/>
                <w:szCs w:val="21"/>
                <w:lang w:val="en-US" w:eastAsia="zh-CN" w:bidi="ar"/>
              </w:rPr>
              <w:t>通过人力资源管理系统的建设，使人事管理人员进一步提高工作效率，并把先进的人事管理理念和工作实际结合起来，以此落实医院人事管理战略，提高管理精细化水平，提高工作效率，实现人事管理工作的规范化、系统化、流程化，为单位领导提供基于信息的决策支持。</w:t>
            </w:r>
          </w:p>
          <w:p>
            <w:pPr>
              <w:pStyle w:val="4"/>
              <w:keepNext w:val="0"/>
              <w:keepLines w:val="0"/>
              <w:pageBreakBefore w:val="0"/>
              <w:numPr>
                <w:ilvl w:val="0"/>
                <w:numId w:val="0"/>
              </w:numPr>
              <w:kinsoku/>
              <w:wordWrap/>
              <w:overflowPunct/>
              <w:topLinePunct w:val="0"/>
              <w:autoSpaceDE/>
              <w:autoSpaceDN/>
              <w:bidi w:val="0"/>
              <w:spacing w:line="24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二、</w:t>
            </w:r>
            <w:r>
              <w:rPr>
                <w:rFonts w:hint="eastAsia" w:ascii="宋体" w:hAnsi="宋体" w:eastAsia="宋体" w:cs="宋体"/>
                <w:b/>
                <w:bCs/>
                <w:sz w:val="21"/>
                <w:szCs w:val="21"/>
                <w:lang w:val="en-US" w:eastAsia="zh-CN"/>
              </w:rPr>
              <w:t>具体需求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1、</w:t>
            </w:r>
            <w:r>
              <w:rPr>
                <w:rFonts w:hint="eastAsia" w:ascii="宋体" w:hAnsi="宋体" w:eastAsia="宋体" w:cs="宋体"/>
                <w:b/>
                <w:bCs/>
                <w:sz w:val="21"/>
                <w:szCs w:val="21"/>
                <w:lang w:val="en-US" w:eastAsia="zh-CN"/>
              </w:rPr>
              <w:t>组织架构</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firstLine="420" w:firstLineChars="200"/>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多种层次组织结构设计模式医院组织架构管理，实现组织机构、编制管理、岗位管理、人员信息、事务审批流程的协同。支持分支机构管理，能够对组织、科室、部门等进行新增、修改、撤销等操作，并支持临时医疗组织设立，可从现有组织架构中直接抽调人员成立临时组织。</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pStyle w:val="2"/>
        <w:rPr>
          <w:rFonts w:hint="default" w:ascii="宋体" w:hAnsi="宋体" w:eastAsia="宋体" w:cs="Times New Roman"/>
          <w:b/>
          <w:bCs/>
          <w:color w:val="000000"/>
          <w:szCs w:val="21"/>
          <w:lang w:val="en-US" w:eastAsia="zh-CN"/>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7</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24</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日18时00分（北京时间）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1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6</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6</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广西骨伤医院人力资源管理系统采购项目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pStyle w:val="2"/>
        <w:rPr>
          <w:rFonts w:hint="eastAsia"/>
        </w:rPr>
      </w:pPr>
    </w:p>
    <w:p>
      <w:pPr>
        <w:pStyle w:val="2"/>
        <w:rPr>
          <w:rFonts w:hint="default" w:ascii="宋体" w:hAnsi="宋体" w:eastAsia="宋体" w:cs="Times New Roman"/>
          <w:b/>
          <w:bCs/>
          <w:szCs w:val="21"/>
          <w:lang w:val="en-US" w:eastAsia="zh-CN"/>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auto"/>
                <w:szCs w:val="21"/>
              </w:rPr>
            </w:pPr>
            <w:r>
              <w:rPr>
                <w:rFonts w:hint="eastAsia" w:ascii="宋体" w:hAnsi="宋体" w:eastAsia="宋体" w:cs="宋体"/>
                <w:color w:val="auto"/>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auto"/>
                <w:szCs w:val="21"/>
              </w:rPr>
            </w:pPr>
            <w:r>
              <w:rPr>
                <w:rFonts w:hint="eastAsia" w:ascii="宋体" w:hAnsi="宋体" w:eastAsia="宋体" w:cs="宋体"/>
                <w:color w:val="auto"/>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auto"/>
                <w:szCs w:val="21"/>
              </w:rPr>
            </w:pPr>
            <w:r>
              <w:rPr>
                <w:rFonts w:hint="eastAsia" w:ascii="宋体" w:hAnsi="宋体" w:eastAsia="宋体" w:cs="宋体"/>
                <w:color w:val="auto"/>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auto"/>
                <w:szCs w:val="21"/>
              </w:rPr>
            </w:pPr>
            <w:r>
              <w:rPr>
                <w:rFonts w:hint="eastAsia" w:ascii="宋体" w:hAnsi="宋体" w:eastAsia="宋体" w:cs="宋体"/>
                <w:color w:val="auto"/>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jc w:val="left"/>
              <w:rPr>
                <w:rFonts w:ascii="宋体" w:hAnsi="宋体" w:eastAsia="宋体" w:cs="宋体"/>
                <w:color w:val="auto"/>
                <w:szCs w:val="21"/>
              </w:rPr>
            </w:pPr>
            <w:r>
              <w:rPr>
                <w:rFonts w:hint="eastAsia" w:ascii="宋体" w:hAnsi="宋体" w:eastAsia="宋体" w:cs="Times New Roman"/>
                <w:color w:val="auto"/>
                <w:szCs w:val="21"/>
              </w:rPr>
              <w:t>人力资源管理系统</w:t>
            </w:r>
          </w:p>
        </w:tc>
        <w:tc>
          <w:tcPr>
            <w:tcW w:w="993" w:type="dxa"/>
          </w:tcPr>
          <w:p>
            <w:pPr>
              <w:tabs>
                <w:tab w:val="left" w:pos="180"/>
                <w:tab w:val="left" w:pos="1620"/>
              </w:tabs>
              <w:spacing w:line="440" w:lineRule="exact"/>
              <w:jc w:val="center"/>
              <w:rPr>
                <w:rFonts w:ascii="宋体" w:hAnsi="宋体" w:eastAsia="宋体" w:cs="宋体"/>
                <w:color w:val="auto"/>
                <w:szCs w:val="21"/>
              </w:rPr>
            </w:pPr>
            <w:r>
              <w:rPr>
                <w:rFonts w:hint="eastAsia" w:ascii="宋体" w:hAnsi="宋体" w:eastAsia="宋体" w:cs="宋体"/>
                <w:color w:val="auto"/>
                <w:szCs w:val="21"/>
              </w:rPr>
              <w:t>1项</w:t>
            </w:r>
          </w:p>
        </w:tc>
        <w:tc>
          <w:tcPr>
            <w:tcW w:w="6022" w:type="dxa"/>
          </w:tcPr>
          <w:p>
            <w:pPr>
              <w:pStyle w:val="4"/>
              <w:keepNext w:val="0"/>
              <w:keepLines w:val="0"/>
              <w:pageBreakBefore w:val="0"/>
              <w:numPr>
                <w:ilvl w:val="0"/>
                <w:numId w:val="0"/>
              </w:numPr>
              <w:kinsoku/>
              <w:wordWrap/>
              <w:overflowPunct/>
              <w:topLinePunct w:val="0"/>
              <w:autoSpaceDE/>
              <w:autoSpaceDN/>
              <w:bidi w:val="0"/>
              <w:spacing w:line="240" w:lineRule="exac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2"/>
                <w:sz w:val="21"/>
                <w:szCs w:val="21"/>
                <w:lang w:val="en-US" w:eastAsia="zh-CN" w:bidi="ar-SA"/>
              </w:rPr>
              <w:t>一、</w:t>
            </w:r>
            <w:r>
              <w:rPr>
                <w:rFonts w:hint="eastAsia" w:ascii="宋体" w:hAnsi="宋体" w:eastAsia="宋体" w:cs="宋体"/>
                <w:b/>
                <w:bCs/>
                <w:color w:val="auto"/>
                <w:sz w:val="21"/>
                <w:szCs w:val="21"/>
                <w:lang w:val="en-US" w:eastAsia="zh-CN"/>
              </w:rPr>
              <w:t>项目建设目标</w:t>
            </w:r>
          </w:p>
          <w:p>
            <w:pPr>
              <w:pStyle w:val="4"/>
              <w:keepNext w:val="0"/>
              <w:keepLines w:val="0"/>
              <w:pageBreakBefore w:val="0"/>
              <w:numPr>
                <w:ilvl w:val="0"/>
                <w:numId w:val="0"/>
              </w:numPr>
              <w:kinsoku/>
              <w:wordWrap/>
              <w:overflowPunct/>
              <w:topLinePunct w:val="0"/>
              <w:autoSpaceDE/>
              <w:autoSpaceDN/>
              <w:bidi w:val="0"/>
              <w:spacing w:line="240" w:lineRule="exact"/>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auto"/>
                <w:kern w:val="0"/>
                <w:sz w:val="21"/>
                <w:szCs w:val="21"/>
                <w:lang w:val="en-US" w:eastAsia="zh-CN" w:bidi="ar"/>
              </w:rPr>
              <w:t>通过人力资源管理系统的建设，使人事管理人员进一步提高工作效率，并把先进的人事管理理念和工作实际结合起来，以此落实医院人事管理战略，提高管理精细化水平，提高工作效率，实现人事管理工作的规范化、系统化、流程化，为单位领导提供基于信息的决策支持。</w:t>
            </w:r>
          </w:p>
          <w:p>
            <w:pPr>
              <w:pStyle w:val="4"/>
              <w:keepNext w:val="0"/>
              <w:keepLines w:val="0"/>
              <w:pageBreakBefore w:val="0"/>
              <w:numPr>
                <w:ilvl w:val="0"/>
                <w:numId w:val="0"/>
              </w:numPr>
              <w:kinsoku/>
              <w:wordWrap/>
              <w:overflowPunct/>
              <w:topLinePunct w:val="0"/>
              <w:autoSpaceDE/>
              <w:autoSpaceDN/>
              <w:bidi w:val="0"/>
              <w:spacing w:line="240" w:lineRule="exac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2"/>
                <w:sz w:val="21"/>
                <w:szCs w:val="21"/>
                <w:lang w:val="en-US" w:eastAsia="zh-CN" w:bidi="ar-SA"/>
              </w:rPr>
              <w:t>二、</w:t>
            </w:r>
            <w:r>
              <w:rPr>
                <w:rFonts w:hint="eastAsia" w:ascii="宋体" w:hAnsi="宋体" w:eastAsia="宋体" w:cs="宋体"/>
                <w:b/>
                <w:bCs/>
                <w:color w:val="auto"/>
                <w:sz w:val="21"/>
                <w:szCs w:val="21"/>
                <w:lang w:val="en-US" w:eastAsia="zh-CN"/>
              </w:rPr>
              <w:t>具体需求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1、</w:t>
            </w:r>
            <w:r>
              <w:rPr>
                <w:rFonts w:hint="eastAsia" w:ascii="宋体" w:hAnsi="宋体" w:eastAsia="宋体" w:cs="宋体"/>
                <w:b/>
                <w:bCs/>
                <w:color w:val="auto"/>
                <w:sz w:val="21"/>
                <w:szCs w:val="21"/>
                <w:lang w:val="en-US" w:eastAsia="zh-CN"/>
              </w:rPr>
              <w:t>组织架构</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多种层次组织结构设计模式医院组织架构管理，实现组织机构、编制管理、岗位管理、人员信息、事务审批流程的协同。支持分支机构管理，能够对组织、科室、部门等进行新增、修改、撤销等操作，并支持临时医疗组织设立，可从现有组织架构中直接抽调人员成立临时组织。</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2、</w:t>
            </w:r>
            <w:r>
              <w:rPr>
                <w:rFonts w:hint="eastAsia" w:ascii="宋体" w:hAnsi="宋体" w:eastAsia="宋体" w:cs="宋体"/>
                <w:b/>
                <w:bCs/>
                <w:color w:val="auto"/>
                <w:sz w:val="21"/>
                <w:szCs w:val="21"/>
                <w:lang w:val="en-US" w:eastAsia="zh-CN"/>
              </w:rPr>
              <w:t>人事档案</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sz w:val="21"/>
                <w:szCs w:val="21"/>
                <w:lang w:val="en-US" w:eastAsia="zh-CN"/>
              </w:rPr>
              <w:t>职工信息录入、修改、导入、导出等操作，支持外聘人员管理，支持职工名册导出和打印。职工基本信息：职工姓名、工号、照片、性别、出生年月、曾用名、证件号码、政治面貌、学历、学位、联系方式、身高、体重、血型、健康状况、留学经历、在职情况、婚姻信息、籍贯、户口、家庭地址信息、政治关系、工种分类、人员属性、入院时间、教护从业时间、岗位分类、岗位等级、岗位获取时间、执业资格、工资卡信息、保险支付情况等信息的录入更改和添加。</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lang w:val="en-US" w:eastAsia="zh-CN"/>
              </w:rPr>
              <w:t>工作经历：系统支持维护职工的工作经历，记录职工在之前工作单位参加工作开始时间、离岗时间、之前工作所在单位、工作单位详细地址等信息的维护，并可查询职工工作经历信息。</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3）</w:t>
            </w:r>
            <w:r>
              <w:rPr>
                <w:rFonts w:hint="eastAsia" w:ascii="宋体" w:hAnsi="宋体" w:eastAsia="宋体" w:cs="宋体"/>
                <w:color w:val="auto"/>
                <w:sz w:val="21"/>
                <w:szCs w:val="21"/>
                <w:lang w:val="en-US" w:eastAsia="zh-CN"/>
              </w:rPr>
              <w:t>奖惩记录：可以维护职工奖惩信息，奖励是记录本次奖励事由、奖励意见和奖励金额；惩罚是记录本次惩罚事由、惩罚意见和惩罚金额。</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sz w:val="21"/>
                <w:szCs w:val="21"/>
                <w:lang w:val="en-US" w:eastAsia="zh-CN"/>
              </w:rPr>
              <w:t>证照信息：管理所有职工各类型证照。在维护了职工证照信息后，依据证照信息中，证照过期时间，提醒管理科室及时变更人员证照。在维护证照信息中应记录证照职工工号、证照类型、证照名称、证照过期时间、证照图片、录入人、审核人、审核时间。</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3、</w:t>
            </w:r>
            <w:r>
              <w:rPr>
                <w:rFonts w:hint="eastAsia" w:ascii="宋体" w:hAnsi="宋体" w:eastAsia="宋体" w:cs="宋体"/>
                <w:b/>
                <w:bCs/>
                <w:color w:val="auto"/>
                <w:sz w:val="21"/>
                <w:szCs w:val="21"/>
                <w:lang w:val="en-US" w:eastAsia="zh-CN"/>
              </w:rPr>
              <w:t>合同管理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sz w:val="21"/>
                <w:szCs w:val="21"/>
                <w:lang w:val="en-US" w:eastAsia="zh-CN"/>
              </w:rPr>
              <w:t>支持对职工劳动合同的新签、续签、解除、变更、违约、中止、解除终止、终止进行管理。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lang w:val="en-US" w:eastAsia="zh-CN"/>
              </w:rPr>
              <w:t>合同到期提醒：支持合同到期提醒功能、预设提醒时间、到期预。</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4、</w:t>
            </w:r>
            <w:r>
              <w:rPr>
                <w:rFonts w:hint="eastAsia" w:ascii="宋体" w:hAnsi="宋体" w:eastAsia="宋体" w:cs="宋体"/>
                <w:b/>
                <w:bCs/>
                <w:color w:val="auto"/>
                <w:sz w:val="21"/>
                <w:szCs w:val="21"/>
                <w:lang w:val="en-US" w:eastAsia="zh-CN"/>
              </w:rPr>
              <w:t>人事变更</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sz w:val="21"/>
                <w:szCs w:val="21"/>
                <w:lang w:val="en-US" w:eastAsia="zh-CN"/>
              </w:rPr>
              <w:t>入职管理：管理科室对新进人员的基本信息录入。</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2）转职管理：记录在职期间，科室调转，职务变动，职称变更相关信息。</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3）借调管理：权限具备人（临床科主任、医务科、护理部、人事科等）可申请职工借调。未确认调动前，职工所属科室不变，借调变动确认后，职工信息自动变更到新科室。所有变动信息记录完整，方便追溯职工调动记录。借调变动包括如下信息：人员、借调状态、借调医院、借调科室等。</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4）离职管理：首先提交离职申请，经过相关部门审批后，办理离职手续，系统自动标识为离职状态。</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5）通知公告：医院内部通知公告发布，发布人员变动信息，通知相关人员，进行系统线上签收，系统自动记录查阅情况。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5、</w:t>
            </w:r>
            <w:r>
              <w:rPr>
                <w:rFonts w:hint="eastAsia" w:ascii="宋体" w:hAnsi="宋体" w:eastAsia="宋体" w:cs="宋体"/>
                <w:b/>
                <w:bCs/>
                <w:color w:val="auto"/>
                <w:sz w:val="21"/>
                <w:szCs w:val="21"/>
                <w:lang w:val="en-US" w:eastAsia="zh-CN"/>
              </w:rPr>
              <w:t>考勤排班</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
              </w:rPr>
              <w:t>1）排班管理：自定义细致的班次和排班规则,充分考虑多班别、请假、出差、特殊等多种情况,支持提供统计分析报表。</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2）出勤记录管理、出差管理、休假管理、加班管理、考勤统计分析等功能，并为薪资计算提供相关数据, 使考勤数据与薪资计算直接挂钩。</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3）支持请假、加班、出差、调休等考勤业务在线申请及审批管理。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6、</w:t>
            </w:r>
            <w:r>
              <w:rPr>
                <w:rFonts w:hint="eastAsia" w:ascii="宋体" w:hAnsi="宋体" w:eastAsia="宋体" w:cs="宋体"/>
                <w:b/>
                <w:bCs/>
                <w:color w:val="auto"/>
                <w:sz w:val="21"/>
                <w:szCs w:val="21"/>
                <w:lang w:val="en-US" w:eastAsia="zh-CN"/>
              </w:rPr>
              <w:t>薪资管理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1）岗位工资：分为正式职工岗位工资与合同制岗位工资，管理科室按照国家制定的岗位工资设置正式职工或者合同工岗位工资。也可以设置合同制职工工资标准。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2）薪级工资：按照国家制定的薪级工资套改要求，管理科室可依据薪级工资套改表修改薪级工资。依据人员的参加工作时间、入院工作时间、第一学历学制，计算套改年限。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sz w:val="21"/>
                <w:szCs w:val="21"/>
                <w:lang w:val="en-US" w:eastAsia="zh-CN"/>
              </w:rPr>
              <w:t>招聘管理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招聘人员进行初选，审核通过后录用系统，建立人事档案。形成人才储蓄。</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8、</w:t>
            </w:r>
            <w:r>
              <w:rPr>
                <w:rFonts w:hint="eastAsia" w:ascii="宋体" w:hAnsi="宋体" w:eastAsia="宋体" w:cs="宋体"/>
                <w:b/>
                <w:bCs/>
                <w:color w:val="auto"/>
                <w:sz w:val="21"/>
                <w:szCs w:val="21"/>
                <w:lang w:val="en-US" w:eastAsia="zh-CN"/>
              </w:rPr>
              <w:t>培训管理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培训管理：包括培训计划、培训考勤、培训机构、培训讲师、培训课件、培训协议、培训绩效等功能的设置与编辑。对培训项目管理，可以按照培训年份，培训时间等多条件进行查询汇总。其中包括每次计划的培训员工，培训课程、培训费用。</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2）考试管理：可以对考试内容、考试时间、考试排名、考试分数等考试信息录入与维护的管理。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3）外出学习：职工可自主维护外出学习情况。维护外出学习的开始时间、外出学习的结束时间、地址、详细地址、学习内容等。</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9、</w:t>
            </w:r>
            <w:r>
              <w:rPr>
                <w:rFonts w:hint="eastAsia" w:ascii="宋体" w:hAnsi="宋体" w:eastAsia="宋体" w:cs="宋体"/>
                <w:b/>
                <w:bCs/>
                <w:color w:val="auto"/>
                <w:sz w:val="21"/>
                <w:szCs w:val="21"/>
                <w:lang w:val="en-US" w:eastAsia="zh-CN"/>
              </w:rPr>
              <w:t>科研教学</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课题批文管理、论文投稿登记、论文发表登记、学术著作管理、成果鉴定验收管理、成果获奖管理、成果转化管理、专利管理、学术会议管理、重点实验室管理。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
              </w:rPr>
              <w:t>10、</w:t>
            </w:r>
            <w:r>
              <w:rPr>
                <w:rFonts w:hint="eastAsia" w:ascii="宋体" w:hAnsi="宋体" w:eastAsia="宋体" w:cs="宋体"/>
                <w:b/>
                <w:bCs/>
                <w:color w:val="auto"/>
                <w:sz w:val="21"/>
                <w:szCs w:val="21"/>
                <w:lang w:val="en-US" w:eastAsia="zh-CN"/>
              </w:rPr>
              <w:t>报表分析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为医院提供专门的报表工具为各岗位人员提供及时准确的统计分析。</w:t>
            </w:r>
          </w:p>
          <w:p>
            <w:pPr>
              <w:pStyle w:val="4"/>
              <w:keepNext w:val="0"/>
              <w:keepLines w:val="0"/>
              <w:pageBreakBefore w:val="0"/>
              <w:numPr>
                <w:ilvl w:val="0"/>
                <w:numId w:val="0"/>
              </w:numPr>
              <w:kinsoku/>
              <w:wordWrap/>
              <w:overflowPunct/>
              <w:topLinePunct w:val="0"/>
              <w:autoSpaceDE/>
              <w:autoSpaceDN/>
              <w:bidi w:val="0"/>
              <w:spacing w:line="240" w:lineRule="exac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2"/>
                <w:sz w:val="21"/>
                <w:szCs w:val="21"/>
                <w:lang w:val="en-US" w:eastAsia="zh-CN" w:bidi="ar-SA"/>
              </w:rPr>
              <w:t>三、</w:t>
            </w:r>
            <w:r>
              <w:rPr>
                <w:rFonts w:hint="eastAsia" w:ascii="宋体" w:hAnsi="宋体" w:eastAsia="宋体" w:cs="宋体"/>
                <w:b/>
                <w:bCs/>
                <w:color w:val="auto"/>
                <w:sz w:val="21"/>
                <w:szCs w:val="21"/>
                <w:lang w:val="en-US" w:eastAsia="zh-CN"/>
              </w:rPr>
              <w:t>系统集成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right="0" w:rightChars="0"/>
              <w:jc w:val="left"/>
              <w:textAlignment w:val="auto"/>
              <w:rPr>
                <w:rFonts w:ascii="宋体" w:hAnsi="宋体" w:eastAsia="宋体" w:cs="Times New Roman"/>
                <w:color w:val="auto"/>
                <w:kern w:val="0"/>
                <w:szCs w:val="21"/>
              </w:rPr>
            </w:pPr>
            <w:r>
              <w:rPr>
                <w:rFonts w:hint="eastAsia" w:ascii="宋体" w:hAnsi="宋体" w:eastAsia="宋体" w:cs="宋体"/>
                <w:color w:val="auto"/>
                <w:kern w:val="0"/>
                <w:sz w:val="21"/>
                <w:szCs w:val="21"/>
                <w:lang w:val="en-US" w:eastAsia="zh-CN" w:bidi="ar"/>
              </w:rPr>
              <w:t>与会计核算系统工资模块对接，实现人员、工资数据共享。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color w:val="auto"/>
                <w:szCs w:val="21"/>
              </w:rPr>
            </w:pPr>
            <w:r>
              <w:rPr>
                <w:rFonts w:hint="eastAsia" w:ascii="宋体" w:hAnsi="宋体" w:eastAsia="宋体" w:cs="Times New Roman"/>
                <w:b/>
                <w:color w:val="auto"/>
                <w:szCs w:val="21"/>
              </w:rPr>
              <w:t>▲二、</w:t>
            </w:r>
            <w:r>
              <w:rPr>
                <w:rFonts w:hint="eastAsia" w:ascii="宋体" w:hAnsi="宋体" w:eastAsia="宋体" w:cs="宋体"/>
                <w:b/>
                <w:bCs/>
                <w:color w:val="auto"/>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color w:val="auto"/>
                <w:szCs w:val="24"/>
              </w:rPr>
            </w:pPr>
            <w:r>
              <w:rPr>
                <w:rFonts w:hint="eastAsia" w:ascii="Calibri" w:hAnsi="Calibri" w:eastAsia="宋体" w:cs="Times New Roman"/>
                <w:color w:val="auto"/>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color w:val="auto"/>
                <w:szCs w:val="21"/>
              </w:rPr>
            </w:pPr>
            <w:r>
              <w:rPr>
                <w:rFonts w:hint="eastAsia" w:ascii="宋体" w:hAnsi="宋体" w:eastAsia="宋体" w:cs="宋体"/>
                <w:bCs/>
                <w:color w:val="auto"/>
                <w:szCs w:val="21"/>
              </w:rPr>
              <w:t>竞标报价为全包价，以人民币为结算单位，包括本项目所有系统开发、</w:t>
            </w:r>
            <w:r>
              <w:rPr>
                <w:rFonts w:hint="eastAsia" w:ascii="Calibri" w:hAnsi="宋体" w:eastAsia="宋体" w:cs="Times New Roman"/>
                <w:color w:val="auto"/>
                <w:kern w:val="0"/>
                <w:szCs w:val="21"/>
              </w:rPr>
              <w:t>软件购置费、</w:t>
            </w:r>
            <w:r>
              <w:rPr>
                <w:rFonts w:hint="eastAsia" w:ascii="宋体" w:hAnsi="宋体" w:eastAsia="宋体" w:cs="宋体"/>
                <w:bCs/>
                <w:color w:val="auto"/>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color w:val="auto"/>
                <w:szCs w:val="24"/>
              </w:rPr>
            </w:pPr>
            <w:r>
              <w:rPr>
                <w:rFonts w:hint="eastAsia" w:ascii="Calibri" w:hAnsi="Calibri" w:eastAsia="宋体" w:cs="Times New Roman"/>
                <w:color w:val="auto"/>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auto"/>
                <w:szCs w:val="21"/>
              </w:rPr>
            </w:pPr>
            <w:r>
              <w:rPr>
                <w:rFonts w:hint="eastAsia" w:ascii="宋体" w:hAnsi="宋体" w:eastAsia="宋体" w:cs="Times New Roman"/>
                <w:color w:val="auto"/>
                <w:szCs w:val="21"/>
              </w:rPr>
              <w:t>自项目验收合格之日起1年</w:t>
            </w:r>
            <w:r>
              <w:rPr>
                <w:rFonts w:hint="eastAsia" w:ascii="宋体" w:hAnsi="宋体" w:eastAsia="宋体" w:cs="Times New Roman"/>
                <w:color w:val="auto"/>
                <w:szCs w:val="21"/>
                <w:lang w:val="en-US" w:eastAsia="zh-CN"/>
              </w:rPr>
              <w:t>及以上</w:t>
            </w:r>
            <w:r>
              <w:rPr>
                <w:rFonts w:hint="eastAsia" w:ascii="宋体" w:hAnsi="宋体" w:eastAsia="宋体" w:cs="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color w:val="auto"/>
                <w:szCs w:val="24"/>
              </w:rPr>
            </w:pPr>
            <w:r>
              <w:rPr>
                <w:rFonts w:hint="eastAsia" w:ascii="Calibri" w:hAnsi="Calibri" w:eastAsia="宋体" w:cs="Times New Roman"/>
                <w:color w:val="auto"/>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auto"/>
                <w:szCs w:val="21"/>
              </w:rPr>
            </w:pPr>
            <w:r>
              <w:rPr>
                <w:rFonts w:hint="eastAsia" w:ascii="宋体" w:hAnsi="宋体" w:eastAsia="宋体" w:cs="Times New Roman"/>
                <w:color w:val="auto"/>
                <w:szCs w:val="21"/>
              </w:rPr>
              <w:t>1.交付时间：</w:t>
            </w:r>
            <w:r>
              <w:rPr>
                <w:rFonts w:hint="eastAsia" w:ascii="宋体" w:hAnsi="宋体" w:eastAsia="宋体" w:cs="宋体"/>
                <w:color w:val="auto"/>
                <w:sz w:val="21"/>
                <w:szCs w:val="21"/>
                <w:lang w:val="en-US" w:eastAsia="zh-CN"/>
              </w:rPr>
              <w:t>系统交付时间要求自签订合同之日起90个日历日内安装、调试完毕并交付使用</w:t>
            </w:r>
            <w:r>
              <w:rPr>
                <w:rFonts w:hint="eastAsia" w:ascii="宋体" w:hAnsi="宋体" w:eastAsia="宋体" w:cs="Times New Roman"/>
                <w:color w:val="auto"/>
                <w:szCs w:val="21"/>
              </w:rPr>
              <w:t>。</w:t>
            </w:r>
          </w:p>
          <w:p>
            <w:pPr>
              <w:snapToGrid w:val="0"/>
              <w:spacing w:line="320" w:lineRule="atLeast"/>
              <w:ind w:left="105" w:hanging="105" w:hangingChars="50"/>
              <w:outlineLvl w:val="0"/>
              <w:rPr>
                <w:rFonts w:ascii="宋体" w:hAnsi="宋体" w:eastAsia="宋体" w:cs="Times New Roman"/>
                <w:color w:val="auto"/>
                <w:szCs w:val="21"/>
              </w:rPr>
            </w:pPr>
            <w:r>
              <w:rPr>
                <w:rFonts w:hint="eastAsia" w:ascii="宋体" w:hAnsi="宋体" w:eastAsia="宋体" w:cs="Times New Roman"/>
                <w:color w:val="auto"/>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auto"/>
                <w:szCs w:val="21"/>
                <w:highlight w:val="yellow"/>
              </w:rPr>
            </w:pPr>
            <w:r>
              <w:rPr>
                <w:rFonts w:hint="eastAsia" w:ascii="Calibri" w:hAnsi="Calibri" w:eastAsia="宋体" w:cs="Times New Roman"/>
                <w:color w:val="auto"/>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color w:val="auto"/>
                <w:szCs w:val="21"/>
              </w:rPr>
            </w:pPr>
            <w:r>
              <w:rPr>
                <w:rFonts w:hint="eastAsia" w:ascii="宋体" w:hAnsi="宋体" w:eastAsia="宋体" w:cs="宋体"/>
                <w:bCs/>
                <w:color w:val="auto"/>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color w:val="auto"/>
                <w:szCs w:val="21"/>
              </w:rPr>
            </w:pPr>
            <w:r>
              <w:rPr>
                <w:rFonts w:hint="eastAsia" w:ascii="宋体" w:hAnsi="宋体" w:eastAsia="宋体" w:cs="宋体"/>
                <w:bCs/>
                <w:color w:val="auto"/>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color w:val="auto"/>
              </w:rPr>
            </w:pPr>
            <w:r>
              <w:rPr>
                <w:rFonts w:hint="eastAsia" w:ascii="宋体" w:hAnsi="宋体" w:eastAsia="宋体" w:cs="宋体"/>
                <w:bCs/>
                <w:color w:val="auto"/>
                <w:szCs w:val="21"/>
              </w:rPr>
              <w:t>3.</w:t>
            </w:r>
            <w:r>
              <w:rPr>
                <w:rFonts w:hint="eastAsia" w:ascii="宋体" w:hAnsi="宋体" w:eastAsia="宋体" w:cs="Times New Roman"/>
                <w:color w:val="auto"/>
              </w:rPr>
              <w:t>免费维护和技术支持的范围为：</w:t>
            </w:r>
          </w:p>
          <w:p>
            <w:pPr>
              <w:spacing w:line="320" w:lineRule="exact"/>
              <w:ind w:firstLine="33" w:firstLineChars="16"/>
              <w:rPr>
                <w:rFonts w:ascii="宋体" w:hAnsi="宋体" w:eastAsia="宋体" w:cs="Times New Roman"/>
                <w:color w:val="auto"/>
              </w:rPr>
            </w:pPr>
            <w:r>
              <w:rPr>
                <w:rFonts w:hint="eastAsia" w:ascii="宋体" w:hAnsi="宋体" w:eastAsia="宋体" w:cs="Times New Roman"/>
                <w:color w:val="auto"/>
              </w:rPr>
              <w:t>（1）软件系统功能、操作等级别问题的技术支持服务。</w:t>
            </w:r>
          </w:p>
          <w:p>
            <w:pPr>
              <w:spacing w:line="320" w:lineRule="exact"/>
              <w:ind w:firstLine="33" w:firstLineChars="16"/>
              <w:rPr>
                <w:rFonts w:ascii="宋体" w:hAnsi="宋体" w:eastAsia="宋体" w:cs="Times New Roman"/>
                <w:color w:val="auto"/>
              </w:rPr>
            </w:pPr>
            <w:r>
              <w:rPr>
                <w:rFonts w:hint="eastAsia" w:ascii="宋体" w:hAnsi="宋体" w:eastAsia="宋体" w:cs="Times New Roman"/>
                <w:color w:val="auto"/>
              </w:rPr>
              <w:t>（2）软件系统本身的缺陷而引起的问题。</w:t>
            </w:r>
          </w:p>
          <w:p>
            <w:pPr>
              <w:spacing w:line="320" w:lineRule="exact"/>
              <w:ind w:firstLine="33" w:firstLineChars="16"/>
              <w:rPr>
                <w:rFonts w:ascii="宋体" w:hAnsi="宋体" w:eastAsia="宋体" w:cs="Times New Roman"/>
                <w:color w:val="auto"/>
              </w:rPr>
            </w:pPr>
            <w:r>
              <w:rPr>
                <w:rFonts w:hint="eastAsia" w:ascii="宋体" w:hAnsi="宋体" w:eastAsia="宋体" w:cs="Times New Roman"/>
                <w:color w:val="auto"/>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color w:val="auto"/>
              </w:rPr>
            </w:pPr>
            <w:r>
              <w:rPr>
                <w:rFonts w:hint="eastAsia" w:ascii="宋体" w:hAnsi="宋体" w:eastAsia="宋体" w:cs="宋体"/>
                <w:bCs/>
                <w:color w:val="auto"/>
                <w:szCs w:val="21"/>
              </w:rPr>
              <w:t>4.故障响应时间：</w:t>
            </w:r>
            <w:r>
              <w:rPr>
                <w:rFonts w:hint="eastAsia" w:ascii="宋体" w:hAnsi="宋体" w:eastAsia="宋体" w:cs="Times New Roman"/>
                <w:color w:val="auto"/>
              </w:rPr>
              <w:t>提供7*24小时的实时故障响应。</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color w:val="auto"/>
                <w:kern w:val="2"/>
                <w:sz w:val="21"/>
                <w:szCs w:val="22"/>
                <w:lang w:val="en-US" w:eastAsia="zh-CN" w:bidi="ar-SA"/>
              </w:rPr>
            </w:pPr>
            <w:r>
              <w:rPr>
                <w:rFonts w:hint="eastAsia" w:ascii="宋体" w:hAnsi="宋体" w:eastAsia="宋体" w:cs="Times New Roman"/>
                <w:color w:val="auto"/>
                <w:kern w:val="2"/>
                <w:sz w:val="21"/>
                <w:szCs w:val="22"/>
                <w:lang w:val="en-US" w:eastAsia="zh-CN" w:bidi="ar-SA"/>
              </w:rPr>
              <w:t>（1）按国家有关“三包”规定执行“三包”，软件及配套系统设备产品免费保修期至少1年及1年以上，系统的免费维护期1年及1年以上（自验收合格之日起计算）；</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color w:val="auto"/>
                <w:kern w:val="2"/>
                <w:sz w:val="21"/>
                <w:szCs w:val="22"/>
                <w:lang w:val="en-US" w:eastAsia="zh-CN" w:bidi="ar-SA"/>
              </w:rPr>
            </w:pPr>
            <w:r>
              <w:rPr>
                <w:rFonts w:hint="eastAsia" w:ascii="宋体" w:hAnsi="宋体" w:eastAsia="宋体" w:cs="Times New Roman"/>
                <w:color w:val="auto"/>
                <w:kern w:val="2"/>
                <w:sz w:val="21"/>
                <w:szCs w:val="22"/>
                <w:lang w:val="en-US" w:eastAsia="zh-CN" w:bidi="ar-SA"/>
              </w:rPr>
              <w:t>（2）采购范围内的货物免费送货上门、免费安装调试合格、免费培训使用；</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color w:val="auto"/>
                <w:kern w:val="2"/>
                <w:sz w:val="21"/>
                <w:szCs w:val="22"/>
                <w:lang w:val="en-US" w:eastAsia="zh-CN" w:bidi="ar-SA"/>
              </w:rPr>
            </w:pPr>
            <w:r>
              <w:rPr>
                <w:rFonts w:hint="eastAsia" w:ascii="宋体" w:hAnsi="宋体" w:eastAsia="宋体" w:cs="Times New Roman"/>
                <w:color w:val="auto"/>
                <w:kern w:val="2"/>
                <w:sz w:val="21"/>
                <w:szCs w:val="22"/>
                <w:lang w:val="en-US" w:eastAsia="zh-CN" w:bidi="ar-SA"/>
              </w:rPr>
              <w:t>（3）系统交付验收时移交系统技术文档（数据库字典、系统操作说明书等）给医院信息网络中心；</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color w:val="auto"/>
                <w:kern w:val="2"/>
                <w:sz w:val="21"/>
                <w:szCs w:val="22"/>
                <w:lang w:val="en-US" w:eastAsia="zh-CN" w:bidi="ar-SA"/>
              </w:rPr>
            </w:pPr>
            <w:r>
              <w:rPr>
                <w:rFonts w:hint="eastAsia" w:ascii="宋体" w:hAnsi="宋体" w:eastAsia="宋体" w:cs="Times New Roman"/>
                <w:color w:val="auto"/>
                <w:kern w:val="2"/>
                <w:sz w:val="21"/>
                <w:szCs w:val="22"/>
                <w:lang w:val="en-US" w:eastAsia="zh-CN" w:bidi="ar-SA"/>
              </w:rPr>
              <w:t>（4）负责为医院培养2名技术工程师，项目结束后2名工程师能达到独立运维的能力；</w:t>
            </w:r>
          </w:p>
          <w:p>
            <w:pPr>
              <w:keepNext w:val="0"/>
              <w:keepLines w:val="0"/>
              <w:pageBreakBefore w:val="0"/>
              <w:widowControl w:val="0"/>
              <w:kinsoku/>
              <w:wordWrap/>
              <w:overflowPunct/>
              <w:topLinePunct w:val="0"/>
              <w:autoSpaceDE/>
              <w:autoSpaceDN/>
              <w:bidi w:val="0"/>
              <w:adjustRightInd/>
              <w:spacing w:line="320" w:lineRule="exact"/>
              <w:ind w:firstLine="33" w:firstLineChars="16"/>
              <w:textAlignment w:val="auto"/>
              <w:rPr>
                <w:rFonts w:hint="eastAsia" w:ascii="宋体" w:hAnsi="宋体" w:eastAsia="宋体" w:cs="Times New Roman"/>
                <w:color w:val="auto"/>
                <w:kern w:val="2"/>
                <w:sz w:val="21"/>
                <w:szCs w:val="22"/>
                <w:lang w:val="en-US" w:eastAsia="zh-CN" w:bidi="ar-SA"/>
              </w:rPr>
            </w:pPr>
            <w:r>
              <w:rPr>
                <w:rFonts w:hint="eastAsia" w:ascii="宋体" w:hAnsi="宋体" w:eastAsia="宋体" w:cs="Times New Roman"/>
                <w:color w:val="auto"/>
                <w:kern w:val="2"/>
                <w:sz w:val="21"/>
                <w:szCs w:val="22"/>
                <w:lang w:val="en-US" w:eastAsia="zh-CN" w:bidi="ar-SA"/>
              </w:rPr>
              <w:t>（5）应急维修时间：接到故障通知后4小时内做出有效回应，并在48小时内完成应急维修要求。</w:t>
            </w:r>
          </w:p>
          <w:p>
            <w:pPr>
              <w:spacing w:line="320" w:lineRule="exact"/>
              <w:ind w:firstLine="33" w:firstLineChars="16"/>
              <w:rPr>
                <w:rFonts w:ascii="Calibri" w:hAnsi="Calibri" w:eastAsia="宋体" w:cs="宋体"/>
                <w:bCs/>
                <w:color w:val="auto"/>
                <w:szCs w:val="21"/>
              </w:rPr>
            </w:pPr>
            <w:r>
              <w:rPr>
                <w:rFonts w:hint="eastAsia" w:ascii="宋体" w:hAnsi="宋体" w:eastAsia="宋体" w:cs="Times New Roman"/>
                <w:color w:val="auto"/>
              </w:rPr>
              <w:t>5</w:t>
            </w:r>
            <w:r>
              <w:rPr>
                <w:rFonts w:ascii="宋体" w:hAnsi="宋体" w:eastAsia="宋体" w:cs="Times New Roman"/>
                <w:color w:val="auto"/>
              </w:rPr>
              <w:t>.</w:t>
            </w:r>
            <w:r>
              <w:rPr>
                <w:rFonts w:hint="eastAsia" w:ascii="宋体" w:hAnsi="宋体" w:eastAsia="宋体" w:cs="Times New Roman"/>
                <w:color w:val="auto"/>
              </w:rPr>
              <w:t>定期跟踪。供应商应提供每</w:t>
            </w:r>
            <w:r>
              <w:rPr>
                <w:rFonts w:ascii="宋体" w:hAnsi="宋体" w:eastAsia="宋体" w:cs="Times New Roman"/>
                <w:color w:val="auto"/>
              </w:rPr>
              <w:t>3个月不少于1次现场巡检服务，及时发现和排除潜在问题或故障隐患，保证平台的稳定运行。</w:t>
            </w:r>
          </w:p>
          <w:p>
            <w:pPr>
              <w:spacing w:line="320" w:lineRule="exact"/>
              <w:ind w:firstLine="33" w:firstLineChars="16"/>
              <w:rPr>
                <w:rFonts w:ascii="宋体" w:hAnsi="宋体" w:eastAsia="宋体" w:cs="宋体"/>
                <w:bCs/>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auto"/>
                <w:szCs w:val="21"/>
                <w:highlight w:val="yellow"/>
              </w:rPr>
            </w:pPr>
            <w:r>
              <w:rPr>
                <w:rFonts w:hint="eastAsia" w:ascii="Calibri" w:hAnsi="Calibri" w:eastAsia="宋体" w:cs="Times New Roman"/>
                <w:color w:val="auto"/>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auto"/>
                <w:szCs w:val="21"/>
              </w:rPr>
            </w:pPr>
            <w:r>
              <w:rPr>
                <w:rFonts w:hint="eastAsia" w:ascii="宋体" w:hAnsi="宋体" w:eastAsia="宋体" w:cs="Times New Roman"/>
                <w:color w:val="auto"/>
                <w:szCs w:val="21"/>
              </w:rPr>
              <w:t>1.质量要求：</w:t>
            </w:r>
            <w:r>
              <w:rPr>
                <w:rFonts w:hint="eastAsia" w:ascii="宋体" w:hAnsi="宋体" w:eastAsia="宋体" w:cs="Courier New"/>
                <w:color w:val="auto"/>
                <w:szCs w:val="21"/>
              </w:rPr>
              <w:t>达到本招标文件要求的业务处理能力、系统满足功能要求和相应的技术规范</w:t>
            </w:r>
            <w:r>
              <w:rPr>
                <w:rFonts w:hint="eastAsia" w:ascii="宋体" w:hAnsi="宋体" w:eastAsia="宋体" w:cs="Times New Roman"/>
                <w:color w:val="auto"/>
                <w:szCs w:val="21"/>
              </w:rPr>
              <w:t>，达到国家质量标准的验收规定。</w:t>
            </w:r>
          </w:p>
          <w:p>
            <w:pPr>
              <w:spacing w:line="320" w:lineRule="exact"/>
              <w:rPr>
                <w:rFonts w:ascii="宋体" w:hAnsi="宋体" w:eastAsia="宋体" w:cs="Times New Roman"/>
                <w:color w:val="auto"/>
                <w:szCs w:val="21"/>
              </w:rPr>
            </w:pPr>
            <w:r>
              <w:rPr>
                <w:rFonts w:hint="eastAsia" w:ascii="宋体" w:hAnsi="宋体" w:eastAsia="宋体" w:cs="Times New Roman"/>
                <w:color w:val="auto"/>
                <w:szCs w:val="21"/>
              </w:rPr>
              <w:t>2.</w:t>
            </w:r>
            <w:r>
              <w:rPr>
                <w:rFonts w:ascii="Calibri" w:hAnsi="Calibri" w:eastAsia="宋体" w:cs="Times New Roman"/>
                <w:color w:val="auto"/>
                <w:szCs w:val="24"/>
              </w:rPr>
              <w:t>验收：以</w:t>
            </w:r>
            <w:r>
              <w:rPr>
                <w:rFonts w:hint="eastAsia" w:ascii="Calibri" w:hAnsi="Calibri" w:eastAsia="宋体" w:cs="Times New Roman"/>
                <w:color w:val="auto"/>
                <w:szCs w:val="24"/>
                <w:lang w:val="en-US" w:eastAsia="zh-CN"/>
              </w:rPr>
              <w:t>使用</w:t>
            </w:r>
            <w:r>
              <w:rPr>
                <w:rFonts w:ascii="Calibri" w:hAnsi="Calibri" w:eastAsia="宋体" w:cs="Times New Roman"/>
                <w:color w:val="auto"/>
                <w:szCs w:val="24"/>
              </w:rPr>
              <w:t>部门的使用认可</w:t>
            </w:r>
            <w:r>
              <w:rPr>
                <w:rFonts w:hint="eastAsia" w:ascii="Calibri" w:hAnsi="Calibri" w:eastAsia="宋体" w:cs="Times New Roman"/>
                <w:color w:val="auto"/>
                <w:szCs w:val="24"/>
              </w:rPr>
              <w:t>，验收小组签字验收合格</w:t>
            </w:r>
            <w:r>
              <w:rPr>
                <w:rFonts w:ascii="Calibri" w:hAnsi="Calibri" w:eastAsia="宋体" w:cs="Times New Roman"/>
                <w:color w:val="auto"/>
                <w:szCs w:val="24"/>
              </w:rPr>
              <w:t>视为软件验收通过</w:t>
            </w:r>
            <w:r>
              <w:rPr>
                <w:rFonts w:hint="eastAsia" w:ascii="Calibri" w:hAnsi="Calibri" w:eastAsia="宋体" w:cs="Times New Roman"/>
                <w:color w:val="auto"/>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auto"/>
                <w:szCs w:val="21"/>
                <w:highlight w:val="yellow"/>
              </w:rPr>
            </w:pPr>
            <w:r>
              <w:rPr>
                <w:rFonts w:hint="eastAsia" w:ascii="Calibri" w:hAnsi="Calibri" w:eastAsia="宋体" w:cs="Times New Roman"/>
                <w:color w:val="auto"/>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color w:val="auto"/>
              </w:rPr>
            </w:pPr>
            <w:r>
              <w:rPr>
                <w:rFonts w:hint="eastAsia" w:ascii="宋体" w:hAnsi="宋体" w:eastAsia="宋体" w:cs="Times New Roman"/>
                <w:color w:val="auto"/>
              </w:rPr>
              <w:t>合同签订后10个工作日内采购人向</w:t>
            </w:r>
            <w:r>
              <w:rPr>
                <w:rFonts w:hint="eastAsia" w:ascii="宋体" w:hAnsi="宋体" w:eastAsia="宋体" w:cs="Times New Roman"/>
                <w:color w:val="auto"/>
                <w:lang w:val="en-US" w:eastAsia="zh-CN"/>
              </w:rPr>
              <w:t>中标人</w:t>
            </w:r>
            <w:r>
              <w:rPr>
                <w:rFonts w:hint="eastAsia" w:ascii="宋体" w:hAnsi="宋体" w:eastAsia="宋体" w:cs="Times New Roman"/>
                <w:color w:val="auto"/>
              </w:rPr>
              <w:t>预付合同金额的</w:t>
            </w:r>
            <w:r>
              <w:rPr>
                <w:rFonts w:hint="eastAsia" w:ascii="宋体" w:hAnsi="宋体" w:eastAsia="宋体" w:cs="Times New Roman"/>
                <w:color w:val="auto"/>
                <w:lang w:val="en-US" w:eastAsia="zh-CN"/>
              </w:rPr>
              <w:t>3</w:t>
            </w:r>
            <w:r>
              <w:rPr>
                <w:rFonts w:hint="eastAsia" w:ascii="宋体" w:hAnsi="宋体" w:eastAsia="宋体" w:cs="Times New Roman"/>
                <w:color w:val="auto"/>
              </w:rPr>
              <w:t>0%作为前期开发经费，同时成交供应商向采购人开具等额发票。</w:t>
            </w:r>
          </w:p>
          <w:p>
            <w:pPr>
              <w:spacing w:line="320" w:lineRule="exact"/>
              <w:jc w:val="left"/>
              <w:rPr>
                <w:rFonts w:ascii="宋体" w:hAnsi="宋体" w:eastAsia="宋体" w:cs="Times New Roman"/>
                <w:color w:val="auto"/>
              </w:rPr>
            </w:pPr>
            <w:r>
              <w:rPr>
                <w:rFonts w:hint="eastAsia" w:ascii="宋体" w:hAnsi="宋体" w:eastAsia="宋体" w:cs="Times New Roman"/>
                <w:color w:val="auto"/>
                <w:lang w:val="en-US" w:eastAsia="zh-CN"/>
              </w:rPr>
              <w:t>2</w:t>
            </w:r>
            <w:r>
              <w:rPr>
                <w:rFonts w:hint="eastAsia" w:ascii="宋体" w:hAnsi="宋体" w:eastAsia="宋体" w:cs="Times New Roman"/>
                <w:color w:val="auto"/>
              </w:rPr>
              <w:t>.</w:t>
            </w:r>
            <w:r>
              <w:rPr>
                <w:rFonts w:hint="eastAsia" w:ascii="宋体" w:hAnsi="宋体" w:eastAsia="宋体" w:cs="Times New Roman"/>
                <w:color w:val="auto"/>
                <w:lang w:val="en-US" w:eastAsia="zh-CN"/>
              </w:rPr>
              <w:t>项目上线</w:t>
            </w:r>
            <w:r>
              <w:rPr>
                <w:rFonts w:hint="eastAsia" w:ascii="宋体" w:hAnsi="宋体" w:eastAsia="宋体" w:cs="Times New Roman"/>
                <w:color w:val="auto"/>
              </w:rPr>
              <w:t>后10个工作日内采购人向</w:t>
            </w:r>
            <w:r>
              <w:rPr>
                <w:rFonts w:hint="eastAsia" w:ascii="宋体" w:hAnsi="宋体" w:eastAsia="宋体" w:cs="Times New Roman"/>
                <w:color w:val="auto"/>
                <w:lang w:val="en-US" w:eastAsia="zh-CN"/>
              </w:rPr>
              <w:t>中标人</w:t>
            </w:r>
            <w:r>
              <w:rPr>
                <w:rFonts w:hint="eastAsia" w:ascii="宋体" w:hAnsi="宋体" w:eastAsia="宋体" w:cs="Times New Roman"/>
                <w:color w:val="auto"/>
              </w:rPr>
              <w:t>预付合同金额的</w:t>
            </w:r>
            <w:r>
              <w:rPr>
                <w:rFonts w:hint="eastAsia" w:ascii="宋体" w:hAnsi="宋体" w:eastAsia="宋体" w:cs="Times New Roman"/>
                <w:color w:val="auto"/>
                <w:lang w:val="en-US" w:eastAsia="zh-CN"/>
              </w:rPr>
              <w:t>2</w:t>
            </w:r>
            <w:r>
              <w:rPr>
                <w:rFonts w:hint="eastAsia" w:ascii="宋体" w:hAnsi="宋体" w:eastAsia="宋体" w:cs="Times New Roman"/>
                <w:color w:val="auto"/>
              </w:rPr>
              <w:t>0%作为</w:t>
            </w:r>
            <w:r>
              <w:rPr>
                <w:rFonts w:hint="eastAsia" w:ascii="宋体" w:hAnsi="宋体" w:eastAsia="宋体" w:cs="Times New Roman"/>
                <w:color w:val="auto"/>
                <w:lang w:val="en-US" w:eastAsia="zh-CN"/>
              </w:rPr>
              <w:t>上线进度款</w:t>
            </w:r>
            <w:r>
              <w:rPr>
                <w:rFonts w:hint="eastAsia" w:ascii="宋体" w:hAnsi="宋体" w:eastAsia="宋体" w:cs="Times New Roman"/>
                <w:color w:val="auto"/>
              </w:rPr>
              <w:t>，同时成交供应商向采购人开具等额发票。</w:t>
            </w:r>
          </w:p>
          <w:p>
            <w:pPr>
              <w:spacing w:line="320" w:lineRule="exact"/>
              <w:jc w:val="left"/>
              <w:rPr>
                <w:rFonts w:ascii="Calibri" w:hAnsi="Calibri" w:eastAsia="宋体" w:cs="Times New Roman"/>
                <w:color w:val="auto"/>
                <w:szCs w:val="24"/>
              </w:rPr>
            </w:pPr>
            <w:r>
              <w:rPr>
                <w:rFonts w:hint="eastAsia" w:ascii="宋体" w:hAnsi="宋体" w:eastAsia="宋体" w:cs="Times New Roman"/>
                <w:color w:val="auto"/>
                <w:lang w:val="en-US" w:eastAsia="zh-CN"/>
              </w:rPr>
              <w:t>3</w:t>
            </w:r>
            <w:r>
              <w:rPr>
                <w:rFonts w:ascii="宋体" w:hAnsi="宋体" w:eastAsia="宋体" w:cs="Times New Roman"/>
                <w:color w:val="auto"/>
              </w:rPr>
              <w:t>.</w:t>
            </w:r>
            <w:r>
              <w:rPr>
                <w:rFonts w:hint="eastAsia" w:ascii="宋体" w:hAnsi="宋体" w:eastAsia="宋体" w:cs="Times New Roman"/>
                <w:color w:val="auto"/>
                <w:lang w:val="en-US" w:eastAsia="zh-CN"/>
              </w:rPr>
              <w:t>验收合格后，中标人开具剩余50%的发票，采购人支付剩余款项</w:t>
            </w:r>
            <w:r>
              <w:rPr>
                <w:rFonts w:hint="eastAsia" w:ascii="宋体" w:hAnsi="宋体" w:eastAsia="宋体"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color w:val="auto"/>
                <w:szCs w:val="21"/>
                <w:highlight w:val="yellow"/>
              </w:rPr>
            </w:pPr>
            <w:r>
              <w:rPr>
                <w:rFonts w:hint="eastAsia" w:ascii="Calibri" w:hAnsi="Calibri" w:eastAsia="宋体" w:cs="Times New Roman"/>
                <w:color w:val="auto"/>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color w:val="auto"/>
                <w:szCs w:val="21"/>
              </w:rPr>
            </w:pPr>
            <w:r>
              <w:rPr>
                <w:rFonts w:hint="eastAsia" w:ascii="宋体" w:hAnsi="宋体" w:eastAsia="宋体" w:cs="宋体"/>
                <w:bCs/>
                <w:color w:val="auto"/>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auto"/>
                <w:szCs w:val="21"/>
              </w:rPr>
            </w:pPr>
            <w:r>
              <w:rPr>
                <w:rFonts w:hint="eastAsia" w:ascii="宋体" w:hAnsi="宋体" w:eastAsia="宋体" w:cs="宋体"/>
                <w:color w:val="auto"/>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auto"/>
                <w:szCs w:val="21"/>
              </w:rPr>
            </w:pPr>
            <w:r>
              <w:rPr>
                <w:rFonts w:hint="eastAsia" w:ascii="宋体" w:hAnsi="宋体" w:eastAsia="宋体" w:cs="宋体"/>
                <w:color w:val="auto"/>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w:t>
            </w:r>
            <w:r>
              <w:rPr>
                <w:rFonts w:hint="eastAsia" w:ascii="宋体" w:hAnsi="宋体" w:eastAsia="宋体" w:cs="宋体"/>
                <w:color w:val="auto"/>
                <w:szCs w:val="21"/>
              </w:rPr>
              <w:t>操作员培训</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2</w:t>
            </w:r>
            <w:r>
              <w:rPr>
                <w:rFonts w:ascii="宋体" w:hAnsi="宋体" w:eastAsia="宋体" w:cs="宋体"/>
                <w:color w:val="auto"/>
                <w:szCs w:val="21"/>
              </w:rPr>
              <w:t>.</w:t>
            </w:r>
            <w:r>
              <w:rPr>
                <w:rFonts w:hint="eastAsia" w:ascii="宋体" w:hAnsi="宋体" w:eastAsia="宋体" w:cs="宋体"/>
                <w:color w:val="auto"/>
                <w:szCs w:val="21"/>
              </w:rPr>
              <w:t>技术人员培训</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（2）培训内容应包括系统管理、维护，数据库及其他软件等。</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w:t>
            </w:r>
            <w:r>
              <w:rPr>
                <w:rFonts w:hint="eastAsia" w:ascii="宋体" w:hAnsi="宋体" w:eastAsia="宋体" w:cs="宋体"/>
                <w:color w:val="auto"/>
                <w:szCs w:val="21"/>
              </w:rPr>
              <w:t>管理人员培训</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（2）培训内容应包括系统流程和相关管理理念。</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4</w:t>
            </w:r>
            <w:r>
              <w:rPr>
                <w:rFonts w:ascii="宋体" w:hAnsi="宋体" w:eastAsia="宋体" w:cs="宋体"/>
                <w:color w:val="auto"/>
                <w:szCs w:val="21"/>
              </w:rPr>
              <w:t>.</w:t>
            </w:r>
            <w:r>
              <w:rPr>
                <w:rFonts w:hint="eastAsia" w:ascii="宋体" w:hAnsi="宋体" w:eastAsia="宋体" w:cs="宋体"/>
                <w:color w:val="auto"/>
                <w:szCs w:val="21"/>
              </w:rPr>
              <w:t>维护人员培训</w:t>
            </w:r>
          </w:p>
          <w:p>
            <w:pPr>
              <w:spacing w:line="320" w:lineRule="exact"/>
              <w:jc w:val="left"/>
              <w:rPr>
                <w:rFonts w:ascii="宋体" w:hAnsi="宋体" w:eastAsia="宋体" w:cs="宋体"/>
                <w:color w:val="auto"/>
                <w:szCs w:val="21"/>
              </w:rPr>
            </w:pPr>
            <w:r>
              <w:rPr>
                <w:rFonts w:hint="eastAsia" w:ascii="宋体" w:hAnsi="宋体" w:eastAsia="宋体" w:cs="宋体"/>
                <w:color w:val="auto"/>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auto"/>
                <w:szCs w:val="21"/>
              </w:rPr>
            </w:pPr>
            <w:r>
              <w:rPr>
                <w:rFonts w:hint="eastAsia" w:ascii="宋体" w:hAnsi="宋体" w:eastAsia="宋体" w:cs="宋体"/>
                <w:color w:val="auto"/>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w:t>
            </w:r>
            <w:r>
              <w:rPr>
                <w:rFonts w:hint="eastAsia" w:ascii="宋体" w:hAnsi="宋体" w:eastAsia="宋体" w:cs="宋体"/>
                <w:color w:val="auto"/>
                <w:szCs w:val="21"/>
              </w:rPr>
              <w:t>供应商需提供完整的实施方案，包含具体的实施进度和人员安排，保证整个项目建设的连续性。</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p>
      <w:pPr>
        <w:pStyle w:val="2"/>
        <w:rPr>
          <w:rFonts w:hint="default" w:ascii="宋体" w:hAnsi="宋体" w:eastAsia="宋体" w:cs="Times New Roman"/>
          <w:b/>
          <w:color w:val="000000"/>
          <w:kern w:val="2"/>
          <w:sz w:val="21"/>
          <w:szCs w:val="21"/>
          <w:lang w:val="en-US" w:eastAsia="zh-CN" w:bidi="ar-SA"/>
        </w:rPr>
      </w:pPr>
    </w:p>
    <w:tbl>
      <w:tblPr>
        <w:tblStyle w:val="11"/>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Calibri" w:hAnsi="Calibri" w:eastAsia="宋体" w:cs="Calibri"/>
                <w:szCs w:val="21"/>
              </w:rPr>
            </w:pPr>
            <w:r>
              <w:rPr>
                <w:rFonts w:hint="eastAsia" w:ascii="宋体" w:hAnsi="宋体" w:eastAsia="宋体" w:cs="Courier New"/>
                <w:bCs/>
                <w:color w:val="000000"/>
                <w:szCs w:val="21"/>
              </w:rPr>
              <w:t>以进入比较与评价环节的最低的评审价为基准价，基准价得分为</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。价格分计算公式：报价得分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2.1 方案设计（</w:t>
            </w:r>
            <w:r>
              <w:rPr>
                <w:rFonts w:hint="eastAsia" w:ascii="宋体" w:hAnsi="宋体" w:eastAsia="宋体" w:cs="Courier New"/>
                <w:bCs/>
                <w:color w:val="000000"/>
                <w:kern w:val="0"/>
                <w:szCs w:val="21"/>
                <w:lang w:val="en-US" w:eastAsia="zh-CN"/>
              </w:rPr>
              <w:t>10</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每项方案设计合理，针对性强、能最大限度的考虑采购人的实</w:t>
            </w:r>
            <w:r>
              <w:rPr>
                <w:rFonts w:ascii="宋体" w:hAnsi="宋体" w:eastAsia="宋体" w:cs="Courier New"/>
                <w:bCs/>
                <w:color w:val="000000"/>
                <w:kern w:val="0"/>
                <w:szCs w:val="21"/>
              </w:rPr>
              <w:t xml:space="preserve"> 际需求和利益的，得</w:t>
            </w:r>
            <w:r>
              <w:rPr>
                <w:rFonts w:hint="eastAsia" w:ascii="宋体" w:hAnsi="宋体" w:eastAsia="宋体" w:cs="Courier New"/>
                <w:bCs/>
                <w:color w:val="000000"/>
                <w:kern w:val="0"/>
                <w:szCs w:val="21"/>
                <w:lang w:val="en-US" w:eastAsia="zh-CN"/>
              </w:rPr>
              <w:t>10</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每项方案设计较合理，有一定的针对性、能考虑采购人的实际</w:t>
            </w:r>
            <w:r>
              <w:rPr>
                <w:rFonts w:ascii="宋体" w:hAnsi="宋体" w:eastAsia="宋体" w:cs="Courier New"/>
                <w:bCs/>
                <w:color w:val="000000"/>
                <w:kern w:val="0"/>
                <w:szCs w:val="21"/>
              </w:rPr>
              <w:t xml:space="preserve"> 需求和利益的，得 </w:t>
            </w:r>
            <w:r>
              <w:rPr>
                <w:rFonts w:hint="eastAsia" w:ascii="宋体" w:hAnsi="宋体" w:eastAsia="宋体" w:cs="Courier New"/>
                <w:bCs/>
                <w:color w:val="000000"/>
                <w:kern w:val="0"/>
                <w:szCs w:val="21"/>
                <w:lang w:val="en-US" w:eastAsia="zh-CN"/>
              </w:rPr>
              <w:t>6</w:t>
            </w:r>
            <w:r>
              <w:rPr>
                <w:rFonts w:ascii="宋体" w:hAnsi="宋体" w:eastAsia="宋体" w:cs="Courier New"/>
                <w:bCs/>
                <w:color w:val="000000"/>
                <w:kern w:val="0"/>
                <w:szCs w:val="21"/>
              </w:rPr>
              <w:t xml:space="preserve">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每项方案设计欠缺合理，未能考虑采购人的实际需求和利益的，</w:t>
            </w:r>
            <w:r>
              <w:rPr>
                <w:rFonts w:ascii="宋体" w:hAnsi="宋体" w:eastAsia="宋体" w:cs="Courier New"/>
                <w:bCs/>
                <w:color w:val="000000"/>
                <w:kern w:val="0"/>
                <w:szCs w:val="21"/>
              </w:rPr>
              <w:t xml:space="preserve"> 得 </w:t>
            </w:r>
            <w:r>
              <w:rPr>
                <w:rFonts w:hint="eastAsia" w:ascii="宋体" w:hAnsi="宋体" w:eastAsia="宋体" w:cs="Courier New"/>
                <w:bCs/>
                <w:color w:val="000000"/>
                <w:kern w:val="0"/>
                <w:szCs w:val="21"/>
                <w:lang w:val="en-US" w:eastAsia="zh-CN"/>
              </w:rPr>
              <w:t>3</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不提供方案设计的不得分。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w:t>
            </w:r>
            <w:r>
              <w:rPr>
                <w:rFonts w:hint="eastAsia" w:ascii="宋体" w:hAnsi="宋体" w:eastAsia="宋体" w:cs="Courier New"/>
                <w:bCs/>
                <w:color w:val="000000"/>
                <w:kern w:val="0"/>
                <w:szCs w:val="21"/>
                <w:lang w:val="en-US" w:eastAsia="zh-CN"/>
              </w:rPr>
              <w:t>25</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hint="eastAsia" w:ascii="宋体" w:hAnsi="宋体" w:eastAsia="宋体" w:cs="Courier New"/>
                <w:bCs/>
                <w:color w:val="000000"/>
                <w:kern w:val="0"/>
                <w:szCs w:val="21"/>
                <w:lang w:val="en-US" w:eastAsia="zh-CN"/>
              </w:rPr>
              <w:t>15</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投标文件技术参数有1个负偏离，得</w:t>
            </w:r>
            <w:r>
              <w:rPr>
                <w:rFonts w:hint="eastAsia" w:ascii="宋体" w:hAnsi="宋体" w:eastAsia="宋体" w:cs="Courier New"/>
                <w:bCs/>
                <w:color w:val="000000"/>
                <w:kern w:val="0"/>
                <w:szCs w:val="21"/>
                <w:lang w:val="en-US" w:eastAsia="zh-CN"/>
              </w:rPr>
              <w:t>5</w:t>
            </w:r>
            <w:r>
              <w:rPr>
                <w:rFonts w:hint="eastAsia" w:ascii="宋体" w:hAnsi="宋体" w:eastAsia="宋体" w:cs="Courier New"/>
                <w:bCs/>
                <w:color w:val="000000"/>
                <w:kern w:val="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w:t>
            </w:r>
            <w:r>
              <w:rPr>
                <w:rFonts w:hint="eastAsia" w:ascii="宋体" w:hAnsi="宋体" w:eastAsia="宋体" w:cs="Courier New"/>
                <w:bCs/>
                <w:color w:val="000000"/>
                <w:szCs w:val="21"/>
                <w:lang w:val="en-US" w:eastAsia="zh-CN"/>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w:t>
            </w:r>
            <w:r>
              <w:rPr>
                <w:rFonts w:hint="eastAsia" w:ascii="宋体" w:hAnsi="宋体" w:eastAsia="宋体" w:cs="Courier New"/>
                <w:bCs/>
                <w:color w:val="000000"/>
                <w:szCs w:val="21"/>
                <w:lang w:val="en-US" w:eastAsia="zh-CN"/>
              </w:rPr>
              <w:t>6</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w:t>
            </w:r>
            <w:r>
              <w:rPr>
                <w:rFonts w:hint="eastAsia" w:ascii="宋体" w:hAnsi="宋体" w:eastAsia="宋体" w:cs="Courier New"/>
                <w:bCs/>
                <w:color w:val="000000"/>
                <w:szCs w:val="21"/>
                <w:lang w:val="en-US" w:eastAsia="zh-CN"/>
              </w:rPr>
              <w:t>10</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1</w:t>
            </w:r>
            <w:r>
              <w:rPr>
                <w:rFonts w:ascii="宋体" w:hAnsi="宋体" w:eastAsia="宋体" w:cs="仿宋"/>
                <w:szCs w:val="21"/>
              </w:rPr>
              <w:t>.</w:t>
            </w: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hint="eastAsia" w:ascii="宋体" w:hAnsi="宋体" w:eastAsia="宋体" w:cs="仿宋"/>
                <w:szCs w:val="21"/>
                <w:lang w:val="en-US" w:eastAsia="zh-CN"/>
              </w:rPr>
              <w:t>3</w:t>
            </w:r>
            <w:r>
              <w:rPr>
                <w:rFonts w:hint="eastAsia" w:ascii="宋体" w:hAnsi="宋体" w:eastAsia="宋体" w:cs="仿宋"/>
                <w:szCs w:val="21"/>
              </w:rPr>
              <w:t>分）：其方案内容一般、有售后服务机构、流程有欠缺、方案有欠缺；</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hint="eastAsia" w:ascii="宋体" w:hAnsi="宋体" w:eastAsia="宋体" w:cs="仿宋"/>
                <w:szCs w:val="21"/>
                <w:lang w:val="en-US" w:eastAsia="zh-CN"/>
              </w:rPr>
              <w:t>6</w:t>
            </w:r>
            <w:r>
              <w:rPr>
                <w:rFonts w:hint="eastAsia" w:ascii="宋体" w:hAnsi="宋体" w:eastAsia="宋体" w:cs="仿宋"/>
                <w:szCs w:val="21"/>
              </w:rPr>
              <w:t>分）：其方案内容部分完整、能提供快速的售后服务响应，并针对本项目提供专门的售后服务技术支持、服务保障方案及应急预案，方案良好；</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hint="eastAsia" w:ascii="宋体" w:hAnsi="宋体" w:eastAsia="宋体" w:cs="仿宋"/>
                <w:szCs w:val="21"/>
                <w:lang w:val="en-US" w:eastAsia="zh-CN"/>
              </w:rPr>
              <w:t>10</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pPr>
              <w:autoSpaceDE w:val="0"/>
              <w:autoSpaceDN w:val="0"/>
              <w:spacing w:line="440" w:lineRule="exact"/>
              <w:rPr>
                <w:rFonts w:ascii="宋体" w:hAnsi="宋体" w:eastAsia="宋体" w:cs="仿宋"/>
                <w:szCs w:val="21"/>
              </w:rPr>
            </w:pPr>
            <w:r>
              <w:rPr>
                <w:rFonts w:hint="eastAsia" w:ascii="宋体" w:hAnsi="宋体" w:eastAsia="宋体" w:cs="仿宋"/>
                <w:szCs w:val="21"/>
              </w:rPr>
              <w:t>2</w:t>
            </w:r>
            <w:r>
              <w:rPr>
                <w:rFonts w:ascii="宋体" w:hAnsi="宋体" w:eastAsia="宋体" w:cs="仿宋"/>
                <w:szCs w:val="21"/>
              </w:rPr>
              <w:t>.</w:t>
            </w:r>
            <w:r>
              <w:rPr>
                <w:rFonts w:hint="eastAsia" w:ascii="宋体" w:hAnsi="宋体" w:eastAsia="宋体" w:cs="仿宋"/>
                <w:szCs w:val="21"/>
              </w:rPr>
              <w:t>开放全部软件源代码，得2分。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hint="eastAsia" w:ascii="宋体" w:hAnsi="宋体" w:eastAsia="宋体" w:cs="Arial"/>
                <w:szCs w:val="21"/>
                <w:lang w:val="en-US" w:eastAsia="zh-CN"/>
              </w:rPr>
              <w:t>20</w:t>
            </w:r>
            <w:r>
              <w:rPr>
                <w:rFonts w:hint="eastAsia" w:ascii="宋体" w:hAnsi="宋体" w:eastAsia="宋体" w:cs="Arial"/>
                <w:szCs w:val="21"/>
              </w:rPr>
              <w:t>年</w:t>
            </w:r>
            <w:r>
              <w:rPr>
                <w:rFonts w:hint="eastAsia" w:ascii="宋体" w:hAnsi="宋体" w:eastAsia="宋体" w:cs="Arial"/>
                <w:szCs w:val="21"/>
                <w:lang w:val="en-US" w:eastAsia="zh-CN"/>
              </w:rPr>
              <w:t>6</w:t>
            </w:r>
            <w:r>
              <w:rPr>
                <w:rFonts w:hint="eastAsia" w:ascii="宋体" w:hAnsi="宋体" w:eastAsia="宋体" w:cs="Arial"/>
                <w:szCs w:val="21"/>
              </w:rPr>
              <w:t>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（1）具有系统实施、系统维护、服务支持的服务人员队伍，服务团队不低于3人，以202</w:t>
            </w:r>
            <w:r>
              <w:rPr>
                <w:rFonts w:hint="eastAsia" w:ascii="宋体" w:hAnsi="宋体" w:eastAsia="宋体" w:cs="Arial"/>
                <w:szCs w:val="21"/>
                <w:lang w:val="en-US" w:eastAsia="zh-CN"/>
              </w:rPr>
              <w:t>2</w:t>
            </w:r>
            <w:r>
              <w:rPr>
                <w:rFonts w:hint="eastAsia" w:ascii="宋体" w:hAnsi="宋体" w:eastAsia="宋体" w:cs="Arial"/>
                <w:szCs w:val="21"/>
              </w:rPr>
              <w:t>年</w:t>
            </w:r>
            <w:r>
              <w:rPr>
                <w:rFonts w:ascii="宋体" w:hAnsi="宋体" w:eastAsia="宋体" w:cs="Arial"/>
                <w:szCs w:val="21"/>
              </w:rPr>
              <w:t>6</w:t>
            </w:r>
            <w:r>
              <w:rPr>
                <w:rFonts w:hint="eastAsia" w:ascii="宋体" w:hAnsi="宋体" w:eastAsia="宋体" w:cs="Arial"/>
                <w:szCs w:val="21"/>
              </w:rPr>
              <w:t>月至今任意三个月供应商为技术人员缴纳社保的证明材料复印件并加盖供应商公章为准，无社保证明不得分； 满足条件的服务人数每增加1人得1分，满分</w:t>
            </w:r>
            <w:r>
              <w:rPr>
                <w:rFonts w:hint="eastAsia" w:ascii="宋体" w:hAnsi="宋体" w:eastAsia="宋体" w:cs="Arial"/>
                <w:szCs w:val="21"/>
                <w:lang w:val="en-US" w:eastAsia="zh-CN"/>
              </w:rPr>
              <w:t>3</w:t>
            </w:r>
            <w:r>
              <w:rPr>
                <w:rFonts w:hint="eastAsia" w:ascii="宋体" w:hAnsi="宋体" w:eastAsia="宋体" w:cs="Arial"/>
                <w:szCs w:val="21"/>
              </w:rPr>
              <w:t>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（3）供应商具有自主知识产权的计算机软件著作权登记证书，得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（4）供应商具有商务诚信等级评价证书，得</w:t>
            </w:r>
            <w:r>
              <w:rPr>
                <w:rFonts w:ascii="宋体" w:hAnsi="宋体" w:eastAsia="宋体" w:cs="Arial"/>
                <w:szCs w:val="21"/>
              </w:rPr>
              <w:t xml:space="preserve"> 1 分</w:t>
            </w:r>
            <w:r>
              <w:rPr>
                <w:rFonts w:hint="eastAsia" w:ascii="宋体" w:hAnsi="宋体" w:eastAsia="宋体" w:cs="Arial"/>
                <w:szCs w:val="21"/>
              </w:rPr>
              <w:t>（响应文件中提供证书复印件）；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pStyle w:val="2"/>
        <w:rPr>
          <w:rFonts w:hint="eastAsia"/>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ind w:firstLine="420" w:firstLineChars="200"/>
        <w:jc w:val="left"/>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spacing w:line="400" w:lineRule="exact"/>
        <w:ind w:firstLine="420" w:firstLineChars="200"/>
        <w:jc w:val="left"/>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bookmarkStart w:id="27" w:name="_GoBack"/>
      <w:bookmarkEnd w:id="27"/>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1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1"/>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宋体" w:hAnsi="宋体" w:cs="宋体"/>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autoSpaceDE w:val="0"/>
        <w:autoSpaceDN w:val="0"/>
        <w:spacing w:line="300" w:lineRule="auto"/>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snapToGrid w:val="0"/>
        <w:jc w:val="center"/>
        <w:rPr>
          <w:rFonts w:hint="eastAsia" w:ascii="宋体" w:hAnsi="宋体" w:cs="宋体"/>
          <w:b/>
          <w:sz w:val="28"/>
          <w:szCs w:val="28"/>
        </w:rPr>
      </w:pP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pPr>
        <w:snapToGrid w:val="0"/>
        <w:spacing w:line="360" w:lineRule="auto"/>
        <w:jc w:val="center"/>
        <w:rPr>
          <w:rFonts w:hint="eastAsia" w:ascii="宋体" w:hAnsi="宋体" w:cs="宋体"/>
          <w:b/>
          <w:sz w:val="24"/>
        </w:rPr>
      </w:pPr>
    </w:p>
    <w:tbl>
      <w:tblPr>
        <w:tblStyle w:val="1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bl>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p>
    <w:p>
      <w:pPr>
        <w:spacing w:line="520" w:lineRule="exact"/>
        <w:rPr>
          <w:rFonts w:hint="eastAsia" w:ascii="仿宋_GB2312" w:hAnsi="Calibri" w:eastAsia="仿宋_GB2312" w:cs="Calibri"/>
          <w:color w:val="000000"/>
          <w:sz w:val="32"/>
          <w:szCs w:val="32"/>
        </w:rPr>
      </w:pP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ind w:firstLine="640" w:firstLineChars="200"/>
        <w:rPr>
          <w:rFonts w:hint="eastAsia"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D9F2A"/>
    <w:multiLevelType w:val="singleLevel"/>
    <w:tmpl w:val="854D9F2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2AB7794"/>
    <w:rsid w:val="038A57B0"/>
    <w:rsid w:val="07983A0B"/>
    <w:rsid w:val="1780180B"/>
    <w:rsid w:val="1AB97848"/>
    <w:rsid w:val="2F9230FC"/>
    <w:rsid w:val="43D33022"/>
    <w:rsid w:val="443B6D2B"/>
    <w:rsid w:val="4A1C2405"/>
    <w:rsid w:val="50C05D1E"/>
    <w:rsid w:val="51A33D57"/>
    <w:rsid w:val="62B23F51"/>
    <w:rsid w:val="653E0E59"/>
    <w:rsid w:val="69A87B4B"/>
    <w:rsid w:val="6ACD0907"/>
    <w:rsid w:val="74A40537"/>
    <w:rsid w:val="75963F57"/>
    <w:rsid w:val="78FD6A42"/>
    <w:rsid w:val="7AE02CE9"/>
    <w:rsid w:val="7BBC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4">
    <w:name w:val="annotation text"/>
    <w:basedOn w:val="1"/>
    <w:qFormat/>
    <w:uiPriority w:val="99"/>
    <w:pPr>
      <w:jc w:val="left"/>
    </w:pPr>
  </w:style>
  <w:style w:type="paragraph" w:styleId="5">
    <w:name w:val="Body Text"/>
    <w:basedOn w:val="1"/>
    <w:next w:val="1"/>
    <w:qFormat/>
    <w:uiPriority w:val="99"/>
    <w:pPr>
      <w:adjustRightInd w:val="0"/>
      <w:snapToGrid w:val="0"/>
      <w:spacing w:line="336" w:lineRule="auto"/>
      <w:jc w:val="center"/>
    </w:pPr>
    <w:rPr>
      <w:kern w:val="0"/>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Date"/>
    <w:basedOn w:val="1"/>
    <w:next w:val="1"/>
    <w:link w:val="16"/>
    <w:semiHidden/>
    <w:unhideWhenUsed/>
    <w:qFormat/>
    <w:uiPriority w:val="99"/>
    <w:pPr>
      <w:ind w:left="100" w:leftChars="2500"/>
    </w:p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qFormat/>
    <w:uiPriority w:val="99"/>
    <w:pPr>
      <w:tabs>
        <w:tab w:val="left" w:pos="8280"/>
      </w:tabs>
      <w:spacing w:line="360" w:lineRule="auto"/>
      <w:ind w:left="200" w:firstLine="200" w:firstLineChars="200"/>
    </w:pPr>
    <w:rPr>
      <w:rFonts w:ascii="Times New Roman" w:eastAsia="仿宋_GB2312"/>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8"/>
    <w:qFormat/>
    <w:uiPriority w:val="99"/>
    <w:rPr>
      <w:sz w:val="18"/>
      <w:szCs w:val="18"/>
    </w:rPr>
  </w:style>
  <w:style w:type="character" w:customStyle="1" w:styleId="15">
    <w:name w:val="页脚 字符"/>
    <w:basedOn w:val="13"/>
    <w:link w:val="2"/>
    <w:qFormat/>
    <w:uiPriority w:val="99"/>
    <w:rPr>
      <w:sz w:val="18"/>
      <w:szCs w:val="18"/>
    </w:rPr>
  </w:style>
  <w:style w:type="character" w:customStyle="1" w:styleId="16">
    <w:name w:val="日期 字符"/>
    <w:basedOn w:val="13"/>
    <w:link w:val="7"/>
    <w:semiHidden/>
    <w:qFormat/>
    <w:uiPriority w:val="99"/>
  </w:style>
  <w:style w:type="character" w:customStyle="1" w:styleId="17">
    <w:name w:val="标题 2 字符"/>
    <w:basedOn w:val="13"/>
    <w:link w:val="3"/>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29158</Words>
  <Characters>30003</Characters>
  <Lines>193</Lines>
  <Paragraphs>54</Paragraphs>
  <TotalTime>11</TotalTime>
  <ScaleCrop>false</ScaleCrop>
  <LinksUpToDate>false</LinksUpToDate>
  <CharactersWithSpaces>31950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2023-07-24T07:57:49Z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C812E5A5E5E14A3FBF76BBBFCC4085E5_13</vt:lpwstr>
  </property>
</Properties>
</file>