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lang w:eastAsia="zh-CN"/>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eastAsia="zh-CN"/>
        </w:rPr>
        <w:t>广西骨伤医院脊柱大通道内镜、脊柱小通道内镜及手术器械采购项目竞争性磋商文件</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eastAsia" w:ascii="仿宋_GB2312" w:hAnsi="宋体" w:eastAsia="仿宋_GB2312" w:cs="Times New Roman"/>
          <w:b/>
          <w:color w:val="000000"/>
          <w:sz w:val="32"/>
          <w:szCs w:val="32"/>
          <w:highlight w:val="yellow"/>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GXGSYY-CGB-SBK-2023-29(A、B)</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4229878"/>
      <w:bookmarkStart w:id="2" w:name="_Toc47452205"/>
      <w:bookmarkStart w:id="3" w:name="_Toc35393629"/>
      <w:bookmarkStart w:id="4" w:name="_Toc35393798"/>
      <w:bookmarkStart w:id="5" w:name="_Toc2835908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highlight w:val="yellow"/>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lang w:eastAsia="zh-CN"/>
        </w:rPr>
        <w:t>GXGSYY-CGB-SBK-2023-29(A、B)</w:t>
      </w:r>
    </w:p>
    <w:p>
      <w:pPr>
        <w:spacing w:line="320" w:lineRule="exact"/>
        <w:ind w:firstLine="420" w:firstLineChars="200"/>
        <w:rPr>
          <w:rFonts w:hint="eastAsia" w:ascii="宋体" w:hAnsi="宋体" w:eastAsia="宋体" w:cs="Times New Roman"/>
          <w:color w:val="000000"/>
          <w:szCs w:val="21"/>
          <w:u w:val="single"/>
          <w:lang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eastAsia="zh-CN"/>
        </w:rPr>
        <w:t>广西骨伤医院脊柱大通道内镜、脊柱小通道内镜及手术器械采购项目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A标段预算16万元，B标段预算33万元（22万元+11万元）</w:t>
      </w:r>
      <w:r>
        <w:rPr>
          <w:rFonts w:hint="eastAsia" w:ascii="宋体" w:hAnsi="宋体" w:eastAsia="宋体" w:cs="Times New Roman"/>
          <w:color w:val="000000"/>
          <w:szCs w:val="21"/>
        </w:rPr>
        <w:t>。</w:t>
      </w:r>
    </w:p>
    <w:p>
      <w:pPr>
        <w:spacing w:line="320" w:lineRule="exact"/>
        <w:ind w:firstLine="420" w:firstLineChars="200"/>
        <w:rPr>
          <w:rFonts w:hint="eastAsia" w:ascii="宋体" w:hAnsi="宋体" w:eastAsia="宋体" w:cs="Times New Roman"/>
          <w:color w:val="000000"/>
          <w:szCs w:val="21"/>
        </w:rPr>
      </w:pPr>
      <w:bookmarkStart w:id="7" w:name="_Toc44229879"/>
      <w:bookmarkStart w:id="8" w:name="_Toc35393799"/>
      <w:bookmarkStart w:id="9" w:name="_Toc47452206"/>
      <w:bookmarkStart w:id="10" w:name="_Toc28359013"/>
      <w:bookmarkStart w:id="11" w:name="_Toc28359090"/>
      <w:bookmarkStart w:id="12" w:name="_Toc35393630"/>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A分标：</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val="en-US" w:eastAsia="zh-CN"/>
              </w:rPr>
              <w:t>脊柱大通道内镜</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套</w:t>
            </w:r>
          </w:p>
        </w:tc>
        <w:tc>
          <w:tcPr>
            <w:tcW w:w="5103" w:type="dxa"/>
            <w:tcBorders>
              <w:top w:val="single" w:color="auto" w:sz="4" w:space="0"/>
              <w:left w:val="nil"/>
              <w:bottom w:val="single" w:color="auto" w:sz="4" w:space="0"/>
              <w:right w:val="single" w:color="auto" w:sz="4" w:space="0"/>
            </w:tcBorders>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一、基础要求：</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具备可匹配目前我院使用的Jiomax手术器械的工作外套管。</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二、基本参数：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1.</w:t>
            </w:r>
            <w:r>
              <w:rPr>
                <w:rFonts w:hint="eastAsia" w:ascii="宋体" w:hAnsi="宋体" w:eastAsia="宋体" w:cs="Times New Roman"/>
                <w:b w:val="0"/>
                <w:bCs w:val="0"/>
                <w:color w:val="000000"/>
                <w:kern w:val="2"/>
                <w:sz w:val="21"/>
                <w:szCs w:val="21"/>
                <w:lang w:val="en-US" w:eastAsia="zh-CN" w:bidi="ar-SA"/>
              </w:rPr>
              <w:t>外观：器械表面光洁、平整、光滑、无毛刺、无裂纹、无缺损、无变形，标识清晰；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2.</w:t>
            </w:r>
            <w:r>
              <w:rPr>
                <w:rFonts w:hint="eastAsia" w:ascii="宋体" w:hAnsi="宋体" w:eastAsia="宋体" w:cs="Times New Roman"/>
                <w:b w:val="0"/>
                <w:bCs w:val="0"/>
                <w:color w:val="000000"/>
                <w:kern w:val="2"/>
                <w:sz w:val="21"/>
                <w:szCs w:val="21"/>
                <w:lang w:val="en-US" w:eastAsia="zh-CN" w:bidi="ar-SA"/>
              </w:rPr>
              <w:t>材质：与患者接触的不锈钢化学成分符合YY/T 0294.1-2016或ASTMF899-20中材质要求或选用更高材质；</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3.</w:t>
            </w:r>
            <w:r>
              <w:rPr>
                <w:rFonts w:hint="eastAsia" w:ascii="宋体" w:hAnsi="宋体" w:eastAsia="宋体" w:cs="Times New Roman"/>
                <w:b w:val="0"/>
                <w:bCs w:val="0"/>
                <w:color w:val="000000"/>
                <w:kern w:val="2"/>
                <w:sz w:val="21"/>
                <w:szCs w:val="21"/>
                <w:lang w:val="en-US" w:eastAsia="zh-CN" w:bidi="ar-SA"/>
              </w:rPr>
              <w:t>硬度：钢材硬度不低于320HV10；</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B分标：</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设备</w:t>
            </w:r>
            <w:r>
              <w:rPr>
                <w:rFonts w:hint="eastAsia" w:ascii="宋体" w:hAnsi="宋体" w:eastAsia="宋体" w:cs="Calibri"/>
                <w:color w:val="000000"/>
                <w:szCs w:val="21"/>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lang w:val="en-US" w:eastAsia="zh-CN"/>
              </w:rPr>
              <w:t>脊柱小通道内镜</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2套</w:t>
            </w:r>
          </w:p>
        </w:tc>
        <w:tc>
          <w:tcPr>
            <w:tcW w:w="5103" w:type="dxa"/>
            <w:tcBorders>
              <w:top w:val="single" w:color="auto" w:sz="4" w:space="0"/>
              <w:left w:val="nil"/>
              <w:bottom w:val="single" w:color="auto" w:sz="4" w:space="0"/>
              <w:right w:val="single" w:color="auto" w:sz="4" w:space="0"/>
            </w:tcBorders>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一、基本参数：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1.</w:t>
            </w:r>
            <w:r>
              <w:rPr>
                <w:rFonts w:hint="eastAsia" w:ascii="宋体" w:hAnsi="宋体" w:eastAsia="宋体" w:cs="Times New Roman"/>
                <w:b w:val="0"/>
                <w:bCs w:val="0"/>
                <w:color w:val="000000"/>
                <w:kern w:val="2"/>
                <w:sz w:val="21"/>
                <w:szCs w:val="21"/>
                <w:lang w:val="en-US" w:eastAsia="zh-CN" w:bidi="ar-SA"/>
              </w:rPr>
              <w:t>外观：器械表面光洁、平整、光滑、无毛刺、无裂纹、无缺损、无变形，标识清晰；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2.</w:t>
            </w:r>
            <w:r>
              <w:rPr>
                <w:rFonts w:hint="eastAsia" w:ascii="宋体" w:hAnsi="宋体" w:eastAsia="宋体" w:cs="Times New Roman"/>
                <w:b w:val="0"/>
                <w:bCs w:val="0"/>
                <w:color w:val="000000"/>
                <w:kern w:val="2"/>
                <w:sz w:val="21"/>
                <w:szCs w:val="21"/>
                <w:lang w:val="en-US" w:eastAsia="zh-CN" w:bidi="ar-SA"/>
              </w:rPr>
              <w:t>材质：与患者接触的不锈钢化学成分符合YY/T 0294.1-2016或ASTMF899-20中材质要求或选用更高材质；</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3.</w:t>
            </w:r>
            <w:r>
              <w:rPr>
                <w:rFonts w:hint="eastAsia" w:ascii="宋体" w:hAnsi="宋体" w:eastAsia="宋体" w:cs="Times New Roman"/>
                <w:b w:val="0"/>
                <w:bCs w:val="0"/>
                <w:color w:val="000000"/>
                <w:kern w:val="2"/>
                <w:sz w:val="21"/>
                <w:szCs w:val="21"/>
                <w:lang w:val="en-US" w:eastAsia="zh-CN" w:bidi="ar-SA"/>
              </w:rPr>
              <w:t>硬度：钢材硬度不低于320HV10；</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ascii="宋体" w:hAnsi="宋体" w:eastAsia="宋体" w:cs="Times New Roman"/>
                <w:color w:val="000000"/>
                <w:szCs w:val="21"/>
              </w:rPr>
            </w:pP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脊柱内镜用手术器械</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1套</w:t>
            </w:r>
          </w:p>
        </w:tc>
        <w:tc>
          <w:tcPr>
            <w:tcW w:w="5103" w:type="dxa"/>
            <w:tcBorders>
              <w:top w:val="single" w:color="auto" w:sz="4" w:space="0"/>
              <w:left w:val="nil"/>
              <w:bottom w:val="single" w:color="auto" w:sz="4" w:space="0"/>
              <w:right w:val="single" w:color="auto" w:sz="4" w:space="0"/>
            </w:tcBorders>
          </w:tcPr>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一、适用范围</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配合椎间孔镜使用，用于开展脊柱骨科手术时的检查或手术期间的操作。</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eastAsia" w:ascii="宋体" w:hAnsi="宋体" w:eastAsia="宋体" w:cs="Times New Roman"/>
                <w:b w:val="0"/>
                <w:bCs w:val="0"/>
                <w:color w:val="000000"/>
                <w:kern w:val="2"/>
                <w:sz w:val="21"/>
                <w:szCs w:val="21"/>
                <w:lang w:val="en-US" w:eastAsia="zh-CN" w:bidi="ar-SA"/>
              </w:rPr>
              <w:t>二、基本参数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1.</w:t>
            </w:r>
            <w:r>
              <w:rPr>
                <w:rFonts w:hint="eastAsia" w:ascii="宋体" w:hAnsi="宋体" w:eastAsia="宋体" w:cs="Times New Roman"/>
                <w:b w:val="0"/>
                <w:bCs w:val="0"/>
                <w:color w:val="000000"/>
                <w:kern w:val="2"/>
                <w:sz w:val="21"/>
                <w:szCs w:val="21"/>
                <w:lang w:val="en-US" w:eastAsia="zh-CN" w:bidi="ar-SA"/>
              </w:rPr>
              <w:t>外观：器械表面光洁、平整、光滑、无毛刺、无裂纹、无缺损、无变形，标识清晰；</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default"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2.</w:t>
            </w:r>
            <w:r>
              <w:rPr>
                <w:rFonts w:hint="eastAsia" w:ascii="宋体" w:hAnsi="宋体" w:eastAsia="宋体" w:cs="Times New Roman"/>
                <w:b w:val="0"/>
                <w:bCs w:val="0"/>
                <w:color w:val="000000"/>
                <w:kern w:val="2"/>
                <w:sz w:val="21"/>
                <w:szCs w:val="21"/>
                <w:lang w:val="en-US" w:eastAsia="zh-CN" w:bidi="ar-SA"/>
              </w:rPr>
              <w:t>材质：与患者接触的不锈钢化学成分符合YY/T 0294.1-2016或ASTMF899-20中材质要求或选用更高材质；</w:t>
            </w:r>
          </w:p>
          <w:p>
            <w:pPr>
              <w:pStyle w:val="2"/>
              <w:pageBreakBefore w:val="0"/>
              <w:widowControl w:val="0"/>
              <w:numPr>
                <w:ilvl w:val="0"/>
                <w:numId w:val="0"/>
              </w:numPr>
              <w:kinsoku/>
              <w:wordWrap/>
              <w:overflowPunct/>
              <w:topLinePunct w:val="0"/>
              <w:autoSpaceDE/>
              <w:autoSpaceDN/>
              <w:bidi w:val="0"/>
              <w:adjustRightInd/>
              <w:spacing w:before="0" w:beforeLines="0" w:line="240" w:lineRule="exact"/>
              <w:ind w:leftChars="0"/>
              <w:jc w:val="left"/>
              <w:textAlignment w:val="auto"/>
              <w:rPr>
                <w:rFonts w:hint="eastAsia" w:ascii="宋体" w:hAnsi="宋体" w:eastAsia="宋体" w:cs="Times New Roman"/>
                <w:b w:val="0"/>
                <w:bCs w:val="0"/>
                <w:color w:val="000000"/>
                <w:kern w:val="2"/>
                <w:sz w:val="21"/>
                <w:szCs w:val="21"/>
                <w:lang w:val="en-US" w:eastAsia="zh-CN" w:bidi="ar-SA"/>
              </w:rPr>
            </w:pPr>
            <w:r>
              <w:rPr>
                <w:rFonts w:hint="default" w:ascii="宋体" w:hAnsi="宋体" w:eastAsia="宋体" w:cs="Times New Roman"/>
                <w:b w:val="0"/>
                <w:bCs w:val="0"/>
                <w:color w:val="000000"/>
                <w:kern w:val="2"/>
                <w:sz w:val="21"/>
                <w:szCs w:val="21"/>
                <w:lang w:val="en-US" w:eastAsia="zh-CN" w:bidi="ar-SA"/>
              </w:rPr>
              <w:t>3.</w:t>
            </w:r>
            <w:r>
              <w:rPr>
                <w:rFonts w:hint="eastAsia" w:ascii="宋体" w:hAnsi="宋体" w:eastAsia="宋体" w:cs="Times New Roman"/>
                <w:b w:val="0"/>
                <w:bCs w:val="0"/>
                <w:color w:val="000000"/>
                <w:kern w:val="2"/>
                <w:sz w:val="21"/>
                <w:szCs w:val="21"/>
                <w:lang w:val="en-US" w:eastAsia="zh-CN" w:bidi="ar-SA"/>
              </w:rPr>
              <w:t>硬度：钢材硬度不低于320HV10；</w:t>
            </w:r>
          </w:p>
          <w:p>
            <w:pPr>
              <w:rPr>
                <w:rFonts w:hint="eastAsia"/>
              </w:rPr>
            </w:pPr>
            <w:r>
              <w:rPr>
                <w:rFonts w:hint="eastAsia" w:ascii="宋体" w:hAnsi="宋体" w:eastAsia="宋体" w:cs="Times New Roman"/>
                <w:color w:val="000000"/>
                <w:szCs w:val="21"/>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highlight w:val="none"/>
        </w:rPr>
        <w:t>3.首次响应文件提交地点：广西骨伤医院采购办（广西南宁市东葛路1号锦华</w:t>
      </w:r>
      <w:r>
        <w:rPr>
          <w:rFonts w:hint="eastAsia" w:ascii="宋体" w:hAnsi="宋体" w:eastAsia="宋体" w:cs="Calibri"/>
          <w:color w:val="000000"/>
          <w:szCs w:val="21"/>
        </w:rPr>
        <w:t>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lang w:val="en-US" w:eastAsia="zh-CN"/>
        </w:rPr>
      </w:pPr>
      <w:r>
        <w:rPr>
          <w:rFonts w:hint="eastAsia" w:ascii="宋体" w:hAnsi="宋体" w:eastAsia="宋体" w:cs="宋体"/>
          <w:b/>
          <w:color w:val="000000"/>
          <w:szCs w:val="21"/>
        </w:rPr>
        <w:t>五、开启</w:t>
      </w:r>
      <w:r>
        <w:rPr>
          <w:rFonts w:hint="eastAsia" w:ascii="宋体" w:hAnsi="宋体" w:eastAsia="宋体" w:cs="宋体"/>
          <w:b/>
          <w:color w:val="000000"/>
          <w:szCs w:val="21"/>
          <w:lang w:val="en-US" w:eastAsia="zh-CN"/>
        </w:rPr>
        <w:t>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color w:val="000000"/>
          <w:szCs w:val="21"/>
          <w:lang w:val="en-US" w:eastAsia="zh-CN"/>
        </w:rPr>
        <w:t>开启</w:t>
      </w:r>
      <w:r>
        <w:rPr>
          <w:rFonts w:hint="eastAsia" w:ascii="宋体" w:hAnsi="宋体" w:eastAsia="宋体" w:cs="Calibri"/>
          <w:color w:val="000000"/>
          <w:szCs w:val="21"/>
        </w:rPr>
        <w:t>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lang w:val="en-US" w:eastAsia="zh-CN"/>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1</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年</w:t>
            </w:r>
            <w:r>
              <w:rPr>
                <w:rFonts w:ascii="宋体" w:hAnsi="宋体" w:eastAsia="宋体" w:cs="宋体"/>
                <w:color w:val="000000"/>
                <w:szCs w:val="21"/>
                <w:u w:val="single"/>
              </w:rPr>
              <w:t>1</w:t>
            </w:r>
            <w:r>
              <w:rPr>
                <w:rFonts w:hint="eastAsia" w:ascii="宋体" w:hAnsi="宋体" w:eastAsia="宋体" w:cs="宋体"/>
                <w:color w:val="000000"/>
                <w:szCs w:val="21"/>
                <w:u w:val="single"/>
                <w:lang w:val="en-US" w:eastAsia="zh-CN"/>
              </w:rPr>
              <w:t>2</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1</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w:t>
            </w:r>
            <w:r>
              <w:rPr>
                <w:rFonts w:hint="eastAsia" w:ascii="宋体" w:hAnsi="宋体" w:eastAsia="宋体" w:cs="Calibri"/>
                <w:color w:val="000000"/>
                <w:szCs w:val="21"/>
                <w:lang w:val="en-US" w:eastAsia="zh-CN"/>
              </w:rPr>
              <w:t>不高于预算价格，应</w:t>
            </w:r>
            <w:r>
              <w:rPr>
                <w:rFonts w:hint="eastAsia" w:ascii="宋体" w:hAnsi="宋体" w:eastAsia="宋体" w:cs="Calibri"/>
                <w:color w:val="000000"/>
                <w:szCs w:val="21"/>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lang w:eastAsia="zh-CN"/>
        </w:rPr>
        <w:t>广西骨伤医院脊柱大通道内镜、脊柱小通道内镜及手术器械采购项目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hint="eastAsia"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A分标：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脊柱大通道内镜</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套</w:t>
            </w:r>
          </w:p>
        </w:tc>
        <w:tc>
          <w:tcPr>
            <w:tcW w:w="6845" w:type="dxa"/>
            <w:vAlign w:val="top"/>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一、基础要求：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具备可匹配目前我院使用的Jiomax手术器械的工作外套管。</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二、基本参数：</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外观：器械表面光洁、平整、光滑、无毛刺、无裂纹、无缺损、无变形，标识清晰；</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材质：与患者接触的不锈钢化学成分符合YY/T 0294.1-2016或ASTMF899-20中材质要求或选用更高材质；</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硬度：钢材硬度不低于320HV10；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耐腐蚀性：采用不锈钢的耐腐蚀性能应符合YY/T 0149-2006中的相关规定，外表面不低于b级（沸水试验法）；</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后路大通道椎间孔镜1支（进口品牌设为正偏离）；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视向角：15~30°范围内均可；</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视场角：70~80°范围内均可；</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工作通道直径：6.0~7.5mm范围内均可；</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外径：10mm；</w:t>
            </w:r>
          </w:p>
          <w:p>
            <w:pPr>
              <w:adjustRightInd w:val="0"/>
              <w:snapToGrid w:val="0"/>
              <w:spacing w:line="360" w:lineRule="exact"/>
              <w:jc w:val="left"/>
              <w:outlineLvl w:val="0"/>
              <w:rPr>
                <w:rFonts w:ascii="宋体" w:hAnsi="宋体" w:eastAsia="宋体" w:cs="Times New Roman"/>
                <w:color w:val="000000"/>
                <w:szCs w:val="21"/>
              </w:rPr>
            </w:pPr>
            <w:r>
              <w:rPr>
                <w:rFonts w:hint="default" w:ascii="宋体" w:hAnsi="宋体" w:eastAsia="宋体" w:cs="宋体"/>
                <w:bCs/>
                <w:szCs w:val="21"/>
                <w:lang w:val="en-US" w:eastAsia="zh-CN"/>
              </w:rPr>
              <w:t>10.</w:t>
            </w:r>
            <w:r>
              <w:rPr>
                <w:rFonts w:hint="eastAsia" w:ascii="宋体" w:hAnsi="宋体" w:eastAsia="宋体" w:cs="宋体"/>
                <w:bCs/>
                <w:szCs w:val="21"/>
                <w:lang w:val="en-US" w:eastAsia="zh-CN"/>
              </w:rPr>
              <w:t>工作长度：125~181mm范围内均可。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eastAsia" w:ascii="宋体" w:hAnsi="宋体" w:eastAsia="宋体" w:cs="Times New Roman"/>
          <w:bCs/>
          <w:color w:val="000000"/>
          <w:szCs w:val="21"/>
          <w:lang w:val="en-US" w:eastAsia="zh-CN"/>
        </w:rPr>
      </w:pP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B分标：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lang w:val="en-US" w:eastAsia="zh-CN"/>
              </w:rPr>
              <w:t>脊柱小通道内镜</w:t>
            </w:r>
          </w:p>
        </w:tc>
        <w:tc>
          <w:tcPr>
            <w:tcW w:w="1210" w:type="dxa"/>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lang w:val="en-US" w:eastAsia="zh-CN"/>
              </w:rPr>
              <w:t>2套</w:t>
            </w:r>
          </w:p>
        </w:tc>
        <w:tc>
          <w:tcPr>
            <w:tcW w:w="6845" w:type="dxa"/>
            <w:vAlign w:val="top"/>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基本参数：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1.</w:t>
            </w:r>
            <w:r>
              <w:rPr>
                <w:rFonts w:hint="eastAsia" w:ascii="宋体" w:hAnsi="宋体" w:eastAsia="宋体" w:cs="Times New Roman"/>
                <w:bCs/>
                <w:szCs w:val="21"/>
                <w:lang w:val="en-US" w:eastAsia="zh-CN"/>
              </w:rPr>
              <w:t>外观：器械表面光洁、平整、光滑、无毛刺、无裂纹、无缺损、无变形，标识清晰；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2.</w:t>
            </w:r>
            <w:r>
              <w:rPr>
                <w:rFonts w:hint="eastAsia" w:ascii="宋体" w:hAnsi="宋体" w:eastAsia="宋体" w:cs="Times New Roman"/>
                <w:bCs/>
                <w:szCs w:val="21"/>
                <w:lang w:val="en-US" w:eastAsia="zh-CN"/>
              </w:rPr>
              <w:t>材质：与患者接触的不锈钢化学成分符合YY/T 0294.1-2016或ASTMF899-20中材质要求或选用更高材质；</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3.</w:t>
            </w:r>
            <w:r>
              <w:rPr>
                <w:rFonts w:hint="eastAsia" w:ascii="宋体" w:hAnsi="宋体" w:eastAsia="宋体" w:cs="Times New Roman"/>
                <w:bCs/>
                <w:szCs w:val="21"/>
                <w:lang w:val="en-US" w:eastAsia="zh-CN"/>
              </w:rPr>
              <w:t>硬度：钢材硬度不低于320HV10；</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4.</w:t>
            </w:r>
            <w:r>
              <w:rPr>
                <w:rFonts w:hint="eastAsia" w:ascii="宋体" w:hAnsi="宋体" w:eastAsia="宋体" w:cs="Times New Roman"/>
                <w:bCs/>
                <w:szCs w:val="21"/>
                <w:lang w:val="en-US" w:eastAsia="zh-CN"/>
              </w:rPr>
              <w:t>耐腐蚀性：采用不锈钢的耐腐蚀性能应符合YY/T 0149-2006中的相关规定，外表面不低于b级（沸水试验法）；</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5.</w:t>
            </w:r>
            <w:r>
              <w:rPr>
                <w:rFonts w:hint="eastAsia" w:ascii="宋体" w:hAnsi="宋体" w:eastAsia="宋体" w:cs="Times New Roman"/>
                <w:bCs/>
                <w:szCs w:val="21"/>
                <w:lang w:val="en-US" w:eastAsia="zh-CN"/>
              </w:rPr>
              <w:t>小通道椎间孔镜1支（进口品牌设为正偏离）；</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6.</w:t>
            </w:r>
            <w:r>
              <w:rPr>
                <w:rFonts w:hint="eastAsia" w:ascii="宋体" w:hAnsi="宋体" w:eastAsia="宋体" w:cs="Times New Roman"/>
                <w:bCs/>
                <w:szCs w:val="21"/>
                <w:lang w:val="en-US" w:eastAsia="zh-CN"/>
              </w:rPr>
              <w:t>视向角：指定30°；</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7.</w:t>
            </w:r>
            <w:r>
              <w:rPr>
                <w:rFonts w:hint="eastAsia" w:ascii="宋体" w:hAnsi="宋体" w:eastAsia="宋体" w:cs="Times New Roman"/>
                <w:bCs/>
                <w:szCs w:val="21"/>
                <w:lang w:val="en-US" w:eastAsia="zh-CN"/>
              </w:rPr>
              <w:t>视场角：70~80°范围内均可；</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8.</w:t>
            </w:r>
            <w:r>
              <w:rPr>
                <w:rFonts w:hint="eastAsia" w:ascii="宋体" w:hAnsi="宋体" w:eastAsia="宋体" w:cs="Times New Roman"/>
                <w:bCs/>
                <w:szCs w:val="21"/>
                <w:lang w:val="en-US" w:eastAsia="zh-CN"/>
              </w:rPr>
              <w:t>工作通道直径：3.7~3.75mm范围内均可；</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9.</w:t>
            </w:r>
            <w:r>
              <w:rPr>
                <w:rFonts w:hint="eastAsia" w:ascii="宋体" w:hAnsi="宋体" w:eastAsia="宋体" w:cs="Times New Roman"/>
                <w:bCs/>
                <w:szCs w:val="21"/>
                <w:lang w:val="en-US" w:eastAsia="zh-CN"/>
              </w:rPr>
              <w:t>外径：6.3~6.4mm；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color w:val="000000"/>
                <w:szCs w:val="21"/>
              </w:rPr>
            </w:pPr>
            <w:r>
              <w:rPr>
                <w:rFonts w:hint="default" w:ascii="宋体" w:hAnsi="宋体" w:eastAsia="宋体" w:cs="Times New Roman"/>
                <w:bCs/>
                <w:szCs w:val="21"/>
                <w:lang w:val="en-US" w:eastAsia="zh-CN"/>
              </w:rPr>
              <w:t>10.</w:t>
            </w:r>
            <w:r>
              <w:rPr>
                <w:rFonts w:hint="eastAsia" w:ascii="宋体" w:hAnsi="宋体" w:eastAsia="宋体" w:cs="Times New Roman"/>
                <w:bCs/>
                <w:szCs w:val="21"/>
                <w:lang w:val="en-US" w:eastAsia="zh-CN"/>
              </w:rPr>
              <w:t>工作长度：171~190mm范围内均可。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脊柱内镜用手术器械</w:t>
            </w:r>
          </w:p>
        </w:tc>
        <w:tc>
          <w:tcPr>
            <w:tcW w:w="1210" w:type="dxa"/>
            <w:vAlign w:val="center"/>
          </w:tcPr>
          <w:p>
            <w:pPr>
              <w:spacing w:line="360" w:lineRule="auto"/>
              <w:jc w:val="center"/>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1套</w:t>
            </w:r>
          </w:p>
        </w:tc>
        <w:tc>
          <w:tcPr>
            <w:tcW w:w="6845" w:type="dxa"/>
            <w:vAlign w:val="top"/>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一、适用范围</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配合椎间孔镜使用，用于开展脊柱骨科手术时的检查或手术期间的操作。</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二、基本参数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1.</w:t>
            </w:r>
            <w:r>
              <w:rPr>
                <w:rFonts w:hint="eastAsia" w:ascii="宋体" w:hAnsi="宋体" w:eastAsia="宋体" w:cs="Times New Roman"/>
                <w:bCs/>
                <w:szCs w:val="21"/>
                <w:lang w:val="en-US" w:eastAsia="zh-CN"/>
              </w:rPr>
              <w:t>外观：器械表面光洁、平整、光滑、无毛刺、无裂纹、无缺损、无变形，标识清晰；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2.</w:t>
            </w:r>
            <w:r>
              <w:rPr>
                <w:rFonts w:hint="eastAsia" w:ascii="宋体" w:hAnsi="宋体" w:eastAsia="宋体" w:cs="Times New Roman"/>
                <w:bCs/>
                <w:szCs w:val="21"/>
                <w:lang w:val="en-US" w:eastAsia="zh-CN"/>
              </w:rPr>
              <w:t>材质：与患者接触的不锈钢化学成分符合YY/T 0294.1-2016或ASTMF899-20中材质要求或选用更高材质；</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3.</w:t>
            </w:r>
            <w:r>
              <w:rPr>
                <w:rFonts w:hint="eastAsia" w:ascii="宋体" w:hAnsi="宋体" w:eastAsia="宋体" w:cs="Times New Roman"/>
                <w:bCs/>
                <w:szCs w:val="21"/>
                <w:lang w:val="en-US" w:eastAsia="zh-CN"/>
              </w:rPr>
              <w:t>硬度：钢材硬度不低于320HV10；</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4.</w:t>
            </w:r>
            <w:r>
              <w:rPr>
                <w:rFonts w:hint="eastAsia" w:ascii="宋体" w:hAnsi="宋体" w:eastAsia="宋体" w:cs="Times New Roman"/>
                <w:bCs/>
                <w:szCs w:val="21"/>
                <w:lang w:val="en-US" w:eastAsia="zh-CN"/>
              </w:rPr>
              <w:t>耐腐蚀性：采用不锈钢的耐腐蚀性能应符合YY/T 0149-2006中的相关规定，外表面不低于b级（沸水试验法）；</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5.</w:t>
            </w:r>
            <w:r>
              <w:rPr>
                <w:rFonts w:hint="eastAsia" w:ascii="宋体" w:hAnsi="宋体" w:eastAsia="宋体" w:cs="Times New Roman"/>
                <w:bCs/>
                <w:szCs w:val="21"/>
                <w:lang w:val="en-US" w:eastAsia="zh-CN"/>
              </w:rPr>
              <w:t>开合性能：开闭轻松灵活，无卡顿现象，闭合时应相互吻合；</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6.</w:t>
            </w:r>
            <w:r>
              <w:rPr>
                <w:rFonts w:hint="eastAsia" w:ascii="宋体" w:hAnsi="宋体" w:eastAsia="宋体" w:cs="Times New Roman"/>
                <w:bCs/>
                <w:szCs w:val="21"/>
                <w:lang w:val="en-US" w:eastAsia="zh-CN"/>
              </w:rPr>
              <w:t>咬切性能：切边轮廓清晰，无撕扯现象。</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三、器械参数</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1.</w:t>
            </w:r>
            <w:r>
              <w:rPr>
                <w:rFonts w:hint="eastAsia" w:ascii="宋体" w:hAnsi="宋体" w:eastAsia="宋体" w:cs="Times New Roman"/>
                <w:bCs/>
                <w:szCs w:val="21"/>
                <w:lang w:val="en-US" w:eastAsia="zh-CN"/>
              </w:rPr>
              <w:t>方形抓钳*1把：直径：2.5~3.5mm，长度：320~350mm；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2.</w:t>
            </w:r>
            <w:r>
              <w:rPr>
                <w:rFonts w:hint="eastAsia" w:ascii="宋体" w:hAnsi="宋体" w:eastAsia="宋体" w:cs="Times New Roman"/>
                <w:bCs/>
                <w:szCs w:val="21"/>
                <w:lang w:val="en-US" w:eastAsia="zh-CN"/>
              </w:rPr>
              <w:t>勺形抓钳*2把：直径：2.5~3.5mm，长度：320~350mm；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3.弧形抓钳*</w:t>
            </w:r>
            <w:r>
              <w:rPr>
                <w:rFonts w:hint="eastAsia" w:ascii="宋体" w:hAnsi="宋体" w:eastAsia="宋体" w:cs="Times New Roman"/>
                <w:bCs/>
                <w:szCs w:val="21"/>
                <w:lang w:val="en-US" w:eastAsia="zh-CN"/>
              </w:rPr>
              <w:t>1把：直径：2.5~3.5mm，长度：320~350mm；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4.篮钳*</w:t>
            </w:r>
            <w:r>
              <w:rPr>
                <w:rFonts w:hint="eastAsia" w:ascii="宋体" w:hAnsi="宋体" w:eastAsia="宋体" w:cs="Times New Roman"/>
                <w:bCs/>
                <w:szCs w:val="21"/>
                <w:lang w:val="en-US" w:eastAsia="zh-CN"/>
              </w:rPr>
              <w:t>4把：直径：2.5~3.5mm，长度：320~350mm；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宋体" w:hAnsi="宋体" w:eastAsia="宋体" w:cs="Times New Roman"/>
                <w:bCs/>
                <w:szCs w:val="21"/>
                <w:lang w:val="en-US" w:eastAsia="zh-CN"/>
              </w:rPr>
            </w:pPr>
            <w:r>
              <w:rPr>
                <w:rFonts w:hint="default" w:ascii="宋体" w:hAnsi="宋体" w:eastAsia="宋体" w:cs="Times New Roman"/>
                <w:bCs/>
                <w:szCs w:val="21"/>
                <w:lang w:val="en-US" w:eastAsia="zh-CN"/>
              </w:rPr>
              <w:t>5.咬骨钳*</w:t>
            </w:r>
            <w:r>
              <w:rPr>
                <w:rFonts w:hint="eastAsia" w:ascii="宋体" w:hAnsi="宋体" w:eastAsia="宋体" w:cs="Times New Roman"/>
                <w:bCs/>
                <w:szCs w:val="21"/>
                <w:lang w:val="en-US" w:eastAsia="zh-CN"/>
              </w:rPr>
              <w:t>2把：直径：2.5~3.5mm，长度：310~350mm；</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Times New Roman"/>
                <w:b w:val="0"/>
                <w:bCs w:val="0"/>
                <w:color w:val="000000"/>
                <w:kern w:val="2"/>
                <w:sz w:val="21"/>
                <w:szCs w:val="21"/>
                <w:lang w:val="en-US" w:eastAsia="zh-CN" w:bidi="ar-SA"/>
              </w:rPr>
            </w:pPr>
            <w:r>
              <w:rPr>
                <w:rFonts w:hint="default" w:ascii="宋体" w:hAnsi="宋体" w:eastAsia="宋体" w:cs="Times New Roman"/>
                <w:bCs/>
                <w:szCs w:val="21"/>
                <w:lang w:val="en-US" w:eastAsia="zh-CN"/>
              </w:rPr>
              <w:t>6.咬骨钳手柄*1</w:t>
            </w:r>
            <w:r>
              <w:rPr>
                <w:rFonts w:hint="eastAsia" w:ascii="宋体" w:hAnsi="宋体" w:eastAsia="宋体" w:cs="Times New Roman"/>
                <w:bCs/>
                <w:szCs w:val="21"/>
                <w:lang w:val="en-US" w:eastAsia="zh-CN"/>
              </w:rPr>
              <w:t>把：直径：2.5~3.5mm，长度：310~350mm。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r>
              <w:rPr>
                <w:rFonts w:hint="eastAsia" w:ascii="宋体" w:hAnsi="宋体" w:eastAsia="宋体" w:cs="Times New Roman"/>
                <w:color w:val="000000"/>
                <w:szCs w:val="21"/>
                <w:lang w:val="en-US" w:eastAsia="zh-CN"/>
              </w:rPr>
              <w:t>指定地点</w:t>
            </w:r>
            <w:r>
              <w:rPr>
                <w:rFonts w:hint="eastAsia" w:ascii="宋体" w:hAnsi="宋体" w:eastAsia="宋体"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lang w:eastAsia="zh-CN"/>
              </w:rPr>
            </w:pPr>
            <w:r>
              <w:rPr>
                <w:rFonts w:hint="eastAsia" w:ascii="宋体" w:hAnsi="宋体" w:eastAsia="宋体" w:cs="Times New Roman"/>
                <w:bCs/>
                <w:szCs w:val="21"/>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val="en-US" w:eastAsia="zh-CN"/>
              </w:rPr>
              <w:t>。</w:t>
            </w:r>
          </w:p>
        </w:tc>
      </w:tr>
    </w:tbl>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hint="eastAsia"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562"/>
        <w:rPr>
          <w:rFonts w:hint="eastAsia" w:ascii="宋体" w:hAnsi="宋体" w:eastAsia="宋体" w:cs="Times New Roman"/>
          <w:b/>
          <w:color w:val="000000"/>
          <w:szCs w:val="21"/>
          <w:lang w:val="en-US" w:eastAsia="zh-CN"/>
        </w:rPr>
      </w:pPr>
      <w:r>
        <w:rPr>
          <w:rFonts w:hint="eastAsia" w:ascii="宋体" w:hAnsi="宋体" w:eastAsia="宋体" w:cs="Times New Roman"/>
          <w:b/>
          <w:color w:val="000000"/>
          <w:szCs w:val="21"/>
          <w:lang w:val="en-US" w:eastAsia="zh-CN"/>
        </w:rPr>
        <w:t>A分标：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加10分，满分25分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spacing w:line="400" w:lineRule="exact"/>
        <w:ind w:firstLine="562"/>
        <w:rPr>
          <w:rFonts w:hint="default" w:ascii="宋体" w:hAnsi="宋体" w:eastAsia="宋体" w:cs="Times New Roman"/>
          <w:b/>
          <w:color w:val="000000"/>
          <w:szCs w:val="21"/>
          <w:lang w:val="en-US" w:eastAsia="zh-CN"/>
        </w:rPr>
      </w:pPr>
    </w:p>
    <w:p>
      <w:pPr>
        <w:spacing w:line="400" w:lineRule="exact"/>
        <w:ind w:firstLine="562"/>
        <w:rPr>
          <w:rFonts w:hint="default" w:ascii="宋体" w:hAnsi="宋体" w:eastAsia="宋体" w:cs="Times New Roman"/>
          <w:b/>
          <w:color w:val="000000"/>
          <w:szCs w:val="21"/>
          <w:lang w:val="en-US" w:eastAsia="zh-CN"/>
        </w:rPr>
      </w:pPr>
      <w:r>
        <w:rPr>
          <w:rFonts w:hint="eastAsia" w:ascii="宋体" w:hAnsi="宋体" w:eastAsia="宋体" w:cs="Times New Roman"/>
          <w:b/>
          <w:color w:val="000000"/>
          <w:szCs w:val="21"/>
          <w:lang w:val="en-US" w:eastAsia="zh-CN"/>
        </w:rPr>
        <w:t>B分标：</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加10分，满分25分</w:t>
            </w:r>
            <w:r>
              <w:rPr>
                <w:rFonts w:hint="eastAsia" w:ascii="宋体" w:hAnsi="宋体" w:eastAsia="宋体" w:cs="Times New Roman"/>
                <w:bCs/>
                <w:color w:val="000000"/>
                <w:szCs w:val="21"/>
                <w:lang w:eastAsia="zh-CN"/>
              </w:rPr>
              <w:t>；</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hint="eastAsia" w:ascii="宋体" w:hAnsi="宋体" w:eastAsia="宋体" w:cs="Times New Roman"/>
                <w:color w:val="000000"/>
                <w:szCs w:val="21"/>
              </w:rPr>
            </w:pPr>
            <w:r>
              <w:rPr>
                <w:rFonts w:hint="eastAsia" w:ascii="宋体" w:hAnsi="宋体" w:eastAsia="宋体" w:cs="Times New Roman"/>
                <w:color w:val="000000"/>
                <w:szCs w:val="21"/>
              </w:rPr>
              <w:t>投标文件技术参数有</w:t>
            </w:r>
            <w:r>
              <w:rPr>
                <w:rFonts w:hint="eastAsia" w:ascii="宋体" w:hAnsi="宋体" w:eastAsia="宋体" w:cs="Times New Roman"/>
                <w:color w:val="000000"/>
                <w:szCs w:val="21"/>
                <w:lang w:val="en-US" w:eastAsia="zh-CN"/>
              </w:rPr>
              <w:t>2</w:t>
            </w:r>
            <w:r>
              <w:rPr>
                <w:rFonts w:hint="eastAsia" w:ascii="宋体" w:hAnsi="宋体" w:eastAsia="宋体" w:cs="Times New Roman"/>
                <w:color w:val="000000"/>
                <w:szCs w:val="21"/>
              </w:rPr>
              <w:t>个负偏离，得</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15</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ind w:firstLine="420" w:firstLineChars="200"/>
        <w:jc w:val="left"/>
        <w:rPr>
          <w:rFonts w:hint="default" w:ascii="宋体" w:hAnsi="宋体" w:eastAsia="宋体"/>
          <w:szCs w:val="21"/>
          <w:lang w:val="en-US" w:eastAsia="zh-CN"/>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lang w:eastAsia="zh-CN"/>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注明是参与的A、B那一个标段</w:t>
      </w:r>
      <w:r>
        <w:rPr>
          <w:rFonts w:hint="eastAsia" w:ascii="仿宋_GB2312" w:hAnsi="Calibri" w:eastAsia="仿宋_GB2312" w:cs="Calibri"/>
          <w:bCs/>
          <w:color w:val="000000"/>
          <w:sz w:val="32"/>
          <w:szCs w:val="32"/>
          <w:lang w:eastAsia="zh-CN"/>
        </w:rPr>
        <w:t>）</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r>
        <w:rPr>
          <w:rFonts w:hint="eastAsia" w:ascii="仿宋_GB2312" w:hAnsi="Calibri" w:eastAsia="仿宋_GB2312" w:cs="Calibri"/>
          <w:bCs/>
          <w:color w:val="000000"/>
          <w:sz w:val="32"/>
          <w:szCs w:val="32"/>
          <w:lang w:eastAsia="zh-CN"/>
        </w:rPr>
        <w:t>（</w:t>
      </w:r>
      <w:r>
        <w:rPr>
          <w:rFonts w:hint="eastAsia" w:ascii="仿宋_GB2312" w:hAnsi="Calibri" w:eastAsia="仿宋_GB2312" w:cs="Calibri"/>
          <w:bCs/>
          <w:color w:val="000000"/>
          <w:sz w:val="32"/>
          <w:szCs w:val="32"/>
          <w:lang w:val="en-US" w:eastAsia="zh-CN"/>
        </w:rPr>
        <w:t>注明是参与的A、B那一个标段</w:t>
      </w:r>
      <w:r>
        <w:rPr>
          <w:rFonts w:hint="eastAsia" w:ascii="仿宋_GB2312" w:hAnsi="Calibri" w:eastAsia="仿宋_GB2312" w:cs="Calibri"/>
          <w:bCs/>
          <w:color w:val="000000"/>
          <w:sz w:val="32"/>
          <w:szCs w:val="32"/>
          <w:lang w:eastAsia="zh-CN"/>
        </w:rPr>
        <w:t>）</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745F81"/>
    <w:rsid w:val="0530546F"/>
    <w:rsid w:val="053927FD"/>
    <w:rsid w:val="0F21032D"/>
    <w:rsid w:val="100B70C3"/>
    <w:rsid w:val="19BD661E"/>
    <w:rsid w:val="1A632FBA"/>
    <w:rsid w:val="1B45505D"/>
    <w:rsid w:val="21C83E17"/>
    <w:rsid w:val="230C6132"/>
    <w:rsid w:val="25C10491"/>
    <w:rsid w:val="267D2BB8"/>
    <w:rsid w:val="27605B00"/>
    <w:rsid w:val="2DE901AD"/>
    <w:rsid w:val="2EDE5793"/>
    <w:rsid w:val="2F60116C"/>
    <w:rsid w:val="303D69DF"/>
    <w:rsid w:val="36D70741"/>
    <w:rsid w:val="36EF4890"/>
    <w:rsid w:val="39026745"/>
    <w:rsid w:val="399D69A6"/>
    <w:rsid w:val="3BE7670E"/>
    <w:rsid w:val="3CF86B7C"/>
    <w:rsid w:val="41C0323C"/>
    <w:rsid w:val="41D3175E"/>
    <w:rsid w:val="45DB2F02"/>
    <w:rsid w:val="4BF86B15"/>
    <w:rsid w:val="4FD74E04"/>
    <w:rsid w:val="51452277"/>
    <w:rsid w:val="53FE114B"/>
    <w:rsid w:val="57874CD5"/>
    <w:rsid w:val="59B64834"/>
    <w:rsid w:val="5D72019D"/>
    <w:rsid w:val="5E9A1F4D"/>
    <w:rsid w:val="5EBA7B70"/>
    <w:rsid w:val="64BF359F"/>
    <w:rsid w:val="64E861BC"/>
    <w:rsid w:val="65A17C5D"/>
    <w:rsid w:val="65A33702"/>
    <w:rsid w:val="65A90B76"/>
    <w:rsid w:val="66567619"/>
    <w:rsid w:val="67802B6C"/>
    <w:rsid w:val="6BB83507"/>
    <w:rsid w:val="6D0312DB"/>
    <w:rsid w:val="6D5A388E"/>
    <w:rsid w:val="74DA269D"/>
    <w:rsid w:val="779D6447"/>
    <w:rsid w:val="78D3337A"/>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20651</Words>
  <Characters>21871</Characters>
  <Lines>157</Lines>
  <Paragraphs>44</Paragraphs>
  <TotalTime>2</TotalTime>
  <ScaleCrop>false</ScaleCrop>
  <LinksUpToDate>false</LinksUpToDate>
  <CharactersWithSpaces>23710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2023-06-02T08:21:07Z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