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w:t>
      </w:r>
      <w:r>
        <w:rPr>
          <w:rFonts w:hint="eastAsia" w:ascii="方正小标宋简体" w:hAnsi="宋体" w:eastAsia="方正小标宋简体" w:cs="Times New Roman"/>
          <w:b/>
          <w:sz w:val="44"/>
          <w:szCs w:val="44"/>
          <w:highlight w:val="none"/>
          <w:lang w:eastAsia="zh-CN"/>
        </w:rPr>
        <w:t>可升降移动平车</w:t>
      </w:r>
      <w:r>
        <w:rPr>
          <w:rFonts w:hint="eastAsia" w:ascii="方正小标宋简体" w:hAnsi="宋体" w:eastAsia="方正小标宋简体" w:cs="Times New Roman"/>
          <w:b/>
          <w:sz w:val="44"/>
          <w:szCs w:val="44"/>
          <w:highlight w:val="none"/>
        </w:rPr>
        <w:t>采购项目</w:t>
      </w:r>
    </w:p>
    <w:p>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2941" w:leftChars="680" w:hanging="1513" w:hangingChars="471"/>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广西骨伤医院可升降移动平车采购项目</w:t>
      </w:r>
    </w:p>
    <w:bookmarkEnd w:id="0"/>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430" w:firstLineChars="445"/>
        <w:rPr>
          <w:rFonts w:hint="default"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项目编号：GXGSYY-CGB-SBK-2023-</w:t>
      </w:r>
      <w:r>
        <w:rPr>
          <w:rFonts w:hint="eastAsia" w:ascii="仿宋_GB2312" w:hAnsi="宋体" w:eastAsia="仿宋_GB2312" w:cs="Times New Roman"/>
          <w:b/>
          <w:color w:val="000000"/>
          <w:sz w:val="32"/>
          <w:szCs w:val="32"/>
          <w:highlight w:val="none"/>
          <w:lang w:val="en-US" w:eastAsia="zh-CN"/>
        </w:rPr>
        <w:t>25</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both"/>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28</w:t>
      </w:r>
      <w:r>
        <w:rPr>
          <w:rFonts w:hint="eastAsia" w:ascii="仿宋_GB2312" w:hAnsi="宋体" w:eastAsia="仿宋_GB2312" w:cs="Times New Roman"/>
          <w:b/>
          <w:color w:val="000000"/>
          <w:sz w:val="32"/>
          <w:szCs w:val="32"/>
          <w:highlight w:val="none"/>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根据临床科室的要求以及临床操作的需要，我院拟对科室所需要的</w:t>
      </w:r>
      <w:r>
        <w:rPr>
          <w:rFonts w:hint="eastAsia" w:ascii="宋体" w:hAnsi="宋体" w:eastAsia="宋体" w:cs="Times New Roman"/>
          <w:bCs/>
          <w:color w:val="000000"/>
          <w:szCs w:val="21"/>
          <w:highlight w:val="none"/>
          <w:lang w:eastAsia="zh-CN"/>
        </w:rPr>
        <w:t>可升降移动平车</w:t>
      </w:r>
      <w:r>
        <w:rPr>
          <w:rFonts w:hint="eastAsia" w:ascii="宋体" w:hAnsi="宋体" w:eastAsia="宋体" w:cs="Times New Roman"/>
          <w:bCs/>
          <w:color w:val="000000"/>
          <w:szCs w:val="21"/>
          <w:highlight w:val="none"/>
          <w:lang w:val="en-US" w:eastAsia="zh-CN"/>
        </w:rPr>
        <w:t>进行</w:t>
      </w:r>
      <w:r>
        <w:rPr>
          <w:rFonts w:hint="eastAsia" w:ascii="宋体" w:hAnsi="宋体" w:eastAsia="宋体" w:cs="Times New Roman"/>
          <w:bCs/>
          <w:color w:val="000000"/>
          <w:szCs w:val="21"/>
          <w:highlight w:val="none"/>
        </w:rPr>
        <w:t>院内议价，欢迎有意参与的公司前来参加。</w:t>
      </w:r>
    </w:p>
    <w:p>
      <w:pPr>
        <w:spacing w:line="400" w:lineRule="exact"/>
        <w:ind w:firstLine="420" w:firstLineChars="200"/>
        <w:rPr>
          <w:rFonts w:hint="eastAsia" w:ascii="宋体" w:hAnsi="宋体" w:eastAsia="宋体" w:cs="Times New Roman"/>
          <w:bCs/>
          <w:color w:val="000000"/>
          <w:szCs w:val="21"/>
          <w:highlight w:val="none"/>
          <w:lang w:val="zh-CN"/>
        </w:rPr>
      </w:pPr>
      <w:bookmarkStart w:id="1" w:name="_Toc28359012"/>
      <w:bookmarkStart w:id="2" w:name="_Toc35393629"/>
      <w:bookmarkStart w:id="3" w:name="_Toc35393798"/>
      <w:bookmarkStart w:id="4" w:name="_Toc47452205"/>
      <w:bookmarkStart w:id="5" w:name="_Toc28359089"/>
      <w:bookmarkStart w:id="6" w:name="_Toc44229878"/>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项目编号：GXGSYY-CGB-SBK-2023-</w:t>
      </w:r>
      <w:r>
        <w:rPr>
          <w:rFonts w:hint="eastAsia" w:ascii="宋体" w:hAnsi="宋体" w:eastAsia="宋体" w:cs="Times New Roman"/>
          <w:bCs/>
          <w:color w:val="000000"/>
          <w:szCs w:val="21"/>
          <w:highlight w:val="none"/>
          <w:lang w:val="en-US" w:eastAsia="zh-CN"/>
        </w:rPr>
        <w:t>25</w:t>
      </w:r>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eastAsia="zh-CN"/>
        </w:rPr>
        <w:t>广西骨伤医院可升降移动平车采购项目</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2.5</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/套</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5.技术参数：</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（1）尺寸：1920*740*630/950（mm），允差±20mm；</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（2）底盘脚踏宽700mm，允差±10mmPP；</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（3）护栏宽730mm，允差±10mm；</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（4）护栏具备 PP 工程塑料一次吹塑成型，树脂护栏上有方便引流管通过的凹槽。强度高，耐腐蚀，易清洗；</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（5）具备采用气弹簧缓冲设计，提高舒适度及护栏使用寿命，对患者加强保护，避免病人摔落；</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（6）床面前后倾斜角度：0~17°±2°范围内；</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（7）背部升降角度：0~75°±5°范围内；</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（8）具备独立液压泵，升降控制助力系统，缓速运动（为方便转运病人，具备背部起降气动设计设为正偏离）；</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（9）脚踏式设计，可实现体位左倾、右倾、整车升降；</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（10）床面最大承重≥200Kg；</w:t>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（11）床体头部下方设有氧气瓶架及锁紧开关，头部和腿部配有盐水架孔位；</w:t>
      </w:r>
      <w:r>
        <w:rPr>
          <w:rFonts w:hint="eastAsia" w:ascii="宋体" w:hAnsi="宋体" w:eastAsia="宋体" w:cs="Times New Roman"/>
          <w:bCs/>
          <w:color w:val="000000"/>
          <w:szCs w:val="21"/>
          <w:highlight w:val="none"/>
          <w:lang w:val="en-US" w:eastAsia="zh-CN"/>
        </w:rPr>
        <w:tab/>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（12）中控刹车脚轮稳定可靠，内置全封闭自润滑轴承，防水、防杂物缠绕。</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（13）车体底座全新焊接一次性成型，坚固安全；</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（14）配置清单：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3231"/>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序号</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配件名称</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单位</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床体</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张</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2</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床面</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张</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3</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PP护栏</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对</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4</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输液架</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支</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5</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中控刹车脚轮</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个</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6</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防水床垫</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张</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7</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氧气瓶架</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个</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8</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both"/>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中控刹车系统</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套</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eastAsia" w:ascii="Times New Roman" w:hAnsi="Times New Roman" w:eastAsia="仿宋_GB2312" w:cs="仿宋_GB2312"/>
                <w:b w:val="0"/>
                <w:bCs w:val="0"/>
                <w:sz w:val="32"/>
                <w:szCs w:val="32"/>
                <w:highlight w:val="none"/>
                <w:lang w:val="en-US" w:eastAsia="zh-CN"/>
              </w:rPr>
            </w:pPr>
            <w:r>
              <w:rPr>
                <w:rFonts w:hint="eastAsia" w:ascii="Times New Roman" w:hAnsi="Times New Roman" w:eastAsia="仿宋_GB2312" w:cs="仿宋_GB2312"/>
                <w:b w:val="0"/>
                <w:bCs w:val="0"/>
                <w:sz w:val="32"/>
                <w:szCs w:val="32"/>
                <w:highlight w:val="none"/>
                <w:lang w:val="en-US" w:eastAsia="zh-CN"/>
              </w:rPr>
              <w:t>1</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其他相关要求，详见附件。</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二、参会的供应商或公司的资格要求：</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三、投标文件的编制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（3）资格文件；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四、投标人资格要求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3.其他投标条件要求：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五、递交投标文件时间：</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2023年5月31日～2023年6月6日（周一至周五上午8:00～12：00，下午15：00～18：00，节假日除外）。</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六、递交投标文件地点：</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八、联系人：李老师   0771-2622251     17344229910 </w:t>
      </w: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2023年5月31日</w:t>
      </w: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pPr>
        <w:spacing w:line="320" w:lineRule="exact"/>
        <w:rPr>
          <w:rFonts w:hint="eastAsia" w:ascii="宋体" w:hAnsi="宋体" w:eastAsia="宋体" w:cs="Times New Roman"/>
          <w:color w:val="000000"/>
          <w:szCs w:val="21"/>
          <w:highlight w:val="none"/>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pPr>
        <w:numPr>
          <w:ilvl w:val="0"/>
          <w:numId w:val="0"/>
        </w:numPr>
        <w:spacing w:line="320" w:lineRule="exact"/>
        <w:jc w:val="both"/>
        <w:rPr>
          <w:rFonts w:hint="default" w:ascii="宋体" w:hAnsi="宋体" w:eastAsia="宋体" w:cs="Times New Roman"/>
          <w:color w:val="000000"/>
          <w:szCs w:val="21"/>
          <w:highlight w:val="none"/>
          <w:lang w:val="en-US" w:eastAsia="zh-CN"/>
        </w:rPr>
      </w:pPr>
    </w:p>
    <w:p>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eastAsia="zh-CN"/>
              </w:rPr>
              <w:t>可升降移动平车</w:t>
            </w:r>
          </w:p>
        </w:tc>
        <w:tc>
          <w:tcPr>
            <w:tcW w:w="709" w:type="dxa"/>
            <w:shd w:val="clear" w:color="auto" w:fill="auto"/>
            <w:vAlign w:val="center"/>
          </w:tcPr>
          <w:p>
            <w:pPr>
              <w:spacing w:line="400" w:lineRule="exact"/>
              <w:jc w:val="left"/>
              <w:rPr>
                <w:rFonts w:hint="eastAsia" w:ascii="宋体" w:hAnsi="宋体" w:eastAsia="宋体" w:cs="Times New Roman"/>
                <w:bCs/>
                <w:szCs w:val="21"/>
                <w:highlight w:val="none"/>
                <w:lang w:eastAsia="zh-CN"/>
              </w:rPr>
            </w:pPr>
            <w:r>
              <w:rPr>
                <w:rFonts w:hint="eastAsia" w:ascii="宋体" w:hAnsi="宋体" w:eastAsia="宋体" w:cs="Times New Roman"/>
                <w:bCs/>
                <w:szCs w:val="21"/>
                <w:highlight w:val="none"/>
                <w:lang w:val="en-US" w:eastAsia="zh-CN"/>
              </w:rPr>
              <w:t>1套</w:t>
            </w:r>
          </w:p>
        </w:tc>
        <w:tc>
          <w:tcPr>
            <w:tcW w:w="5954" w:type="dxa"/>
            <w:shd w:val="clear" w:color="auto" w:fill="auto"/>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（1）尺寸：1920*740*630/950（mm），允差±20mm；</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（2）底盘脚踏宽700mm，允差±10mmPP；</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（3）护栏宽730mm，允差±10mm；</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（4）护栏具备 PP 工程塑料一次吹塑成型，树脂护栏上有方便引流管通过的凹槽。强度高，耐腐蚀，易清洗；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（5）具备采用气弹簧缓冲设计，提高舒适度及护栏使用寿命，对患者加强保护，避免病人摔落；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（6）床面前后倾斜角度：0~17°±2°范围内；</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（7）背部升降角度：0~75°±5°范围内；</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（8）具备独立液压泵，升降控制助力系统，缓速运动（为方便转运病人，具备背部起降气动设计设为正偏离）；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（9）脚踏式设计，可实现体位左倾、右倾、整车升降；</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（10）床面最大承重≥200Kg；</w:t>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（11）床体头部下方设有氧气瓶架及锁紧开关，头部和腿部配有盐水架孔位；</w:t>
            </w:r>
            <w:r>
              <w:rPr>
                <w:rFonts w:hint="eastAsia" w:ascii="宋体" w:hAnsi="宋体" w:eastAsia="宋体" w:cs="Times New Roman"/>
                <w:bCs/>
                <w:color w:val="000000"/>
                <w:szCs w:val="21"/>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（12）中控刹车脚轮稳定可靠，内置全封闭自润滑轴承，防水、防杂物缠绕。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（13）车体底座全新焊接一次性成型，坚固安全；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（14）配置清单：</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2082"/>
              <w:gridCol w:w="1432"/>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序号</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配件名称</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单位</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床体</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张</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床面</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张</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PP护栏</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对</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输液架</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支</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中控刹车脚轮</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个</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防水床垫</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张</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氧气瓶架</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个</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w:t>
                  </w:r>
                </w:p>
              </w:tc>
              <w:tc>
                <w:tcPr>
                  <w:tcW w:w="32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中控刹车系统</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套</w:t>
                  </w:r>
                </w:p>
              </w:tc>
              <w:tc>
                <w:tcPr>
                  <w:tcW w:w="2131" w:type="dxa"/>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w:t>
                  </w:r>
                </w:p>
              </w:tc>
            </w:tr>
          </w:tbl>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bookmarkStart w:id="7" w:name="_GoBack"/>
            <w:r>
              <w:rPr>
                <w:rFonts w:hint="eastAsia" w:ascii="宋体" w:hAnsi="宋体" w:eastAsia="宋体" w:cs="Times New Roman"/>
                <w:bCs/>
                <w:szCs w:val="21"/>
              </w:rPr>
              <w:t>验收合格后，</w:t>
            </w:r>
            <w:r>
              <w:rPr>
                <w:rFonts w:hint="eastAsia" w:ascii="宋体" w:hAnsi="宋体" w:eastAsia="宋体" w:cs="Times New Roman"/>
                <w:bCs/>
                <w:szCs w:val="21"/>
              </w:rPr>
              <w:t>中标人开具发票给采购人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采购人支付合同总金额的1</w:t>
            </w:r>
            <w:r>
              <w:rPr>
                <w:rFonts w:ascii="宋体" w:hAnsi="宋体" w:eastAsia="宋体" w:cs="Times New Roman"/>
                <w:bCs/>
                <w:szCs w:val="21"/>
              </w:rPr>
              <w:t>00%货款</w:t>
            </w:r>
            <w:r>
              <w:rPr>
                <w:rFonts w:hint="eastAsia" w:ascii="宋体" w:hAnsi="宋体" w:eastAsia="宋体" w:cs="Times New Roman"/>
                <w:bCs/>
                <w:szCs w:val="21"/>
              </w:rPr>
              <w:t>。</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highlight w:val="none"/>
              </w:rPr>
            </w:pPr>
            <w:r>
              <w:rPr>
                <w:rFonts w:hint="eastAsia" w:ascii="宋体" w:hAnsi="宋体" w:eastAsia="宋体" w:cs="宋体"/>
                <w:color w:val="000000"/>
                <w:szCs w:val="21"/>
                <w:highlight w:val="none"/>
              </w:rPr>
              <w:t>项目培训要求</w:t>
            </w:r>
          </w:p>
        </w:tc>
        <w:tc>
          <w:tcPr>
            <w:tcW w:w="6663" w:type="dxa"/>
            <w:gridSpan w:val="2"/>
            <w:shd w:val="clear" w:color="auto" w:fill="auto"/>
            <w:vAlign w:val="top"/>
          </w:tcPr>
          <w:p>
            <w:pPr>
              <w:keepNext w:val="0"/>
              <w:keepLines w:val="0"/>
              <w:pageBreakBefore w:val="0"/>
              <w:widowControl w:val="0"/>
              <w:kinsoku/>
              <w:wordWrap/>
              <w:overflowPunct/>
              <w:topLinePunct w:val="0"/>
              <w:autoSpaceDE/>
              <w:autoSpaceDN/>
              <w:bidi w:val="0"/>
              <w:spacing w:line="320" w:lineRule="exact"/>
              <w:jc w:val="left"/>
              <w:textAlignment w:val="auto"/>
              <w:rPr>
                <w:rFonts w:hint="eastAsia" w:ascii="宋体" w:hAnsi="宋体" w:eastAsia="宋体" w:cs="Times New Roman"/>
                <w:bCs/>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highlight w:val="none"/>
              </w:rPr>
            </w:pPr>
            <w:r>
              <w:rPr>
                <w:rFonts w:hint="eastAsia" w:ascii="宋体" w:hAnsi="宋体" w:eastAsia="宋体" w:cs="宋体"/>
                <w:color w:val="000000"/>
                <w:szCs w:val="21"/>
                <w:highlight w:val="none"/>
              </w:rPr>
              <w:t>实施方案</w:t>
            </w:r>
          </w:p>
        </w:tc>
        <w:tc>
          <w:tcPr>
            <w:tcW w:w="6663" w:type="dxa"/>
            <w:gridSpan w:val="2"/>
            <w:shd w:val="clear" w:color="auto" w:fill="auto"/>
            <w:vAlign w:val="top"/>
          </w:tcPr>
          <w:p>
            <w:pPr>
              <w:keepNext w:val="0"/>
              <w:keepLines w:val="0"/>
              <w:pageBreakBefore w:val="0"/>
              <w:widowControl w:val="0"/>
              <w:kinsoku/>
              <w:wordWrap/>
              <w:overflowPunct/>
              <w:topLinePunct w:val="0"/>
              <w:autoSpaceDE/>
              <w:autoSpaceDN/>
              <w:bidi w:val="0"/>
              <w:spacing w:line="320" w:lineRule="exact"/>
              <w:jc w:val="left"/>
              <w:textAlignment w:val="auto"/>
              <w:rPr>
                <w:rFonts w:hint="eastAsia" w:ascii="宋体" w:hAnsi="宋体" w:eastAsia="宋体" w:cs="Times New Roman"/>
                <w:bCs/>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3.投标时必须提供产品有效的医疗器械注册证复印件或注册证受理证明复印件。</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其他未注明的技术参数、商务要求偏离3项及以上的视为无效投标。</w:t>
            </w:r>
          </w:p>
        </w:tc>
      </w:tr>
    </w:tbl>
    <w:p>
      <w:pPr>
        <w:spacing w:line="360" w:lineRule="atLeast"/>
        <w:ind w:firstLine="495"/>
        <w:rPr>
          <w:rFonts w:ascii="Calibri" w:hAnsi="Calibri" w:eastAsia="宋体" w:cs="Times New Roman"/>
          <w:szCs w:val="24"/>
          <w:highlight w:val="none"/>
        </w:rPr>
      </w:pPr>
    </w:p>
    <w:p>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(一)评委构成：本招标采购项目的评委分别由</w:t>
      </w:r>
      <w:r>
        <w:rPr>
          <w:rFonts w:hint="eastAsia" w:ascii="宋体" w:hAnsi="宋体" w:eastAsia="宋体" w:cs="Times New Roman"/>
          <w:bCs/>
          <w:color w:val="000000"/>
          <w:szCs w:val="21"/>
          <w:highlight w:val="none"/>
        </w:rPr>
        <w:t>医院相关部门及医院评审专家</w:t>
      </w:r>
      <w:r>
        <w:rPr>
          <w:rFonts w:ascii="宋体" w:hAnsi="宋体" w:eastAsia="宋体" w:cs="Times New Roman"/>
          <w:bCs/>
          <w:color w:val="000000"/>
          <w:szCs w:val="21"/>
          <w:highlight w:val="none"/>
        </w:rPr>
        <w:t>共</w:t>
      </w:r>
      <w:r>
        <w:rPr>
          <w:rFonts w:hint="eastAsia" w:ascii="宋体" w:hAnsi="宋体" w:eastAsia="宋体" w:cs="Times New Roman"/>
          <w:bCs/>
          <w:color w:val="000000"/>
          <w:szCs w:val="21"/>
          <w:highlight w:val="none"/>
          <w:lang w:val="en-US" w:eastAsia="zh-CN"/>
        </w:rPr>
        <w:t>3</w:t>
      </w:r>
      <w:r>
        <w:rPr>
          <w:rFonts w:ascii="宋体" w:hAnsi="宋体" w:eastAsia="宋体" w:cs="Times New Roman"/>
          <w:bCs/>
          <w:color w:val="000000"/>
          <w:szCs w:val="21"/>
          <w:highlight w:val="none"/>
        </w:rPr>
        <w:t>人</w:t>
      </w:r>
      <w:r>
        <w:rPr>
          <w:rFonts w:hint="eastAsia" w:ascii="宋体" w:hAnsi="宋体" w:eastAsia="宋体" w:cs="Times New Roman"/>
          <w:bCs/>
          <w:color w:val="000000"/>
          <w:szCs w:val="21"/>
          <w:highlight w:val="none"/>
        </w:rPr>
        <w:t>及</w:t>
      </w:r>
      <w:r>
        <w:rPr>
          <w:rFonts w:ascii="宋体" w:hAnsi="宋体" w:eastAsia="宋体" w:cs="Times New Roman"/>
          <w:bCs/>
          <w:color w:val="000000"/>
          <w:szCs w:val="21"/>
          <w:highlight w:val="none"/>
        </w:rPr>
        <w:t>以上单数构成。</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分、技术</w:t>
      </w:r>
      <w:r>
        <w:rPr>
          <w:rFonts w:hint="eastAsia" w:ascii="宋体" w:hAnsi="宋体" w:eastAsia="宋体" w:cs="Times New Roman"/>
          <w:bCs/>
          <w:color w:val="000000"/>
          <w:szCs w:val="21"/>
          <w:highlight w:val="none"/>
          <w:lang w:val="en-US" w:eastAsia="zh-CN"/>
        </w:rPr>
        <w:t>服务</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val="en-US" w:eastAsia="zh-CN"/>
        </w:rPr>
        <w:t>30</w:t>
      </w:r>
      <w:r>
        <w:rPr>
          <w:rFonts w:ascii="宋体" w:hAnsi="宋体" w:eastAsia="宋体" w:cs="Times New Roman"/>
          <w:bCs/>
          <w:color w:val="000000"/>
          <w:szCs w:val="21"/>
          <w:highlight w:val="none"/>
        </w:rPr>
        <w:t>分、信誉业绩分</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（一）对进入详评的，采用百分制综合评分法。</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rPr>
        <w:t>.</w:t>
      </w:r>
      <w:r>
        <w:rPr>
          <w:rFonts w:ascii="宋体" w:hAnsi="宋体" w:eastAsia="宋体" w:cs="Times New Roman"/>
          <w:bCs/>
          <w:color w:val="000000"/>
          <w:szCs w:val="21"/>
          <w:highlight w:val="none"/>
        </w:rPr>
        <w:t>价格分………………………………………………………………………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6</w:t>
      </w:r>
      <w:r>
        <w:rPr>
          <w:rFonts w:ascii="宋体" w:hAnsi="宋体" w:eastAsia="宋体" w:cs="Times New Roman"/>
          <w:bCs/>
          <w:color w:val="000000"/>
          <w:szCs w:val="21"/>
          <w:highlight w:val="none"/>
        </w:rPr>
        <w:t>0分。</w:t>
      </w:r>
    </w:p>
    <w:p>
      <w:pPr>
        <w:spacing w:line="400" w:lineRule="exact"/>
        <w:ind w:firstLine="420" w:firstLineChars="200"/>
        <w:rPr>
          <w:rFonts w:ascii="宋体" w:hAnsi="宋体" w:eastAsia="宋体" w:cs="Times New Roman"/>
          <w:bCs/>
          <w:color w:val="000000"/>
          <w:szCs w:val="21"/>
          <w:highlight w:val="none"/>
        </w:rPr>
      </w:pPr>
    </w:p>
    <w:p>
      <w:pPr>
        <w:spacing w:line="400" w:lineRule="exact"/>
        <w:ind w:firstLine="2940" w:firstLineChars="14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6</w:t>
      </w:r>
      <w:r>
        <w:rPr>
          <w:rFonts w:ascii="宋体" w:hAnsi="宋体" w:eastAsia="宋体" w:cs="Times New Roman"/>
          <w:bCs/>
          <w:color w:val="000000"/>
          <w:szCs w:val="21"/>
          <w:highlight w:val="none"/>
        </w:rPr>
        <w:t>0分</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rPr>
        <w:t>.</w:t>
      </w:r>
      <w:r>
        <w:rPr>
          <w:rFonts w:ascii="宋体" w:hAnsi="宋体" w:eastAsia="宋体" w:cs="Times New Roman"/>
          <w:bCs/>
          <w:color w:val="000000"/>
          <w:szCs w:val="21"/>
          <w:highlight w:val="none"/>
        </w:rPr>
        <w:t>技术</w:t>
      </w:r>
      <w:r>
        <w:rPr>
          <w:rFonts w:hint="eastAsia" w:ascii="宋体" w:hAnsi="宋体" w:eastAsia="宋体" w:cs="Times New Roman"/>
          <w:bCs/>
          <w:color w:val="000000"/>
          <w:szCs w:val="21"/>
          <w:highlight w:val="none"/>
          <w:lang w:val="en-US" w:eastAsia="zh-CN"/>
        </w:rPr>
        <w:t>服务</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val="en-US" w:eastAsia="zh-CN"/>
        </w:rPr>
        <w:t>30</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ascii="宋体" w:hAnsi="宋体" w:eastAsia="宋体" w:cs="Times New Roman"/>
          <w:bCs/>
          <w:color w:val="000000"/>
          <w:szCs w:val="21"/>
          <w:highlight w:val="none"/>
        </w:rPr>
        <w:t>1）品牌分（满分</w:t>
      </w:r>
      <w:r>
        <w:rPr>
          <w:rFonts w:hint="eastAsia" w:ascii="宋体" w:hAnsi="宋体" w:eastAsia="宋体" w:cs="Times New Roman"/>
          <w:bCs/>
          <w:color w:val="000000"/>
          <w:szCs w:val="21"/>
          <w:highlight w:val="none"/>
          <w:lang w:val="en-US" w:eastAsia="zh-CN"/>
        </w:rPr>
        <w:t>5</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一档：一般品牌</w:t>
      </w:r>
      <w:r>
        <w:rPr>
          <w:rFonts w:ascii="宋体" w:hAnsi="宋体" w:eastAsia="宋体" w:cs="Times New Roman"/>
          <w:bCs/>
          <w:color w:val="000000"/>
          <w:szCs w:val="21"/>
          <w:highlight w:val="none"/>
        </w:rPr>
        <w:t xml:space="preserve">(同一品牌，应同一分值)                   </w:t>
      </w:r>
      <w:r>
        <w:rPr>
          <w:rFonts w:hint="eastAsia" w:ascii="宋体" w:hAnsi="宋体" w:eastAsia="宋体" w:cs="Times New Roman"/>
          <w:bCs/>
          <w:color w:val="000000"/>
          <w:szCs w:val="21"/>
          <w:highlight w:val="none"/>
          <w:lang w:val="en-US" w:eastAsia="zh-CN"/>
        </w:rPr>
        <w:t xml:space="preserve"> 1</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二档：同行认可品牌</w:t>
      </w:r>
      <w:r>
        <w:rPr>
          <w:rFonts w:ascii="宋体" w:hAnsi="宋体" w:eastAsia="宋体" w:cs="Times New Roman"/>
          <w:bCs/>
          <w:color w:val="000000"/>
          <w:szCs w:val="21"/>
          <w:highlight w:val="none"/>
        </w:rPr>
        <w:t xml:space="preserve">(同一品牌，应同一分值)                </w:t>
      </w:r>
      <w:r>
        <w:rPr>
          <w:rFonts w:hint="eastAsia" w:ascii="宋体" w:hAnsi="宋体" w:eastAsia="宋体" w:cs="Times New Roman"/>
          <w:bCs/>
          <w:color w:val="000000"/>
          <w:szCs w:val="21"/>
          <w:highlight w:val="none"/>
          <w:lang w:val="en-US" w:eastAsia="zh-CN"/>
        </w:rPr>
        <w:t>3</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三档：著名品牌</w:t>
      </w:r>
      <w:r>
        <w:rPr>
          <w:rFonts w:ascii="宋体" w:hAnsi="宋体" w:eastAsia="宋体" w:cs="Times New Roman"/>
          <w:bCs/>
          <w:color w:val="000000"/>
          <w:szCs w:val="21"/>
          <w:highlight w:val="none"/>
        </w:rPr>
        <w:t xml:space="preserve">(同一品牌，应同一分值)                    </w:t>
      </w:r>
      <w:r>
        <w:rPr>
          <w:rFonts w:hint="eastAsia" w:ascii="宋体" w:hAnsi="宋体" w:eastAsia="宋体" w:cs="Times New Roman"/>
          <w:bCs/>
          <w:color w:val="000000"/>
          <w:szCs w:val="21"/>
          <w:highlight w:val="none"/>
          <w:lang w:val="en-US" w:eastAsia="zh-CN"/>
        </w:rPr>
        <w:t>5</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ascii="宋体" w:hAnsi="宋体" w:eastAsia="宋体" w:cs="Times New Roman"/>
          <w:bCs/>
          <w:color w:val="000000"/>
          <w:szCs w:val="21"/>
          <w:highlight w:val="none"/>
        </w:rPr>
        <w:t>2）设备性能分（满分</w:t>
      </w:r>
      <w:r>
        <w:rPr>
          <w:rFonts w:hint="eastAsia" w:ascii="宋体" w:hAnsi="宋体" w:eastAsia="宋体" w:cs="Times New Roman"/>
          <w:bCs/>
          <w:color w:val="000000"/>
          <w:szCs w:val="21"/>
          <w:highlight w:val="none"/>
          <w:lang w:val="en-US" w:eastAsia="zh-CN"/>
        </w:rPr>
        <w:t>15</w:t>
      </w:r>
      <w:r>
        <w:rPr>
          <w:rFonts w:ascii="宋体" w:hAnsi="宋体" w:eastAsia="宋体" w:cs="Times New Roman"/>
          <w:bCs/>
          <w:color w:val="000000"/>
          <w:szCs w:val="21"/>
          <w:highlight w:val="none"/>
        </w:rPr>
        <w:t>分）</w:t>
      </w:r>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加5分，满分15分</w:t>
      </w:r>
      <w:r>
        <w:rPr>
          <w:rFonts w:hint="eastAsia" w:ascii="宋体" w:hAnsi="宋体" w:eastAsia="宋体" w:cs="Times New Roman"/>
          <w:bCs/>
          <w:color w:val="000000"/>
          <w:szCs w:val="21"/>
          <w:highlight w:val="none"/>
          <w:lang w:eastAsia="zh-CN"/>
        </w:rPr>
        <w:t>；</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w:t>
      </w:r>
      <w:r>
        <w:rPr>
          <w:rFonts w:ascii="宋体" w:hAnsi="宋体" w:eastAsia="宋体" w:cs="Times New Roman"/>
          <w:bCs/>
          <w:color w:val="000000"/>
          <w:szCs w:val="21"/>
          <w:highlight w:val="none"/>
        </w:rPr>
        <w:t>1个负偏离，得</w:t>
      </w:r>
      <w:r>
        <w:rPr>
          <w:rFonts w:hint="eastAsia" w:ascii="宋体" w:hAnsi="宋体" w:eastAsia="宋体" w:cs="Times New Roman"/>
          <w:bCs/>
          <w:color w:val="000000"/>
          <w:szCs w:val="21"/>
          <w:highlight w:val="none"/>
          <w:lang w:val="en-US" w:eastAsia="zh-CN"/>
        </w:rPr>
        <w:t>5</w:t>
      </w:r>
      <w:r>
        <w:rPr>
          <w:rFonts w:ascii="宋体" w:hAnsi="宋体" w:eastAsia="宋体" w:cs="Times New Roman"/>
          <w:bCs/>
          <w:color w:val="000000"/>
          <w:szCs w:val="21"/>
          <w:highlight w:val="none"/>
        </w:rPr>
        <w:t>分；</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w:t>
      </w:r>
      <w:r>
        <w:rPr>
          <w:rFonts w:ascii="宋体" w:hAnsi="宋体" w:eastAsia="宋体" w:cs="Times New Roman"/>
          <w:bCs/>
          <w:color w:val="000000"/>
          <w:szCs w:val="21"/>
          <w:highlight w:val="none"/>
        </w:rPr>
        <w:t>1个负偏离</w:t>
      </w:r>
      <w:r>
        <w:rPr>
          <w:rFonts w:hint="eastAsia" w:ascii="宋体" w:hAnsi="宋体" w:eastAsia="宋体" w:cs="Times New Roman"/>
          <w:bCs/>
          <w:color w:val="000000"/>
          <w:szCs w:val="21"/>
          <w:highlight w:val="none"/>
        </w:rPr>
        <w:t>以上，得0分。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w:t>
      </w:r>
      <w:r>
        <w:rPr>
          <w:rFonts w:ascii="宋体" w:hAnsi="宋体" w:eastAsia="宋体" w:cs="Times New Roman"/>
          <w:bCs/>
          <w:color w:val="000000"/>
          <w:szCs w:val="21"/>
          <w:highlight w:val="none"/>
        </w:rPr>
        <w:t>售后服务分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一般</w:t>
      </w:r>
      <w:r>
        <w:rPr>
          <w:rFonts w:ascii="宋体" w:hAnsi="宋体" w:eastAsia="宋体" w:cs="Times New Roman"/>
          <w:bCs/>
          <w:color w:val="000000"/>
          <w:szCs w:val="21"/>
          <w:highlight w:val="none"/>
        </w:rPr>
        <w:t>0.1～</w:t>
      </w:r>
      <w:r>
        <w:rPr>
          <w:rFonts w:hint="eastAsia" w:ascii="宋体" w:hAnsi="宋体" w:eastAsia="宋体" w:cs="Times New Roman"/>
          <w:bCs/>
          <w:color w:val="000000"/>
          <w:szCs w:val="21"/>
          <w:highlight w:val="none"/>
          <w:lang w:val="en-US" w:eastAsia="zh-CN"/>
        </w:rPr>
        <w:t>3</w:t>
      </w:r>
      <w:r>
        <w:rPr>
          <w:rFonts w:ascii="宋体" w:hAnsi="宋体" w:eastAsia="宋体" w:cs="Times New Roman"/>
          <w:bCs/>
          <w:color w:val="000000"/>
          <w:szCs w:val="21"/>
          <w:highlight w:val="none"/>
        </w:rPr>
        <w:t>分，良好</w:t>
      </w:r>
      <w:r>
        <w:rPr>
          <w:rFonts w:hint="eastAsia" w:ascii="宋体" w:hAnsi="宋体" w:eastAsia="宋体" w:cs="Times New Roman"/>
          <w:bCs/>
          <w:color w:val="000000"/>
          <w:szCs w:val="21"/>
          <w:highlight w:val="none"/>
          <w:lang w:val="en-US" w:eastAsia="zh-CN"/>
        </w:rPr>
        <w:t>3.1</w:t>
      </w:r>
      <w:r>
        <w:rPr>
          <w:rFonts w:ascii="宋体" w:hAnsi="宋体" w:eastAsia="宋体" w:cs="Times New Roman"/>
          <w:bCs/>
          <w:color w:val="000000"/>
          <w:szCs w:val="21"/>
          <w:highlight w:val="none"/>
        </w:rPr>
        <w:t>～</w:t>
      </w:r>
      <w:r>
        <w:rPr>
          <w:rFonts w:hint="eastAsia" w:ascii="宋体" w:hAnsi="宋体" w:eastAsia="宋体" w:cs="Times New Roman"/>
          <w:bCs/>
          <w:color w:val="000000"/>
          <w:szCs w:val="21"/>
          <w:highlight w:val="none"/>
          <w:lang w:val="en-US" w:eastAsia="zh-CN"/>
        </w:rPr>
        <w:t>6</w:t>
      </w:r>
      <w:r>
        <w:rPr>
          <w:rFonts w:ascii="宋体" w:hAnsi="宋体" w:eastAsia="宋体" w:cs="Times New Roman"/>
          <w:bCs/>
          <w:color w:val="000000"/>
          <w:szCs w:val="21"/>
          <w:highlight w:val="none"/>
        </w:rPr>
        <w:t>分，优秀</w:t>
      </w:r>
      <w:r>
        <w:rPr>
          <w:rFonts w:hint="eastAsia" w:ascii="宋体" w:hAnsi="宋体" w:eastAsia="宋体" w:cs="Times New Roman"/>
          <w:bCs/>
          <w:color w:val="000000"/>
          <w:szCs w:val="21"/>
          <w:highlight w:val="none"/>
          <w:lang w:val="en-US" w:eastAsia="zh-CN"/>
        </w:rPr>
        <w:t>6</w:t>
      </w:r>
      <w:r>
        <w:rPr>
          <w:rFonts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rPr>
        <w:t>.</w:t>
      </w:r>
      <w:r>
        <w:rPr>
          <w:rFonts w:ascii="宋体" w:hAnsi="宋体" w:eastAsia="宋体" w:cs="Times New Roman"/>
          <w:bCs/>
          <w:color w:val="000000"/>
          <w:szCs w:val="21"/>
          <w:highlight w:val="none"/>
        </w:rPr>
        <w:t>信誉业绩分…………………………………………………………………………</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w:t>
      </w:r>
      <w:r>
        <w:rPr>
          <w:rFonts w:hint="eastAsia" w:ascii="宋体" w:hAnsi="宋体" w:eastAsia="宋体" w:cs="Times New Roman"/>
          <w:color w:val="000000"/>
          <w:szCs w:val="21"/>
          <w:highlight w:val="none"/>
          <w:lang w:eastAsia="zh-CN"/>
        </w:rPr>
        <w:t>，</w:t>
      </w:r>
      <w:r>
        <w:rPr>
          <w:rFonts w:ascii="宋体" w:hAnsi="宋体" w:eastAsia="宋体" w:cs="Times New Roman"/>
          <w:bCs/>
          <w:color w:val="000000"/>
          <w:szCs w:val="21"/>
          <w:highlight w:val="none"/>
        </w:rPr>
        <w:t>每提供一个合同得2分，满分</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w:t>
      </w:r>
      <w:r>
        <w:rPr>
          <w:rFonts w:ascii="宋体" w:hAnsi="宋体" w:eastAsia="宋体" w:cs="Times New Roman"/>
          <w:bCs/>
          <w:color w:val="000000"/>
          <w:szCs w:val="21"/>
          <w:highlight w:val="none"/>
        </w:rPr>
        <w:t>=1+2+3。</w:t>
      </w:r>
    </w:p>
    <w:p>
      <w:pPr>
        <w:spacing w:line="276" w:lineRule="auto"/>
        <w:ind w:firstLine="420" w:firstLineChars="200"/>
        <w:jc w:val="left"/>
        <w:rPr>
          <w:rFonts w:ascii="宋体" w:hAnsi="宋体" w:eastAsia="宋体"/>
          <w:szCs w:val="21"/>
          <w:highlight w:val="none"/>
        </w:rPr>
      </w:pPr>
      <w:r>
        <w:rPr>
          <w:rFonts w:hint="eastAsia" w:ascii="宋体" w:hAnsi="宋体" w:eastAsia="宋体"/>
          <w:szCs w:val="21"/>
          <w:highlight w:val="none"/>
        </w:rPr>
        <w:t>四、中标候选人推荐原则</w:t>
      </w:r>
    </w:p>
    <w:p>
      <w:pPr>
        <w:spacing w:line="276" w:lineRule="auto"/>
        <w:ind w:firstLine="420" w:firstLineChars="200"/>
        <w:jc w:val="left"/>
        <w:rPr>
          <w:rFonts w:ascii="宋体" w:hAnsi="宋体" w:eastAsia="宋体"/>
          <w:szCs w:val="21"/>
          <w:highlight w:val="none"/>
        </w:rPr>
      </w:pPr>
      <w:r>
        <w:rPr>
          <w:rFonts w:hint="eastAsia" w:ascii="宋体" w:hAnsi="宋体" w:eastAsia="宋体"/>
          <w:szCs w:val="21"/>
          <w:highlight w:val="none"/>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9A165E2"/>
    <w:rsid w:val="09D01A1F"/>
    <w:rsid w:val="13942FD9"/>
    <w:rsid w:val="16245D2D"/>
    <w:rsid w:val="16E429B1"/>
    <w:rsid w:val="1C7043E5"/>
    <w:rsid w:val="1FBE5383"/>
    <w:rsid w:val="20116292"/>
    <w:rsid w:val="21F941EF"/>
    <w:rsid w:val="226B1834"/>
    <w:rsid w:val="22C5455D"/>
    <w:rsid w:val="25841CAE"/>
    <w:rsid w:val="26F31699"/>
    <w:rsid w:val="2A137C86"/>
    <w:rsid w:val="2A274666"/>
    <w:rsid w:val="33F60984"/>
    <w:rsid w:val="34106055"/>
    <w:rsid w:val="3BCC406B"/>
    <w:rsid w:val="3D6B227E"/>
    <w:rsid w:val="3FF34E8C"/>
    <w:rsid w:val="403C5C82"/>
    <w:rsid w:val="42F44377"/>
    <w:rsid w:val="451B69DA"/>
    <w:rsid w:val="46B579F4"/>
    <w:rsid w:val="47025747"/>
    <w:rsid w:val="47BA31C6"/>
    <w:rsid w:val="486E744E"/>
    <w:rsid w:val="4AA30431"/>
    <w:rsid w:val="4DBB0BB6"/>
    <w:rsid w:val="4FA4766E"/>
    <w:rsid w:val="500718F9"/>
    <w:rsid w:val="52142CBA"/>
    <w:rsid w:val="542227FC"/>
    <w:rsid w:val="551E5F54"/>
    <w:rsid w:val="58C46E3D"/>
    <w:rsid w:val="5FAF6675"/>
    <w:rsid w:val="60915A2A"/>
    <w:rsid w:val="633A4A17"/>
    <w:rsid w:val="639F748E"/>
    <w:rsid w:val="644D16E1"/>
    <w:rsid w:val="6A4E0CDE"/>
    <w:rsid w:val="6AA22B0C"/>
    <w:rsid w:val="6C532B86"/>
    <w:rsid w:val="6CE83C2A"/>
    <w:rsid w:val="731C766A"/>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3684</Words>
  <Characters>4020</Characters>
  <Lines>24</Lines>
  <Paragraphs>6</Paragraphs>
  <TotalTime>0</TotalTime>
  <ScaleCrop>false</ScaleCrop>
  <LinksUpToDate>false</LinksUpToDate>
  <CharactersWithSpaces>4159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陆壹肆</cp:lastModifiedBy>
  <dcterms:modified xsi:type="dcterms:W3CDTF">2023-05-31T09:19:08Z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9022C0B81CE34690BF09C8D56079BB51</vt:lpwstr>
  </property>
</Properties>
</file>