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hint="eastAsia" w:ascii="仿宋_GB2312" w:hAnsi="宋体" w:eastAsia="仿宋_GB2312" w:cs="Times New Roman"/>
          <w:b/>
          <w:color w:val="000000"/>
          <w:sz w:val="32"/>
          <w:szCs w:val="32"/>
          <w:lang w:eastAsia="zh-CN"/>
        </w:rPr>
      </w:pPr>
      <w:r>
        <w:rPr>
          <w:rFonts w:hint="eastAsia" w:ascii="仿宋_GB2312" w:hAnsi="宋体" w:eastAsia="仿宋_GB2312" w:cs="Times New Roman"/>
          <w:b/>
          <w:color w:val="000000"/>
          <w:sz w:val="32"/>
          <w:szCs w:val="32"/>
        </w:rPr>
        <w:t>项目名称：</w:t>
      </w:r>
      <w:r>
        <w:rPr>
          <w:rFonts w:hint="eastAsia" w:ascii="仿宋_GB2312" w:hAnsi="宋体" w:eastAsia="仿宋_GB2312" w:cs="Times New Roman"/>
          <w:b/>
          <w:color w:val="000000"/>
          <w:sz w:val="32"/>
          <w:szCs w:val="32"/>
          <w:lang w:eastAsia="zh-CN"/>
        </w:rPr>
        <w:t>广西骨伤医院</w:t>
      </w:r>
      <w:r>
        <w:rPr>
          <w:rFonts w:hint="eastAsia" w:ascii="仿宋_GB2312" w:hAnsi="宋体" w:eastAsia="仿宋_GB2312" w:cs="Times New Roman"/>
          <w:b/>
          <w:color w:val="000000"/>
          <w:sz w:val="32"/>
          <w:szCs w:val="32"/>
          <w:lang w:val="en-US" w:eastAsia="zh-CN"/>
        </w:rPr>
        <w:t>动静态平衡功能评估及训练系统</w:t>
      </w:r>
      <w:r>
        <w:rPr>
          <w:rFonts w:hint="eastAsia" w:ascii="仿宋_GB2312" w:hAnsi="宋体" w:eastAsia="仿宋_GB2312" w:cs="Times New Roman"/>
          <w:b/>
          <w:color w:val="000000"/>
          <w:sz w:val="32"/>
          <w:szCs w:val="32"/>
          <w:lang w:eastAsia="zh-CN"/>
        </w:rPr>
        <w:t>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eastAsia" w:ascii="仿宋_GB2312" w:hAnsi="宋体" w:eastAsia="仿宋_GB2312" w:cs="Times New Roman"/>
          <w:b/>
          <w:color w:val="000000"/>
          <w:sz w:val="32"/>
          <w:szCs w:val="32"/>
          <w:lang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highlight w:val="none"/>
          <w:lang w:eastAsia="zh-CN"/>
        </w:rPr>
        <w:t>GXGSYY-CGB-SBK-2023-18</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5</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4</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35393798"/>
      <w:bookmarkStart w:id="2" w:name="_Toc35393629"/>
      <w:bookmarkStart w:id="3" w:name="_Toc28359012"/>
      <w:bookmarkStart w:id="4" w:name="_Toc28359089"/>
      <w:bookmarkStart w:id="5" w:name="_Toc44229878"/>
      <w:bookmarkStart w:id="6" w:name="_Toc47452205"/>
      <w:bookmarkStart w:id="25" w:name="_GoBack"/>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eastAsia" w:ascii="宋体" w:hAnsi="宋体" w:eastAsia="宋体" w:cs="Times New Roman"/>
          <w:color w:val="000000"/>
          <w:szCs w:val="21"/>
          <w:highlight w:val="yellow"/>
          <w:lang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项目编号：GXGSYY-CGB-SBK-2023-18</w:t>
      </w:r>
    </w:p>
    <w:p>
      <w:pPr>
        <w:spacing w:line="320" w:lineRule="exact"/>
        <w:ind w:firstLine="420" w:firstLineChars="200"/>
        <w:rPr>
          <w:rFonts w:hint="eastAsia" w:ascii="宋体" w:hAnsi="宋体" w:eastAsia="宋体" w:cs="Times New Roman"/>
          <w:color w:val="000000"/>
          <w:szCs w:val="21"/>
          <w:u w:val="single"/>
          <w:lang w:eastAsia="zh-CN"/>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w:t>
      </w:r>
      <w:r>
        <w:rPr>
          <w:rFonts w:hint="eastAsia" w:ascii="宋体" w:hAnsi="宋体" w:eastAsia="宋体" w:cs="Times New Roman"/>
          <w:color w:val="000000"/>
          <w:szCs w:val="21"/>
          <w:lang w:eastAsia="zh-CN"/>
        </w:rPr>
        <w:t>广西骨伤医院动静态平衡功能评估及训练系统采购项目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w:t>
      </w:r>
      <w:r>
        <w:rPr>
          <w:rFonts w:hint="eastAsia" w:ascii="宋体" w:hAnsi="宋体" w:eastAsia="宋体" w:cs="Times New Roman"/>
          <w:color w:val="000000"/>
          <w:szCs w:val="21"/>
          <w:lang w:val="en-US" w:eastAsia="zh-CN"/>
        </w:rPr>
        <w:t>35万元</w:t>
      </w:r>
      <w:r>
        <w:rPr>
          <w:rFonts w:hint="eastAsia" w:ascii="宋体" w:hAnsi="宋体" w:eastAsia="宋体" w:cs="Times New Roman"/>
          <w:color w:val="000000"/>
          <w:szCs w:val="21"/>
        </w:rPr>
        <w:t>。</w:t>
      </w:r>
    </w:p>
    <w:p>
      <w:pPr>
        <w:spacing w:line="320" w:lineRule="exact"/>
        <w:ind w:firstLine="420" w:firstLineChars="200"/>
        <w:rPr>
          <w:rFonts w:hint="eastAsia" w:ascii="宋体" w:hAnsi="宋体" w:eastAsia="宋体" w:cs="Times New Roman"/>
          <w:color w:val="000000"/>
          <w:szCs w:val="21"/>
        </w:rPr>
      </w:pPr>
      <w:bookmarkStart w:id="7" w:name="_Toc44229879"/>
      <w:bookmarkStart w:id="8" w:name="_Toc35393799"/>
      <w:bookmarkStart w:id="9" w:name="_Toc28359013"/>
      <w:bookmarkStart w:id="10" w:name="_Toc47452206"/>
      <w:bookmarkStart w:id="11" w:name="_Toc28359090"/>
      <w:bookmarkStart w:id="12" w:name="_Toc35393630"/>
      <w:r>
        <w:rPr>
          <w:rFonts w:hint="eastAsia" w:ascii="宋体" w:hAnsi="宋体" w:eastAsia="宋体" w:cs="Times New Roman"/>
          <w:color w:val="000000"/>
          <w:szCs w:val="21"/>
          <w:lang w:val="en-US" w:eastAsia="zh-CN"/>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lang w:val="en-US" w:eastAsia="zh-CN"/>
              </w:rPr>
              <w:t>设备</w:t>
            </w:r>
            <w:r>
              <w:rPr>
                <w:rFonts w:hint="eastAsia" w:ascii="宋体" w:hAnsi="宋体" w:eastAsia="宋体" w:cs="Calibri"/>
                <w:color w:val="000000"/>
                <w:szCs w:val="21"/>
              </w:rPr>
              <w:t>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lang w:eastAsia="zh-CN"/>
              </w:rPr>
              <w:t>动静态平衡功能评估及训练系统</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Cs w:val="21"/>
                <w:lang w:eastAsia="zh-CN"/>
              </w:rPr>
            </w:pPr>
            <w:r>
              <w:rPr>
                <w:rFonts w:hint="eastAsia" w:ascii="宋体" w:hAnsi="宋体" w:eastAsia="宋体" w:cs="Times New Roman"/>
                <w:color w:val="000000"/>
                <w:szCs w:val="21"/>
              </w:rPr>
              <w:t>1</w:t>
            </w:r>
            <w:r>
              <w:rPr>
                <w:rFonts w:hint="eastAsia" w:ascii="宋体" w:hAnsi="宋体" w:eastAsia="宋体" w:cs="Times New Roman"/>
                <w:color w:val="000000"/>
                <w:szCs w:val="21"/>
                <w:lang w:eastAsia="zh-CN"/>
              </w:rPr>
              <w:t>台</w:t>
            </w:r>
          </w:p>
        </w:tc>
        <w:tc>
          <w:tcPr>
            <w:tcW w:w="5103" w:type="dxa"/>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一、指标要求</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1.具备赤足或穿鞋状态下的动静态平衡能力测试要求。</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2.无体重限制，儿童或肥胖成人均可测试。</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3.具备≥5 种类型的平衡能力测试功能。</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4.具备可进行站立时摇摆倾角测试功能。</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ascii="宋体" w:hAnsi="宋体" w:eastAsia="宋体" w:cs="Times New Roman"/>
                <w:color w:val="000000"/>
                <w:szCs w:val="21"/>
              </w:rPr>
            </w:pPr>
            <w:r>
              <w:rPr>
                <w:rFonts w:hint="eastAsia" w:ascii="宋体" w:hAnsi="宋体" w:eastAsia="宋体" w:cs="Times New Roman"/>
                <w:color w:val="000000"/>
                <w:szCs w:val="21"/>
              </w:rPr>
              <w:t>…………</w:t>
            </w:r>
          </w:p>
        </w:tc>
      </w:tr>
    </w:tbl>
    <w:p>
      <w:pPr>
        <w:widowControl w:val="0"/>
        <w:numPr>
          <w:ilvl w:val="0"/>
          <w:numId w:val="0"/>
        </w:numPr>
        <w:spacing w:line="320" w:lineRule="exact"/>
        <w:ind w:firstLine="420" w:firstLineChars="200"/>
        <w:jc w:val="both"/>
        <w:rPr>
          <w:rFonts w:hint="default" w:ascii="宋体" w:hAnsi="宋体" w:eastAsia="宋体" w:cs="Times New Roman"/>
          <w:color w:val="000000"/>
          <w:szCs w:val="21"/>
          <w:lang w:val="en-US" w:eastAsia="zh-CN"/>
        </w:rPr>
      </w:pPr>
    </w:p>
    <w:p>
      <w:pPr>
        <w:widowControl w:val="0"/>
        <w:numPr>
          <w:ilvl w:val="0"/>
          <w:numId w:val="0"/>
        </w:numPr>
        <w:spacing w:line="320" w:lineRule="exact"/>
        <w:ind w:firstLine="420" w:firstLineChars="200"/>
        <w:jc w:val="both"/>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w:t>
      </w:r>
      <w:r>
        <w:rPr>
          <w:rFonts w:ascii="宋体" w:hAnsi="宋体" w:eastAsia="宋体" w:cs="Times New Roman"/>
          <w:color w:val="000000"/>
          <w:szCs w:val="21"/>
          <w:highlight w:val="none"/>
        </w:rPr>
        <w:t>202</w:t>
      </w:r>
      <w:r>
        <w:rPr>
          <w:rFonts w:hint="eastAsia" w:ascii="宋体" w:hAnsi="宋体" w:eastAsia="宋体" w:cs="Times New Roman"/>
          <w:color w:val="000000"/>
          <w:szCs w:val="21"/>
          <w:highlight w:val="none"/>
          <w:lang w:val="en-US" w:eastAsia="zh-CN"/>
        </w:rPr>
        <w:t>3</w:t>
      </w:r>
      <w:r>
        <w:rPr>
          <w:rFonts w:ascii="宋体" w:hAnsi="宋体" w:eastAsia="宋体" w:cs="Times New Roman"/>
          <w:color w:val="000000"/>
          <w:szCs w:val="21"/>
          <w:highlight w:val="none"/>
        </w:rPr>
        <w:t>年</w:t>
      </w:r>
      <w:r>
        <w:rPr>
          <w:rFonts w:hint="eastAsia" w:ascii="宋体" w:hAnsi="宋体" w:eastAsia="宋体" w:cs="Times New Roman"/>
          <w:color w:val="000000"/>
          <w:szCs w:val="21"/>
          <w:highlight w:val="none"/>
          <w:lang w:val="en-US" w:eastAsia="zh-CN"/>
        </w:rPr>
        <w:t>5</w:t>
      </w:r>
      <w:r>
        <w:rPr>
          <w:rFonts w:ascii="宋体" w:hAnsi="宋体" w:eastAsia="宋体" w:cs="Times New Roman"/>
          <w:color w:val="000000"/>
          <w:szCs w:val="21"/>
          <w:highlight w:val="none"/>
        </w:rPr>
        <w:t>月</w:t>
      </w:r>
      <w:r>
        <w:rPr>
          <w:rFonts w:hint="eastAsia" w:ascii="宋体" w:hAnsi="宋体" w:eastAsia="宋体" w:cs="Times New Roman"/>
          <w:color w:val="000000"/>
          <w:szCs w:val="21"/>
          <w:highlight w:val="none"/>
          <w:lang w:val="en-US" w:eastAsia="zh-CN"/>
        </w:rPr>
        <w:t>8</w:t>
      </w:r>
      <w:r>
        <w:rPr>
          <w:rFonts w:ascii="宋体" w:hAnsi="宋体" w:eastAsia="宋体" w:cs="Times New Roman"/>
          <w:color w:val="000000"/>
          <w:szCs w:val="21"/>
          <w:highlight w:val="none"/>
        </w:rPr>
        <w:t>日</w:t>
      </w:r>
      <w:r>
        <w:rPr>
          <w:rFonts w:hint="eastAsia" w:ascii="宋体" w:hAnsi="宋体" w:eastAsia="宋体" w:cs="Times New Roman"/>
          <w:color w:val="000000"/>
          <w:szCs w:val="21"/>
          <w:highlight w:val="none"/>
          <w:lang w:val="en-US" w:eastAsia="zh-CN"/>
        </w:rPr>
        <w:t>18</w:t>
      </w:r>
      <w:r>
        <w:rPr>
          <w:rFonts w:ascii="宋体" w:hAnsi="宋体" w:eastAsia="宋体" w:cs="Times New Roman"/>
          <w:color w:val="000000"/>
          <w:szCs w:val="21"/>
          <w:highlight w:val="none"/>
        </w:rPr>
        <w:t>时00分。</w:t>
      </w:r>
    </w:p>
    <w:p>
      <w:pPr>
        <w:spacing w:line="32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获取方式：在广西骨伤医院官方网站此公告附件处下载。</w:t>
      </w:r>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四</w:t>
      </w:r>
      <w:r>
        <w:rPr>
          <w:rFonts w:hint="eastAsia" w:ascii="宋体" w:hAnsi="宋体" w:eastAsia="宋体" w:cs="宋体"/>
          <w:b/>
          <w:bCs/>
          <w:color w:val="000000"/>
          <w:szCs w:val="21"/>
          <w:highlight w:val="none"/>
        </w:rPr>
        <w:t>、响应文件提交</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color w:val="000000"/>
          <w:szCs w:val="21"/>
          <w:highlight w:val="none"/>
        </w:rPr>
        <w:t>1.</w:t>
      </w:r>
      <w:r>
        <w:rPr>
          <w:rFonts w:hint="eastAsia" w:ascii="宋体" w:hAnsi="宋体" w:eastAsia="宋体" w:cs="Calibri"/>
          <w:bCs/>
          <w:color w:val="000000"/>
          <w:szCs w:val="21"/>
          <w:highlight w:val="none"/>
        </w:rPr>
        <w:t>首次响应文件提交开始时间：</w:t>
      </w:r>
      <w:r>
        <w:rPr>
          <w:rFonts w:hint="eastAsia" w:ascii="宋体" w:hAnsi="宋体" w:eastAsia="宋体" w:cs="Calibri"/>
          <w:bCs/>
          <w:color w:val="000000"/>
          <w:szCs w:val="21"/>
          <w:highlight w:val="none"/>
          <w:u w:val="single"/>
        </w:rPr>
        <w:t>202</w:t>
      </w:r>
      <w:r>
        <w:rPr>
          <w:rFonts w:hint="eastAsia" w:ascii="宋体" w:hAnsi="宋体" w:eastAsia="宋体" w:cs="Calibri"/>
          <w:bCs/>
          <w:color w:val="000000"/>
          <w:szCs w:val="21"/>
          <w:highlight w:val="none"/>
          <w:u w:val="single"/>
          <w:lang w:val="en-US" w:eastAsia="zh-CN"/>
        </w:rPr>
        <w:t>3</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5</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8</w:t>
      </w:r>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bCs/>
          <w:color w:val="000000"/>
          <w:szCs w:val="21"/>
          <w:highlight w:val="none"/>
        </w:rPr>
        <w:t>2.</w:t>
      </w:r>
      <w:r>
        <w:rPr>
          <w:rFonts w:hint="eastAsia" w:ascii="宋体" w:hAnsi="宋体" w:eastAsia="宋体" w:cs="Calibri"/>
          <w:color w:val="000000"/>
          <w:szCs w:val="21"/>
          <w:highlight w:val="none"/>
        </w:rPr>
        <w:t>首次响应文件提交截止时间：</w:t>
      </w:r>
      <w:r>
        <w:rPr>
          <w:rFonts w:hint="eastAsia" w:ascii="宋体" w:hAnsi="宋体" w:eastAsia="宋体" w:cs="Calibri"/>
          <w:color w:val="000000"/>
          <w:szCs w:val="21"/>
          <w:highlight w:val="none"/>
          <w:u w:val="single"/>
        </w:rPr>
        <w:t>202</w:t>
      </w:r>
      <w:r>
        <w:rPr>
          <w:rFonts w:hint="eastAsia" w:ascii="宋体" w:hAnsi="宋体" w:eastAsia="宋体" w:cs="Calibri"/>
          <w:color w:val="000000"/>
          <w:szCs w:val="21"/>
          <w:highlight w:val="none"/>
          <w:u w:val="single"/>
          <w:lang w:val="en-US" w:eastAsia="zh-CN"/>
        </w:rPr>
        <w:t>3</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5</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12</w:t>
      </w:r>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18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highlight w:val="none"/>
        </w:rPr>
        <w:t>3.首次响应文件提交地点：广西骨伤医院采购办（广西南宁市东葛路1号锦华</w:t>
      </w:r>
      <w:r>
        <w:rPr>
          <w:rFonts w:hint="eastAsia" w:ascii="宋体" w:hAnsi="宋体" w:eastAsia="宋体" w:cs="Calibri"/>
          <w:color w:val="000000"/>
          <w:szCs w:val="21"/>
        </w:rPr>
        <w:t>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hint="default" w:ascii="宋体" w:hAnsi="宋体" w:eastAsia="宋体" w:cs="宋体"/>
          <w:b/>
          <w:color w:val="000000"/>
          <w:szCs w:val="21"/>
          <w:lang w:val="en-US" w:eastAsia="zh-CN"/>
        </w:rPr>
      </w:pPr>
      <w:r>
        <w:rPr>
          <w:rFonts w:hint="eastAsia" w:ascii="宋体" w:hAnsi="宋体" w:eastAsia="宋体" w:cs="宋体"/>
          <w:b/>
          <w:color w:val="000000"/>
          <w:szCs w:val="21"/>
        </w:rPr>
        <w:t>五、开启</w:t>
      </w:r>
      <w:r>
        <w:rPr>
          <w:rFonts w:hint="eastAsia" w:ascii="宋体" w:hAnsi="宋体" w:eastAsia="宋体" w:cs="宋体"/>
          <w:b/>
          <w:color w:val="000000"/>
          <w:szCs w:val="21"/>
          <w:lang w:val="en-US" w:eastAsia="zh-CN"/>
        </w:rPr>
        <w:t>时间地点</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color w:val="000000"/>
          <w:szCs w:val="21"/>
          <w:lang w:val="en-US" w:eastAsia="zh-CN"/>
        </w:rPr>
        <w:t>开启</w:t>
      </w:r>
      <w:r>
        <w:rPr>
          <w:rFonts w:hint="eastAsia" w:ascii="宋体" w:hAnsi="宋体" w:eastAsia="宋体" w:cs="Calibri"/>
          <w:color w:val="000000"/>
          <w:szCs w:val="21"/>
        </w:rPr>
        <w:t>时间地点：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hint="default" w:ascii="Calibri" w:hAnsi="Calibri" w:eastAsia="宋体" w:cs="Times New Roman"/>
          <w:szCs w:val="24"/>
          <w:u w:val="single"/>
          <w:lang w:val="en-US" w:eastAsia="zh-CN"/>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0771-2622251</w:t>
      </w:r>
      <w:r>
        <w:rPr>
          <w:rFonts w:hint="eastAsia" w:ascii="Calibri" w:hAnsi="Calibri" w:eastAsia="宋体" w:cs="Times New Roman"/>
          <w:szCs w:val="24"/>
          <w:u w:val="single"/>
          <w:lang w:val="en-US" w:eastAsia="zh-CN"/>
        </w:rPr>
        <w:t xml:space="preserve">  17344229910</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u w:val="none"/>
          <w:lang w:val="en-US" w:eastAsia="zh-CN"/>
        </w:rPr>
        <w:t>邮    箱：</w:t>
      </w:r>
      <w:r>
        <w:rPr>
          <w:rFonts w:hint="eastAsia" w:ascii="Calibri" w:hAnsi="Calibri" w:eastAsia="宋体" w:cs="Times New Roman"/>
          <w:szCs w:val="24"/>
          <w:u w:val="single"/>
          <w:lang w:val="en-US" w:eastAsia="zh-CN"/>
        </w:rPr>
        <w:t>gxgsyycgb@163.com</w:t>
      </w:r>
      <w:r>
        <w:rPr>
          <w:rFonts w:hint="eastAsia" w:ascii="宋体" w:hAnsi="宋体" w:eastAsia="宋体" w:cs="Times New Roman"/>
          <w:color w:val="000000"/>
          <w:szCs w:val="21"/>
        </w:rPr>
        <w:t> </w:t>
      </w:r>
    </w:p>
    <w:bookmarkEnd w:id="25"/>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9"/>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1</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年</w:t>
            </w:r>
            <w:r>
              <w:rPr>
                <w:rFonts w:ascii="宋体" w:hAnsi="宋体" w:eastAsia="宋体" w:cs="宋体"/>
                <w:color w:val="000000"/>
                <w:szCs w:val="21"/>
                <w:u w:val="single"/>
              </w:rPr>
              <w:t>1</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1</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年</w:t>
            </w:r>
            <w:r>
              <w:rPr>
                <w:rFonts w:ascii="宋体" w:hAnsi="宋体" w:eastAsia="宋体" w:cs="宋体"/>
                <w:color w:val="000000"/>
                <w:szCs w:val="21"/>
                <w:u w:val="single"/>
              </w:rPr>
              <w:t>1</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lang w:val="en-US" w:eastAsia="zh-CN"/>
              </w:rPr>
              <w:t>1</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lang w:val="en-US" w:eastAsia="zh-CN"/>
              </w:rPr>
              <w:t>2</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w:t>
            </w:r>
            <w:r>
              <w:rPr>
                <w:rFonts w:hint="eastAsia" w:ascii="宋体" w:hAnsi="宋体" w:eastAsia="宋体" w:cs="Calibri"/>
                <w:color w:val="000000"/>
                <w:szCs w:val="21"/>
                <w:lang w:val="en-US" w:eastAsia="zh-CN"/>
              </w:rPr>
              <w:t>不高于预算价格，应</w:t>
            </w:r>
            <w:r>
              <w:rPr>
                <w:rFonts w:hint="eastAsia" w:ascii="宋体" w:hAnsi="宋体" w:eastAsia="宋体" w:cs="Calibri"/>
                <w:color w:val="000000"/>
                <w:szCs w:val="21"/>
              </w:rPr>
              <w:t>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2</w:t>
            </w:r>
            <w:r>
              <w:rPr>
                <w:rFonts w:ascii="宋体" w:hAnsi="宋体" w:eastAsia="宋体" w:cs="宋体"/>
                <w:color w:val="000000"/>
                <w:szCs w:val="21"/>
                <w:u w:val="single"/>
              </w:rPr>
              <w:t xml:space="preserve">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lang w:eastAsia="zh-CN"/>
        </w:rPr>
        <w:t>广西骨伤医院动静态平衡功能评估及训练系统采购项目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hint="eastAsia" w:ascii="宋体" w:hAnsi="宋体" w:eastAsia="宋体" w:cs="Times New Roman"/>
          <w:b/>
          <w:bCs/>
          <w:szCs w:val="21"/>
        </w:rPr>
      </w:pPr>
      <w:r>
        <w:rPr>
          <w:rFonts w:hint="eastAsia" w:ascii="宋体" w:hAnsi="宋体" w:eastAsia="宋体" w:cs="Times New Roman"/>
          <w:b/>
          <w:bCs/>
          <w:szCs w:val="21"/>
        </w:rPr>
        <w:t>采购预算：详见竞争性磋商公告</w:t>
      </w:r>
    </w:p>
    <w:p>
      <w:pPr>
        <w:ind w:firstLine="420" w:firstLineChars="200"/>
        <w:rPr>
          <w:rFonts w:ascii="宋体" w:hAnsi="宋体" w:eastAsia="宋体" w:cs="Times New Roman"/>
          <w:b/>
          <w:bCs/>
          <w:szCs w:val="21"/>
        </w:rPr>
      </w:pPr>
      <w:r>
        <w:rPr>
          <w:rFonts w:hint="eastAsia" w:ascii="宋体" w:hAnsi="宋体" w:eastAsia="宋体" w:cs="宋体"/>
          <w:color w:val="000000"/>
          <w:szCs w:val="21"/>
        </w:rPr>
        <w:t>一、采购服务需求</w:t>
      </w:r>
    </w:p>
    <w:tbl>
      <w:tblPr>
        <w:tblStyle w:val="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jc w:val="center"/>
              <w:rPr>
                <w:rFonts w:ascii="宋体" w:hAnsi="宋体" w:eastAsia="宋体" w:cs="宋体"/>
                <w:color w:val="000000"/>
                <w:szCs w:val="21"/>
              </w:rPr>
            </w:pPr>
            <w:r>
              <w:rPr>
                <w:rFonts w:hint="eastAsia" w:ascii="宋体" w:hAnsi="宋体" w:eastAsia="宋体" w:cs="Times New Roman"/>
                <w:color w:val="000000"/>
                <w:szCs w:val="21"/>
                <w:lang w:eastAsia="zh-CN"/>
              </w:rPr>
              <w:t>动静态平衡功能评估及训练系统</w:t>
            </w:r>
          </w:p>
        </w:tc>
        <w:tc>
          <w:tcPr>
            <w:tcW w:w="1210" w:type="dxa"/>
            <w:vAlign w:val="center"/>
          </w:tcPr>
          <w:p>
            <w:pPr>
              <w:spacing w:line="360" w:lineRule="auto"/>
              <w:jc w:val="center"/>
              <w:rPr>
                <w:rFonts w:ascii="宋体" w:hAnsi="宋体" w:eastAsia="宋体" w:cs="Times New Roman"/>
                <w:color w:val="000000"/>
                <w:szCs w:val="21"/>
              </w:rPr>
            </w:pPr>
            <w:r>
              <w:rPr>
                <w:rFonts w:hint="eastAsia" w:ascii="宋体" w:hAnsi="宋体" w:eastAsia="宋体" w:cs="Times New Roman"/>
                <w:color w:val="000000"/>
                <w:szCs w:val="21"/>
              </w:rPr>
              <w:t>1</w:t>
            </w:r>
            <w:r>
              <w:rPr>
                <w:rFonts w:hint="eastAsia" w:ascii="宋体" w:hAnsi="宋体" w:eastAsia="宋体" w:cs="Times New Roman"/>
                <w:color w:val="000000"/>
                <w:szCs w:val="21"/>
                <w:lang w:eastAsia="zh-CN"/>
              </w:rPr>
              <w:t>台</w:t>
            </w:r>
          </w:p>
        </w:tc>
        <w:tc>
          <w:tcPr>
            <w:tcW w:w="684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一、指标要求</w:t>
            </w:r>
          </w:p>
          <w:p>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具备赤足或穿鞋状态下的动静态平衡能力测试要求。</w:t>
            </w:r>
          </w:p>
          <w:p>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无体重限制，儿童或肥胖成人均可测试。</w:t>
            </w:r>
          </w:p>
          <w:p>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具备≥5 种类型的平衡能力测试功能。</w:t>
            </w:r>
          </w:p>
          <w:p>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具备可进行站立时摇摆倾角测试功能。</w:t>
            </w:r>
          </w:p>
          <w:p>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针对膝关节方面的站立平衡能力测试功能需具备可进行≥4 种角度测试，可对不同角度测试之间的数据进行对比。</w:t>
            </w:r>
          </w:p>
          <w:p>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具备可进行单足站立状态下睁眼及闭眼时摇摆角的测试。</w:t>
            </w:r>
          </w:p>
          <w:p>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具备可进行双足站立状态下睁眼及闭眼时摇摆角的测试。</w:t>
            </w:r>
          </w:p>
          <w:p>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极限平衡能力测试方面需具备≥8种测试方向。</w:t>
            </w:r>
          </w:p>
          <w:p>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具备支持采集数据回放功能。</w:t>
            </w:r>
          </w:p>
          <w:p>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所有测试类型均可一键生成并打印报告。</w:t>
            </w:r>
          </w:p>
          <w:p>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系统主要分析数据包括：压力分析、重心偏离、重心偏向、椭球分析、重心距离、X轴距离、Y轴距离、包络面积、角度分析。</w:t>
            </w:r>
          </w:p>
          <w:p>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具备提供完善整足分区分析功能</w:t>
            </w:r>
            <w:r>
              <w:rPr>
                <w:rFonts w:hint="eastAsia" w:ascii="宋体" w:hAnsi="宋体" w:eastAsia="宋体" w:cs="宋体"/>
                <w:b/>
                <w:bCs/>
                <w:sz w:val="21"/>
                <w:szCs w:val="21"/>
                <w:lang w:val="en-US" w:eastAsia="zh-CN"/>
              </w:rPr>
              <w:t>（满足整足≥10个分区设为正偏离）</w:t>
            </w:r>
            <w:r>
              <w:rPr>
                <w:rFonts w:hint="eastAsia" w:ascii="宋体" w:hAnsi="宋体" w:eastAsia="宋体" w:cs="宋体"/>
                <w:sz w:val="21"/>
                <w:szCs w:val="21"/>
                <w:lang w:val="en-US" w:eastAsia="zh-CN"/>
              </w:rPr>
              <w:t>。</w:t>
            </w:r>
          </w:p>
          <w:p>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具备显示足底各区域压力压强变化曲线，各区域接触面积，手动分区调整优化功能。</w:t>
            </w:r>
          </w:p>
          <w:p>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具备显示足弓指数，提供正常足弓值范围功能。</w:t>
            </w:r>
          </w:p>
          <w:p>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具备高精度、高密度压力传感器，采集数据精准，无需人为校正。</w:t>
            </w:r>
          </w:p>
          <w:p>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传感器数量：≥1600个</w:t>
            </w:r>
            <w:r>
              <w:rPr>
                <w:rFonts w:hint="eastAsia" w:ascii="宋体" w:hAnsi="宋体" w:eastAsia="宋体" w:cs="宋体"/>
                <w:b/>
                <w:bCs/>
                <w:sz w:val="21"/>
                <w:szCs w:val="21"/>
                <w:lang w:val="en-US" w:eastAsia="zh-CN"/>
              </w:rPr>
              <w:t>（≥2200个设为正偏离）</w:t>
            </w:r>
            <w:r>
              <w:rPr>
                <w:rFonts w:hint="eastAsia" w:ascii="宋体" w:hAnsi="宋体" w:eastAsia="宋体" w:cs="宋体"/>
                <w:sz w:val="21"/>
                <w:szCs w:val="21"/>
                <w:lang w:val="en-US" w:eastAsia="zh-CN"/>
              </w:rPr>
              <w:t>。</w:t>
            </w:r>
          </w:p>
          <w:p>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传感器密度：≥4 个/cm²</w:t>
            </w:r>
          </w:p>
          <w:p>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平衡采集频率≥200Hz</w:t>
            </w:r>
            <w:r>
              <w:rPr>
                <w:rFonts w:hint="eastAsia" w:ascii="宋体" w:hAnsi="宋体" w:eastAsia="宋体" w:cs="宋体"/>
                <w:b/>
                <w:bCs/>
                <w:sz w:val="21"/>
                <w:szCs w:val="21"/>
                <w:lang w:val="en-US" w:eastAsia="zh-CN"/>
              </w:rPr>
              <w:t>（≥400Hz设为正偏离）。</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二、配置要求</w:t>
            </w:r>
          </w:p>
          <w:p>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平衡评估及训练系统及分析软件         1 套</w:t>
            </w:r>
          </w:p>
          <w:p>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步态评估系统                         1 套</w:t>
            </w:r>
          </w:p>
          <w:p>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数据线和电源线                       1 套</w:t>
            </w:r>
          </w:p>
          <w:p>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说明书                               1 套</w:t>
            </w:r>
          </w:p>
          <w:p>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台  车                               1 辆</w:t>
            </w:r>
          </w:p>
          <w:p>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打印机                               1 台</w:t>
            </w:r>
          </w:p>
          <w:p>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具备Windows 7以上操作系统电脑       1 台</w:t>
            </w:r>
          </w:p>
          <w:p>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left"/>
              <w:textAlignment w:val="auto"/>
              <w:rPr>
                <w:rFonts w:ascii="宋体" w:hAnsi="宋体" w:eastAsia="宋体" w:cs="Times New Roman"/>
                <w:color w:val="000000"/>
                <w:szCs w:val="21"/>
              </w:rPr>
            </w:pPr>
            <w:r>
              <w:rPr>
                <w:rFonts w:hint="eastAsia" w:ascii="宋体" w:hAnsi="宋体" w:eastAsia="宋体" w:cs="宋体"/>
                <w:sz w:val="21"/>
                <w:szCs w:val="21"/>
                <w:lang w:val="en-US" w:eastAsia="zh-CN"/>
              </w:rPr>
              <w:t>具备液晶显示器（含受试者视角和医务操作人员视角） 2 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w:t>
            </w:r>
            <w:r>
              <w:rPr>
                <w:rFonts w:hint="eastAsia" w:ascii="宋体" w:hAnsi="宋体" w:eastAsia="宋体" w:cs="宋体"/>
                <w:bCs/>
                <w:szCs w:val="21"/>
                <w:lang w:eastAsia="zh-CN"/>
              </w:rPr>
              <w:t>、</w:t>
            </w:r>
            <w:r>
              <w:rPr>
                <w:rFonts w:hint="eastAsia" w:ascii="宋体" w:hAnsi="宋体" w:eastAsia="宋体" w:cs="宋体"/>
                <w:bCs/>
                <w:szCs w:val="21"/>
              </w:rPr>
              <w:t>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ascii="宋体" w:hAnsi="宋体" w:eastAsia="宋体" w:cs="Times New Roman"/>
                <w:color w:val="000000"/>
                <w:szCs w:val="21"/>
              </w:rPr>
              <w:t>2</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3</w:t>
            </w:r>
            <w:r>
              <w:rPr>
                <w:rFonts w:hint="eastAsia" w:ascii="Calibri" w:hAnsi="Calibri" w:eastAsia="宋体" w:cs="Times New Roman"/>
                <w:szCs w:val="24"/>
              </w:rPr>
              <w:t>0日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r>
              <w:rPr>
                <w:rFonts w:hint="eastAsia" w:ascii="宋体" w:hAnsi="宋体" w:eastAsia="宋体" w:cs="Times New Roman"/>
                <w:color w:val="000000"/>
                <w:szCs w:val="21"/>
                <w:lang w:val="en-US" w:eastAsia="zh-CN"/>
              </w:rPr>
              <w:t>指定地点</w:t>
            </w:r>
            <w:r>
              <w:rPr>
                <w:rFonts w:hint="eastAsia" w:ascii="宋体" w:hAnsi="宋体" w:eastAsia="宋体"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Calibri" w:hAnsi="Calibri" w:eastAsia="宋体" w:cs="Times New Roman"/>
                <w:color w:val="000000"/>
                <w:szCs w:val="24"/>
                <w:lang w:eastAsia="zh-CN"/>
              </w:rPr>
            </w:pPr>
            <w:r>
              <w:rPr>
                <w:rFonts w:hint="eastAsia" w:ascii="宋体" w:hAnsi="宋体" w:eastAsia="宋体" w:cs="Times New Roman"/>
                <w:bCs/>
                <w:szCs w:val="21"/>
              </w:rPr>
              <w:t>付款方式：</w:t>
            </w:r>
            <w:r>
              <w:rPr>
                <w:rFonts w:hint="eastAsia" w:ascii="宋体" w:hAnsi="宋体" w:eastAsia="宋体" w:cs="Times New Roman"/>
                <w:bCs/>
                <w:szCs w:val="21"/>
                <w:lang w:val="en-US" w:eastAsia="zh-CN"/>
              </w:rPr>
              <w:t>合同签订后采购人支付合同</w:t>
            </w:r>
            <w:r>
              <w:rPr>
                <w:rFonts w:hint="eastAsia" w:ascii="宋体" w:hAnsi="宋体" w:eastAsia="宋体" w:cs="Times New Roman"/>
                <w:bCs/>
                <w:szCs w:val="21"/>
              </w:rPr>
              <w:t>总金额</w:t>
            </w:r>
            <w:r>
              <w:rPr>
                <w:rFonts w:hint="eastAsia" w:ascii="宋体" w:hAnsi="宋体" w:eastAsia="宋体" w:cs="Times New Roman"/>
                <w:bCs/>
                <w:szCs w:val="21"/>
                <w:lang w:val="en-US" w:eastAsia="zh-CN"/>
              </w:rPr>
              <w:t>30%做为预付款。</w:t>
            </w:r>
            <w:r>
              <w:rPr>
                <w:rFonts w:hint="eastAsia" w:ascii="宋体" w:hAnsi="宋体" w:eastAsia="宋体" w:cs="Times New Roman"/>
                <w:bCs/>
                <w:szCs w:val="21"/>
              </w:rPr>
              <w:t>货物验收合格后，采购人支付</w:t>
            </w:r>
            <w:r>
              <w:rPr>
                <w:rFonts w:hint="eastAsia" w:ascii="宋体" w:hAnsi="宋体" w:eastAsia="宋体" w:cs="Times New Roman"/>
                <w:bCs/>
                <w:szCs w:val="21"/>
                <w:lang w:val="en-US" w:eastAsia="zh-CN"/>
              </w:rPr>
              <w:t>剩余</w:t>
            </w:r>
            <w:r>
              <w:rPr>
                <w:rFonts w:hint="eastAsia" w:ascii="宋体" w:hAnsi="宋体" w:eastAsia="宋体" w:cs="Times New Roman"/>
                <w:bCs/>
                <w:szCs w:val="21"/>
              </w:rPr>
              <w:t>的</w:t>
            </w:r>
            <w:r>
              <w:rPr>
                <w:rFonts w:hint="eastAsia" w:ascii="宋体" w:hAnsi="宋体" w:eastAsia="宋体" w:cs="Times New Roman"/>
                <w:bCs/>
                <w:szCs w:val="21"/>
                <w:lang w:val="en-US" w:eastAsia="zh-CN"/>
              </w:rPr>
              <w:t>70</w:t>
            </w:r>
            <w:r>
              <w:rPr>
                <w:rFonts w:ascii="宋体" w:hAnsi="宋体" w:eastAsia="宋体" w:cs="Times New Roman"/>
                <w:bCs/>
                <w:szCs w:val="21"/>
              </w:rPr>
              <w:t>%货款</w:t>
            </w:r>
            <w:r>
              <w:rPr>
                <w:rFonts w:hint="eastAsia" w:ascii="宋体" w:hAnsi="宋体" w:eastAsia="宋体" w:cs="Times New Roman"/>
                <w:bCs/>
                <w:szCs w:val="21"/>
                <w:lang w:eastAsia="zh-CN"/>
              </w:rPr>
              <w:t>，</w:t>
            </w:r>
            <w:r>
              <w:rPr>
                <w:rFonts w:hint="eastAsia" w:ascii="宋体" w:hAnsi="宋体" w:eastAsia="宋体" w:cs="Times New Roman"/>
                <w:bCs/>
                <w:szCs w:val="21"/>
              </w:rPr>
              <w:t>中标人应在开具发票给采购人</w:t>
            </w:r>
            <w:r>
              <w:rPr>
                <w:rFonts w:hint="eastAsia" w:ascii="宋体" w:hAnsi="宋体" w:eastAsia="宋体" w:cs="Times New Roman"/>
                <w:bCs/>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ascii="宋体" w:hAnsi="宋体" w:eastAsia="宋体" w:cs="Times New Roman"/>
                <w:bCs/>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eastAsia="宋体" w:cs="宋体"/>
                <w:color w:val="000000"/>
                <w:szCs w:val="21"/>
              </w:rPr>
            </w:pPr>
            <w:r>
              <w:rPr>
                <w:rFonts w:hint="eastAsia" w:ascii="宋体" w:hAnsi="宋体" w:eastAsia="宋体" w:cs="Times New Roman"/>
                <w:szCs w:val="21"/>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r>
              <w:rPr>
                <w:rFonts w:hint="eastAsia" w:ascii="宋体" w:hAnsi="宋体" w:eastAsia="宋体" w:cs="Times New Roman"/>
                <w:bCs/>
                <w:szCs w:val="21"/>
                <w:lang w:val="en-US" w:eastAsia="zh-CN"/>
              </w:rPr>
              <w:t>。</w:t>
            </w:r>
          </w:p>
        </w:tc>
      </w:tr>
    </w:tbl>
    <w:p>
      <w:pPr>
        <w:spacing w:line="400" w:lineRule="exact"/>
        <w:ind w:firstLine="420" w:firstLineChars="200"/>
        <w:rPr>
          <w:rFonts w:hint="eastAsia" w:ascii="宋体" w:hAnsi="宋体" w:eastAsia="宋体" w:cs="Times New Roman"/>
          <w:bCs/>
          <w:color w:val="000000"/>
          <w:szCs w:val="21"/>
          <w:lang w:val="en-US" w:eastAsia="zh-CN"/>
        </w:rPr>
      </w:pPr>
    </w:p>
    <w:p>
      <w:pPr>
        <w:spacing w:line="400" w:lineRule="exact"/>
        <w:ind w:firstLine="420" w:firstLineChars="200"/>
        <w:rPr>
          <w:rFonts w:hint="default" w:ascii="宋体" w:hAnsi="宋体" w:eastAsia="宋体" w:cs="Times New Roman"/>
          <w:bCs/>
          <w:color w:val="000000"/>
          <w:szCs w:val="21"/>
          <w:lang w:val="en-US" w:eastAsia="zh-CN"/>
        </w:rPr>
      </w:pPr>
    </w:p>
    <w:p>
      <w:pPr>
        <w:spacing w:line="400" w:lineRule="exact"/>
        <w:ind w:firstLine="420" w:firstLineChars="200"/>
        <w:rPr>
          <w:rFonts w:hint="default" w:ascii="宋体" w:hAnsi="宋体" w:eastAsia="宋体" w:cs="Times New Roman"/>
          <w:bCs/>
          <w:color w:val="000000"/>
          <w:szCs w:val="21"/>
          <w:lang w:val="en-US" w:eastAsia="zh-CN"/>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562"/>
        <w:rPr>
          <w:rFonts w:hint="eastAsia" w:ascii="宋体" w:hAnsi="宋体" w:eastAsia="宋体" w:cs="Times New Roman"/>
          <w:b/>
          <w:color w:val="000000"/>
          <w:szCs w:val="21"/>
        </w:rPr>
      </w:pP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9"/>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60"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237"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237"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4</w:t>
            </w:r>
            <w:r>
              <w:rPr>
                <w:rFonts w:hint="eastAsia" w:ascii="宋体" w:hAnsi="宋体" w:eastAsia="宋体" w:cs="Times New Roman"/>
                <w:color w:val="000000"/>
                <w:szCs w:val="21"/>
              </w:rPr>
              <w:t>0分）</w:t>
            </w:r>
          </w:p>
          <w:p>
            <w:pPr>
              <w:spacing w:line="360" w:lineRule="exact"/>
              <w:ind w:firstLine="2310" w:firstLineChars="11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4</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762"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4</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6999"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60"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237" w:type="dxa"/>
            <w:vAlign w:val="center"/>
          </w:tcPr>
          <w:p>
            <w:pPr>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投标文件技术参数无负偏离，得</w:t>
            </w:r>
            <w:r>
              <w:rPr>
                <w:rFonts w:hint="eastAsia" w:ascii="宋体" w:hAnsi="宋体" w:eastAsia="宋体" w:cs="Times New Roman"/>
                <w:bCs/>
                <w:color w:val="000000"/>
                <w:szCs w:val="21"/>
                <w:lang w:val="en-US" w:eastAsia="zh-CN"/>
              </w:rPr>
              <w:t>10</w:t>
            </w:r>
            <w:r>
              <w:rPr>
                <w:rFonts w:ascii="宋体" w:hAnsi="宋体" w:eastAsia="宋体" w:cs="Times New Roman"/>
                <w:bCs/>
                <w:color w:val="000000"/>
                <w:szCs w:val="21"/>
              </w:rPr>
              <w:t>分</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每</w:t>
            </w:r>
            <w:r>
              <w:rPr>
                <w:rFonts w:hint="eastAsia" w:ascii="宋体" w:hAnsi="宋体" w:eastAsia="宋体" w:cs="Times New Roman"/>
                <w:bCs/>
                <w:color w:val="000000"/>
                <w:szCs w:val="21"/>
              </w:rPr>
              <w:t>有</w:t>
            </w:r>
            <w:r>
              <w:rPr>
                <w:rFonts w:ascii="宋体" w:hAnsi="宋体" w:eastAsia="宋体" w:cs="Times New Roman"/>
                <w:bCs/>
                <w:color w:val="000000"/>
                <w:szCs w:val="21"/>
              </w:rPr>
              <w:t>1个正偏离</w:t>
            </w:r>
            <w:r>
              <w:rPr>
                <w:rFonts w:hint="eastAsia" w:ascii="宋体" w:hAnsi="宋体" w:eastAsia="宋体" w:cs="Times New Roman"/>
                <w:bCs/>
                <w:color w:val="000000"/>
                <w:szCs w:val="21"/>
                <w:lang w:val="en-US" w:eastAsia="zh-CN"/>
              </w:rPr>
              <w:t>加5分，满分25分</w:t>
            </w:r>
            <w:r>
              <w:rPr>
                <w:rFonts w:hint="eastAsia" w:ascii="宋体" w:hAnsi="宋体" w:eastAsia="宋体" w:cs="Times New Roman"/>
                <w:bCs/>
                <w:color w:val="000000"/>
                <w:szCs w:val="21"/>
                <w:lang w:eastAsia="zh-CN"/>
              </w:rPr>
              <w:t>；</w:t>
            </w:r>
          </w:p>
          <w:p>
            <w:pPr>
              <w:rPr>
                <w:rFonts w:hint="eastAsia"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hint="eastAsia" w:ascii="宋体" w:hAnsi="宋体" w:eastAsia="宋体" w:cs="Times New Roman"/>
                <w:color w:val="000000"/>
                <w:szCs w:val="21"/>
              </w:rPr>
            </w:pPr>
            <w:r>
              <w:rPr>
                <w:rFonts w:hint="eastAsia" w:ascii="宋体" w:hAnsi="宋体" w:eastAsia="宋体" w:cs="Times New Roman"/>
                <w:color w:val="000000"/>
                <w:szCs w:val="21"/>
              </w:rPr>
              <w:t>投标文件技术参数有</w:t>
            </w:r>
            <w:r>
              <w:rPr>
                <w:rFonts w:hint="eastAsia" w:ascii="宋体" w:hAnsi="宋体" w:eastAsia="宋体" w:cs="Times New Roman"/>
                <w:color w:val="000000"/>
                <w:szCs w:val="21"/>
                <w:lang w:val="en-US" w:eastAsia="zh-CN"/>
              </w:rPr>
              <w:t>2</w:t>
            </w:r>
            <w:r>
              <w:rPr>
                <w:rFonts w:hint="eastAsia" w:ascii="宋体" w:hAnsi="宋体" w:eastAsia="宋体" w:cs="Times New Roman"/>
                <w:color w:val="000000"/>
                <w:szCs w:val="21"/>
              </w:rPr>
              <w:t>个负偏离，得</w:t>
            </w:r>
            <w:r>
              <w:rPr>
                <w:rFonts w:hint="eastAsia" w:ascii="宋体" w:hAnsi="宋体" w:eastAsia="宋体" w:cs="Times New Roman"/>
                <w:color w:val="000000"/>
                <w:szCs w:val="21"/>
                <w:lang w:val="en-US" w:eastAsia="zh-CN"/>
              </w:rPr>
              <w:t>0</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25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60"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 xml:space="preserve">一档：一般品牌(同一品牌，应同一分值)           </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ascii="宋体" w:hAnsi="宋体" w:eastAsia="宋体" w:cs="Times New Roman"/>
                <w:color w:val="000000"/>
                <w:szCs w:val="21"/>
              </w:rPr>
              <w:t>10</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ascii="宋体" w:hAnsi="宋体" w:eastAsia="宋体" w:cs="Times New Roman"/>
                <w:color w:val="000000"/>
                <w:szCs w:val="21"/>
              </w:rPr>
              <w:t>15</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w:t>
            </w:r>
            <w:r>
              <w:rPr>
                <w:rFonts w:hint="eastAsia" w:ascii="宋体" w:hAnsi="宋体" w:eastAsia="宋体" w:cs="Times New Roman"/>
                <w:color w:val="000000"/>
                <w:szCs w:val="21"/>
                <w:lang w:val="en-US" w:eastAsia="zh-CN"/>
              </w:rPr>
              <w:t>0.1-</w:t>
            </w:r>
            <w:r>
              <w:rPr>
                <w:rFonts w:ascii="宋体" w:hAnsi="宋体" w:eastAsia="宋体" w:cs="Times New Roman"/>
                <w:color w:val="000000"/>
                <w:szCs w:val="21"/>
              </w:rPr>
              <w:t>3</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hint="eastAsia" w:ascii="宋体" w:hAnsi="宋体" w:eastAsia="宋体" w:cs="Times New Roman"/>
                <w:color w:val="000000"/>
                <w:szCs w:val="21"/>
                <w:lang w:val="en-US" w:eastAsia="zh-CN"/>
              </w:rPr>
              <w:t>3.1-</w:t>
            </w:r>
            <w:r>
              <w:rPr>
                <w:rFonts w:ascii="宋体" w:hAnsi="宋体" w:eastAsia="宋体" w:cs="Times New Roman"/>
                <w:color w:val="000000"/>
                <w:szCs w:val="21"/>
              </w:rPr>
              <w:t>6</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hint="eastAsia" w:ascii="宋体" w:hAnsi="宋体" w:eastAsia="宋体" w:cs="Times New Roman"/>
                <w:color w:val="000000"/>
                <w:szCs w:val="21"/>
                <w:lang w:val="en-US" w:eastAsia="zh-CN"/>
              </w:rPr>
              <w:t>6.1-</w:t>
            </w:r>
            <w:r>
              <w:rPr>
                <w:rFonts w:ascii="宋体" w:hAnsi="宋体" w:eastAsia="宋体" w:cs="Times New Roman"/>
                <w:color w:val="000000"/>
                <w:szCs w:val="21"/>
              </w:rPr>
              <w:t>10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60"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7"/>
                <w:rFonts w:hint="default"/>
              </w:rPr>
            </w:pPr>
            <w:r>
              <w:rPr>
                <w:rStyle w:val="17"/>
              </w:rPr>
              <w:t>3.1</w:t>
            </w:r>
          </w:p>
        </w:tc>
        <w:tc>
          <w:tcPr>
            <w:tcW w:w="1560"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237" w:type="dxa"/>
            <w:vAlign w:val="center"/>
          </w:tcPr>
          <w:p>
            <w:pPr>
              <w:rPr>
                <w:rFonts w:ascii="宋体" w:hAnsi="宋体" w:eastAsia="宋体" w:cs="Arial"/>
                <w:szCs w:val="21"/>
              </w:rPr>
            </w:pPr>
            <w:r>
              <w:rPr>
                <w:rFonts w:hint="eastAsia" w:ascii="宋体" w:hAnsi="宋体" w:eastAsia="宋体" w:cs="Times New Roman"/>
                <w:color w:val="000000"/>
                <w:szCs w:val="21"/>
              </w:rPr>
              <w:t>投标产品自20</w:t>
            </w:r>
            <w:r>
              <w:rPr>
                <w:rFonts w:hint="eastAsia" w:ascii="宋体" w:hAnsi="宋体" w:eastAsia="宋体" w:cs="Times New Roman"/>
                <w:color w:val="000000"/>
                <w:szCs w:val="21"/>
                <w:lang w:val="en-US" w:eastAsia="zh-CN"/>
              </w:rPr>
              <w:t>20</w:t>
            </w:r>
            <w:r>
              <w:rPr>
                <w:rFonts w:hint="eastAsia" w:ascii="宋体" w:hAnsi="宋体" w:eastAsia="宋体" w:cs="Times New Roman"/>
                <w:color w:val="000000"/>
                <w:szCs w:val="21"/>
              </w:rPr>
              <w:t>年以来</w:t>
            </w:r>
            <w:r>
              <w:rPr>
                <w:rFonts w:hint="eastAsia" w:ascii="宋体" w:hAnsi="宋体" w:eastAsia="宋体" w:cs="Times New Roman"/>
                <w:color w:val="000000"/>
                <w:szCs w:val="21"/>
                <w:lang w:val="en-US" w:eastAsia="zh-CN"/>
              </w:rPr>
              <w:t>同款产品</w:t>
            </w:r>
            <w:r>
              <w:rPr>
                <w:rFonts w:hint="eastAsia" w:ascii="宋体" w:hAnsi="宋体" w:eastAsia="宋体" w:cs="Times New Roman"/>
                <w:color w:val="000000"/>
                <w:szCs w:val="21"/>
              </w:rPr>
              <w:t>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hint="default" w:ascii="宋体" w:hAnsi="宋体" w:eastAsia="宋体"/>
          <w:szCs w:val="21"/>
          <w:lang w:val="en-US" w:eastAsia="zh-CN"/>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hint="eastAsia" w:ascii="仿宋_GB2312" w:hAnsi="Calibri" w:eastAsia="仿宋_GB2312" w:cs="Calibri"/>
          <w:bCs/>
          <w:color w:val="000000"/>
          <w:sz w:val="32"/>
          <w:szCs w:val="32"/>
          <w:lang w:eastAsia="zh-CN"/>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4"/>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4"/>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r>
        <w:rPr>
          <w:rFonts w:hint="eastAsia" w:ascii="仿宋_GB2312" w:hAnsi="Calibri" w:eastAsia="仿宋_GB2312" w:cs="Calibri"/>
          <w:bCs/>
          <w:color w:val="000000"/>
          <w:sz w:val="32"/>
          <w:szCs w:val="32"/>
          <w:lang w:eastAsia="zh-CN"/>
        </w:rPr>
        <w:t>（</w:t>
      </w:r>
      <w:r>
        <w:rPr>
          <w:rFonts w:hint="eastAsia" w:ascii="仿宋_GB2312" w:hAnsi="Calibri" w:eastAsia="仿宋_GB2312" w:cs="Calibri"/>
          <w:bCs/>
          <w:color w:val="000000"/>
          <w:sz w:val="32"/>
          <w:szCs w:val="32"/>
          <w:lang w:val="en-US" w:eastAsia="zh-CN"/>
        </w:rPr>
        <w:t>注明是参与的A、B、C那一个标段</w:t>
      </w:r>
      <w:r>
        <w:rPr>
          <w:rFonts w:hint="eastAsia" w:ascii="仿宋_GB2312" w:hAnsi="Calibri" w:eastAsia="仿宋_GB2312" w:cs="Calibri"/>
          <w:bCs/>
          <w:color w:val="000000"/>
          <w:sz w:val="32"/>
          <w:szCs w:val="32"/>
          <w:lang w:eastAsia="zh-CN"/>
        </w:rPr>
        <w:t>）</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9"/>
        <w:tblpPr w:leftFromText="180" w:rightFromText="180" w:vertAnchor="text" w:horzAnchor="page" w:tblpX="1325" w:tblpY="580"/>
        <w:tblOverlap w:val="never"/>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9"/>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b/>
          <w:color w:val="000000"/>
          <w:sz w:val="32"/>
          <w:szCs w:val="32"/>
        </w:rPr>
        <w:t>1.</w:t>
      </w:r>
      <w:r>
        <w:rPr>
          <w:rFonts w:hint="eastAsia" w:ascii="宋体" w:hAnsi="宋体" w:eastAsia="宋体" w:cs="Calibri"/>
          <w:b/>
          <w:bCs/>
          <w:color w:val="000000"/>
          <w:sz w:val="32"/>
          <w:szCs w:val="32"/>
        </w:rPr>
        <w:t>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abstractNum w:abstractNumId="1">
    <w:nsid w:val="273C5A46"/>
    <w:multiLevelType w:val="singleLevel"/>
    <w:tmpl w:val="273C5A46"/>
    <w:lvl w:ilvl="0" w:tentative="0">
      <w:start w:val="1"/>
      <w:numFmt w:val="decimal"/>
      <w:suff w:val="space"/>
      <w:lvlText w:val="%1."/>
      <w:lvlJc w:val="left"/>
    </w:lvl>
  </w:abstractNum>
  <w:abstractNum w:abstractNumId="2">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53927FD"/>
    <w:rsid w:val="0DEF17D8"/>
    <w:rsid w:val="0E04767E"/>
    <w:rsid w:val="0F21032D"/>
    <w:rsid w:val="100B70C3"/>
    <w:rsid w:val="12143431"/>
    <w:rsid w:val="15F14846"/>
    <w:rsid w:val="19BD661E"/>
    <w:rsid w:val="1A632FBA"/>
    <w:rsid w:val="1F3802BD"/>
    <w:rsid w:val="20F1271B"/>
    <w:rsid w:val="21C83E17"/>
    <w:rsid w:val="230C6132"/>
    <w:rsid w:val="25C10491"/>
    <w:rsid w:val="267D2BB8"/>
    <w:rsid w:val="27605B00"/>
    <w:rsid w:val="29105A83"/>
    <w:rsid w:val="2F60116C"/>
    <w:rsid w:val="303D69DF"/>
    <w:rsid w:val="36D70741"/>
    <w:rsid w:val="36EF4890"/>
    <w:rsid w:val="37CD68B3"/>
    <w:rsid w:val="39026745"/>
    <w:rsid w:val="399D69A6"/>
    <w:rsid w:val="3CF86B7C"/>
    <w:rsid w:val="41C0323C"/>
    <w:rsid w:val="41D3175E"/>
    <w:rsid w:val="44653A13"/>
    <w:rsid w:val="45DB2F02"/>
    <w:rsid w:val="4BF86B15"/>
    <w:rsid w:val="4FD74E04"/>
    <w:rsid w:val="53FE114B"/>
    <w:rsid w:val="54AD1ED4"/>
    <w:rsid w:val="57874CD5"/>
    <w:rsid w:val="59B64834"/>
    <w:rsid w:val="5D72019D"/>
    <w:rsid w:val="5E9A1F4D"/>
    <w:rsid w:val="5EBA7B70"/>
    <w:rsid w:val="649233E3"/>
    <w:rsid w:val="64BF359F"/>
    <w:rsid w:val="64E861BC"/>
    <w:rsid w:val="65A17C5D"/>
    <w:rsid w:val="65A90B76"/>
    <w:rsid w:val="66567619"/>
    <w:rsid w:val="67802B6C"/>
    <w:rsid w:val="6B856D0D"/>
    <w:rsid w:val="6D0312DB"/>
    <w:rsid w:val="6D5A388E"/>
    <w:rsid w:val="71045D6C"/>
    <w:rsid w:val="74DA269D"/>
    <w:rsid w:val="779D6447"/>
    <w:rsid w:val="78D3337A"/>
    <w:rsid w:val="7B591255"/>
    <w:rsid w:val="7C3D2E64"/>
    <w:rsid w:val="7D0E37F9"/>
    <w:rsid w:val="7F2C7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14"/>
    <w:semiHidden/>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character" w:customStyle="1" w:styleId="14">
    <w:name w:val="日期 字符"/>
    <w:basedOn w:val="11"/>
    <w:link w:val="6"/>
    <w:semiHidden/>
    <w:qFormat/>
    <w:uiPriority w:val="99"/>
  </w:style>
  <w:style w:type="character" w:customStyle="1" w:styleId="15">
    <w:name w:val="标题 2 字符"/>
    <w:basedOn w:val="11"/>
    <w:link w:val="3"/>
    <w:semiHidden/>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character" w:customStyle="1" w:styleId="17">
    <w:name w:val="font91"/>
    <w:basedOn w:val="11"/>
    <w:qFormat/>
    <w:uiPriority w:val="0"/>
    <w:rPr>
      <w:rFonts w:hint="eastAsia" w:ascii="宋体" w:hAnsi="宋体" w:eastAsia="宋体" w:cs="宋体"/>
      <w:color w:val="000000"/>
      <w:sz w:val="20"/>
      <w:szCs w:val="20"/>
      <w:u w:val="none"/>
    </w:rPr>
  </w:style>
  <w:style w:type="character" w:customStyle="1" w:styleId="18">
    <w:name w:val="font51"/>
    <w:basedOn w:val="11"/>
    <w:qFormat/>
    <w:uiPriority w:val="0"/>
    <w:rPr>
      <w:rFonts w:hint="default" w:ascii="Times New Roman" w:hAnsi="Times New Roman" w:cs="Times New Roman"/>
      <w:color w:val="000000"/>
      <w:sz w:val="20"/>
      <w:szCs w:val="20"/>
      <w:u w:val="none"/>
    </w:rPr>
  </w:style>
  <w:style w:type="paragraph" w:customStyle="1" w:styleId="19">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18441</Words>
  <Characters>19200</Characters>
  <Lines>157</Lines>
  <Paragraphs>44</Paragraphs>
  <TotalTime>7</TotalTime>
  <ScaleCrop>false</ScaleCrop>
  <LinksUpToDate>false</LinksUpToDate>
  <CharactersWithSpaces>21150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2022-12-12T02:06:00Z</dcterms:created>
  <dc:creator>魏宝兴</dc:creator>
  <cp:lastModifiedBy>陆壹肆</cp:lastModifiedBy>
  <cp:lastPrinted>2022-12-12T03:30:00Z</cp:lastPrinted>
  <dcterms:modified xsi:type="dcterms:W3CDTF">2023-05-08T03:09:27Z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003F4B7C55754348827E781723701253</vt:lpwstr>
  </property>
</Properties>
</file>