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eastAsia="zh-CN"/>
        </w:rPr>
        <w:t>广西骨伤医院皮肤检测仪采购项目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lang w:eastAsia="zh-CN"/>
        </w:rPr>
        <w:t>GXGSYY-CGB-SBK-2023-14</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21</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4229878"/>
      <w:bookmarkStart w:id="2" w:name="_Toc28359089"/>
      <w:bookmarkStart w:id="3" w:name="_Toc35393629"/>
      <w:bookmarkStart w:id="4" w:name="_Toc47452205"/>
      <w:bookmarkStart w:id="5" w:name="_Toc35393798"/>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lang w:eastAsia="zh-CN"/>
        </w:rPr>
        <w:t>GXGSYY-CGB-SBK-2023-14</w:t>
      </w:r>
    </w:p>
    <w:p>
      <w:pPr>
        <w:spacing w:line="320" w:lineRule="exact"/>
        <w:ind w:firstLine="420" w:firstLineChars="200"/>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广西骨伤医院皮肤检测仪采购项目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30万元</w:t>
      </w:r>
      <w:r>
        <w:rPr>
          <w:rFonts w:hint="eastAsia" w:ascii="宋体" w:hAnsi="宋体" w:eastAsia="宋体" w:cs="Times New Roman"/>
          <w:color w:val="000000"/>
          <w:szCs w:val="21"/>
        </w:rPr>
        <w:t>。</w:t>
      </w:r>
    </w:p>
    <w:p>
      <w:pPr>
        <w:spacing w:line="320" w:lineRule="exact"/>
        <w:ind w:firstLine="420" w:firstLineChars="200"/>
        <w:rPr>
          <w:rFonts w:hint="eastAsia" w:ascii="宋体" w:hAnsi="宋体" w:eastAsia="宋体" w:cs="Times New Roman"/>
          <w:color w:val="000000"/>
          <w:szCs w:val="21"/>
        </w:rPr>
      </w:pPr>
      <w:bookmarkStart w:id="7" w:name="_Toc28359090"/>
      <w:bookmarkStart w:id="8" w:name="_Toc28359013"/>
      <w:bookmarkStart w:id="9" w:name="_Toc35393799"/>
      <w:bookmarkStart w:id="10" w:name="_Toc47452206"/>
      <w:bookmarkStart w:id="11" w:name="_Toc44229879"/>
      <w:bookmarkStart w:id="12" w:name="_Toc35393630"/>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设备</w:t>
            </w:r>
            <w:r>
              <w:rPr>
                <w:rFonts w:hint="eastAsia" w:ascii="宋体" w:hAnsi="宋体" w:eastAsia="宋体" w:cs="Calibri"/>
                <w:color w:val="000000"/>
                <w:szCs w:val="21"/>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eastAsia="zh-CN"/>
              </w:rPr>
              <w:t>皮肤检测仪</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5103"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 镜头类型：光学镜头；</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 光源：具备自然光、偏振光光源；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 像素及分辨率：像素≥2000万，分辨率≥5962*3355；</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 成像均匀性≥90%；</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w:t>
      </w:r>
      <w:r>
        <w:rPr>
          <w:rFonts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8</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4</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27</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5</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highlight w:val="none"/>
        </w:rPr>
        <w:t>3.首次响应文件提交地点：广西骨伤医院采购办（广西南宁市东葛路1号锦华</w:t>
      </w:r>
      <w:r>
        <w:rPr>
          <w:rFonts w:hint="eastAsia" w:ascii="宋体" w:hAnsi="宋体" w:eastAsia="宋体" w:cs="Calibri"/>
          <w:color w:val="000000"/>
          <w:szCs w:val="21"/>
        </w:rPr>
        <w:t>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w:t>
      </w:r>
      <w:bookmarkStart w:id="25" w:name="_GoBack"/>
      <w:bookmarkEnd w:id="25"/>
      <w:r>
        <w:rPr>
          <w:rFonts w:hint="eastAsia" w:ascii="宋体" w:hAnsi="宋体" w:eastAsia="宋体" w:cs="Calibri"/>
          <w:bCs/>
          <w:color w:val="000000"/>
          <w:szCs w:val="21"/>
        </w:rPr>
        <w:t>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lang w:val="en-US" w:eastAsia="zh-CN"/>
        </w:rPr>
      </w:pPr>
      <w:r>
        <w:rPr>
          <w:rFonts w:hint="eastAsia" w:ascii="宋体" w:hAnsi="宋体" w:eastAsia="宋体" w:cs="宋体"/>
          <w:b/>
          <w:color w:val="000000"/>
          <w:szCs w:val="21"/>
        </w:rPr>
        <w:t>五、开启</w:t>
      </w:r>
      <w:r>
        <w:rPr>
          <w:rFonts w:hint="eastAsia" w:ascii="宋体" w:hAnsi="宋体" w:eastAsia="宋体" w:cs="宋体"/>
          <w:b/>
          <w:color w:val="000000"/>
          <w:szCs w:val="21"/>
          <w:lang w:val="en-US" w:eastAsia="zh-CN"/>
        </w:rPr>
        <w:t>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color w:val="000000"/>
          <w:szCs w:val="21"/>
          <w:lang w:val="en-US" w:eastAsia="zh-CN"/>
        </w:rPr>
        <w:t>开启</w:t>
      </w:r>
      <w:r>
        <w:rPr>
          <w:rFonts w:hint="eastAsia" w:ascii="宋体" w:hAnsi="宋体" w:eastAsia="宋体" w:cs="Calibri"/>
          <w:color w:val="000000"/>
          <w:szCs w:val="21"/>
        </w:rPr>
        <w:t>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lang w:val="en-US" w:eastAsia="zh-CN"/>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1</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lang w:val="en-US" w:eastAsia="zh-CN"/>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w:t>
            </w:r>
            <w:r>
              <w:rPr>
                <w:rFonts w:hint="eastAsia" w:ascii="宋体" w:hAnsi="宋体" w:eastAsia="宋体" w:cs="Calibri"/>
                <w:color w:val="000000"/>
                <w:szCs w:val="21"/>
                <w:lang w:val="en-US" w:eastAsia="zh-CN"/>
              </w:rPr>
              <w:t>不高于预算价格，应</w:t>
            </w:r>
            <w:r>
              <w:rPr>
                <w:rFonts w:hint="eastAsia" w:ascii="宋体" w:hAnsi="宋体" w:eastAsia="宋体" w:cs="Calibri"/>
                <w:color w:val="000000"/>
                <w:szCs w:val="21"/>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lang w:eastAsia="zh-CN"/>
        </w:rPr>
        <w:t>广西骨伤医院皮肤检测仪采购项目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val="en-US" w:eastAsia="zh-CN"/>
              </w:rPr>
              <w:t>皮肤检测仪</w:t>
            </w:r>
          </w:p>
        </w:tc>
        <w:tc>
          <w:tcPr>
            <w:tcW w:w="1210" w:type="dxa"/>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eastAsia="宋体" w:cs="Times New Roman"/>
                <w:color w:val="000000"/>
                <w:szCs w:val="21"/>
                <w:lang w:eastAsia="zh-CN"/>
              </w:rPr>
              <w:t>台</w:t>
            </w:r>
          </w:p>
        </w:tc>
        <w:tc>
          <w:tcPr>
            <w:tcW w:w="6845" w:type="dxa"/>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 镜头类型：光学镜头；</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 光源：具备自然光、偏振光光源（另外具备可调氙气灯、紫外光为正偏离）；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 像素及分辨率：像素≥2000万，分辨率≥5962*3355（像素≥2400万为正偏离）；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 成像均匀性≥90%；</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 具备系统自动对焦功能；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 具备自动白平衡校正功能；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7. 图片精度具备300DPi或以上；</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8. 支持连拍功能（具备即时三面拍摄，无需变换体位拍摄为正偏离）；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9. 具备局部皮肤三维分析功能（具备多光谱局部或全面部放大镜查看皮肤状况功能为正偏离）；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10. 具备皮肤扫描分析功能，能存储和分析皮肤斑点、血管性病变、皱纹、质地和油脂分泌等功能（具备与同龄人皮肤斑点、血管性病变、皱纹、质地和油脂分泌等指标进行比较并判断与同龄人相比的皮肤状况的功能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10. 具备皮肤年龄检测功能（具备模拟皮肤衰老情况为正偏离）；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11. 具备皮肤肤色类型检测功能，自动扫描分析病人的皮肤并进行肤色类型的区分；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ascii="宋体" w:hAnsi="宋体" w:eastAsia="宋体" w:cs="Times New Roman"/>
                <w:color w:val="000000"/>
                <w:szCs w:val="21"/>
              </w:rPr>
            </w:pPr>
            <w:r>
              <w:rPr>
                <w:rFonts w:hint="eastAsia" w:ascii="宋体" w:hAnsi="宋体" w:eastAsia="宋体" w:cs="Times New Roman"/>
                <w:color w:val="000000"/>
                <w:szCs w:val="21"/>
                <w:lang w:val="en-US" w:eastAsia="zh-CN"/>
              </w:rPr>
              <w:t>12. 具备计算机主机及显示器及彩色打印机，可输出和打印电子图文报告（配备的是4K显示器为正偏离）。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r>
              <w:rPr>
                <w:rFonts w:hint="eastAsia" w:ascii="宋体" w:hAnsi="宋体" w:eastAsia="宋体" w:cs="Times New Roman"/>
                <w:color w:val="000000"/>
                <w:szCs w:val="21"/>
                <w:lang w:val="en-US" w:eastAsia="zh-CN"/>
              </w:rPr>
              <w:t>指定地点</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合同签订后采购人支付合同</w:t>
            </w:r>
            <w:r>
              <w:rPr>
                <w:rFonts w:hint="eastAsia" w:ascii="宋体" w:hAnsi="宋体" w:eastAsia="宋体" w:cs="Times New Roman"/>
                <w:bCs/>
                <w:szCs w:val="21"/>
              </w:rPr>
              <w:t>总金额</w:t>
            </w:r>
            <w:r>
              <w:rPr>
                <w:rFonts w:hint="eastAsia" w:ascii="宋体" w:hAnsi="宋体" w:eastAsia="宋体" w:cs="Times New Roman"/>
                <w:bCs/>
                <w:szCs w:val="21"/>
                <w:lang w:val="en-US" w:eastAsia="zh-CN"/>
              </w:rPr>
              <w:t>30%做为预付款。</w:t>
            </w:r>
            <w:r>
              <w:rPr>
                <w:rFonts w:hint="eastAsia" w:ascii="宋体" w:hAnsi="宋体" w:eastAsia="宋体" w:cs="Times New Roman"/>
                <w:bCs/>
                <w:szCs w:val="21"/>
              </w:rPr>
              <w:t>货物验收合格后，采购人支付</w:t>
            </w:r>
            <w:r>
              <w:rPr>
                <w:rFonts w:hint="eastAsia" w:ascii="宋体" w:hAnsi="宋体" w:eastAsia="宋体" w:cs="Times New Roman"/>
                <w:bCs/>
                <w:szCs w:val="21"/>
                <w:lang w:val="en-US" w:eastAsia="zh-CN"/>
              </w:rPr>
              <w:t>剩余</w:t>
            </w:r>
            <w:r>
              <w:rPr>
                <w:rFonts w:hint="eastAsia" w:ascii="宋体" w:hAnsi="宋体" w:eastAsia="宋体" w:cs="Times New Roman"/>
                <w:bCs/>
                <w:szCs w:val="21"/>
              </w:rPr>
              <w:t>的</w:t>
            </w:r>
            <w:r>
              <w:rPr>
                <w:rFonts w:hint="eastAsia" w:ascii="宋体" w:hAnsi="宋体" w:eastAsia="宋体" w:cs="Times New Roman"/>
                <w:bCs/>
                <w:szCs w:val="21"/>
                <w:lang w:val="en-US" w:eastAsia="zh-CN"/>
              </w:rPr>
              <w:t>70</w:t>
            </w:r>
            <w:r>
              <w:rPr>
                <w:rFonts w:ascii="宋体" w:hAnsi="宋体" w:eastAsia="宋体" w:cs="Times New Roman"/>
                <w:bCs/>
                <w:szCs w:val="21"/>
              </w:rPr>
              <w:t>%货款</w:t>
            </w:r>
            <w:r>
              <w:rPr>
                <w:rFonts w:hint="eastAsia" w:ascii="宋体" w:hAnsi="宋体" w:eastAsia="宋体" w:cs="Times New Roman"/>
                <w:bCs/>
                <w:szCs w:val="21"/>
                <w:lang w:eastAsia="zh-CN"/>
              </w:rPr>
              <w:t>，</w:t>
            </w:r>
            <w:r>
              <w:rPr>
                <w:rFonts w:hint="eastAsia" w:ascii="宋体" w:hAnsi="宋体" w:eastAsia="宋体" w:cs="Times New Roman"/>
                <w:bCs/>
                <w:szCs w:val="21"/>
              </w:rPr>
              <w:t>中标人应在开具发票给采购人</w:t>
            </w:r>
            <w:r>
              <w:rPr>
                <w:rFonts w:hint="eastAsia" w:ascii="宋体" w:hAnsi="宋体" w:eastAsia="宋体" w:cs="Times New Roman"/>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val="en-US" w:eastAsia="zh-CN"/>
              </w:rPr>
              <w:t>。</w:t>
            </w:r>
          </w:p>
        </w:tc>
      </w:tr>
    </w:tbl>
    <w:p>
      <w:pPr>
        <w:spacing w:line="400" w:lineRule="exact"/>
        <w:ind w:firstLine="420" w:firstLineChars="200"/>
        <w:rPr>
          <w:rFonts w:hint="eastAsia"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hint="eastAsia"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每</w:t>
            </w:r>
            <w:r>
              <w:rPr>
                <w:rFonts w:hint="eastAsia" w:ascii="宋体" w:hAnsi="宋体" w:eastAsia="宋体" w:cs="Times New Roman"/>
                <w:bCs/>
                <w:color w:val="000000"/>
                <w:szCs w:val="21"/>
              </w:rPr>
              <w:t>有</w:t>
            </w:r>
            <w:r>
              <w:rPr>
                <w:rFonts w:ascii="宋体" w:hAnsi="宋体" w:eastAsia="宋体" w:cs="Times New Roman"/>
                <w:bCs/>
                <w:color w:val="000000"/>
                <w:szCs w:val="21"/>
              </w:rPr>
              <w:t>1个正偏离</w:t>
            </w:r>
            <w:r>
              <w:rPr>
                <w:rFonts w:hint="eastAsia" w:ascii="宋体" w:hAnsi="宋体" w:eastAsia="宋体" w:cs="Times New Roman"/>
                <w:bCs/>
                <w:color w:val="000000"/>
                <w:szCs w:val="21"/>
                <w:lang w:val="en-US" w:eastAsia="zh-CN"/>
              </w:rPr>
              <w:t>加2分，满分25分</w:t>
            </w:r>
            <w:r>
              <w:rPr>
                <w:rFonts w:hint="eastAsia" w:ascii="宋体" w:hAnsi="宋体" w:eastAsia="宋体" w:cs="Times New Roman"/>
                <w:bCs/>
                <w:color w:val="000000"/>
                <w:szCs w:val="21"/>
                <w:lang w:eastAsia="zh-CN"/>
              </w:rPr>
              <w:t>；</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个负偏离，得</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15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hint="eastAsia" w:ascii="宋体" w:hAnsi="宋体" w:eastAsia="宋体" w:cs="Times New Roman"/>
                <w:color w:val="000000"/>
                <w:szCs w:val="21"/>
                <w:lang w:val="en-US" w:eastAsia="zh-CN"/>
              </w:rPr>
              <w:t>0.1-</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3.1-</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6.1-</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年以来</w:t>
            </w:r>
            <w:r>
              <w:rPr>
                <w:rFonts w:hint="eastAsia" w:ascii="宋体" w:hAnsi="宋体" w:eastAsia="宋体" w:cs="Times New Roman"/>
                <w:color w:val="000000"/>
                <w:szCs w:val="21"/>
                <w:lang w:val="en-US" w:eastAsia="zh-CN"/>
              </w:rPr>
              <w:t>同款产品</w:t>
            </w:r>
            <w:r>
              <w:rPr>
                <w:rFonts w:hint="eastAsia" w:ascii="宋体" w:hAnsi="宋体" w:eastAsia="宋体" w:cs="Times New Roman"/>
                <w:color w:val="000000"/>
                <w:szCs w:val="21"/>
              </w:rPr>
              <w:t>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hint="default" w:ascii="宋体" w:hAnsi="宋体" w:eastAsia="宋体"/>
          <w:szCs w:val="21"/>
          <w:lang w:val="en-US" w:eastAsia="zh-CN"/>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lang w:eastAsia="zh-CN"/>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r>
        <w:rPr>
          <w:rFonts w:hint="eastAsia" w:ascii="仿宋_GB2312" w:hAnsi="Calibri" w:eastAsia="仿宋_GB2312" w:cs="Calibri"/>
          <w:bCs/>
          <w:color w:val="000000"/>
          <w:sz w:val="32"/>
          <w:szCs w:val="32"/>
          <w:lang w:eastAsia="zh-CN"/>
        </w:rPr>
        <w:t>（</w:t>
      </w:r>
      <w:r>
        <w:rPr>
          <w:rFonts w:hint="eastAsia" w:ascii="仿宋_GB2312" w:hAnsi="Calibri" w:eastAsia="仿宋_GB2312" w:cs="Calibri"/>
          <w:bCs/>
          <w:color w:val="000000"/>
          <w:sz w:val="32"/>
          <w:szCs w:val="32"/>
          <w:lang w:val="en-US" w:eastAsia="zh-CN"/>
        </w:rPr>
        <w:t>注明是参与的A、B、C那一个标段</w:t>
      </w:r>
      <w:r>
        <w:rPr>
          <w:rFonts w:hint="eastAsia" w:ascii="仿宋_GB2312" w:hAnsi="Calibri" w:eastAsia="仿宋_GB2312" w:cs="Calibri"/>
          <w:bCs/>
          <w:color w:val="000000"/>
          <w:sz w:val="32"/>
          <w:szCs w:val="32"/>
          <w:lang w:eastAsia="zh-CN"/>
        </w:rPr>
        <w:t>）</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637270E"/>
    <w:rsid w:val="0F21032D"/>
    <w:rsid w:val="100B70C3"/>
    <w:rsid w:val="19BD661E"/>
    <w:rsid w:val="1A323A9D"/>
    <w:rsid w:val="1A632FBA"/>
    <w:rsid w:val="21C83E17"/>
    <w:rsid w:val="226E0AA3"/>
    <w:rsid w:val="230C6132"/>
    <w:rsid w:val="25C10491"/>
    <w:rsid w:val="267D2BB8"/>
    <w:rsid w:val="27605B00"/>
    <w:rsid w:val="2F60116C"/>
    <w:rsid w:val="303D69DF"/>
    <w:rsid w:val="30F95BF4"/>
    <w:rsid w:val="36D70741"/>
    <w:rsid w:val="36EF4890"/>
    <w:rsid w:val="39026745"/>
    <w:rsid w:val="399D69A6"/>
    <w:rsid w:val="3CF86B7C"/>
    <w:rsid w:val="41C0323C"/>
    <w:rsid w:val="41D3175E"/>
    <w:rsid w:val="45DB2F02"/>
    <w:rsid w:val="4BF86B15"/>
    <w:rsid w:val="4FD74E04"/>
    <w:rsid w:val="53FE114B"/>
    <w:rsid w:val="54AD1ED4"/>
    <w:rsid w:val="57874CD5"/>
    <w:rsid w:val="59B64834"/>
    <w:rsid w:val="5D72019D"/>
    <w:rsid w:val="5E9A1F4D"/>
    <w:rsid w:val="5EBA7B70"/>
    <w:rsid w:val="64BF359F"/>
    <w:rsid w:val="64E861BC"/>
    <w:rsid w:val="65A17C5D"/>
    <w:rsid w:val="65A90B76"/>
    <w:rsid w:val="66567619"/>
    <w:rsid w:val="67802B6C"/>
    <w:rsid w:val="6D0312DB"/>
    <w:rsid w:val="6D5A388E"/>
    <w:rsid w:val="71045D6C"/>
    <w:rsid w:val="74DA269D"/>
    <w:rsid w:val="779D6447"/>
    <w:rsid w:val="78D3337A"/>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18226</Words>
  <Characters>19014</Characters>
  <Lines>157</Lines>
  <Paragraphs>44</Paragraphs>
  <TotalTime>0</TotalTime>
  <ScaleCrop>false</ScaleCrop>
  <LinksUpToDate>false</LinksUpToDate>
  <CharactersWithSpaces>20808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Administrator</cp:lastModifiedBy>
  <cp:lastPrinted>2022-12-12T03:30:00Z</cp:lastPrinted>
  <dcterms:modified xsi:type="dcterms:W3CDTF">2023-04-27T03:24:07Z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003F4B7C55754348827E781723701253</vt:lpwstr>
  </property>
</Properties>
</file>