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eastAsia="zh-CN"/>
        </w:rPr>
        <w:t>广西骨伤医院多普勒超声诊断仪等设备采购项目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lang w:eastAsia="zh-CN"/>
        </w:rPr>
        <w:t>GXGSYY-CGB-SBK-2023-07(A、B、C)</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 xml:space="preserve">月 </w:t>
      </w:r>
      <w:r>
        <w:rPr>
          <w:rFonts w:ascii="仿宋_GB2312" w:hAnsi="宋体" w:eastAsia="仿宋_GB2312" w:cs="Times New Roman"/>
          <w:b/>
          <w:color w:val="000000"/>
          <w:sz w:val="32"/>
          <w:szCs w:val="32"/>
        </w:rPr>
        <w:t>1</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798"/>
      <w:bookmarkStart w:id="2" w:name="_Toc28359012"/>
      <w:bookmarkStart w:id="3" w:name="_Toc47452205"/>
      <w:bookmarkStart w:id="4" w:name="_Toc35393629"/>
      <w:bookmarkStart w:id="5" w:name="_Toc28359089"/>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lang w:eastAsia="zh-CN"/>
        </w:rPr>
        <w:t>GXGSYY-CGB-SBK-2023-07(A、B、C)</w:t>
      </w:r>
    </w:p>
    <w:p>
      <w:pPr>
        <w:spacing w:line="320" w:lineRule="exact"/>
        <w:ind w:firstLine="420" w:firstLineChars="200"/>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广西骨伤医院多普勒超声诊断仪等设备采购项目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A标段预算22万元，B标段预算13万元，C标段预算12万元</w:t>
      </w:r>
      <w:r>
        <w:rPr>
          <w:rFonts w:hint="eastAsia" w:ascii="宋体" w:hAnsi="宋体" w:eastAsia="宋体" w:cs="Times New Roman"/>
          <w:color w:val="000000"/>
          <w:szCs w:val="21"/>
        </w:rPr>
        <w:t>。</w:t>
      </w:r>
    </w:p>
    <w:p>
      <w:pPr>
        <w:spacing w:line="320" w:lineRule="exact"/>
        <w:ind w:firstLine="420" w:firstLineChars="200"/>
        <w:rPr>
          <w:rFonts w:hint="eastAsia" w:ascii="宋体" w:hAnsi="宋体" w:eastAsia="宋体" w:cs="Times New Roman"/>
          <w:color w:val="000000"/>
          <w:szCs w:val="21"/>
        </w:rPr>
      </w:pPr>
      <w:bookmarkStart w:id="7" w:name="_Toc44229879"/>
      <w:bookmarkStart w:id="8" w:name="_Toc47452206"/>
      <w:bookmarkStart w:id="9" w:name="_Toc28359013"/>
      <w:bookmarkStart w:id="10" w:name="_Toc28359090"/>
      <w:bookmarkStart w:id="11" w:name="_Toc35393799"/>
      <w:bookmarkStart w:id="12" w:name="_Toc35393630"/>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A分标：</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设备</w:t>
            </w:r>
            <w:r>
              <w:rPr>
                <w:rFonts w:hint="eastAsia" w:ascii="宋体" w:hAnsi="宋体" w:eastAsia="宋体" w:cs="Calibri"/>
                <w:color w:val="000000"/>
                <w:szCs w:val="21"/>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eastAsia="zh-CN"/>
              </w:rPr>
              <w:t>多普勒超声诊断仪（台式）</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5103" w:type="dxa"/>
            <w:tcBorders>
              <w:top w:val="single" w:color="auto" w:sz="4" w:space="0"/>
              <w:left w:val="nil"/>
              <w:bottom w:val="single" w:color="auto" w:sz="4" w:space="0"/>
              <w:right w:val="single" w:color="auto" w:sz="4" w:space="0"/>
            </w:tcBorders>
          </w:tcPr>
          <w:p>
            <w:pPr>
              <w:pStyle w:val="16"/>
              <w:pageBreakBefore w:val="0"/>
              <w:widowControl w:val="0"/>
              <w:numPr>
                <w:ilvl w:val="0"/>
                <w:numId w:val="0"/>
              </w:numPr>
              <w:kinsoku/>
              <w:wordWrap/>
              <w:overflowPunct/>
              <w:topLinePunct w:val="0"/>
              <w:autoSpaceDE/>
              <w:autoSpaceDN/>
              <w:bidi w:val="0"/>
              <w:adjustRightInd/>
              <w:spacing w:line="240" w:lineRule="exact"/>
              <w:ind w:firstLine="420" w:firstLineChars="200"/>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用途说明：腹部、妇产科、疼痛科、心脏、小器官、泌尿、血管、儿科、急诊及其它。</w:t>
            </w:r>
          </w:p>
          <w:p>
            <w:pPr>
              <w:pStyle w:val="16"/>
              <w:pageBreakBefore w:val="0"/>
              <w:widowControl w:val="0"/>
              <w:numPr>
                <w:ilvl w:val="0"/>
                <w:numId w:val="0"/>
              </w:numPr>
              <w:kinsoku/>
              <w:wordWrap/>
              <w:overflowPunct/>
              <w:topLinePunct w:val="0"/>
              <w:autoSpaceDE/>
              <w:autoSpaceDN/>
              <w:bidi w:val="0"/>
              <w:adjustRightInd/>
              <w:spacing w:line="240" w:lineRule="exact"/>
              <w:ind w:firstLine="420" w:firstLineChars="200"/>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主要技术规格及系统概述：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1.主机系统性能</w:t>
            </w:r>
          </w:p>
          <w:p>
            <w:pPr>
              <w:pStyle w:val="3"/>
              <w:pageBreakBefore w:val="0"/>
              <w:widowControl w:val="0"/>
              <w:numPr>
                <w:ilvl w:val="2"/>
                <w:numId w:val="0"/>
              </w:numPr>
              <w:kinsoku/>
              <w:wordWrap/>
              <w:overflowPunct/>
              <w:topLinePunct w:val="0"/>
              <w:autoSpaceDE/>
              <w:autoSpaceDN/>
              <w:bidi w:val="0"/>
              <w:adjustRightInd/>
              <w:spacing w:before="0" w:after="0" w:line="240" w:lineRule="exact"/>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1.01 具备≥21”高分辨率彩色液晶显示器（≥23”为正偏离）；</w:t>
            </w:r>
          </w:p>
          <w:p>
            <w:pPr>
              <w:pStyle w:val="3"/>
              <w:pageBreakBefore w:val="0"/>
              <w:widowControl w:val="0"/>
              <w:numPr>
                <w:ilvl w:val="2"/>
                <w:numId w:val="0"/>
              </w:numPr>
              <w:kinsoku/>
              <w:wordWrap/>
              <w:overflowPunct/>
              <w:topLinePunct w:val="0"/>
              <w:autoSpaceDE/>
              <w:autoSpaceDN/>
              <w:bidi w:val="0"/>
              <w:adjustRightInd/>
              <w:spacing w:before="0" w:after="0" w:line="240" w:lineRule="exact"/>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1.02 具备≥13”彩色液晶触摸屏,  触摸屏可独立调整角度；</w:t>
            </w:r>
          </w:p>
          <w:p>
            <w:pPr>
              <w:pStyle w:val="3"/>
              <w:pageBreakBefore w:val="0"/>
              <w:widowControl w:val="0"/>
              <w:numPr>
                <w:ilvl w:val="2"/>
                <w:numId w:val="0"/>
              </w:numPr>
              <w:kinsoku/>
              <w:wordWrap/>
              <w:overflowPunct/>
              <w:topLinePunct w:val="0"/>
              <w:autoSpaceDE/>
              <w:autoSpaceDN/>
              <w:bidi w:val="0"/>
              <w:adjustRightInd/>
              <w:spacing w:before="0" w:after="0" w:line="240" w:lineRule="exact"/>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1.03 主机内置标准化探头接口≥4 个，探头接口外形完全一致，全部激活，互通互用，且均支持4D 探头（探头接口≥5个为正偏离）；</w:t>
            </w:r>
          </w:p>
          <w:p>
            <w:pPr>
              <w:pStyle w:val="3"/>
              <w:pageBreakBefore w:val="0"/>
              <w:widowControl w:val="0"/>
              <w:numPr>
                <w:ilvl w:val="2"/>
                <w:numId w:val="0"/>
              </w:numPr>
              <w:kinsoku/>
              <w:wordWrap/>
              <w:overflowPunct/>
              <w:topLinePunct w:val="0"/>
              <w:autoSpaceDE/>
              <w:autoSpaceDN/>
              <w:bidi w:val="0"/>
              <w:adjustRightInd/>
              <w:spacing w:before="0" w:after="0" w:line="240" w:lineRule="exact"/>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1.04 内置锂电池；</w:t>
            </w:r>
          </w:p>
          <w:p>
            <w:pPr>
              <w:pStyle w:val="3"/>
              <w:pageBreakBefore w:val="0"/>
              <w:widowControl w:val="0"/>
              <w:numPr>
                <w:ilvl w:val="2"/>
                <w:numId w:val="0"/>
              </w:numPr>
              <w:kinsoku/>
              <w:wordWrap/>
              <w:overflowPunct/>
              <w:topLinePunct w:val="0"/>
              <w:autoSpaceDE/>
              <w:autoSpaceDN/>
              <w:bidi w:val="0"/>
              <w:adjustRightInd/>
              <w:spacing w:before="0" w:after="0" w:line="240" w:lineRule="exact"/>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1.05 数字波束形成器；</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widowControl w:val="0"/>
        <w:numPr>
          <w:ilvl w:val="0"/>
          <w:numId w:val="0"/>
        </w:numPr>
        <w:spacing w:line="320" w:lineRule="exact"/>
        <w:ind w:firstLine="420" w:firstLineChars="200"/>
        <w:jc w:val="both"/>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B分标：</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设备</w:t>
            </w:r>
            <w:r>
              <w:rPr>
                <w:rFonts w:hint="eastAsia" w:ascii="宋体" w:hAnsi="宋体" w:eastAsia="宋体" w:cs="Calibri"/>
                <w:color w:val="000000"/>
                <w:szCs w:val="21"/>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eastAsia="zh-CN"/>
              </w:rPr>
              <w:t>血球计数仪</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5103" w:type="dxa"/>
            <w:tcBorders>
              <w:top w:val="single" w:color="auto" w:sz="4" w:space="0"/>
              <w:left w:val="nil"/>
              <w:bottom w:val="single" w:color="auto" w:sz="4" w:space="0"/>
              <w:right w:val="single" w:color="auto" w:sz="4" w:space="0"/>
            </w:tcBorders>
          </w:tcPr>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1.白细胞检测原理：半导体激光+流式细胞技术+DNA/RNA核酸荧光染色对白细胞进行分类和计数；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2.白细胞计数和分类：能够有效的排除血小板聚集、细胞碎片、有核红细胞、难溶红细胞对白细胞检测的干扰，做到检测结果更精准；</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3.异常细胞、幼稚细胞检测能力：幼稚细胞、异常淋巴细胞的检测灵敏度达到1%,有效降低白血病的漏检；</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4.检测速度：CBC+Diff≥60个样本/小时；</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widowControl w:val="0"/>
        <w:numPr>
          <w:ilvl w:val="0"/>
          <w:numId w:val="0"/>
        </w:numPr>
        <w:spacing w:line="320" w:lineRule="exact"/>
        <w:ind w:firstLine="420" w:firstLineChars="200"/>
        <w:jc w:val="both"/>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C分标：</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设备</w:t>
            </w:r>
            <w:r>
              <w:rPr>
                <w:rFonts w:hint="eastAsia" w:ascii="宋体" w:hAnsi="宋体" w:eastAsia="宋体" w:cs="Calibri"/>
                <w:color w:val="000000"/>
                <w:szCs w:val="21"/>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val="en-US" w:eastAsia="zh-CN"/>
              </w:rPr>
              <w:t>生化分析仪</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5103" w:type="dxa"/>
            <w:tcBorders>
              <w:top w:val="single" w:color="auto" w:sz="4" w:space="0"/>
              <w:left w:val="nil"/>
              <w:bottom w:val="single" w:color="auto" w:sz="4" w:space="0"/>
              <w:right w:val="single" w:color="auto" w:sz="4" w:space="0"/>
            </w:tcBorders>
          </w:tcPr>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1.检测速度：生化恒速≥800T/H ；</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2.测试原理：比色法以及比浊法；</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3.分析方法：终点法，固定时间法，动力学法；</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4.同时分析项目：具备≥ 100个项目；</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w:t>
      </w:r>
      <w:r>
        <w:rPr>
          <w:rFonts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24</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bookmarkStart w:id="25" w:name="_GoBack"/>
      <w:bookmarkEnd w:id="25"/>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17</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24</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highlight w:val="none"/>
        </w:rPr>
        <w:t>3.首次响应文件提交地点：广西骨伤医院采购办（广西南宁市东葛路1号锦华</w:t>
      </w:r>
      <w:r>
        <w:rPr>
          <w:rFonts w:hint="eastAsia" w:ascii="宋体" w:hAnsi="宋体" w:eastAsia="宋体" w:cs="Calibri"/>
          <w:color w:val="000000"/>
          <w:szCs w:val="21"/>
        </w:rPr>
        <w:t>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lang w:val="en-US" w:eastAsia="zh-CN"/>
        </w:rPr>
      </w:pPr>
      <w:r>
        <w:rPr>
          <w:rFonts w:hint="eastAsia" w:ascii="宋体" w:hAnsi="宋体" w:eastAsia="宋体" w:cs="宋体"/>
          <w:b/>
          <w:color w:val="000000"/>
          <w:szCs w:val="21"/>
        </w:rPr>
        <w:t>五、开启</w:t>
      </w:r>
      <w:r>
        <w:rPr>
          <w:rFonts w:hint="eastAsia" w:ascii="宋体" w:hAnsi="宋体" w:eastAsia="宋体" w:cs="宋体"/>
          <w:b/>
          <w:color w:val="000000"/>
          <w:szCs w:val="21"/>
          <w:lang w:val="en-US" w:eastAsia="zh-CN"/>
        </w:rPr>
        <w:t>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color w:val="000000"/>
          <w:szCs w:val="21"/>
          <w:lang w:val="en-US" w:eastAsia="zh-CN"/>
        </w:rPr>
        <w:t>开启</w:t>
      </w:r>
      <w:r>
        <w:rPr>
          <w:rFonts w:hint="eastAsia" w:ascii="宋体" w:hAnsi="宋体" w:eastAsia="宋体" w:cs="Calibri"/>
          <w:color w:val="000000"/>
          <w:szCs w:val="21"/>
        </w:rPr>
        <w:t>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lang w:val="en-US" w:eastAsia="zh-CN"/>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1</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lang w:val="en-US" w:eastAsia="zh-CN"/>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w:t>
            </w:r>
            <w:r>
              <w:rPr>
                <w:rFonts w:hint="eastAsia" w:ascii="宋体" w:hAnsi="宋体" w:eastAsia="宋体" w:cs="Calibri"/>
                <w:color w:val="000000"/>
                <w:szCs w:val="21"/>
                <w:lang w:val="en-US" w:eastAsia="zh-CN"/>
              </w:rPr>
              <w:t>不高于预算价格，应</w:t>
            </w:r>
            <w:r>
              <w:rPr>
                <w:rFonts w:hint="eastAsia" w:ascii="宋体" w:hAnsi="宋体" w:eastAsia="宋体" w:cs="Calibri"/>
                <w:color w:val="000000"/>
                <w:szCs w:val="21"/>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lang w:eastAsia="zh-CN"/>
        </w:rPr>
        <w:t>广西骨伤医院多普勒超声诊断仪等设备采购项目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A分标：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eastAsia="zh-CN"/>
              </w:rPr>
              <w:t>多普勒超声诊断仪（台式）</w:t>
            </w:r>
          </w:p>
        </w:tc>
        <w:tc>
          <w:tcPr>
            <w:tcW w:w="1210" w:type="dxa"/>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6845" w:type="dxa"/>
            <w:vAlign w:val="top"/>
          </w:tcPr>
          <w:p>
            <w:pPr>
              <w:pStyle w:val="16"/>
              <w:pageBreakBefore w:val="0"/>
              <w:widowControl w:val="0"/>
              <w:numPr>
                <w:ilvl w:val="0"/>
                <w:numId w:val="0"/>
              </w:numPr>
              <w:kinsoku/>
              <w:wordWrap/>
              <w:overflowPunct/>
              <w:topLinePunct w:val="0"/>
              <w:autoSpaceDE/>
              <w:autoSpaceDN/>
              <w:bidi w:val="0"/>
              <w:adjustRightInd/>
              <w:spacing w:line="240" w:lineRule="exact"/>
              <w:ind w:firstLine="420" w:firstLineChars="200"/>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用途说明：腹部、妇产科、疼痛科、心脏、小器官、泌尿、血管、儿科、急诊及其它。</w:t>
            </w:r>
          </w:p>
          <w:p>
            <w:pPr>
              <w:pStyle w:val="16"/>
              <w:pageBreakBefore w:val="0"/>
              <w:widowControl w:val="0"/>
              <w:numPr>
                <w:ilvl w:val="0"/>
                <w:numId w:val="0"/>
              </w:numPr>
              <w:kinsoku/>
              <w:wordWrap/>
              <w:overflowPunct/>
              <w:topLinePunct w:val="0"/>
              <w:autoSpaceDE/>
              <w:autoSpaceDN/>
              <w:bidi w:val="0"/>
              <w:adjustRightInd/>
              <w:spacing w:line="240" w:lineRule="exact"/>
              <w:ind w:firstLine="422" w:firstLineChars="200"/>
              <w:jc w:val="left"/>
              <w:textAlignment w:val="auto"/>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主要技术规格及系统概述：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1.主机系统性能</w:t>
            </w:r>
          </w:p>
          <w:p>
            <w:pPr>
              <w:pStyle w:val="3"/>
              <w:pageBreakBefore w:val="0"/>
              <w:widowControl w:val="0"/>
              <w:numPr>
                <w:ilvl w:val="2"/>
                <w:numId w:val="0"/>
              </w:numPr>
              <w:kinsoku/>
              <w:wordWrap/>
              <w:overflowPunct/>
              <w:topLinePunct w:val="0"/>
              <w:autoSpaceDE/>
              <w:autoSpaceDN/>
              <w:bidi w:val="0"/>
              <w:adjustRightInd/>
              <w:spacing w:before="0" w:after="0" w:line="240" w:lineRule="exact"/>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1.01 具备≥21”高分辨率彩色液晶显示器（≥23”为正偏离）；</w:t>
            </w:r>
          </w:p>
          <w:p>
            <w:pPr>
              <w:pStyle w:val="3"/>
              <w:pageBreakBefore w:val="0"/>
              <w:widowControl w:val="0"/>
              <w:numPr>
                <w:ilvl w:val="2"/>
                <w:numId w:val="0"/>
              </w:numPr>
              <w:kinsoku/>
              <w:wordWrap/>
              <w:overflowPunct/>
              <w:topLinePunct w:val="0"/>
              <w:autoSpaceDE/>
              <w:autoSpaceDN/>
              <w:bidi w:val="0"/>
              <w:adjustRightInd/>
              <w:spacing w:before="0" w:after="0" w:line="240" w:lineRule="exact"/>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1.02 具备≥13”彩色液晶触摸屏,  触摸屏可独立调整角度；</w:t>
            </w:r>
          </w:p>
          <w:p>
            <w:pPr>
              <w:pStyle w:val="3"/>
              <w:pageBreakBefore w:val="0"/>
              <w:widowControl w:val="0"/>
              <w:numPr>
                <w:ilvl w:val="2"/>
                <w:numId w:val="0"/>
              </w:numPr>
              <w:kinsoku/>
              <w:wordWrap/>
              <w:overflowPunct/>
              <w:topLinePunct w:val="0"/>
              <w:autoSpaceDE/>
              <w:autoSpaceDN/>
              <w:bidi w:val="0"/>
              <w:adjustRightInd/>
              <w:spacing w:before="0" w:after="0" w:line="240" w:lineRule="exact"/>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1.03 主机内置标准化探头接口≥4 个，探头接口外形完全一致，全部激活，互通互用，且均支持4D 探头（探头接口≥5个为正偏离）；</w:t>
            </w:r>
          </w:p>
          <w:p>
            <w:pPr>
              <w:pStyle w:val="3"/>
              <w:pageBreakBefore w:val="0"/>
              <w:widowControl w:val="0"/>
              <w:numPr>
                <w:ilvl w:val="2"/>
                <w:numId w:val="0"/>
              </w:numPr>
              <w:kinsoku/>
              <w:wordWrap/>
              <w:overflowPunct/>
              <w:topLinePunct w:val="0"/>
              <w:autoSpaceDE/>
              <w:autoSpaceDN/>
              <w:bidi w:val="0"/>
              <w:adjustRightInd/>
              <w:spacing w:before="0" w:after="0" w:line="240" w:lineRule="exact"/>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1.04 内置锂电池；</w:t>
            </w:r>
          </w:p>
          <w:p>
            <w:pPr>
              <w:pStyle w:val="3"/>
              <w:pageBreakBefore w:val="0"/>
              <w:widowControl w:val="0"/>
              <w:numPr>
                <w:ilvl w:val="2"/>
                <w:numId w:val="0"/>
              </w:numPr>
              <w:kinsoku/>
              <w:wordWrap/>
              <w:overflowPunct/>
              <w:topLinePunct w:val="0"/>
              <w:autoSpaceDE/>
              <w:autoSpaceDN/>
              <w:bidi w:val="0"/>
              <w:adjustRightInd/>
              <w:spacing w:before="0" w:after="0" w:line="240" w:lineRule="exact"/>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1.05 数字波束形成器；</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1.06 多倍信号并行处理技术；</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1.07 数字化全程动态聚焦；</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1.08 数字化可变孔径及动态变迹技术，A/D≥12 bit；</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1.09 接收方式：发射、接收通道≥1024；</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1.10 二维灰阶成像单元；</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1.11 谐波成像单元，支持组织谐波成像、脉冲反相谐波成像；</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1.12 M型成像单元；</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1.13 彩色多普勒成像单元；</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1.14 频谱多普勒成像单元；</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1.15 空间复合成像，≥4级可调，最高可支持9线空间复合；</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1.16 支持自适应焦点范围，可用于二维、彩色、能量、组织多普勒模式；</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1.17 二维角度独立偏转成像，≥5级可调；</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1.18 斑点噪音抑制，多级可调；</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1.19 一键自动优化，支持B模式、M模式、PW模式；</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1.20 图像放大功能，支持前端放大、后端放大；</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1.21 一键全屏放大，≥2级可调；</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1.22 多语言操作界面：支持中英文键盘输入；</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1.23 单线引导、双线引导；</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1.24 组织特异性成像，能够独立选择正常组织、肌肉、脂肪、液性成像模式；</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1.25 图形化预设置：针对不同的检查脏器，预置最佳图像的检查条件，并以脏器图标直观显示；</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2.探头规格</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2.01 腹部凸阵探头，探头频率：1.0-6.0MHz（提供产品注册技术要求证明）；</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2.02 腔内探头频率范围：4.5-15.0MH（提供产品注册技术要求证明）；</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2.03 浅表线阵探头，探头频率：5.0-13.0MHz（提供产品注册技术要求证明）；</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3.二维灰阶参数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3.01 最大显示深度≥38.8cm；</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3.02 发射声束聚焦：聚焦区域多级可调；</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3.03 动态范围≥300 dB，可视可调，二维增益调节范围≥250 dB；</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3.04 灰阶曲线≥10种；</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3.05 物理滑动TGC分段调节≥8段，具有TGC曲线显示；</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3.06 LGC侧向增益补偿≥8段，具有LGC曲线显示；</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3.07 声功率1–100%，可视可调；</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4.彩色多普勒参数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4.01 包括速度、能量、方向能量显示等；</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4.02 显示方式：B/C、B/C/M、B/POWER、B/C/PW；</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4.03 多普勒增益≥250 dB；</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4.04 支持B/C双实时；</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4.05 一键隐藏血流；</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4.06 彩色多普勒定量分析软件：彩色血流剖面图、定点测速功能；</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5.频谱多普勒参数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5.01 方式：脉冲波多普勒（PW）、连续波多普勒（CW）、高脉冲重复频率多普勒（HPRF）；</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5.02 B/D兼用：线阵：B/PW，凸阵：B/PW，扇扫：B/PW、B/CW；</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5.03 快速角度校正功能；</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5.04 取样宽度及位置范围：宽度 0.5–24mm；</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5.05 频谱实时包络功能，在实时诊断下，频谱实时包络并显示血流参数，可自定义设置测量参数项；</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6.系统通用技术规格</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6.01 主机内置HDMI、VGA、S-Video等视频输出接口；</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6.02 主机内置USB接口≥3个；</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6.03 DVD R/W 刻录光驱；</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7.测量和分析</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7.01 基础测量软件包：距离、面积、体积、角度、时间、斜率、心率等；</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7.02 腹部测量软件包；</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7.03 妇科测量软件包；</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7.04 产科测量软件包：具有≥4胞胎对比测量分析，支持胎儿生长曲线显示等；</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7.05 泌尿测量软件包；</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7.06 小器官测量软件包；</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7.07 儿科测量软件包：髋关节角度测量；</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7.08 血管测量软件包：Auto IMT内中膜自动测量，按前、后壁和左右部位划分；</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8.图像存储，回放和浏览</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8.01 同屏一体化智能剪切板；</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8.02 支持快速存储和浏览屏幕图像、电影；</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8.03 支持向后存储和向前存储，时间长度可预置；</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8.04 图像管理和记录装置：存储动、静态图像，屏幕可显示硬盘容量数据信息；</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8.05 主机内置报告系统：可更改报告底板颜色、字体大小、字体颜色等；</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9.图文工作站</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9.01 系统可存储病人信息，可查询、检索、调阅历史信息；</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9.02 支持动、静态图像文件及病人报告的存储，以及病人图像的快速浏览；</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9.03 支持以下存储介质：≥500GB内部硬盘、USB移动存储设备；</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9.04 支持AVI、WMV、JPG、BMP、TIF等格式输出；</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10.配置要求</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10.01具有用户现场升级能力，可满足将来临床应用扩展需求（2022年后注册的最新版本及最新机型设为正偏离）；</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10.02主机内置标准化探头接口≥4 个；</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10.03 配≥3个检测探头（腹部、浅表、腔内）（配≥4个检测探头为正偏离）；</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10.04 配电脑及打印机；</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bCs/>
                <w:color w:val="000000"/>
                <w:kern w:val="2"/>
                <w:sz w:val="21"/>
                <w:szCs w:val="21"/>
                <w:lang w:val="en-US" w:eastAsia="zh-CN" w:bidi="ar-SA"/>
              </w:rPr>
            </w:pPr>
            <w:r>
              <w:rPr>
                <w:rFonts w:hint="eastAsia" w:ascii="宋体" w:hAnsi="宋体" w:eastAsia="宋体" w:cs="Times New Roman"/>
                <w:b/>
                <w:bCs/>
                <w:color w:val="000000"/>
                <w:kern w:val="2"/>
                <w:sz w:val="21"/>
                <w:szCs w:val="21"/>
                <w:lang w:val="en-US" w:eastAsia="zh-CN" w:bidi="ar-SA"/>
              </w:rPr>
              <w:t>11.接入要求</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ascii="宋体" w:hAnsi="宋体" w:eastAsia="宋体" w:cs="Times New Roman"/>
                <w:color w:val="000000"/>
                <w:szCs w:val="21"/>
              </w:rPr>
            </w:pPr>
            <w:r>
              <w:rPr>
                <w:rFonts w:hint="eastAsia" w:ascii="宋体" w:hAnsi="宋体" w:eastAsia="宋体" w:cs="Times New Roman"/>
                <w:b w:val="0"/>
                <w:bCs w:val="0"/>
                <w:color w:val="000000"/>
                <w:kern w:val="2"/>
                <w:sz w:val="21"/>
                <w:szCs w:val="21"/>
                <w:lang w:val="en-US" w:eastAsia="zh-CN" w:bidi="ar-SA"/>
              </w:rPr>
              <w:t>包含接入医院信息系统的费用。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w:t>
            </w:r>
            <w:r>
              <w:rPr>
                <w:rFonts w:hint="eastAsia" w:ascii="宋体" w:hAnsi="宋体" w:eastAsia="宋体" w:cs="宋体"/>
                <w:bCs/>
                <w:szCs w:val="21"/>
                <w:lang w:val="en-US" w:eastAsia="zh-CN"/>
              </w:rPr>
              <w:t>以及</w:t>
            </w:r>
            <w:r>
              <w:rPr>
                <w:rFonts w:hint="eastAsia" w:ascii="宋体" w:hAnsi="宋体" w:eastAsia="宋体" w:cs="宋体"/>
                <w:b/>
                <w:szCs w:val="21"/>
              </w:rPr>
              <w:t>设备连接医院</w:t>
            </w:r>
            <w:r>
              <w:rPr>
                <w:rFonts w:hint="eastAsia" w:ascii="宋体" w:hAnsi="宋体" w:eastAsia="宋体" w:cs="宋体"/>
                <w:b/>
                <w:szCs w:val="21"/>
                <w:lang w:val="en-US" w:eastAsia="zh-CN"/>
              </w:rPr>
              <w:t>信息</w:t>
            </w:r>
            <w:r>
              <w:rPr>
                <w:rFonts w:hint="eastAsia" w:ascii="宋体" w:hAnsi="宋体" w:eastAsia="宋体" w:cs="宋体"/>
                <w:b/>
                <w:szCs w:val="21"/>
              </w:rPr>
              <w:t>系统所产生的的</w:t>
            </w:r>
            <w:r>
              <w:rPr>
                <w:rFonts w:hint="eastAsia" w:ascii="宋体" w:hAnsi="宋体" w:eastAsia="宋体" w:cs="宋体"/>
                <w:b/>
                <w:szCs w:val="21"/>
                <w:lang w:val="en-US" w:eastAsia="zh-CN"/>
              </w:rPr>
              <w:t>接</w:t>
            </w:r>
            <w:r>
              <w:rPr>
                <w:rFonts w:hint="eastAsia" w:ascii="宋体" w:hAnsi="宋体" w:eastAsia="宋体" w:cs="宋体"/>
                <w:b/>
                <w:szCs w:val="21"/>
              </w:rPr>
              <w:t>口费用</w:t>
            </w:r>
            <w:r>
              <w:rPr>
                <w:rFonts w:hint="eastAsia" w:ascii="宋体" w:hAnsi="宋体" w:eastAsia="宋体" w:cs="宋体"/>
                <w:bCs/>
                <w:szCs w:val="21"/>
              </w:rPr>
              <w:t>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r>
              <w:rPr>
                <w:rFonts w:hint="eastAsia" w:ascii="宋体" w:hAnsi="宋体" w:eastAsia="宋体" w:cs="Times New Roman"/>
                <w:color w:val="000000"/>
                <w:szCs w:val="21"/>
                <w:lang w:val="en-US" w:eastAsia="zh-CN"/>
              </w:rPr>
              <w:t>指定地点</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付款方式：货物验收合格后，中标人应在30日内开具发票给采购人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val="en-US" w:eastAsia="zh-CN"/>
              </w:rPr>
              <w:t>。</w:t>
            </w:r>
          </w:p>
        </w:tc>
      </w:tr>
    </w:tbl>
    <w:p>
      <w:pPr>
        <w:spacing w:line="400" w:lineRule="exact"/>
        <w:ind w:firstLine="420" w:firstLineChars="200"/>
        <w:rPr>
          <w:rFonts w:hint="eastAsia" w:ascii="宋体" w:hAnsi="宋体" w:eastAsia="宋体" w:cs="Times New Roman"/>
          <w:bCs/>
          <w:color w:val="000000"/>
          <w:szCs w:val="21"/>
          <w:lang w:val="en-US" w:eastAsia="zh-CN"/>
        </w:rPr>
      </w:pP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B分标：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eastAsia="zh-CN"/>
              </w:rPr>
              <w:t>血球计数仪</w:t>
            </w:r>
          </w:p>
        </w:tc>
        <w:tc>
          <w:tcPr>
            <w:tcW w:w="1210" w:type="dxa"/>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6845" w:type="dxa"/>
            <w:vAlign w:val="top"/>
          </w:tcPr>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1.白细胞检测原理：半导体激光+流式细胞技术+DNA/RNA核酸荧光染色对白细胞进行分类和计数；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2.白细胞计数和分类：能够有效的排除血小板聚集、细胞碎片、有核红细胞、难溶红细胞对白细胞检测的干扰，做到检测结果更精准；</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3.异常细胞、幼稚细胞检测能力：幼稚细胞、异常淋巴细胞的检测灵敏度达到1%,有效降低白血病的漏检；</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4.检测速度：CBC+Diff≥60个样本/小时；</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5.检测模式：具备两种以上检测模式（包含全血和末梢血预稀释模式）；</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6.检测项目：≥24项参数（不包含研究参数、直方图及散点图）；</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7.用血量： 全血≤20ul，实现CBC+Diff五分类，末梢血≤20ul，实现CBC+Diff五分类；</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8.精密度：</w:t>
            </w:r>
            <w:r>
              <w:rPr>
                <w:rFonts w:hint="eastAsia" w:ascii="宋体" w:hAnsi="宋体" w:eastAsia="宋体" w:cs="Times New Roman"/>
                <w:b w:val="0"/>
                <w:bCs w:val="0"/>
                <w:color w:val="000000"/>
                <w:kern w:val="2"/>
                <w:sz w:val="21"/>
                <w:szCs w:val="21"/>
                <w:lang w:val="en-US" w:eastAsia="zh-CN" w:bidi="ar-SA"/>
              </w:rPr>
              <w:tab/>
            </w:r>
            <w:r>
              <w:rPr>
                <w:rFonts w:hint="eastAsia" w:ascii="宋体" w:hAnsi="宋体" w:eastAsia="宋体" w:cs="Times New Roman"/>
                <w:b w:val="0"/>
                <w:bCs w:val="0"/>
                <w:color w:val="000000"/>
                <w:kern w:val="2"/>
                <w:sz w:val="21"/>
                <w:szCs w:val="21"/>
                <w:lang w:val="en-US" w:eastAsia="zh-CN" w:bidi="ar-SA"/>
              </w:rPr>
              <w:t xml:space="preserve"> WBC：≤3%，RBC：≤1.5%，Hb：≤1.5%，PLT：≤4%；</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9.检测光源：半导体激光光源；</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10.报警功能：具有异常样本的提示报警功能，样本不足或吸空时可以报警提示，保证结果可靠；</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11.进样模式：具有手动、自动进样模式，末梢血预稀释进样模式；</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12.质控和校准：提供与仪器同品牌、原厂配套SFDA注册的质控品和校准品，有独立校准系统，原厂校准品应能提供可溯源性文献，保证分析质量；</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13.线性范围：WBC：0-400×109/L，RBC：0－8×1012/L，Hb：0-250 g/L，PLT：0-5000×109/L；</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14.镜检提示:标配软件具有ISLH推荐的国际41条镜检复片规则；</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15.操作系统：全中文操作，及中文报告；</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16.数据输出：≥8000份测试结果，包含直方图、散点图及患者信息；</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ascii="宋体" w:hAnsi="宋体" w:eastAsia="宋体" w:cs="Times New Roman"/>
                <w:color w:val="000000"/>
                <w:szCs w:val="21"/>
              </w:rPr>
            </w:pPr>
            <w:r>
              <w:rPr>
                <w:rFonts w:hint="eastAsia" w:ascii="宋体" w:hAnsi="宋体" w:eastAsia="宋体" w:cs="Times New Roman"/>
                <w:b w:val="0"/>
                <w:bCs w:val="0"/>
                <w:color w:val="000000"/>
                <w:kern w:val="2"/>
                <w:sz w:val="21"/>
                <w:szCs w:val="21"/>
                <w:lang w:val="en-US" w:eastAsia="zh-CN" w:bidi="ar-SA"/>
              </w:rPr>
              <w:t>17.系统配置：配备有电脑及打印机。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numPr>
                <w:ilvl w:val="0"/>
                <w:numId w:val="3"/>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w:t>
            </w:r>
            <w:r>
              <w:rPr>
                <w:rFonts w:hint="eastAsia" w:ascii="宋体" w:hAnsi="宋体" w:eastAsia="宋体" w:cs="宋体"/>
                <w:bCs/>
                <w:szCs w:val="21"/>
                <w:lang w:val="en-US" w:eastAsia="zh-CN"/>
              </w:rPr>
              <w:t>以及</w:t>
            </w:r>
            <w:r>
              <w:rPr>
                <w:rFonts w:hint="eastAsia" w:ascii="宋体" w:hAnsi="宋体" w:eastAsia="宋体" w:cs="宋体"/>
                <w:b/>
                <w:szCs w:val="21"/>
              </w:rPr>
              <w:t>设备连接医院</w:t>
            </w:r>
            <w:r>
              <w:rPr>
                <w:rFonts w:hint="eastAsia" w:ascii="宋体" w:hAnsi="宋体" w:eastAsia="宋体" w:cs="宋体"/>
                <w:b/>
                <w:szCs w:val="21"/>
                <w:lang w:val="en-US" w:eastAsia="zh-CN"/>
              </w:rPr>
              <w:t>信息</w:t>
            </w:r>
            <w:r>
              <w:rPr>
                <w:rFonts w:hint="eastAsia" w:ascii="宋体" w:hAnsi="宋体" w:eastAsia="宋体" w:cs="宋体"/>
                <w:b/>
                <w:szCs w:val="21"/>
              </w:rPr>
              <w:t>系统所产生的的</w:t>
            </w:r>
            <w:r>
              <w:rPr>
                <w:rFonts w:hint="eastAsia" w:ascii="宋体" w:hAnsi="宋体" w:eastAsia="宋体" w:cs="宋体"/>
                <w:b/>
                <w:szCs w:val="21"/>
                <w:lang w:val="en-US" w:eastAsia="zh-CN"/>
              </w:rPr>
              <w:t>接</w:t>
            </w:r>
            <w:r>
              <w:rPr>
                <w:rFonts w:hint="eastAsia" w:ascii="宋体" w:hAnsi="宋体" w:eastAsia="宋体" w:cs="宋体"/>
                <w:b/>
                <w:szCs w:val="21"/>
              </w:rPr>
              <w:t>口费用</w:t>
            </w:r>
            <w:r>
              <w:rPr>
                <w:rFonts w:hint="eastAsia" w:ascii="宋体" w:hAnsi="宋体" w:eastAsia="宋体" w:cs="宋体"/>
                <w:bCs/>
                <w:szCs w:val="21"/>
              </w:rPr>
              <w:t>等全部费用。在合同实施时，采购人将不予支付成交供应商没有列入的项目费用，并认为此项目的费用已包括在总报价中。</w:t>
            </w:r>
          </w:p>
          <w:p>
            <w:pPr>
              <w:numPr>
                <w:ilvl w:val="0"/>
                <w:numId w:val="0"/>
              </w:num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2.耗材报价，设备报价表后附该设备做“血常规检测项目”所用到的耗材清单，注明是否为专机专用产品，注明耗材单价（XX元/人份）、耗材名称、规格型号、包装规格、生产厂家、中标号等内容。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r>
              <w:rPr>
                <w:rFonts w:hint="eastAsia" w:ascii="宋体" w:hAnsi="宋体" w:eastAsia="宋体" w:cs="Times New Roman"/>
                <w:color w:val="000000"/>
                <w:szCs w:val="21"/>
                <w:lang w:val="en-US" w:eastAsia="zh-CN"/>
              </w:rPr>
              <w:t>指定地点</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付款方式：货物验收合格后，中标人应在30日内开具发票给采购人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val="en-US" w:eastAsia="zh-CN"/>
              </w:rPr>
              <w:t>。</w:t>
            </w:r>
          </w:p>
        </w:tc>
      </w:tr>
    </w:tbl>
    <w:p>
      <w:pPr>
        <w:spacing w:line="400" w:lineRule="exact"/>
        <w:ind w:firstLine="420" w:firstLineChars="200"/>
        <w:rPr>
          <w:rFonts w:hint="default" w:ascii="宋体" w:hAnsi="宋体" w:eastAsia="宋体" w:cs="Times New Roman"/>
          <w:bCs/>
          <w:color w:val="000000"/>
          <w:szCs w:val="21"/>
          <w:lang w:val="en-US" w:eastAsia="zh-CN"/>
        </w:rPr>
      </w:pP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C分标：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val="en-US" w:eastAsia="zh-CN"/>
              </w:rPr>
              <w:t>生化分析仪</w:t>
            </w:r>
          </w:p>
        </w:tc>
        <w:tc>
          <w:tcPr>
            <w:tcW w:w="1210" w:type="dxa"/>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6845" w:type="dxa"/>
            <w:vAlign w:val="top"/>
          </w:tcPr>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1.检测速度：生化恒速≥800T/H ；</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2.测试原理：比色法以及比浊法；</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3.分析方法：终点法，固定时间法，动力学法；</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4.同时分析项目：具备≥ 100个项目；</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5.试剂盘：≥96个试剂位，可实现24小时连续冷藏；</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6.试剂/样本针：试剂针具有液面探测、随量跟踪、立体防撞功能，自动内、外壁清洗功能；样本针具有堵针（凝块）检测功能；</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7.试剂量：范围14～350μL，0.5μL步进；</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8.样本位：≥ 160个样本位；</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9.样本量：范围1.4～50μL，0.1μL步进；</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10.样本处理：具有急诊样本优先处理功能；</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11.清洗系统：自动8阶温水清洗；携带污染率≤ 0.05%；</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12.比色杯：反应杯≥ 165个，支持单个更换；</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13.最小反应液体积：≤ 90μL；</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14.光源系统：卤素灯；</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15.光学系统：光栅后分光，可选择波长≥ 16个，340～850nm；</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16.恒温系统：非水浴，避免日常维护；</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17.吸光度线性范围：0～3.5Abs；</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18.搅拌系统：2组独立搅拌系统，搅拌针≥4根；</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19.操作系统：Windows操作系统，支持双向LIS接入</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ascii="宋体" w:hAnsi="宋体" w:eastAsia="宋体" w:cs="Times New Roman"/>
                <w:color w:val="000000"/>
                <w:szCs w:val="21"/>
              </w:rPr>
            </w:pPr>
            <w:r>
              <w:rPr>
                <w:rFonts w:hint="eastAsia" w:ascii="宋体" w:hAnsi="宋体" w:eastAsia="宋体" w:cs="Times New Roman"/>
                <w:b w:val="0"/>
                <w:bCs w:val="0"/>
                <w:color w:val="000000"/>
                <w:kern w:val="2"/>
                <w:sz w:val="21"/>
                <w:szCs w:val="21"/>
                <w:lang w:val="en-US" w:eastAsia="zh-CN" w:bidi="ar-SA"/>
              </w:rPr>
              <w:t>20.系统接口：TCP/IP网络接口，支持标准RS-232C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竞标报价为全包价，以人民币为结算单位，包括本项目所有系统、安装调试、验收、培训、售后服务、伴随的服务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w:t>
            </w:r>
            <w:r>
              <w:rPr>
                <w:rFonts w:hint="eastAsia" w:ascii="宋体" w:hAnsi="宋体" w:eastAsia="宋体" w:cs="宋体"/>
                <w:bCs/>
                <w:szCs w:val="21"/>
                <w:lang w:val="en-US" w:eastAsia="zh-CN"/>
              </w:rPr>
              <w:t>以及</w:t>
            </w:r>
            <w:r>
              <w:rPr>
                <w:rFonts w:hint="eastAsia" w:ascii="宋体" w:hAnsi="宋体" w:eastAsia="宋体" w:cs="宋体"/>
                <w:b/>
                <w:szCs w:val="21"/>
              </w:rPr>
              <w:t>设备连接医院</w:t>
            </w:r>
            <w:r>
              <w:rPr>
                <w:rFonts w:hint="eastAsia" w:ascii="宋体" w:hAnsi="宋体" w:eastAsia="宋体" w:cs="宋体"/>
                <w:b/>
                <w:szCs w:val="21"/>
                <w:lang w:val="en-US" w:eastAsia="zh-CN"/>
              </w:rPr>
              <w:t>信息</w:t>
            </w:r>
            <w:r>
              <w:rPr>
                <w:rFonts w:hint="eastAsia" w:ascii="宋体" w:hAnsi="宋体" w:eastAsia="宋体" w:cs="宋体"/>
                <w:b/>
                <w:szCs w:val="21"/>
              </w:rPr>
              <w:t>系统所产生的的</w:t>
            </w:r>
            <w:r>
              <w:rPr>
                <w:rFonts w:hint="eastAsia" w:ascii="宋体" w:hAnsi="宋体" w:eastAsia="宋体" w:cs="宋体"/>
                <w:b/>
                <w:szCs w:val="21"/>
                <w:lang w:val="en-US" w:eastAsia="zh-CN"/>
              </w:rPr>
              <w:t>接</w:t>
            </w:r>
            <w:r>
              <w:rPr>
                <w:rFonts w:hint="eastAsia" w:ascii="宋体" w:hAnsi="宋体" w:eastAsia="宋体" w:cs="宋体"/>
                <w:b/>
                <w:szCs w:val="21"/>
              </w:rPr>
              <w:t>口费用</w:t>
            </w:r>
            <w:r>
              <w:rPr>
                <w:rFonts w:hint="eastAsia" w:ascii="宋体" w:hAnsi="宋体" w:eastAsia="宋体" w:cs="宋体"/>
                <w:bCs/>
                <w:szCs w:val="21"/>
              </w:rPr>
              <w:t>等全部费用。在合同实施时，采购人将不予支付成交供应商没有列入的项目费用，并认为此项目的费用已包括在总报价中。</w:t>
            </w:r>
          </w:p>
          <w:p>
            <w:pPr>
              <w:numPr>
                <w:ilvl w:val="0"/>
                <w:numId w:val="0"/>
              </w:num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耗材报价，设备报价表后附该设备所用到的所有耗材清单，注明是否为专机专用产品。并对以下检测项目所使用到的耗材进行报价。（1）总胆红素测定；（2）直接胆红素测定；（3）总蛋白测定；（4）白蛋白测定（5）丙氨酸氨基转移酶测定；（6）天门冬氨酸氨基转移酶测定；（7）总胆汁酸测定；（8）γ-谷氨酰基转移酶测定；（9）碱性磷酸酶测定；（10）胆碱脂酶测定；（11）二氧化碳结合力；（12）尿素/尿素氮测定；（13）肌酐测定；（14）尿酸测定；（15）葡萄糖测定；（16）淀粉酶测定；（17）肌酸激酶CK-MB测定；（18）肌酸激酶测定；（19）α-羟丁酸测定；（20）乳酸脱氢酶测定；（21）总胆固醇测定；（22）甘油三酯测定；（23）高密度脂蛋白胆固醇测定；（24）脂蛋白(ａ)；（25）载脂蛋白AⅠ；（26）载脂蛋白B；（27）胱抑素(CystatinC)测定；（28）抗链球菌溶血素O；（29）类风湿因子；（30）C—反应蛋白(CRP)测定；（31）钙测定；（32）无机磷测定；（33）镁测定；（34）铁测定，注明耗材单价（XX元/人份）、耗材名称、规格型号、包装规格、生产厂家、中标号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r>
              <w:rPr>
                <w:rFonts w:hint="eastAsia" w:ascii="宋体" w:hAnsi="宋体" w:eastAsia="宋体" w:cs="Times New Roman"/>
                <w:color w:val="000000"/>
                <w:szCs w:val="21"/>
                <w:lang w:val="en-US" w:eastAsia="zh-CN"/>
              </w:rPr>
              <w:t>指定地点</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付款方式：货物验收合格后，中标人应在30日内开具发票给采购人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val="en-US" w:eastAsia="zh-CN"/>
              </w:rPr>
              <w:t>。</w:t>
            </w:r>
          </w:p>
        </w:tc>
      </w:tr>
    </w:tbl>
    <w:p>
      <w:pPr>
        <w:spacing w:line="400" w:lineRule="exact"/>
        <w:ind w:firstLine="420" w:firstLineChars="200"/>
        <w:rPr>
          <w:rFonts w:hint="default" w:ascii="宋体" w:hAnsi="宋体" w:eastAsia="宋体" w:cs="Times New Roman"/>
          <w:bCs/>
          <w:color w:val="000000"/>
          <w:szCs w:val="21"/>
          <w:lang w:val="en-US" w:eastAsia="zh-CN"/>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hint="eastAsia"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562"/>
        <w:rPr>
          <w:rFonts w:hint="eastAsia" w:ascii="宋体" w:hAnsi="宋体" w:eastAsia="宋体" w:cs="Times New Roman"/>
          <w:b/>
          <w:color w:val="000000"/>
          <w:szCs w:val="21"/>
          <w:lang w:val="en-US" w:eastAsia="zh-CN"/>
        </w:rPr>
      </w:pPr>
      <w:r>
        <w:rPr>
          <w:rFonts w:hint="eastAsia" w:ascii="宋体" w:hAnsi="宋体" w:eastAsia="宋体" w:cs="Times New Roman"/>
          <w:b/>
          <w:color w:val="000000"/>
          <w:szCs w:val="21"/>
          <w:lang w:val="en-US" w:eastAsia="zh-CN"/>
        </w:rPr>
        <w:t>A分标：</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每</w:t>
            </w:r>
            <w:r>
              <w:rPr>
                <w:rFonts w:hint="eastAsia" w:ascii="宋体" w:hAnsi="宋体" w:eastAsia="宋体" w:cs="Times New Roman"/>
                <w:bCs/>
                <w:color w:val="000000"/>
                <w:szCs w:val="21"/>
              </w:rPr>
              <w:t>有</w:t>
            </w:r>
            <w:r>
              <w:rPr>
                <w:rFonts w:ascii="宋体" w:hAnsi="宋体" w:eastAsia="宋体" w:cs="Times New Roman"/>
                <w:bCs/>
                <w:color w:val="000000"/>
                <w:szCs w:val="21"/>
              </w:rPr>
              <w:t>1个正偏离</w:t>
            </w:r>
            <w:r>
              <w:rPr>
                <w:rFonts w:hint="eastAsia" w:ascii="宋体" w:hAnsi="宋体" w:eastAsia="宋体" w:cs="Times New Roman"/>
                <w:bCs/>
                <w:color w:val="000000"/>
                <w:szCs w:val="21"/>
                <w:lang w:val="en-US" w:eastAsia="zh-CN"/>
              </w:rPr>
              <w:t>加2分，满分25分</w:t>
            </w:r>
            <w:r>
              <w:rPr>
                <w:rFonts w:hint="eastAsia" w:ascii="宋体" w:hAnsi="宋体" w:eastAsia="宋体" w:cs="Times New Roman"/>
                <w:bCs/>
                <w:color w:val="000000"/>
                <w:szCs w:val="21"/>
                <w:lang w:eastAsia="zh-CN"/>
              </w:rPr>
              <w:t>；</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个负偏离，得</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15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spacing w:line="400" w:lineRule="exact"/>
        <w:ind w:firstLine="562"/>
        <w:rPr>
          <w:rFonts w:hint="default" w:ascii="宋体" w:hAnsi="宋体" w:eastAsia="宋体" w:cs="Times New Roman"/>
          <w:b/>
          <w:color w:val="000000"/>
          <w:szCs w:val="21"/>
          <w:lang w:val="en-US" w:eastAsia="zh-CN"/>
        </w:rPr>
      </w:pPr>
    </w:p>
    <w:p>
      <w:pPr>
        <w:spacing w:line="400" w:lineRule="exact"/>
        <w:ind w:firstLine="562"/>
        <w:rPr>
          <w:rFonts w:hint="default" w:ascii="宋体" w:hAnsi="宋体" w:eastAsia="宋体" w:cs="Times New Roman"/>
          <w:b/>
          <w:color w:val="000000"/>
          <w:szCs w:val="21"/>
          <w:lang w:val="en-US" w:eastAsia="zh-CN"/>
        </w:rPr>
      </w:pPr>
      <w:r>
        <w:rPr>
          <w:rFonts w:hint="eastAsia" w:ascii="宋体" w:hAnsi="宋体" w:eastAsia="宋体" w:cs="Times New Roman"/>
          <w:b/>
          <w:color w:val="000000"/>
          <w:szCs w:val="21"/>
          <w:lang w:val="en-US" w:eastAsia="zh-CN"/>
        </w:rPr>
        <w:t>B分标：</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562" w:type="dxa"/>
            <w:vMerge w:val="restart"/>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Merge w:val="restart"/>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ascii="宋体" w:hAnsi="宋体" w:eastAsia="宋体" w:cs="Times New Roman"/>
                <w:color w:val="000000"/>
                <w:szCs w:val="21"/>
              </w:rPr>
              <w:t>2</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×2</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Merge w:val="restart"/>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562" w:type="dxa"/>
            <w:vMerge w:val="continue"/>
            <w:vAlign w:val="center"/>
          </w:tcPr>
          <w:p>
            <w:pPr>
              <w:widowControl/>
              <w:spacing w:line="400" w:lineRule="exact"/>
              <w:jc w:val="center"/>
              <w:rPr>
                <w:rFonts w:hint="eastAsia" w:ascii="宋体" w:hAnsi="宋体" w:eastAsia="宋体" w:cs="Tahoma"/>
                <w:color w:val="000000"/>
                <w:kern w:val="0"/>
                <w:szCs w:val="21"/>
              </w:rPr>
            </w:pPr>
          </w:p>
        </w:tc>
        <w:tc>
          <w:tcPr>
            <w:tcW w:w="1560" w:type="dxa"/>
            <w:vMerge w:val="continue"/>
            <w:vAlign w:val="center"/>
          </w:tcPr>
          <w:p>
            <w:pPr>
              <w:widowControl/>
              <w:spacing w:line="400" w:lineRule="exact"/>
              <w:jc w:val="center"/>
              <w:rPr>
                <w:rFonts w:hint="eastAsia" w:ascii="宋体" w:hAnsi="宋体" w:eastAsia="宋体" w:cs="Tahoma"/>
                <w:color w:val="000000"/>
                <w:kern w:val="0"/>
                <w:szCs w:val="21"/>
              </w:rPr>
            </w:pPr>
          </w:p>
        </w:tc>
        <w:tc>
          <w:tcPr>
            <w:tcW w:w="6237" w:type="dxa"/>
          </w:tcPr>
          <w:p>
            <w:pPr>
              <w:rPr>
                <w:rFonts w:ascii="宋体" w:hAnsi="宋体" w:eastAsia="宋体" w:cs="Times New Roman"/>
                <w:color w:val="000000"/>
                <w:szCs w:val="21"/>
              </w:rPr>
            </w:pPr>
            <w:r>
              <w:rPr>
                <w:rFonts w:hint="eastAsia" w:ascii="宋体" w:hAnsi="宋体" w:eastAsia="宋体" w:cs="Times New Roman"/>
                <w:color w:val="000000"/>
                <w:szCs w:val="21"/>
              </w:rPr>
              <w:t>耗材价格分（以进入评标的最低的</w:t>
            </w:r>
            <w:r>
              <w:rPr>
                <w:rFonts w:hint="eastAsia" w:ascii="宋体" w:hAnsi="宋体" w:eastAsia="宋体" w:cs="Times New Roman"/>
                <w:color w:val="000000"/>
                <w:szCs w:val="21"/>
                <w:lang w:val="en-US" w:eastAsia="zh-CN"/>
              </w:rPr>
              <w:t>评标</w:t>
            </w:r>
            <w:r>
              <w:rPr>
                <w:rFonts w:hint="eastAsia" w:ascii="宋体" w:hAnsi="宋体" w:eastAsia="宋体" w:cs="Times New Roman"/>
                <w:color w:val="000000"/>
                <w:szCs w:val="21"/>
              </w:rPr>
              <w:t>报价为</w:t>
            </w:r>
            <w:r>
              <w:rPr>
                <w:rFonts w:hint="eastAsia" w:ascii="宋体" w:hAnsi="宋体" w:eastAsia="宋体" w:cs="Times New Roman"/>
                <w:color w:val="000000"/>
                <w:szCs w:val="21"/>
                <w:lang w:val="en-US" w:eastAsia="zh-CN"/>
              </w:rPr>
              <w:t>3</w:t>
            </w:r>
            <w:r>
              <w:rPr>
                <w:rFonts w:ascii="宋体" w:hAnsi="宋体" w:eastAsia="宋体" w:cs="Times New Roman"/>
                <w:color w:val="000000"/>
                <w:szCs w:val="21"/>
              </w:rPr>
              <w:t>0分）</w:t>
            </w:r>
          </w:p>
          <w:p>
            <w:pPr>
              <w:ind w:firstLine="2310" w:firstLineChars="1100"/>
              <w:rPr>
                <w:rFonts w:ascii="宋体" w:hAnsi="宋体" w:eastAsia="宋体" w:cs="Times New Roman"/>
                <w:color w:val="000000"/>
                <w:szCs w:val="21"/>
              </w:rPr>
            </w:pPr>
            <w:r>
              <w:rPr>
                <w:rFonts w:hint="eastAsia" w:ascii="宋体" w:hAnsi="宋体" w:eastAsia="宋体" w:cs="Times New Roman"/>
                <w:color w:val="000000"/>
                <w:szCs w:val="21"/>
              </w:rPr>
              <w:t>有效投标人最低评标报价（</w:t>
            </w:r>
            <w:r>
              <w:rPr>
                <w:rFonts w:hint="eastAsia" w:ascii="宋体" w:hAnsi="宋体" w:eastAsia="宋体" w:cs="Times New Roman"/>
                <w:color w:val="000000"/>
                <w:szCs w:val="21"/>
                <w:lang w:val="en-US" w:eastAsia="zh-CN"/>
              </w:rPr>
              <w:t>合计</w:t>
            </w:r>
            <w:r>
              <w:rPr>
                <w:rFonts w:hint="eastAsia" w:ascii="宋体" w:hAnsi="宋体" w:eastAsia="宋体" w:cs="Times New Roman"/>
                <w:color w:val="000000"/>
                <w:szCs w:val="21"/>
              </w:rPr>
              <w:t>金额）</w:t>
            </w:r>
          </w:p>
          <w:p>
            <w:pPr>
              <w:rPr>
                <w:rFonts w:ascii="宋体" w:hAnsi="宋体" w:eastAsia="宋体" w:cs="Times New Roman"/>
                <w:color w:val="000000"/>
                <w:szCs w:val="21"/>
              </w:rPr>
            </w:pPr>
            <w:r>
              <w:rPr>
                <w:rFonts w:hint="eastAsia" w:ascii="宋体" w:hAnsi="宋体" w:eastAsia="宋体" w:cs="Times New Roman"/>
                <w:color w:val="000000"/>
                <w:szCs w:val="21"/>
              </w:rPr>
              <w:t>某有效投标人价格分</w:t>
            </w:r>
            <w:r>
              <w:rPr>
                <w:rFonts w:ascii="宋体" w:hAnsi="宋体" w:eastAsia="宋体" w:cs="Times New Roman"/>
                <w:color w:val="000000"/>
                <w:szCs w:val="21"/>
              </w:rPr>
              <w:t>=   ---------------------------- ×</w:t>
            </w:r>
            <w:r>
              <w:rPr>
                <w:rFonts w:hint="eastAsia" w:ascii="宋体" w:hAnsi="宋体" w:eastAsia="宋体" w:cs="Times New Roman"/>
                <w:color w:val="000000"/>
                <w:szCs w:val="21"/>
                <w:lang w:val="en-US" w:eastAsia="zh-CN"/>
              </w:rPr>
              <w:t>3</w:t>
            </w:r>
            <w:r>
              <w:rPr>
                <w:rFonts w:ascii="宋体" w:hAnsi="宋体" w:eastAsia="宋体" w:cs="Times New Roman"/>
                <w:color w:val="000000"/>
                <w:szCs w:val="21"/>
              </w:rPr>
              <w:t>0分</w:t>
            </w:r>
          </w:p>
          <w:p>
            <w:pPr>
              <w:rPr>
                <w:rFonts w:ascii="宋体" w:hAnsi="宋体" w:eastAsia="宋体" w:cs="Times New Roman"/>
                <w:color w:val="000000"/>
                <w:szCs w:val="21"/>
              </w:rPr>
            </w:pPr>
            <w:r>
              <w:rPr>
                <w:rFonts w:ascii="宋体" w:hAnsi="宋体" w:eastAsia="宋体" w:cs="Times New Roman"/>
                <w:color w:val="000000"/>
                <w:szCs w:val="21"/>
              </w:rPr>
              <w:t xml:space="preserve">                      某投标人评标报价（</w:t>
            </w:r>
            <w:r>
              <w:rPr>
                <w:rFonts w:hint="eastAsia" w:ascii="宋体" w:hAnsi="宋体" w:eastAsia="宋体" w:cs="Times New Roman"/>
                <w:color w:val="000000"/>
                <w:szCs w:val="21"/>
                <w:lang w:val="en-US" w:eastAsia="zh-CN"/>
              </w:rPr>
              <w:t>合计</w:t>
            </w:r>
            <w:r>
              <w:rPr>
                <w:rFonts w:ascii="宋体" w:hAnsi="宋体" w:eastAsia="宋体" w:cs="Times New Roman"/>
                <w:color w:val="000000"/>
                <w:szCs w:val="21"/>
              </w:rPr>
              <w:t>金额）</w:t>
            </w:r>
          </w:p>
          <w:p>
            <w:pPr>
              <w:rPr>
                <w:rFonts w:hint="eastAsia" w:ascii="宋体" w:hAnsi="宋体" w:eastAsia="宋体" w:cs="Times New Roman"/>
                <w:color w:val="000000"/>
                <w:szCs w:val="21"/>
              </w:rPr>
            </w:pPr>
          </w:p>
        </w:tc>
        <w:tc>
          <w:tcPr>
            <w:tcW w:w="762" w:type="dxa"/>
            <w:vMerge w:val="continue"/>
            <w:vAlign w:val="center"/>
          </w:tcPr>
          <w:p>
            <w:pPr>
              <w:widowControl/>
              <w:spacing w:line="400" w:lineRule="exact"/>
              <w:jc w:val="center"/>
              <w:rPr>
                <w:rFonts w:ascii="宋体" w:hAnsi="宋体" w:eastAsia="宋体" w:cs="Tahom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每</w:t>
            </w:r>
            <w:r>
              <w:rPr>
                <w:rFonts w:hint="eastAsia" w:ascii="宋体" w:hAnsi="宋体" w:eastAsia="宋体" w:cs="Times New Roman"/>
                <w:bCs/>
                <w:color w:val="000000"/>
                <w:szCs w:val="21"/>
              </w:rPr>
              <w:t>有</w:t>
            </w:r>
            <w:r>
              <w:rPr>
                <w:rFonts w:ascii="宋体" w:hAnsi="宋体" w:eastAsia="宋体" w:cs="Times New Roman"/>
                <w:bCs/>
                <w:color w:val="000000"/>
                <w:szCs w:val="21"/>
              </w:rPr>
              <w:t>1个正偏离</w:t>
            </w:r>
            <w:r>
              <w:rPr>
                <w:rFonts w:hint="eastAsia" w:ascii="宋体" w:hAnsi="宋体" w:eastAsia="宋体" w:cs="Times New Roman"/>
                <w:bCs/>
                <w:color w:val="000000"/>
                <w:szCs w:val="21"/>
                <w:lang w:val="en-US" w:eastAsia="zh-CN"/>
              </w:rPr>
              <w:t>加2分，满分25分</w:t>
            </w:r>
            <w:r>
              <w:rPr>
                <w:rFonts w:hint="eastAsia" w:ascii="宋体" w:hAnsi="宋体" w:eastAsia="宋体" w:cs="Times New Roman"/>
                <w:bCs/>
                <w:color w:val="000000"/>
                <w:szCs w:val="21"/>
                <w:lang w:eastAsia="zh-CN"/>
              </w:rPr>
              <w:t>；</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个负偏离，得</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 xml:space="preserve"> 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1</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w:t>
            </w:r>
            <w:r>
              <w:rPr>
                <w:rFonts w:hint="eastAsia" w:ascii="宋体" w:hAnsi="宋体" w:eastAsia="宋体" w:cs="Tahoma"/>
                <w:color w:val="000000"/>
                <w:kern w:val="0"/>
                <w:szCs w:val="21"/>
                <w:lang w:val="en-US" w:eastAsia="zh-CN"/>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562"/>
        <w:rPr>
          <w:rFonts w:hint="default" w:ascii="宋体" w:hAnsi="宋体" w:eastAsia="宋体" w:cs="Times New Roman"/>
          <w:b/>
          <w:color w:val="000000"/>
          <w:szCs w:val="21"/>
          <w:lang w:val="en-US" w:eastAsia="zh-CN"/>
        </w:rPr>
      </w:pPr>
      <w:r>
        <w:rPr>
          <w:rFonts w:hint="eastAsia" w:ascii="宋体" w:hAnsi="宋体" w:eastAsia="宋体" w:cs="Times New Roman"/>
          <w:b/>
          <w:color w:val="000000"/>
          <w:szCs w:val="21"/>
          <w:lang w:val="en-US" w:eastAsia="zh-CN"/>
        </w:rPr>
        <w:t>C分标：</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562" w:type="dxa"/>
            <w:vMerge w:val="restart"/>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Merge w:val="restart"/>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ascii="宋体" w:hAnsi="宋体" w:eastAsia="宋体" w:cs="Times New Roman"/>
                <w:color w:val="000000"/>
                <w:szCs w:val="21"/>
              </w:rPr>
              <w:t>2</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×2</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Merge w:val="restart"/>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562" w:type="dxa"/>
            <w:vMerge w:val="continue"/>
            <w:vAlign w:val="center"/>
          </w:tcPr>
          <w:p>
            <w:pPr>
              <w:widowControl/>
              <w:spacing w:line="400" w:lineRule="exact"/>
              <w:jc w:val="center"/>
              <w:rPr>
                <w:rFonts w:hint="eastAsia" w:ascii="宋体" w:hAnsi="宋体" w:eastAsia="宋体" w:cs="Tahoma"/>
                <w:color w:val="000000"/>
                <w:kern w:val="0"/>
                <w:szCs w:val="21"/>
              </w:rPr>
            </w:pPr>
          </w:p>
        </w:tc>
        <w:tc>
          <w:tcPr>
            <w:tcW w:w="1560" w:type="dxa"/>
            <w:vMerge w:val="continue"/>
            <w:vAlign w:val="center"/>
          </w:tcPr>
          <w:p>
            <w:pPr>
              <w:widowControl/>
              <w:spacing w:line="400" w:lineRule="exact"/>
              <w:jc w:val="center"/>
              <w:rPr>
                <w:rFonts w:hint="eastAsia" w:ascii="宋体" w:hAnsi="宋体" w:eastAsia="宋体" w:cs="Tahoma"/>
                <w:color w:val="000000"/>
                <w:kern w:val="0"/>
                <w:szCs w:val="21"/>
              </w:rPr>
            </w:pPr>
          </w:p>
        </w:tc>
        <w:tc>
          <w:tcPr>
            <w:tcW w:w="6237" w:type="dxa"/>
          </w:tcPr>
          <w:p>
            <w:pPr>
              <w:rPr>
                <w:rFonts w:ascii="宋体" w:hAnsi="宋体" w:eastAsia="宋体" w:cs="Times New Roman"/>
                <w:color w:val="000000"/>
                <w:szCs w:val="21"/>
              </w:rPr>
            </w:pPr>
            <w:r>
              <w:rPr>
                <w:rFonts w:hint="eastAsia" w:ascii="宋体" w:hAnsi="宋体" w:eastAsia="宋体" w:cs="Times New Roman"/>
                <w:color w:val="000000"/>
                <w:szCs w:val="21"/>
              </w:rPr>
              <w:t>耗材价格分（以进入评标的最低的</w:t>
            </w:r>
            <w:r>
              <w:rPr>
                <w:rFonts w:hint="eastAsia" w:ascii="宋体" w:hAnsi="宋体" w:eastAsia="宋体" w:cs="Times New Roman"/>
                <w:color w:val="000000"/>
                <w:szCs w:val="21"/>
                <w:lang w:val="en-US" w:eastAsia="zh-CN"/>
              </w:rPr>
              <w:t>评标</w:t>
            </w:r>
            <w:r>
              <w:rPr>
                <w:rFonts w:hint="eastAsia" w:ascii="宋体" w:hAnsi="宋体" w:eastAsia="宋体" w:cs="Times New Roman"/>
                <w:color w:val="000000"/>
                <w:szCs w:val="21"/>
              </w:rPr>
              <w:t>报价为</w:t>
            </w:r>
            <w:r>
              <w:rPr>
                <w:rFonts w:hint="eastAsia" w:ascii="宋体" w:hAnsi="宋体" w:eastAsia="宋体" w:cs="Times New Roman"/>
                <w:color w:val="000000"/>
                <w:szCs w:val="21"/>
                <w:lang w:val="en-US" w:eastAsia="zh-CN"/>
              </w:rPr>
              <w:t>3</w:t>
            </w:r>
            <w:r>
              <w:rPr>
                <w:rFonts w:ascii="宋体" w:hAnsi="宋体" w:eastAsia="宋体" w:cs="Times New Roman"/>
                <w:color w:val="000000"/>
                <w:szCs w:val="21"/>
              </w:rPr>
              <w:t>0分）</w:t>
            </w:r>
          </w:p>
          <w:p>
            <w:pPr>
              <w:ind w:firstLine="2310" w:firstLineChars="1100"/>
              <w:rPr>
                <w:rFonts w:ascii="宋体" w:hAnsi="宋体" w:eastAsia="宋体" w:cs="Times New Roman"/>
                <w:color w:val="000000"/>
                <w:szCs w:val="21"/>
              </w:rPr>
            </w:pPr>
            <w:r>
              <w:rPr>
                <w:rFonts w:hint="eastAsia" w:ascii="宋体" w:hAnsi="宋体" w:eastAsia="宋体" w:cs="Times New Roman"/>
                <w:color w:val="000000"/>
                <w:szCs w:val="21"/>
              </w:rPr>
              <w:t>有效投标人最低评标报价（</w:t>
            </w:r>
            <w:r>
              <w:rPr>
                <w:rFonts w:hint="eastAsia" w:ascii="宋体" w:hAnsi="宋体" w:eastAsia="宋体" w:cs="Times New Roman"/>
                <w:color w:val="000000"/>
                <w:szCs w:val="21"/>
                <w:lang w:val="en-US" w:eastAsia="zh-CN"/>
              </w:rPr>
              <w:t>合计</w:t>
            </w:r>
            <w:r>
              <w:rPr>
                <w:rFonts w:hint="eastAsia" w:ascii="宋体" w:hAnsi="宋体" w:eastAsia="宋体" w:cs="Times New Roman"/>
                <w:color w:val="000000"/>
                <w:szCs w:val="21"/>
              </w:rPr>
              <w:t>金额）</w:t>
            </w:r>
          </w:p>
          <w:p>
            <w:pPr>
              <w:rPr>
                <w:rFonts w:ascii="宋体" w:hAnsi="宋体" w:eastAsia="宋体" w:cs="Times New Roman"/>
                <w:color w:val="000000"/>
                <w:szCs w:val="21"/>
              </w:rPr>
            </w:pPr>
            <w:r>
              <w:rPr>
                <w:rFonts w:hint="eastAsia" w:ascii="宋体" w:hAnsi="宋体" w:eastAsia="宋体" w:cs="Times New Roman"/>
                <w:color w:val="000000"/>
                <w:szCs w:val="21"/>
              </w:rPr>
              <w:t>某有效投标人价格分</w:t>
            </w:r>
            <w:r>
              <w:rPr>
                <w:rFonts w:ascii="宋体" w:hAnsi="宋体" w:eastAsia="宋体" w:cs="Times New Roman"/>
                <w:color w:val="000000"/>
                <w:szCs w:val="21"/>
              </w:rPr>
              <w:t>=   ---------------------------- ×</w:t>
            </w:r>
            <w:r>
              <w:rPr>
                <w:rFonts w:hint="eastAsia" w:ascii="宋体" w:hAnsi="宋体" w:eastAsia="宋体" w:cs="Times New Roman"/>
                <w:color w:val="000000"/>
                <w:szCs w:val="21"/>
                <w:lang w:val="en-US" w:eastAsia="zh-CN"/>
              </w:rPr>
              <w:t>3</w:t>
            </w:r>
            <w:r>
              <w:rPr>
                <w:rFonts w:ascii="宋体" w:hAnsi="宋体" w:eastAsia="宋体" w:cs="Times New Roman"/>
                <w:color w:val="000000"/>
                <w:szCs w:val="21"/>
              </w:rPr>
              <w:t>0分</w:t>
            </w:r>
          </w:p>
          <w:p>
            <w:pPr>
              <w:rPr>
                <w:rFonts w:ascii="宋体" w:hAnsi="宋体" w:eastAsia="宋体" w:cs="Times New Roman"/>
                <w:color w:val="000000"/>
                <w:szCs w:val="21"/>
              </w:rPr>
            </w:pPr>
            <w:r>
              <w:rPr>
                <w:rFonts w:ascii="宋体" w:hAnsi="宋体" w:eastAsia="宋体" w:cs="Times New Roman"/>
                <w:color w:val="000000"/>
                <w:szCs w:val="21"/>
              </w:rPr>
              <w:t xml:space="preserve">                      某投标人评标报价（</w:t>
            </w:r>
            <w:r>
              <w:rPr>
                <w:rFonts w:hint="eastAsia" w:ascii="宋体" w:hAnsi="宋体" w:eastAsia="宋体" w:cs="Times New Roman"/>
                <w:color w:val="000000"/>
                <w:szCs w:val="21"/>
                <w:lang w:val="en-US" w:eastAsia="zh-CN"/>
              </w:rPr>
              <w:t>合计</w:t>
            </w:r>
            <w:r>
              <w:rPr>
                <w:rFonts w:ascii="宋体" w:hAnsi="宋体" w:eastAsia="宋体" w:cs="Times New Roman"/>
                <w:color w:val="000000"/>
                <w:szCs w:val="21"/>
              </w:rPr>
              <w:t>金额）</w:t>
            </w:r>
          </w:p>
          <w:p>
            <w:pPr>
              <w:rPr>
                <w:rFonts w:hint="eastAsia" w:ascii="宋体" w:hAnsi="宋体" w:eastAsia="宋体" w:cs="Times New Roman"/>
                <w:color w:val="000000"/>
                <w:szCs w:val="21"/>
              </w:rPr>
            </w:pPr>
          </w:p>
        </w:tc>
        <w:tc>
          <w:tcPr>
            <w:tcW w:w="762" w:type="dxa"/>
            <w:vMerge w:val="continue"/>
            <w:vAlign w:val="center"/>
          </w:tcPr>
          <w:p>
            <w:pPr>
              <w:widowControl/>
              <w:spacing w:line="400" w:lineRule="exact"/>
              <w:jc w:val="center"/>
              <w:rPr>
                <w:rFonts w:ascii="宋体" w:hAnsi="宋体" w:eastAsia="宋体" w:cs="Tahoma"/>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每</w:t>
            </w:r>
            <w:r>
              <w:rPr>
                <w:rFonts w:hint="eastAsia" w:ascii="宋体" w:hAnsi="宋体" w:eastAsia="宋体" w:cs="Times New Roman"/>
                <w:bCs/>
                <w:color w:val="000000"/>
                <w:szCs w:val="21"/>
              </w:rPr>
              <w:t>有</w:t>
            </w:r>
            <w:r>
              <w:rPr>
                <w:rFonts w:ascii="宋体" w:hAnsi="宋体" w:eastAsia="宋体" w:cs="Times New Roman"/>
                <w:bCs/>
                <w:color w:val="000000"/>
                <w:szCs w:val="21"/>
              </w:rPr>
              <w:t>1个正偏离</w:t>
            </w:r>
            <w:r>
              <w:rPr>
                <w:rFonts w:hint="eastAsia" w:ascii="宋体" w:hAnsi="宋体" w:eastAsia="宋体" w:cs="Times New Roman"/>
                <w:bCs/>
                <w:color w:val="000000"/>
                <w:szCs w:val="21"/>
                <w:lang w:val="en-US" w:eastAsia="zh-CN"/>
              </w:rPr>
              <w:t>加2分，满分25分</w:t>
            </w:r>
            <w:r>
              <w:rPr>
                <w:rFonts w:hint="eastAsia" w:ascii="宋体" w:hAnsi="宋体" w:eastAsia="宋体" w:cs="Times New Roman"/>
                <w:bCs/>
                <w:color w:val="000000"/>
                <w:szCs w:val="21"/>
                <w:lang w:eastAsia="zh-CN"/>
              </w:rPr>
              <w:t>；</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个负偏离，得</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 xml:space="preserve"> </w:t>
            </w:r>
            <w:r>
              <w:rPr>
                <w:rFonts w:hint="eastAsia" w:ascii="宋体" w:hAnsi="宋体" w:eastAsia="宋体" w:cs="Times New Roman"/>
                <w:color w:val="000000"/>
                <w:szCs w:val="21"/>
              </w:rPr>
              <w:t xml:space="preserve"> </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1</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w:t>
            </w:r>
            <w:r>
              <w:rPr>
                <w:rFonts w:hint="eastAsia" w:ascii="宋体" w:hAnsi="宋体" w:eastAsia="宋体" w:cs="Tahoma"/>
                <w:color w:val="000000"/>
                <w:kern w:val="0"/>
                <w:szCs w:val="21"/>
                <w:lang w:val="en-US" w:eastAsia="zh-CN"/>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3</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hint="default" w:ascii="宋体" w:hAnsi="宋体" w:eastAsia="宋体"/>
          <w:szCs w:val="21"/>
          <w:lang w:val="en-US" w:eastAsia="zh-CN"/>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lang w:eastAsia="zh-CN"/>
        </w:rPr>
      </w:pPr>
      <w:r>
        <w:rPr>
          <w:rFonts w:hint="eastAsia" w:ascii="仿宋_GB2312" w:hAnsi="Calibri" w:eastAsia="仿宋_GB2312" w:cs="Calibri"/>
          <w:bCs/>
          <w:color w:val="000000"/>
          <w:sz w:val="32"/>
          <w:szCs w:val="32"/>
        </w:rPr>
        <w:t>项目编号：</w:t>
      </w:r>
      <w:r>
        <w:rPr>
          <w:rFonts w:hint="eastAsia" w:ascii="仿宋_GB2312" w:hAnsi="Calibri" w:eastAsia="仿宋_GB2312" w:cs="Calibri"/>
          <w:bCs/>
          <w:color w:val="000000"/>
          <w:sz w:val="32"/>
          <w:szCs w:val="32"/>
          <w:lang w:eastAsia="zh-CN"/>
        </w:rPr>
        <w:t>（</w:t>
      </w:r>
      <w:r>
        <w:rPr>
          <w:rFonts w:hint="eastAsia" w:ascii="仿宋_GB2312" w:hAnsi="Calibri" w:eastAsia="仿宋_GB2312" w:cs="Calibri"/>
          <w:bCs/>
          <w:color w:val="000000"/>
          <w:sz w:val="32"/>
          <w:szCs w:val="32"/>
          <w:lang w:val="en-US" w:eastAsia="zh-CN"/>
        </w:rPr>
        <w:t>注明是参与的A、B、C那一个标段</w:t>
      </w:r>
      <w:r>
        <w:rPr>
          <w:rFonts w:hint="eastAsia" w:ascii="仿宋_GB2312" w:hAnsi="Calibri" w:eastAsia="仿宋_GB2312" w:cs="Calibri"/>
          <w:bCs/>
          <w:color w:val="000000"/>
          <w:sz w:val="32"/>
          <w:szCs w:val="32"/>
          <w:lang w:eastAsia="zh-CN"/>
        </w:rPr>
        <w:t>）</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r>
        <w:rPr>
          <w:rFonts w:hint="eastAsia" w:ascii="仿宋_GB2312" w:hAnsi="Calibri" w:eastAsia="仿宋_GB2312" w:cs="Calibri"/>
          <w:bCs/>
          <w:color w:val="000000"/>
          <w:sz w:val="32"/>
          <w:szCs w:val="32"/>
          <w:lang w:eastAsia="zh-CN"/>
        </w:rPr>
        <w:t>（</w:t>
      </w:r>
      <w:r>
        <w:rPr>
          <w:rFonts w:hint="eastAsia" w:ascii="仿宋_GB2312" w:hAnsi="Calibri" w:eastAsia="仿宋_GB2312" w:cs="Calibri"/>
          <w:bCs/>
          <w:color w:val="000000"/>
          <w:sz w:val="32"/>
          <w:szCs w:val="32"/>
          <w:lang w:val="en-US" w:eastAsia="zh-CN"/>
        </w:rPr>
        <w:t>注明是参与的A、B、C那一个标段</w:t>
      </w:r>
      <w:r>
        <w:rPr>
          <w:rFonts w:hint="eastAsia" w:ascii="仿宋_GB2312" w:hAnsi="Calibri" w:eastAsia="仿宋_GB2312" w:cs="Calibri"/>
          <w:bCs/>
          <w:color w:val="000000"/>
          <w:sz w:val="32"/>
          <w:szCs w:val="32"/>
          <w:lang w:eastAsia="zh-CN"/>
        </w:rPr>
        <w:t>）</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4"/>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4"/>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r>
        <w:rPr>
          <w:rFonts w:hint="eastAsia" w:ascii="仿宋_GB2312" w:hAnsi="Calibri" w:eastAsia="仿宋_GB2312" w:cs="Calibri"/>
          <w:bCs/>
          <w:color w:val="000000"/>
          <w:sz w:val="32"/>
          <w:szCs w:val="32"/>
          <w:lang w:eastAsia="zh-CN"/>
        </w:rPr>
        <w:t>（</w:t>
      </w:r>
      <w:r>
        <w:rPr>
          <w:rFonts w:hint="eastAsia" w:ascii="仿宋_GB2312" w:hAnsi="Calibri" w:eastAsia="仿宋_GB2312" w:cs="Calibri"/>
          <w:bCs/>
          <w:color w:val="000000"/>
          <w:sz w:val="32"/>
          <w:szCs w:val="32"/>
          <w:lang w:val="en-US" w:eastAsia="zh-CN"/>
        </w:rPr>
        <w:t>注明是参与的A、B、C那一个标段</w:t>
      </w:r>
      <w:r>
        <w:rPr>
          <w:rFonts w:hint="eastAsia" w:ascii="仿宋_GB2312" w:hAnsi="Calibri" w:eastAsia="仿宋_GB2312" w:cs="Calibri"/>
          <w:bCs/>
          <w:color w:val="000000"/>
          <w:sz w:val="32"/>
          <w:szCs w:val="32"/>
          <w:lang w:eastAsia="zh-CN"/>
        </w:rPr>
        <w:t>）</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abstractNum w:abstractNumId="3">
    <w:nsid w:val="7112A5BD"/>
    <w:multiLevelType w:val="singleLevel"/>
    <w:tmpl w:val="7112A5BD"/>
    <w:lvl w:ilvl="0" w:tentative="0">
      <w:start w:val="1"/>
      <w:numFmt w:val="decimal"/>
      <w:lvlText w:val="%1."/>
      <w:lvlJc w:val="left"/>
      <w:pPr>
        <w:tabs>
          <w:tab w:val="left" w:pos="312"/>
        </w:tabs>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F21032D"/>
    <w:rsid w:val="100B70C3"/>
    <w:rsid w:val="19BD661E"/>
    <w:rsid w:val="1A632FBA"/>
    <w:rsid w:val="21C83E17"/>
    <w:rsid w:val="230C6132"/>
    <w:rsid w:val="25C10491"/>
    <w:rsid w:val="267D2BB8"/>
    <w:rsid w:val="27605B00"/>
    <w:rsid w:val="2F60116C"/>
    <w:rsid w:val="303D69DF"/>
    <w:rsid w:val="36D70741"/>
    <w:rsid w:val="36EF4890"/>
    <w:rsid w:val="39026745"/>
    <w:rsid w:val="399D69A6"/>
    <w:rsid w:val="3CF86B7C"/>
    <w:rsid w:val="41C0323C"/>
    <w:rsid w:val="41D3175E"/>
    <w:rsid w:val="45DB2F02"/>
    <w:rsid w:val="4BF86B15"/>
    <w:rsid w:val="4FD74E04"/>
    <w:rsid w:val="53FE114B"/>
    <w:rsid w:val="57874CD5"/>
    <w:rsid w:val="59B64834"/>
    <w:rsid w:val="5D72019D"/>
    <w:rsid w:val="5E9A1F4D"/>
    <w:rsid w:val="5EBA7B70"/>
    <w:rsid w:val="64BF359F"/>
    <w:rsid w:val="64E861BC"/>
    <w:rsid w:val="65A17C5D"/>
    <w:rsid w:val="65A90B76"/>
    <w:rsid w:val="66567619"/>
    <w:rsid w:val="67802B6C"/>
    <w:rsid w:val="6D0312DB"/>
    <w:rsid w:val="6D5A388E"/>
    <w:rsid w:val="74DA269D"/>
    <w:rsid w:val="779D6447"/>
    <w:rsid w:val="78D3337A"/>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24662</Words>
  <Characters>26284</Characters>
  <Lines>157</Lines>
  <Paragraphs>44</Paragraphs>
  <TotalTime>13</TotalTime>
  <ScaleCrop>false</ScaleCrop>
  <LinksUpToDate>false</LinksUpToDate>
  <CharactersWithSpaces>28324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7月LEO</cp:lastModifiedBy>
  <cp:lastPrinted>2022-12-12T03:30:00Z</cp:lastPrinted>
  <dcterms:modified xsi:type="dcterms:W3CDTF">2023-03-17T09:08:18Z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003F4B7C55754348827E781723701253</vt:lpwstr>
  </property>
</Properties>
</file>