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项目名称：广西骨伤医院关节镜低温等离子手术系统采购项目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w:t>
      </w:r>
      <w:r>
        <w:rPr>
          <w:rFonts w:ascii="仿宋_GB2312" w:hAnsi="宋体" w:eastAsia="仿宋_GB2312" w:cs="Times New Roman"/>
          <w:b/>
          <w:color w:val="000000"/>
          <w:sz w:val="32"/>
          <w:szCs w:val="32"/>
        </w:rPr>
        <w:t>32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35393629"/>
      <w:bookmarkStart w:id="3" w:name="_Toc44229878"/>
      <w:bookmarkStart w:id="4" w:name="_Toc47452205"/>
      <w:bookmarkStart w:id="5" w:name="_Toc2835908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w:t>
      </w:r>
      <w:r>
        <w:rPr>
          <w:rFonts w:ascii="宋体" w:hAnsi="宋体" w:eastAsia="宋体" w:cs="Times New Roman"/>
          <w:color w:val="000000"/>
          <w:szCs w:val="21"/>
        </w:rPr>
        <w:t>32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项目名称：广西骨伤医院关节镜低温等离子手术系统采购项目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35</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ascii="宋体" w:hAnsi="宋体" w:eastAsia="宋体" w:cs="Times New Roman"/>
          <w:color w:val="000000"/>
          <w:szCs w:val="21"/>
        </w:rPr>
        <w:t>35</w:t>
      </w:r>
      <w:r>
        <w:rPr>
          <w:rFonts w:hint="eastAsia" w:ascii="宋体" w:hAnsi="宋体" w:eastAsia="宋体" w:cs="Times New Roman"/>
          <w:color w:val="000000"/>
          <w:szCs w:val="21"/>
        </w:rPr>
        <w:t>万元。</w:t>
      </w:r>
      <w:bookmarkStart w:id="7" w:name="_Toc44229879"/>
      <w:bookmarkStart w:id="8" w:name="_Toc28359090"/>
      <w:bookmarkStart w:id="9" w:name="_Toc47452206"/>
      <w:bookmarkStart w:id="10" w:name="_Toc28359013"/>
      <w:bookmarkStart w:id="11" w:name="_Toc35393799"/>
      <w:bookmarkStart w:id="12" w:name="_Toc3539363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广西骨伤医院关节镜低温等离子手术系统采购项目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1套</w:t>
            </w:r>
          </w:p>
        </w:tc>
        <w:tc>
          <w:tcPr>
            <w:tcW w:w="5103" w:type="dxa"/>
            <w:tcBorders>
              <w:top w:val="single" w:color="auto" w:sz="4" w:space="0"/>
              <w:left w:val="nil"/>
              <w:bottom w:val="single" w:color="auto" w:sz="4" w:space="0"/>
              <w:right w:val="single" w:color="auto" w:sz="4" w:space="0"/>
            </w:tcBorders>
          </w:tcPr>
          <w:p>
            <w:pPr>
              <w:spacing w:line="320" w:lineRule="exact"/>
              <w:rPr>
                <w:rFonts w:ascii="宋体" w:hAnsi="宋体" w:eastAsia="宋体" w:cs="Times New Roman"/>
                <w:color w:val="000000"/>
                <w:szCs w:val="21"/>
              </w:rPr>
            </w:pPr>
            <w:r>
              <w:rPr>
                <w:rFonts w:ascii="宋体" w:hAnsi="宋体" w:eastAsia="宋体" w:cs="Times New Roman"/>
                <w:color w:val="000000"/>
                <w:szCs w:val="21"/>
              </w:rPr>
              <w:t>1、具有液晶显示屏，并显示相关参数信息；</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w:t>
            </w:r>
            <w:r>
              <w:rPr>
                <w:rFonts w:ascii="宋体" w:hAnsi="宋体" w:eastAsia="宋体" w:cs="Times New Roman"/>
                <w:color w:val="000000"/>
                <w:szCs w:val="21"/>
              </w:rPr>
              <w:t>2、具备低温等离子体消融技术，具备汽化、切割、消融、软骨成形、止血等多种功能；</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3、主机具有消融和凝血工作模式；</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4、主机射频消融模式设置分档，多档可调，提供不同的切割效果和凝血效果；</w:t>
            </w:r>
          </w:p>
          <w:p>
            <w:pPr>
              <w:spacing w:line="320" w:lineRule="exact"/>
              <w:rPr>
                <w:rFonts w:ascii="宋体" w:hAnsi="宋体" w:eastAsia="宋体" w:cs="Times New Roman"/>
                <w:color w:val="000000"/>
                <w:szCs w:val="21"/>
              </w:rPr>
            </w:pPr>
            <w:r>
              <w:rPr>
                <w:rFonts w:ascii="宋体" w:hAnsi="宋体" w:eastAsia="宋体" w:cs="Times New Roman"/>
                <w:color w:val="000000"/>
                <w:szCs w:val="21"/>
              </w:rPr>
              <w:t>5、具有温度监控模式，可显示温度，并有超温报警功能；</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年12月</w:t>
      </w:r>
      <w:r>
        <w:rPr>
          <w:rFonts w:hint="eastAsia" w:ascii="宋体" w:hAnsi="宋体" w:eastAsia="宋体" w:cs="Times New Roman"/>
          <w:color w:val="000000"/>
          <w:szCs w:val="21"/>
          <w:lang w:val="en-US" w:eastAsia="zh-CN"/>
        </w:rPr>
        <w:t>13</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ascii="宋体" w:hAnsi="宋体" w:eastAsia="宋体" w:cs="Calibri"/>
          <w:bCs/>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15</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r>
        <w:rPr>
          <w:rFonts w:hint="eastAsia" w:ascii="宋体" w:hAnsi="宋体" w:eastAsia="宋体" w:cs="Calibri"/>
          <w:color w:val="000000"/>
          <w:szCs w:val="21"/>
        </w:rPr>
        <w:t>。</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bookmarkStart w:id="25" w:name="_GoBack"/>
      <w:bookmarkEnd w:id="25"/>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10</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10</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广西骨伤医院关节镜低温等离子手术系统采购项目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广西骨伤医院关节镜低温等离子手术系统采购项目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1套</w:t>
            </w:r>
          </w:p>
        </w:tc>
        <w:tc>
          <w:tcPr>
            <w:tcW w:w="6845" w:type="dxa"/>
          </w:tcPr>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1、具有液晶显示屏，并显示相关参数信息；</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w:t>
            </w:r>
            <w:r>
              <w:rPr>
                <w:rFonts w:ascii="宋体" w:hAnsi="宋体" w:eastAsia="宋体" w:cs="宋体"/>
                <w:bCs/>
                <w:szCs w:val="21"/>
              </w:rPr>
              <w:t>2、具备低温等离子体消融技术，具备汽化、切割、消融、软骨成形、止血等多种功能；</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3、主机具有消融和凝血工作模式；</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4、主机射频消融模式设置分档，多档可调，提供不同的切割效果和凝血效果；</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5、具有温度监控模式，可显示温度，并有超温报警功能；</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w:t>
            </w:r>
            <w:r>
              <w:rPr>
                <w:rFonts w:ascii="宋体" w:hAnsi="宋体" w:eastAsia="宋体" w:cs="宋体"/>
                <w:bCs/>
                <w:szCs w:val="21"/>
              </w:rPr>
              <w:t>6、具有脚踏和手柄控制两种操作方式；</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7、具有连续监控能量输出功能（具有关节镜保护功能时视为正偏离）；</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8、可兼容不同品牌的等离子刀头；</w:t>
            </w:r>
          </w:p>
          <w:p>
            <w:pPr>
              <w:adjustRightInd w:val="0"/>
              <w:snapToGrid w:val="0"/>
              <w:spacing w:line="360" w:lineRule="exact"/>
              <w:jc w:val="left"/>
              <w:outlineLvl w:val="0"/>
              <w:rPr>
                <w:rFonts w:ascii="宋体" w:hAnsi="宋体" w:eastAsia="宋体" w:cs="宋体"/>
                <w:bCs/>
                <w:szCs w:val="21"/>
              </w:rPr>
            </w:pPr>
            <w:r>
              <w:rPr>
                <w:rFonts w:ascii="宋体" w:hAnsi="宋体" w:eastAsia="宋体" w:cs="宋体"/>
                <w:bCs/>
                <w:szCs w:val="21"/>
              </w:rPr>
              <w:t>9、具有自动检测刀头和附件连接功能；</w:t>
            </w:r>
          </w:p>
          <w:p>
            <w:pPr>
              <w:adjustRightInd w:val="0"/>
              <w:snapToGrid w:val="0"/>
              <w:spacing w:line="360" w:lineRule="exact"/>
              <w:jc w:val="left"/>
              <w:outlineLvl w:val="0"/>
              <w:rPr>
                <w:rFonts w:ascii="宋体" w:hAnsi="宋体" w:eastAsia="宋体" w:cs="Times New Roman"/>
                <w:color w:val="000000"/>
                <w:szCs w:val="21"/>
              </w:rPr>
            </w:pPr>
            <w:r>
              <w:rPr>
                <w:rFonts w:ascii="宋体" w:hAnsi="宋体" w:eastAsia="宋体" w:cs="宋体"/>
                <w:bCs/>
                <w:szCs w:val="21"/>
              </w:rPr>
              <w:t>10、射频输出最大功率≥380W。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，中标人应在30日内开具发票给采购人。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562"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ascii="宋体" w:hAnsi="宋体" w:eastAsia="宋体" w:cs="Times New Roman"/>
                <w:color w:val="000000"/>
                <w:szCs w:val="21"/>
              </w:rPr>
              <w:t>2</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×2</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Merge w:val="restart"/>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562"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1560"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6237" w:type="dxa"/>
          </w:tcPr>
          <w:p>
            <w:pPr>
              <w:rPr>
                <w:rFonts w:ascii="宋体" w:hAnsi="宋体" w:eastAsia="宋体" w:cs="Times New Roman"/>
                <w:color w:val="000000"/>
                <w:szCs w:val="21"/>
              </w:rPr>
            </w:pPr>
            <w:r>
              <w:rPr>
                <w:rFonts w:hint="eastAsia" w:ascii="宋体" w:hAnsi="宋体" w:eastAsia="宋体" w:cs="Times New Roman"/>
                <w:color w:val="000000"/>
                <w:szCs w:val="21"/>
              </w:rPr>
              <w:t>专用耗材价格分（以进入评标的最低的耗材评标报价为</w:t>
            </w:r>
            <w:r>
              <w:rPr>
                <w:rFonts w:ascii="宋体" w:hAnsi="宋体" w:eastAsia="宋体" w:cs="Times New Roman"/>
                <w:color w:val="000000"/>
                <w:szCs w:val="21"/>
              </w:rPr>
              <w:t>20分）</w:t>
            </w:r>
          </w:p>
          <w:p>
            <w:pPr>
              <w:ind w:firstLine="2310" w:firstLineChars="1100"/>
              <w:rPr>
                <w:rFonts w:ascii="宋体" w:hAnsi="宋体" w:eastAsia="宋体" w:cs="Times New Roman"/>
                <w:color w:val="000000"/>
                <w:szCs w:val="21"/>
              </w:rPr>
            </w:pPr>
            <w:r>
              <w:rPr>
                <w:rFonts w:hint="eastAsia" w:ascii="宋体" w:hAnsi="宋体" w:eastAsia="宋体" w:cs="Times New Roman"/>
                <w:color w:val="000000"/>
                <w:szCs w:val="21"/>
              </w:rPr>
              <w:t>有效投标人最低评标报价（金额）</w:t>
            </w:r>
          </w:p>
          <w:p>
            <w:pPr>
              <w:rPr>
                <w:rFonts w:ascii="宋体" w:hAnsi="宋体" w:eastAsia="宋体" w:cs="Times New Roman"/>
                <w:color w:val="000000"/>
                <w:szCs w:val="21"/>
              </w:rPr>
            </w:pPr>
            <w:r>
              <w:rPr>
                <w:rFonts w:hint="eastAsia" w:ascii="宋体" w:hAnsi="宋体" w:eastAsia="宋体" w:cs="Times New Roman"/>
                <w:color w:val="000000"/>
                <w:szCs w:val="21"/>
              </w:rPr>
              <w:t>某有效投标人价格分</w:t>
            </w:r>
            <w:r>
              <w:rPr>
                <w:rFonts w:ascii="宋体" w:hAnsi="宋体" w:eastAsia="宋体" w:cs="Times New Roman"/>
                <w:color w:val="000000"/>
                <w:szCs w:val="21"/>
              </w:rPr>
              <w:t>=   ---------------------------- ×20分</w:t>
            </w:r>
          </w:p>
          <w:p>
            <w:pPr>
              <w:rPr>
                <w:rFonts w:ascii="宋体" w:hAnsi="宋体" w:eastAsia="宋体" w:cs="Times New Roman"/>
                <w:color w:val="000000"/>
                <w:szCs w:val="21"/>
              </w:rPr>
            </w:pPr>
            <w:r>
              <w:rPr>
                <w:rFonts w:ascii="宋体" w:hAnsi="宋体" w:eastAsia="宋体" w:cs="Times New Roman"/>
                <w:color w:val="000000"/>
                <w:szCs w:val="21"/>
              </w:rPr>
              <w:t xml:space="preserve">                      某投标人评标报价（金额）</w:t>
            </w:r>
          </w:p>
          <w:p>
            <w:pPr>
              <w:rPr>
                <w:rFonts w:hint="eastAsia" w:ascii="宋体" w:hAnsi="宋体" w:eastAsia="宋体" w:cs="Times New Roman"/>
                <w:color w:val="000000"/>
                <w:szCs w:val="21"/>
              </w:rPr>
            </w:pPr>
          </w:p>
        </w:tc>
        <w:tc>
          <w:tcPr>
            <w:tcW w:w="762" w:type="dxa"/>
            <w:vMerge w:val="continue"/>
            <w:vAlign w:val="center"/>
          </w:tcPr>
          <w:p>
            <w:pPr>
              <w:widowControl/>
              <w:spacing w:line="400" w:lineRule="exact"/>
              <w:jc w:val="center"/>
              <w:rPr>
                <w:rFonts w:ascii="宋体" w:hAnsi="宋体" w:eastAsia="宋体" w:cs="Tahom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w:t>
            </w:r>
            <w:r>
              <w:rPr>
                <w:rFonts w:ascii="宋体" w:hAnsi="宋体" w:eastAsia="宋体" w:cs="Times New Roman"/>
                <w:color w:val="000000"/>
                <w:szCs w:val="21"/>
              </w:rPr>
              <w:t>1</w:t>
            </w:r>
            <w:r>
              <w:rPr>
                <w:rFonts w:hint="eastAsia" w:ascii="宋体" w:hAnsi="宋体" w:eastAsia="宋体" w:cs="Times New Roman"/>
                <w:color w:val="000000"/>
                <w:szCs w:val="21"/>
              </w:rPr>
              <w:t>个及以上正偏离，得</w:t>
            </w:r>
            <w:r>
              <w:rPr>
                <w:rFonts w:ascii="宋体" w:hAnsi="宋体" w:eastAsia="宋体" w:cs="Times New Roman"/>
                <w:color w:val="000000"/>
                <w:szCs w:val="21"/>
              </w:rPr>
              <w:t>25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3.1</w:t>
            </w:r>
            <w:r>
              <w:rPr>
                <w:rFonts w:hint="eastAsia" w:ascii="宋体" w:hAnsi="宋体" w:eastAsia="宋体" w:cs="Times New Roman"/>
                <w:color w:val="000000"/>
                <w:szCs w:val="21"/>
              </w:rPr>
              <w:t>-</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6.1</w:t>
            </w:r>
            <w:r>
              <w:rPr>
                <w:rFonts w:hint="eastAsia" w:ascii="宋体" w:hAnsi="宋体" w:eastAsia="宋体" w:cs="Times New Roman"/>
                <w:color w:val="000000"/>
                <w:szCs w:val="21"/>
              </w:rPr>
              <w:t>-</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4"/>
                <w:rFonts w:hint="default"/>
              </w:rPr>
            </w:pPr>
            <w:r>
              <w:rPr>
                <w:rStyle w:val="14"/>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30C6132"/>
    <w:rsid w:val="267D2BB8"/>
    <w:rsid w:val="27605B00"/>
    <w:rsid w:val="2F60116C"/>
    <w:rsid w:val="303D69DF"/>
    <w:rsid w:val="36D70741"/>
    <w:rsid w:val="36EF4890"/>
    <w:rsid w:val="39026745"/>
    <w:rsid w:val="399D69A6"/>
    <w:rsid w:val="3CF86B7C"/>
    <w:rsid w:val="45DB2F02"/>
    <w:rsid w:val="4BF86B15"/>
    <w:rsid w:val="53FE114B"/>
    <w:rsid w:val="57874CD5"/>
    <w:rsid w:val="59B64834"/>
    <w:rsid w:val="5D72019D"/>
    <w:rsid w:val="5E9A1F4D"/>
    <w:rsid w:val="5EBA7B70"/>
    <w:rsid w:val="64BF359F"/>
    <w:rsid w:val="64E861BC"/>
    <w:rsid w:val="65A17C5D"/>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18270</Words>
  <Characters>19028</Characters>
  <Lines>157</Lines>
  <Paragraphs>44</Paragraphs>
  <TotalTime>0</TotalTime>
  <ScaleCrop>false</ScaleCrop>
  <LinksUpToDate>false</LinksUpToDate>
  <CharactersWithSpaces>20921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7月LEO</cp:lastModifiedBy>
  <cp:lastPrinted>2022-12-12T03:30:00Z</cp:lastPrinted>
  <dcterms:modified xsi:type="dcterms:W3CDTF">2022-12-13T07:59:46Z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003F4B7C55754348827E781723701253</vt:lpwstr>
  </property>
</Properties>
</file>