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 w:line="600" w:lineRule="exact"/>
        <w:jc w:val="center"/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广西骨伤医院无磁紫外线消毒机采购项目</w:t>
      </w:r>
    </w:p>
    <w:p>
      <w:pPr>
        <w:spacing w:before="312" w:beforeLines="100" w:after="156" w:afterLines="50" w:line="600" w:lineRule="exact"/>
        <w:jc w:val="center"/>
        <w:rPr>
          <w:rFonts w:hint="eastAsia"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招标文件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ind w:left="2942" w:leftChars="656" w:hanging="1564" w:hangingChars="487"/>
        <w:rPr>
          <w:rFonts w:hint="default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广西骨伤医院无磁紫外线消毒机采购项目</w:t>
      </w:r>
    </w:p>
    <w:bookmarkEnd w:id="0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hint="default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项目编号：</w:t>
      </w:r>
      <w:r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  <w:t>GXGSYY-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C</w:t>
      </w:r>
      <w:r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  <w:t>GB-SBK-202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Times New Roman"/>
          <w:b/>
          <w:color w:val="000000"/>
          <w:sz w:val="32"/>
          <w:szCs w:val="32"/>
          <w:highlight w:val="none"/>
        </w:rPr>
        <w:t>-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31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月 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ascii="Cambria" w:hAnsi="Cambria" w:eastAsia="宋体" w:cs="Times New Roman"/>
          <w:b/>
          <w:bCs/>
          <w:color w:val="000000"/>
          <w:sz w:val="32"/>
          <w:szCs w:val="32"/>
          <w:lang w:val="zh-CN" w:eastAsia="zh-CN"/>
        </w:rPr>
      </w:pPr>
      <w:bookmarkStart w:id="1" w:name="_Toc47452204"/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 w:eastAsia="zh-CN"/>
        </w:rPr>
        <w:t xml:space="preserve">第一章 </w:t>
      </w: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/>
        </w:rPr>
        <w:t>议价会</w:t>
      </w: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 w:eastAsia="zh-CN"/>
        </w:rPr>
        <w:t>公告</w:t>
      </w:r>
      <w:bookmarkEnd w:id="1"/>
    </w:p>
    <w:p>
      <w:pPr>
        <w:keepNext/>
        <w:keepLines/>
        <w:spacing w:line="320" w:lineRule="exact"/>
        <w:ind w:firstLine="422" w:firstLineChars="200"/>
        <w:outlineLvl w:val="1"/>
        <w:rPr>
          <w:rFonts w:ascii="宋体" w:hAnsi="宋体" w:eastAsia="宋体" w:cs="宋体"/>
          <w:b/>
          <w:color w:val="000000"/>
          <w:szCs w:val="21"/>
          <w:lang w:val="zh-CN" w:eastAsia="zh-CN"/>
        </w:rPr>
      </w:pPr>
      <w:bookmarkStart w:id="2" w:name="_Toc47452205"/>
      <w:bookmarkStart w:id="3" w:name="_Toc28359012"/>
      <w:bookmarkStart w:id="4" w:name="_Toc35393629"/>
      <w:bookmarkStart w:id="5" w:name="_Toc28359089"/>
      <w:bookmarkStart w:id="6" w:name="_Toc44229878"/>
      <w:bookmarkStart w:id="7" w:name="_Toc35393798"/>
      <w:r>
        <w:rPr>
          <w:rFonts w:hint="eastAsia" w:ascii="宋体" w:hAnsi="宋体" w:eastAsia="宋体" w:cs="宋体"/>
          <w:b/>
          <w:color w:val="000000"/>
          <w:szCs w:val="21"/>
          <w:lang w:val="zh-CN" w:eastAsia="zh-CN"/>
        </w:rPr>
        <w:t>一、项目基本情况</w:t>
      </w:r>
      <w:bookmarkEnd w:id="2"/>
      <w:bookmarkEnd w:id="3"/>
      <w:bookmarkEnd w:id="4"/>
      <w:bookmarkEnd w:id="5"/>
      <w:bookmarkEnd w:id="6"/>
      <w:bookmarkEnd w:id="7"/>
    </w:p>
    <w:p>
      <w:pPr>
        <w:spacing w:line="320" w:lineRule="exact"/>
        <w:ind w:firstLine="420" w:firstLineChars="200"/>
        <w:rPr>
          <w:rFonts w:hint="default" w:ascii="宋体" w:hAnsi="宋体" w:eastAsia="宋体" w:cs="Times New Roman"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Cs w:val="21"/>
        </w:rPr>
        <w:t>1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项目编号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：</w:t>
      </w:r>
      <w:r>
        <w:rPr>
          <w:rFonts w:ascii="宋体" w:hAnsi="宋体" w:eastAsia="宋体" w:cs="Times New Roman"/>
          <w:color w:val="000000"/>
          <w:szCs w:val="21"/>
          <w:highlight w:val="none"/>
        </w:rPr>
        <w:t>GXGSYY-CGB-SBK-202</w:t>
      </w:r>
      <w:r>
        <w:rPr>
          <w:rFonts w:hint="eastAsia" w:ascii="宋体" w:hAnsi="宋体" w:eastAsia="宋体" w:cs="Times New Roman"/>
          <w:color w:val="000000"/>
          <w:szCs w:val="21"/>
          <w:highlight w:val="none"/>
          <w:lang w:val="en-US" w:eastAsia="zh-CN"/>
        </w:rPr>
        <w:t>2</w:t>
      </w:r>
      <w:r>
        <w:rPr>
          <w:rFonts w:ascii="宋体" w:hAnsi="宋体" w:eastAsia="宋体" w:cs="Times New Roman"/>
          <w:color w:val="000000"/>
          <w:szCs w:val="21"/>
          <w:highlight w:val="none"/>
        </w:rPr>
        <w:t>-</w:t>
      </w:r>
      <w:r>
        <w:rPr>
          <w:rFonts w:hint="eastAsia" w:ascii="宋体" w:hAnsi="宋体" w:eastAsia="宋体" w:cs="Times New Roman"/>
          <w:color w:val="000000"/>
          <w:szCs w:val="21"/>
          <w:highlight w:val="none"/>
          <w:lang w:val="en-US" w:eastAsia="zh-CN"/>
        </w:rPr>
        <w:t>31</w:t>
      </w:r>
    </w:p>
    <w:p>
      <w:pPr>
        <w:spacing w:line="320" w:lineRule="exact"/>
        <w:ind w:firstLine="420" w:firstLineChars="200"/>
        <w:rPr>
          <w:rFonts w:hint="default" w:ascii="宋体" w:hAnsi="宋体" w:eastAsia="宋体" w:cs="Times New Roman"/>
          <w:color w:val="000000"/>
          <w:szCs w:val="21"/>
          <w:u w:val="singl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Cs w:val="21"/>
        </w:rPr>
        <w:t>2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项目名称：</w:t>
      </w:r>
      <w:r>
        <w:rPr>
          <w:rFonts w:hint="eastAsia" w:ascii="宋体" w:hAnsi="宋体" w:eastAsia="宋体" w:cs="Times New Roman"/>
          <w:color w:val="000000"/>
          <w:szCs w:val="21"/>
          <w:lang w:val="en-US" w:eastAsia="zh-CN"/>
        </w:rPr>
        <w:t>广西骨伤医院无磁紫外线消毒机采购项目</w:t>
      </w:r>
    </w:p>
    <w:p>
      <w:pPr>
        <w:spacing w:line="320" w:lineRule="exact"/>
        <w:ind w:firstLine="420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</w:rPr>
        <w:t>3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采购方式：院内议价</w:t>
      </w:r>
    </w:p>
    <w:p>
      <w:pPr>
        <w:spacing w:line="320" w:lineRule="exact"/>
        <w:ind w:firstLine="420" w:firstLineChars="200"/>
        <w:rPr>
          <w:rFonts w:hint="default" w:ascii="宋体" w:hAnsi="宋体" w:eastAsia="宋体" w:cs="Times New Roman"/>
          <w:color w:val="000000"/>
          <w:szCs w:val="21"/>
          <w:lang w:val="en-US"/>
        </w:rPr>
      </w:pPr>
      <w:r>
        <w:rPr>
          <w:rFonts w:hint="eastAsia" w:ascii="宋体" w:hAnsi="宋体" w:eastAsia="宋体" w:cs="Times New Roman"/>
          <w:color w:val="000000"/>
          <w:szCs w:val="21"/>
        </w:rPr>
        <w:t>4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预算金额：</w:t>
      </w:r>
      <w:r>
        <w:rPr>
          <w:rFonts w:hint="eastAsia" w:ascii="宋体" w:hAnsi="宋体" w:eastAsia="宋体" w:cs="Times New Roman"/>
          <w:color w:val="000000"/>
          <w:szCs w:val="21"/>
          <w:lang w:val="en-US" w:eastAsia="zh-CN"/>
        </w:rPr>
        <w:t>6万元/台</w:t>
      </w:r>
    </w:p>
    <w:p>
      <w:pPr>
        <w:spacing w:line="320" w:lineRule="exact"/>
        <w:ind w:firstLine="420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  <w:lang w:val="en-US" w:eastAsia="zh-CN"/>
        </w:rPr>
        <w:t>5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采购需求：</w:t>
      </w:r>
      <w:r>
        <w:rPr>
          <w:rFonts w:ascii="宋体" w:hAnsi="宋体" w:eastAsia="宋体" w:cs="Times New Roman"/>
          <w:color w:val="000000"/>
          <w:szCs w:val="21"/>
        </w:rPr>
        <w:t xml:space="preserve"> </w:t>
      </w:r>
    </w:p>
    <w:p>
      <w:pPr>
        <w:widowControl/>
        <w:ind w:firstLine="420" w:firstLineChars="200"/>
        <w:rPr>
          <w:rFonts w:ascii="宋体" w:hAnsi="宋体" w:eastAsia="宋体" w:cs="Times New Roman"/>
          <w:color w:val="000000"/>
          <w:szCs w:val="21"/>
        </w:rPr>
      </w:pP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09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359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采购内容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数量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无磁紫外线消毒机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1台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▲1.主机由无磁材料组成，主要用于医院核磁共振室硬质物体表面消毒、空气消毒等；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2.消毒方式：紫外线消毒；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3.灯管数量≥2根；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4.灯臂调节角度：0-120°（0-180°为正偏离）；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5.紫外线波长≥250nm；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6.整机紫外线辐射强度：在距离灯管一米处辐照强度≥300μW/cm2（提供第三方符合标准的检测报告）；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7.具备设定消毒时间功能及定时启动功能；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8.系统具备无线遥控功能，可无线控制设备（具有人体感应功能--感应到有人进入消毒空间自动关闭紫外灯视为正偏离）；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9.安装方式：移动式，无需安装；</w:t>
            </w:r>
          </w:p>
          <w:p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10.底座采用万向轮设计，方便移动和收纳；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11.具有符合该设备国家行业标准的消毒效果检验报告（提供三方权威机构的检测报告）。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</w:t>
            </w:r>
            <w:r>
              <w:rPr>
                <w:rFonts w:hint="eastAsia" w:ascii="Calibri" w:hAnsi="Calibri" w:eastAsia="宋体" w:cs="Times New Roman"/>
                <w:szCs w:val="24"/>
              </w:rPr>
              <w:t>报价要求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竞标报价为全包价，以人民币为结算单位，包括本项目所有系统、安装调试、验收、培训、售后服务、伴随的服务及各种税费等全部费用。在合同实施时，采购人将不予支付成交供应商没有列入的项目费用，并认为此项目的费用已包括在总报价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▲质保期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按国家有关产品“三包”规定执行“三包”，交货验收合格之日起所有货物提供二年的免费上门保修和包换、维护服务（各分项另有要求的以各分项要求为准）。质保期内免费上门维修、免费更换零部件。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售后服务要求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▲</w:t>
            </w:r>
            <w:r>
              <w:rPr>
                <w:rFonts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免费送货上门、免费培训操作人员。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维修响应：中标供应商在接到用户维修电话后4小时内响应， 12小时内到达现场修理解决，并免费更换有缺陷的货物或零部件，24小时内恢复正常使用，若不能修复则应有合理应对方案。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3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中标人除承担运输、安装、调试、验收与培训等义务外，还将为采购方提供技术支持，包括保修期外的修理及技术指导、配件供应等。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▲</w:t>
            </w:r>
            <w:r>
              <w:rPr>
                <w:rFonts w:ascii="宋体" w:hAnsi="宋体" w:eastAsia="宋体" w:cs="Times New Roman"/>
                <w:bCs/>
                <w:szCs w:val="21"/>
              </w:rPr>
              <w:t>4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投标人应提出售后服务承诺书。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▲交货时间及地点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交付时间：自签订合同之日起7日内。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交货地点：广西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骨伤医院</w:t>
            </w:r>
            <w:r>
              <w:rPr>
                <w:rFonts w:ascii="宋体" w:hAnsi="宋体" w:eastAsia="宋体" w:cs="Times New Roman"/>
                <w:bCs/>
                <w:szCs w:val="21"/>
              </w:rPr>
              <w:t>指定地点。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付款条件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付款方式：货物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到货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验收合格后，采购人在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7个工作日内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支付合同总金额的1</w:t>
            </w:r>
            <w:r>
              <w:rPr>
                <w:rFonts w:ascii="宋体" w:hAnsi="宋体" w:eastAsia="宋体" w:cs="Times New Roman"/>
                <w:bCs/>
                <w:szCs w:val="21"/>
              </w:rPr>
              <w:t>00%货款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中标人应在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日内开具发票给采购人。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其它要求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▲</w:t>
            </w:r>
            <w:r>
              <w:rPr>
                <w:rFonts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中标人保证向采购人提供的货物是全新、完整、未使用过的。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2.</w:t>
            </w:r>
            <w:r>
              <w:rPr>
                <w:rFonts w:ascii="宋体" w:hAnsi="宋体" w:eastAsia="宋体" w:cs="Times New Roman"/>
                <w:bCs/>
                <w:szCs w:val="21"/>
              </w:rPr>
              <w:t>投标时提供投标产品生产厂家公开发行的产品彩页或技术说明书（标明主要技术参数）、技术响应与彩页或技术说明书不一致的以彩页或技术说明书为准。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▲</w:t>
            </w:r>
            <w:r>
              <w:rPr>
                <w:rFonts w:ascii="宋体" w:hAnsi="宋体" w:eastAsia="宋体" w:cs="Times New Roman"/>
                <w:bCs/>
                <w:szCs w:val="21"/>
              </w:rPr>
              <w:t>3.</w:t>
            </w:r>
            <w:bookmarkStart w:id="20" w:name="_GoBack"/>
            <w:bookmarkEnd w:id="20"/>
            <w:r>
              <w:rPr>
                <w:rFonts w:ascii="宋体" w:hAnsi="宋体" w:eastAsia="宋体" w:cs="Times New Roman"/>
                <w:bCs/>
                <w:szCs w:val="21"/>
              </w:rPr>
              <w:t>若投标人不是投标产品生产厂家，必须提供产品生产厂家或国内代理商授权书原件（代理商授权的须同时提供代理证书复印件）。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“▲”系指实质性要求条款。</w:t>
            </w:r>
          </w:p>
        </w:tc>
      </w:tr>
    </w:tbl>
    <w:p>
      <w:pPr>
        <w:keepNext/>
        <w:keepLines/>
        <w:spacing w:line="276" w:lineRule="auto"/>
        <w:ind w:firstLine="422" w:firstLineChars="200"/>
        <w:outlineLvl w:val="1"/>
        <w:rPr>
          <w:rFonts w:ascii="宋体" w:hAnsi="宋体" w:eastAsia="宋体" w:cs="宋体"/>
          <w:b/>
          <w:color w:val="000000"/>
          <w:szCs w:val="21"/>
          <w:lang w:val="zh-CN" w:eastAsia="zh-CN"/>
        </w:rPr>
      </w:pPr>
      <w:bookmarkStart w:id="8" w:name="_Toc28359013"/>
      <w:bookmarkStart w:id="9" w:name="_Toc35393799"/>
      <w:bookmarkStart w:id="10" w:name="_Toc28359090"/>
      <w:bookmarkStart w:id="11" w:name="_Toc47452206"/>
      <w:bookmarkStart w:id="12" w:name="_Toc44229879"/>
      <w:bookmarkStart w:id="13" w:name="_Toc35393630"/>
      <w:r>
        <w:rPr>
          <w:rFonts w:hint="eastAsia" w:ascii="宋体" w:hAnsi="宋体" w:eastAsia="宋体" w:cs="宋体"/>
          <w:b/>
          <w:color w:val="000000"/>
          <w:szCs w:val="21"/>
          <w:lang w:val="zh-CN" w:eastAsia="zh-CN"/>
        </w:rPr>
        <w:t>二、供应商的资格条件：</w:t>
      </w:r>
      <w:bookmarkEnd w:id="8"/>
      <w:bookmarkEnd w:id="9"/>
      <w:bookmarkEnd w:id="10"/>
      <w:bookmarkEnd w:id="11"/>
      <w:bookmarkEnd w:id="12"/>
      <w:bookmarkEnd w:id="13"/>
    </w:p>
    <w:p>
      <w:pPr>
        <w:keepNext/>
        <w:keepLines/>
        <w:spacing w:line="276" w:lineRule="auto"/>
        <w:ind w:firstLine="420" w:firstLineChars="200"/>
        <w:outlineLvl w:val="1"/>
        <w:rPr>
          <w:rFonts w:ascii="宋体" w:hAnsi="宋体" w:eastAsia="宋体" w:cs="Times New Roman"/>
          <w:color w:val="000000"/>
          <w:szCs w:val="21"/>
        </w:rPr>
      </w:pPr>
      <w:bookmarkStart w:id="14" w:name="_Toc35393631"/>
      <w:bookmarkStart w:id="15" w:name="_Toc28359014"/>
      <w:bookmarkStart w:id="16" w:name="_Toc35393800"/>
      <w:bookmarkStart w:id="17" w:name="_Toc44229880"/>
      <w:bookmarkStart w:id="18" w:name="_Toc28359091"/>
      <w:bookmarkStart w:id="19" w:name="_Toc47452207"/>
      <w:r>
        <w:rPr>
          <w:rFonts w:hint="eastAsia" w:ascii="宋体" w:hAnsi="宋体" w:eastAsia="宋体" w:cs="Times New Roman"/>
          <w:color w:val="000000"/>
          <w:szCs w:val="21"/>
        </w:rPr>
        <w:t>除应具备《政府采购法》第二十二条资格条件外，还必须满足：</w:t>
      </w:r>
      <w:r>
        <w:rPr>
          <w:rFonts w:ascii="宋体" w:hAnsi="宋体" w:eastAsia="宋体" w:cs="Times New Roman"/>
          <w:color w:val="000000"/>
          <w:szCs w:val="21"/>
        </w:rPr>
        <w:t xml:space="preserve">  </w:t>
      </w:r>
    </w:p>
    <w:p>
      <w:pPr>
        <w:keepNext/>
        <w:keepLines/>
        <w:spacing w:line="276" w:lineRule="auto"/>
        <w:ind w:firstLine="420" w:firstLineChars="200"/>
        <w:outlineLvl w:val="1"/>
        <w:rPr>
          <w:rFonts w:ascii="宋体" w:hAnsi="宋体" w:eastAsia="宋体" w:cs="Times New Roman"/>
          <w:color w:val="000000"/>
          <w:szCs w:val="21"/>
        </w:rPr>
      </w:pPr>
      <w:r>
        <w:rPr>
          <w:rFonts w:ascii="宋体" w:hAnsi="宋体" w:eastAsia="宋体" w:cs="Times New Roman"/>
          <w:color w:val="000000"/>
          <w:szCs w:val="21"/>
        </w:rPr>
        <w:t xml:space="preserve">1.具有独立承担民事责任能力的在中华人民共和国境内注册的法人。  </w:t>
      </w:r>
    </w:p>
    <w:p>
      <w:pPr>
        <w:keepNext/>
        <w:keepLines/>
        <w:spacing w:line="276" w:lineRule="auto"/>
        <w:ind w:firstLine="420" w:firstLineChars="200"/>
        <w:outlineLvl w:val="1"/>
        <w:rPr>
          <w:rFonts w:ascii="宋体" w:hAnsi="宋体" w:eastAsia="宋体" w:cs="Times New Roman"/>
          <w:color w:val="000000"/>
          <w:szCs w:val="21"/>
        </w:rPr>
      </w:pPr>
      <w:r>
        <w:rPr>
          <w:rFonts w:ascii="宋体" w:hAnsi="宋体" w:eastAsia="宋体" w:cs="Times New Roman"/>
          <w:color w:val="000000"/>
          <w:szCs w:val="21"/>
        </w:rPr>
        <w:t xml:space="preserve">2.依法取得《医疗器械生产企业许可证》《医疗器械经营企业许可证》《药品经营许可证》或《药品生产许可证》(经营范围包含所投产品)。  </w:t>
      </w:r>
    </w:p>
    <w:p>
      <w:pPr>
        <w:keepNext/>
        <w:keepLines/>
        <w:spacing w:line="276" w:lineRule="auto"/>
        <w:ind w:firstLine="420" w:firstLineChars="200"/>
        <w:outlineLvl w:val="1"/>
        <w:rPr>
          <w:rFonts w:ascii="宋体" w:hAnsi="宋体" w:eastAsia="宋体" w:cs="Times New Roman"/>
          <w:color w:val="000000"/>
          <w:szCs w:val="21"/>
        </w:rPr>
      </w:pPr>
      <w:r>
        <w:rPr>
          <w:rFonts w:ascii="宋体" w:hAnsi="宋体" w:eastAsia="宋体" w:cs="Times New Roman"/>
          <w:color w:val="000000"/>
          <w:szCs w:val="21"/>
        </w:rPr>
        <w:t xml:space="preserve">3.为所投产品的制造商或销售代理商(提供授权书原件)。  </w:t>
      </w:r>
    </w:p>
    <w:p>
      <w:pPr>
        <w:keepNext/>
        <w:keepLines/>
        <w:spacing w:line="276" w:lineRule="auto"/>
        <w:ind w:firstLine="420" w:firstLineChars="200"/>
        <w:outlineLvl w:val="1"/>
        <w:rPr>
          <w:rFonts w:ascii="宋体" w:hAnsi="宋体" w:eastAsia="宋体" w:cs="Times New Roman"/>
          <w:color w:val="000000"/>
          <w:szCs w:val="21"/>
        </w:rPr>
      </w:pPr>
      <w:r>
        <w:rPr>
          <w:rFonts w:ascii="宋体" w:hAnsi="宋体" w:eastAsia="宋体" w:cs="Times New Roman"/>
          <w:color w:val="000000"/>
          <w:szCs w:val="21"/>
        </w:rPr>
        <w:t>4.所投产品具有有效的医疗器械注册证(或备案凭证)或不作为医疗器械管理的依据或《药品再注册批件》。</w:t>
      </w:r>
    </w:p>
    <w:bookmarkEnd w:id="14"/>
    <w:bookmarkEnd w:id="15"/>
    <w:bookmarkEnd w:id="16"/>
    <w:bookmarkEnd w:id="17"/>
    <w:bookmarkEnd w:id="18"/>
    <w:bookmarkEnd w:id="19"/>
    <w:p>
      <w:pPr>
        <w:spacing w:line="360" w:lineRule="atLeast"/>
        <w:ind w:firstLine="495"/>
        <w:rPr>
          <w:rFonts w:ascii="Calibri" w:hAnsi="Calibri" w:eastAsia="宋体" w:cs="Times New Roman"/>
          <w:szCs w:val="24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 xml:space="preserve">第二章 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</w:rPr>
        <w:t>评标办法及评分标准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一、评标办法：综合评分法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(一)评委构成：本招标采购项目的评委分别由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医院相关部门及医院评审专家</w:t>
      </w:r>
      <w:r>
        <w:rPr>
          <w:rFonts w:ascii="宋体" w:hAnsi="宋体" w:eastAsia="宋体" w:cs="Times New Roman"/>
          <w:bCs/>
          <w:color w:val="000000"/>
          <w:szCs w:val="21"/>
        </w:rPr>
        <w:t>共5人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及</w:t>
      </w:r>
      <w:r>
        <w:rPr>
          <w:rFonts w:ascii="宋体" w:hAnsi="宋体" w:eastAsia="宋体" w:cs="Times New Roman"/>
          <w:bCs/>
          <w:color w:val="000000"/>
          <w:szCs w:val="21"/>
        </w:rPr>
        <w:t>以上单数构成。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(二)评标依据：评委将以招投标文件为评标依据，对投标人的投标报价、技术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</w:t>
      </w:r>
      <w:r>
        <w:rPr>
          <w:rFonts w:ascii="宋体" w:hAnsi="宋体" w:eastAsia="宋体" w:cs="Times New Roman"/>
          <w:bCs/>
          <w:color w:val="000000"/>
          <w:szCs w:val="21"/>
        </w:rPr>
        <w:t>、信誉业绩等方面内容按百分制打分。其中价格分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50</w:t>
      </w:r>
      <w:r>
        <w:rPr>
          <w:rFonts w:ascii="宋体" w:hAnsi="宋体" w:eastAsia="宋体" w:cs="Times New Roman"/>
          <w:bCs/>
          <w:color w:val="000000"/>
          <w:szCs w:val="21"/>
        </w:rPr>
        <w:t>分、技术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40</w:t>
      </w:r>
      <w:r>
        <w:rPr>
          <w:rFonts w:ascii="宋体" w:hAnsi="宋体" w:eastAsia="宋体" w:cs="Times New Roman"/>
          <w:bCs/>
          <w:color w:val="000000"/>
          <w:szCs w:val="21"/>
        </w:rPr>
        <w:t>分、信誉业绩分10分。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三、评定方法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（一）对进入详评的，采用百分制综合评分法。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（二）计分办法（按四舍五入取至百分位）：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.</w:t>
      </w:r>
      <w:r>
        <w:rPr>
          <w:rFonts w:ascii="宋体" w:hAnsi="宋体" w:eastAsia="宋体" w:cs="Times New Roman"/>
          <w:bCs/>
          <w:color w:val="000000"/>
          <w:szCs w:val="21"/>
        </w:rPr>
        <w:t>价格分………………………………………………………………………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50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</w:t>
      </w:r>
      <w:r>
        <w:rPr>
          <w:rFonts w:ascii="宋体" w:hAnsi="宋体" w:eastAsia="宋体" w:cs="Times New Roman"/>
          <w:bCs/>
          <w:color w:val="000000"/>
          <w:szCs w:val="21"/>
        </w:rPr>
        <w:t>1）以进入评标的最低的评标报价为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</w:t>
      </w:r>
      <w:r>
        <w:rPr>
          <w:rFonts w:ascii="宋体" w:hAnsi="宋体" w:eastAsia="宋体" w:cs="Times New Roman"/>
          <w:bCs/>
          <w:color w:val="000000"/>
          <w:szCs w:val="21"/>
        </w:rPr>
        <w:t>0分。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</w:p>
    <w:p>
      <w:pPr>
        <w:spacing w:line="400" w:lineRule="exact"/>
        <w:ind w:firstLine="2940" w:firstLineChars="14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有效投标人最低评标报价（金额）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某有效投标人价格分</w:t>
      </w:r>
      <w:r>
        <w:rPr>
          <w:rFonts w:ascii="宋体" w:hAnsi="宋体" w:eastAsia="宋体" w:cs="Times New Roman"/>
          <w:bCs/>
          <w:color w:val="000000"/>
          <w:szCs w:val="21"/>
        </w:rPr>
        <w:t>=    ----------------------------- ×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</w:t>
      </w:r>
      <w:r>
        <w:rPr>
          <w:rFonts w:ascii="宋体" w:hAnsi="宋体" w:eastAsia="宋体" w:cs="Times New Roman"/>
          <w:bCs/>
          <w:color w:val="000000"/>
          <w:szCs w:val="21"/>
        </w:rPr>
        <w:t>0分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 xml:space="preserve">                         某投标人评标报价（金额）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.</w:t>
      </w:r>
      <w:r>
        <w:rPr>
          <w:rFonts w:ascii="宋体" w:hAnsi="宋体" w:eastAsia="宋体" w:cs="Times New Roman"/>
          <w:bCs/>
          <w:color w:val="000000"/>
          <w:szCs w:val="21"/>
        </w:rPr>
        <w:t>技术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</w:t>
      </w:r>
      <w:r>
        <w:rPr>
          <w:rFonts w:ascii="宋体" w:hAnsi="宋体" w:eastAsia="宋体" w:cs="Times New Roman"/>
          <w:bCs/>
          <w:color w:val="000000"/>
          <w:szCs w:val="21"/>
        </w:rPr>
        <w:t>分…………………………………………………………………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ascii="宋体" w:hAnsi="宋体" w:eastAsia="宋体" w:cs="Times New Roman"/>
          <w:bCs/>
          <w:color w:val="000000"/>
          <w:szCs w:val="21"/>
        </w:rPr>
        <w:t>0分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</w:t>
      </w:r>
      <w:r>
        <w:rPr>
          <w:rFonts w:ascii="宋体" w:hAnsi="宋体" w:eastAsia="宋体" w:cs="Times New Roman"/>
          <w:bCs/>
          <w:color w:val="000000"/>
          <w:szCs w:val="21"/>
        </w:rPr>
        <w:t>1）品牌分（满分10分）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一档：一般品牌</w:t>
      </w:r>
      <w:r>
        <w:rPr>
          <w:rFonts w:ascii="宋体" w:hAnsi="宋体" w:eastAsia="宋体" w:cs="Times New Roman"/>
          <w:bCs/>
          <w:color w:val="000000"/>
          <w:szCs w:val="21"/>
        </w:rPr>
        <w:t>(同一品牌，应同一分值)                    1～3分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二档：同行认可品牌</w:t>
      </w:r>
      <w:r>
        <w:rPr>
          <w:rFonts w:ascii="宋体" w:hAnsi="宋体" w:eastAsia="宋体" w:cs="Times New Roman"/>
          <w:bCs/>
          <w:color w:val="000000"/>
          <w:szCs w:val="21"/>
        </w:rPr>
        <w:t>(同一品牌，应同一分值)                4～7分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三档：著名品牌</w:t>
      </w:r>
      <w:r>
        <w:rPr>
          <w:rFonts w:ascii="宋体" w:hAnsi="宋体" w:eastAsia="宋体" w:cs="Times New Roman"/>
          <w:bCs/>
          <w:color w:val="000000"/>
          <w:szCs w:val="21"/>
        </w:rPr>
        <w:t>(同一品牌，应同一分值)                    8～10分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</w:t>
      </w:r>
      <w:r>
        <w:rPr>
          <w:rFonts w:ascii="宋体" w:hAnsi="宋体" w:eastAsia="宋体" w:cs="Times New Roman"/>
          <w:bCs/>
          <w:color w:val="000000"/>
          <w:szCs w:val="21"/>
        </w:rPr>
        <w:t>2）设备性能分（满分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</w:t>
      </w:r>
      <w:r>
        <w:rPr>
          <w:rFonts w:ascii="宋体" w:hAnsi="宋体" w:eastAsia="宋体" w:cs="Times New Roman"/>
          <w:bCs/>
          <w:color w:val="000000"/>
          <w:szCs w:val="21"/>
        </w:rPr>
        <w:t>0分）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投标文件技术参数无负偏离且有</w:t>
      </w:r>
      <w:r>
        <w:rPr>
          <w:rFonts w:ascii="宋体" w:hAnsi="宋体" w:eastAsia="宋体" w:cs="Times New Roman"/>
          <w:bCs/>
          <w:color w:val="000000"/>
          <w:szCs w:val="21"/>
        </w:rPr>
        <w:t>1个及以上正偏离，得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</w:t>
      </w:r>
      <w:r>
        <w:rPr>
          <w:rFonts w:ascii="宋体" w:hAnsi="宋体" w:eastAsia="宋体" w:cs="Times New Roman"/>
          <w:bCs/>
          <w:color w:val="000000"/>
          <w:szCs w:val="21"/>
        </w:rPr>
        <w:t>0分；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投标文件技术参数无正、负偏离，得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12</w:t>
      </w:r>
      <w:r>
        <w:rPr>
          <w:rFonts w:ascii="宋体" w:hAnsi="宋体" w:eastAsia="宋体" w:cs="Times New Roman"/>
          <w:bCs/>
          <w:color w:val="000000"/>
          <w:szCs w:val="21"/>
        </w:rPr>
        <w:t>分；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投标文件技术参数有</w:t>
      </w:r>
      <w:r>
        <w:rPr>
          <w:rFonts w:ascii="宋体" w:hAnsi="宋体" w:eastAsia="宋体" w:cs="Times New Roman"/>
          <w:bCs/>
          <w:color w:val="000000"/>
          <w:szCs w:val="21"/>
        </w:rPr>
        <w:t>1个负偏离，得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6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）</w:t>
      </w:r>
      <w:r>
        <w:rPr>
          <w:rFonts w:ascii="宋体" w:hAnsi="宋体" w:eastAsia="宋体" w:cs="Times New Roman"/>
          <w:bCs/>
          <w:color w:val="000000"/>
          <w:szCs w:val="21"/>
        </w:rPr>
        <w:t>售后服务分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（</w:t>
      </w:r>
      <w:r>
        <w:rPr>
          <w:rFonts w:ascii="宋体" w:hAnsi="宋体" w:eastAsia="宋体" w:cs="Times New Roman"/>
          <w:bCs/>
          <w:color w:val="000000"/>
          <w:szCs w:val="21"/>
        </w:rPr>
        <w:t>10分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）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一般</w:t>
      </w:r>
      <w:r>
        <w:rPr>
          <w:rFonts w:ascii="宋体" w:hAnsi="宋体" w:eastAsia="宋体" w:cs="Times New Roman"/>
          <w:bCs/>
          <w:color w:val="000000"/>
          <w:szCs w:val="21"/>
        </w:rPr>
        <w:t>0.1～4分，良好4.1～8分，优秀8.1～10分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由评委在打分前根据投标人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投标货物品牌市场知名度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、</w:t>
      </w:r>
      <w:r>
        <w:rPr>
          <w:rFonts w:ascii="宋体" w:hAnsi="宋体" w:eastAsia="宋体" w:cs="Times New Roman"/>
          <w:bCs/>
          <w:color w:val="000000"/>
          <w:szCs w:val="21"/>
        </w:rPr>
        <w:t>售后服方案的优劣集体讨论确定投标人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品牌所属档次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、</w:t>
      </w:r>
      <w:r>
        <w:rPr>
          <w:rFonts w:ascii="宋体" w:hAnsi="宋体" w:eastAsia="宋体" w:cs="Times New Roman"/>
          <w:bCs/>
          <w:color w:val="000000"/>
          <w:szCs w:val="21"/>
        </w:rPr>
        <w:t>售后服务方案的档次，并由评委在相应的档次内独立打分。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.</w:t>
      </w:r>
      <w:r>
        <w:rPr>
          <w:rFonts w:ascii="宋体" w:hAnsi="宋体" w:eastAsia="宋体" w:cs="Times New Roman"/>
          <w:bCs/>
          <w:color w:val="000000"/>
          <w:szCs w:val="21"/>
        </w:rPr>
        <w:t>信誉业绩分…………………………………………………………………………10分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投标人自</w:t>
      </w:r>
      <w:r>
        <w:rPr>
          <w:rFonts w:ascii="宋体" w:hAnsi="宋体" w:eastAsia="宋体" w:cs="Times New Roman"/>
          <w:bCs/>
          <w:color w:val="000000"/>
          <w:szCs w:val="21"/>
        </w:rPr>
        <w:t>2019年以来同类项目业绩分（提供合同复印件以及清晰反应采购内容页面，要求合同里至少明确注明有一个项目的投标产品），每提供一个合同得2分，满分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10</w:t>
      </w:r>
      <w:r>
        <w:rPr>
          <w:rFonts w:ascii="宋体" w:hAnsi="宋体" w:eastAsia="宋体" w:cs="Times New Roman"/>
          <w:bCs/>
          <w:color w:val="000000"/>
          <w:szCs w:val="21"/>
        </w:rPr>
        <w:t>分。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（三）总得分</w:t>
      </w:r>
      <w:r>
        <w:rPr>
          <w:rFonts w:ascii="宋体" w:hAnsi="宋体" w:eastAsia="宋体" w:cs="Times New Roman"/>
          <w:bCs/>
          <w:color w:val="000000"/>
          <w:szCs w:val="21"/>
        </w:rPr>
        <w:t>=1+2+3。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得分由高到低排列次序（得分相同时，以投标报价由低到高顺序排列；得分相同且投标报价相同的，按技术指标优劣顺序排列）推荐评审得分第一的为成交候选供应商。评审得分排名第一的成交候选供应商放弃中标、或因不可抗力提出不能履行合同，可以确定评审得分排名第二的成交候选供应商为中标人，依此类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ZTc1ZjU5Y2Y5YmNlNDE4ZGY4MmEyMWQ4NjliMWE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C5631"/>
    <w:rsid w:val="00F65C52"/>
    <w:rsid w:val="00FA0D28"/>
    <w:rsid w:val="075C1FDF"/>
    <w:rsid w:val="1AE63062"/>
    <w:rsid w:val="21F941EF"/>
    <w:rsid w:val="25E72C97"/>
    <w:rsid w:val="306C2B37"/>
    <w:rsid w:val="403C5C82"/>
    <w:rsid w:val="486E744E"/>
    <w:rsid w:val="4DBB0BB6"/>
    <w:rsid w:val="500718F9"/>
    <w:rsid w:val="519F5099"/>
    <w:rsid w:val="551E5F54"/>
    <w:rsid w:val="58FE568C"/>
    <w:rsid w:val="5D2460AD"/>
    <w:rsid w:val="606739DA"/>
    <w:rsid w:val="67411F89"/>
    <w:rsid w:val="6A4E0CDE"/>
    <w:rsid w:val="6CE8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2241</Words>
  <Characters>2408</Characters>
  <Lines>19</Lines>
  <Paragraphs>5</Paragraphs>
  <TotalTime>2</TotalTime>
  <ScaleCrop>false</ScaleCrop>
  <LinksUpToDate>false</LinksUpToDate>
  <CharactersWithSpaces>2511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2021-12-15T08:27:00Z</dcterms:created>
  <dc:creator>魏宝兴</dc:creator>
  <cp:lastModifiedBy>7月LEO</cp:lastModifiedBy>
  <dcterms:modified xsi:type="dcterms:W3CDTF">2022-11-24T01:33:21Z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9022C0B81CE34690BF09C8D56079BB51</vt:lpwstr>
  </property>
</Properties>
</file>