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广西骨伤医院无磁轮椅采购项目</w:t>
      </w:r>
    </w:p>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广西骨伤医院无磁轮椅采购项目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highlight w:val="none"/>
        </w:rPr>
        <w:t>GXGSYY-</w:t>
      </w:r>
      <w:r>
        <w:rPr>
          <w:rFonts w:hint="eastAsia" w:ascii="仿宋_GB2312" w:hAnsi="宋体" w:eastAsia="仿宋_GB2312" w:cs="Times New Roman"/>
          <w:b/>
          <w:color w:val="000000"/>
          <w:sz w:val="32"/>
          <w:szCs w:val="32"/>
          <w:highlight w:val="none"/>
        </w:rPr>
        <w:t>C</w:t>
      </w:r>
      <w:r>
        <w:rPr>
          <w:rFonts w:ascii="仿宋_GB2312" w:hAnsi="宋体" w:eastAsia="仿宋_GB2312" w:cs="Times New Roman"/>
          <w:b/>
          <w:color w:val="000000"/>
          <w:sz w:val="32"/>
          <w:szCs w:val="32"/>
          <w:highlight w:val="none"/>
        </w:rPr>
        <w:t>GB-SBK-202</w:t>
      </w:r>
      <w:r>
        <w:rPr>
          <w:rFonts w:hint="eastAsia" w:ascii="仿宋_GB2312" w:hAnsi="宋体" w:eastAsia="仿宋_GB2312" w:cs="Times New Roman"/>
          <w:b/>
          <w:color w:val="000000"/>
          <w:sz w:val="32"/>
          <w:szCs w:val="32"/>
          <w:highlight w:val="none"/>
          <w:lang w:val="en-US" w:eastAsia="zh-CN"/>
        </w:rPr>
        <w:t>2</w:t>
      </w:r>
      <w:r>
        <w:rPr>
          <w:rFonts w:ascii="仿宋_GB2312" w:hAnsi="宋体" w:eastAsia="仿宋_GB2312" w:cs="Times New Roman"/>
          <w:b/>
          <w:color w:val="000000"/>
          <w:sz w:val="32"/>
          <w:szCs w:val="32"/>
          <w:highlight w:val="none"/>
        </w:rPr>
        <w:t>-</w:t>
      </w:r>
      <w:r>
        <w:rPr>
          <w:rFonts w:hint="eastAsia" w:ascii="仿宋_GB2312" w:hAnsi="宋体" w:eastAsia="仿宋_GB2312" w:cs="Times New Roman"/>
          <w:b/>
          <w:color w:val="000000"/>
          <w:sz w:val="32"/>
          <w:szCs w:val="32"/>
          <w:highlight w:val="none"/>
          <w:lang w:val="en-US" w:eastAsia="zh-CN"/>
        </w:rPr>
        <w:t>29</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11</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16</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44229878"/>
      <w:bookmarkStart w:id="3" w:name="_Toc28359012"/>
      <w:bookmarkStart w:id="4" w:name="_Toc35393798"/>
      <w:bookmarkStart w:id="5" w:name="_Toc28359089"/>
      <w:bookmarkStart w:id="6" w:name="_Toc35393629"/>
      <w:bookmarkStart w:id="7" w:name="_Toc47452205"/>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GXGSYY-CGB-SBK-202</w:t>
      </w:r>
      <w:r>
        <w:rPr>
          <w:rFonts w:hint="eastAsia" w:ascii="宋体" w:hAnsi="宋体" w:eastAsia="宋体" w:cs="Times New Roman"/>
          <w:color w:val="000000"/>
          <w:szCs w:val="21"/>
          <w:highlight w:val="none"/>
          <w:lang w:val="en-US" w:eastAsia="zh-CN"/>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29</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广西骨伤医院无磁轮椅采购项目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hint="default" w:ascii="宋体" w:hAnsi="宋体" w:eastAsia="宋体" w:cs="Times New Roman"/>
          <w:color w:val="000000"/>
          <w:szCs w:val="21"/>
          <w:lang w:val="en-US"/>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2.2万元/台</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color w:val="000000"/>
                <w:szCs w:val="21"/>
                <w:lang w:val="en-US" w:eastAsia="zh-CN"/>
              </w:rPr>
              <w:t>无磁轮椅</w:t>
            </w:r>
          </w:p>
        </w:tc>
        <w:tc>
          <w:tcPr>
            <w:tcW w:w="709" w:type="dxa"/>
            <w:shd w:val="clear" w:color="auto" w:fill="auto"/>
            <w:vAlign w:val="center"/>
          </w:tcPr>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1台</w:t>
            </w:r>
          </w:p>
        </w:tc>
        <w:tc>
          <w:tcPr>
            <w:tcW w:w="5954" w:type="dxa"/>
            <w:shd w:val="clear" w:color="auto" w:fill="auto"/>
          </w:tcPr>
          <w:p>
            <w:pPr>
              <w:spacing w:line="400" w:lineRule="exact"/>
              <w:rPr>
                <w:rFonts w:hint="eastAsia" w:ascii="宋体" w:hAnsi="宋体" w:eastAsia="宋体" w:cs="宋体"/>
                <w:bCs/>
                <w:szCs w:val="21"/>
                <w:lang w:val="en-US" w:eastAsia="zh-CN"/>
              </w:rPr>
            </w:pPr>
            <w:r>
              <w:rPr>
                <w:rFonts w:hint="eastAsia" w:ascii="宋体" w:hAnsi="宋体" w:eastAsia="宋体" w:cs="宋体"/>
                <w:bCs/>
                <w:szCs w:val="21"/>
                <w:lang w:val="en-US" w:eastAsia="zh-CN"/>
              </w:rPr>
              <w:t>▲1.材质：无磁特殊航空材料制成，适合医院核磁共振室使用；</w:t>
            </w:r>
          </w:p>
          <w:p>
            <w:pPr>
              <w:spacing w:line="400" w:lineRule="exact"/>
              <w:rPr>
                <w:rFonts w:hint="default" w:ascii="宋体" w:hAnsi="宋体" w:eastAsia="宋体" w:cs="宋体"/>
                <w:bCs/>
                <w:szCs w:val="21"/>
                <w:lang w:val="en-US" w:eastAsia="zh-CN"/>
              </w:rPr>
            </w:pPr>
            <w:r>
              <w:rPr>
                <w:rFonts w:hint="eastAsia" w:ascii="宋体" w:hAnsi="宋体" w:eastAsia="宋体" w:cs="宋体"/>
                <w:bCs/>
                <w:szCs w:val="21"/>
                <w:lang w:val="en-US" w:eastAsia="zh-CN"/>
              </w:rPr>
              <w:t>2.常规尺寸≥L1040mm×W650mm×H840mm，座深≥230mm；</w:t>
            </w:r>
          </w:p>
          <w:p>
            <w:pPr>
              <w:spacing w:line="400" w:lineRule="exact"/>
              <w:rPr>
                <w:rFonts w:hint="default" w:ascii="宋体" w:hAnsi="宋体" w:eastAsia="宋体" w:cs="宋体"/>
                <w:bCs/>
                <w:szCs w:val="21"/>
                <w:lang w:val="en-US" w:eastAsia="zh-CN"/>
              </w:rPr>
            </w:pPr>
            <w:r>
              <w:rPr>
                <w:rFonts w:hint="eastAsia" w:ascii="宋体" w:hAnsi="宋体" w:eastAsia="宋体" w:cs="宋体"/>
                <w:bCs/>
                <w:szCs w:val="21"/>
                <w:lang w:val="en-US" w:eastAsia="zh-CN"/>
              </w:rPr>
              <w:t>3.轮椅可折叠，纵向前倾≥10°、侧倾≥15°；</w:t>
            </w:r>
          </w:p>
          <w:p>
            <w:pPr>
              <w:spacing w:line="400" w:lineRule="exact"/>
              <w:rPr>
                <w:rFonts w:hint="default" w:ascii="宋体" w:hAnsi="宋体" w:eastAsia="宋体" w:cs="宋体"/>
                <w:bCs/>
                <w:szCs w:val="21"/>
                <w:lang w:val="en-US" w:eastAsia="zh-CN"/>
              </w:rPr>
            </w:pPr>
            <w:r>
              <w:rPr>
                <w:rFonts w:hint="eastAsia" w:ascii="宋体" w:hAnsi="宋体" w:eastAsia="宋体" w:cs="宋体"/>
                <w:bCs/>
                <w:szCs w:val="21"/>
                <w:lang w:val="en-US" w:eastAsia="zh-CN"/>
              </w:rPr>
              <w:t>4.最大承重≥100Kg；</w:t>
            </w:r>
          </w:p>
          <w:p>
            <w:pPr>
              <w:spacing w:line="400" w:lineRule="exact"/>
              <w:rPr>
                <w:rFonts w:hint="eastAsia" w:ascii="宋体" w:hAnsi="宋体" w:eastAsia="宋体" w:cs="宋体"/>
                <w:bCs/>
                <w:szCs w:val="21"/>
                <w:lang w:val="en-US" w:eastAsia="zh-CN"/>
              </w:rPr>
            </w:pPr>
            <w:r>
              <w:rPr>
                <w:rFonts w:hint="eastAsia" w:ascii="宋体" w:hAnsi="宋体" w:eastAsia="宋体" w:cs="宋体"/>
                <w:bCs/>
                <w:szCs w:val="21"/>
                <w:lang w:val="en-US" w:eastAsia="zh-CN"/>
              </w:rPr>
              <w:t>5.脚轮运动灵活，具有制动装置。</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宋体"/>
                <w:bCs/>
                <w:szCs w:val="21"/>
                <w:lang w:val="en-US" w:eastAsia="zh-CN"/>
              </w:rPr>
              <w:t>6.产品组成：车轮（前轮和后轮）、车架组合、坐垫、背垫、脚踏组合</w:t>
            </w:r>
            <w:r>
              <w:rPr>
                <w:rFonts w:hint="eastAsia" w:ascii="宋体" w:hAnsi="宋体" w:eastAsia="宋体" w:cs="宋体"/>
                <w:bCs/>
                <w:szCs w:val="21"/>
                <w:lang w:val="en-US" w:eastAsia="zh-CN"/>
              </w:rPr>
              <w:t>、推托、扶手、刹车等，易消毒、清洗。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hint="eastAsia"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hint="eastAsia" w:ascii="宋体" w:hAnsi="宋体" w:eastAsia="宋体" w:cs="Times New Roman"/>
                <w:b/>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eastAsia="zh-CN"/>
        </w:rPr>
      </w:pPr>
      <w:bookmarkStart w:id="8" w:name="_Toc28359013"/>
      <w:bookmarkStart w:id="9" w:name="_Toc28359090"/>
      <w:bookmarkStart w:id="10" w:name="_Toc47452206"/>
      <w:bookmarkStart w:id="11" w:name="_Toc35393630"/>
      <w:bookmarkStart w:id="12" w:name="_Toc35393799"/>
      <w:bookmarkStart w:id="13" w:name="_Toc44229879"/>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35393631"/>
      <w:bookmarkStart w:id="15" w:name="_Toc35393800"/>
      <w:bookmarkStart w:id="16" w:name="_Toc28359014"/>
      <w:bookmarkStart w:id="17" w:name="_Toc44229880"/>
      <w:bookmarkStart w:id="18" w:name="_Toc28359091"/>
      <w:bookmarkStart w:id="19" w:name="_Toc47452207"/>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4.所投产品具有有效的医疗器械注册证(或备案凭证)或不作为医疗器械管理的依据或《药品再注册批件》。</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w:t>
      </w:r>
      <w:r>
        <w:rPr>
          <w:rFonts w:hint="eastAsia" w:ascii="宋体" w:hAnsi="宋体" w:eastAsia="宋体" w:cs="Times New Roman"/>
          <w:bCs/>
          <w:color w:val="000000"/>
          <w:szCs w:val="21"/>
          <w:lang w:val="en-US" w:eastAsia="zh-CN"/>
        </w:rPr>
        <w:t>服务</w:t>
      </w:r>
      <w:r>
        <w:rPr>
          <w:rFonts w:ascii="宋体" w:hAnsi="宋体" w:eastAsia="宋体" w:cs="Times New Roman"/>
          <w:bCs/>
          <w:color w:val="000000"/>
          <w:szCs w:val="21"/>
        </w:rPr>
        <w:t>、信誉业绩等方面内容按百分制打分。其中价格分</w:t>
      </w:r>
      <w:r>
        <w:rPr>
          <w:rFonts w:hint="eastAsia" w:ascii="宋体" w:hAnsi="宋体" w:eastAsia="宋体" w:cs="Times New Roman"/>
          <w:bCs/>
          <w:color w:val="000000"/>
          <w:szCs w:val="21"/>
          <w:lang w:val="en-US" w:eastAsia="zh-CN"/>
        </w:rPr>
        <w:t>50</w:t>
      </w:r>
      <w:r>
        <w:rPr>
          <w:rFonts w:ascii="宋体" w:hAnsi="宋体" w:eastAsia="宋体" w:cs="Times New Roman"/>
          <w:bCs/>
          <w:color w:val="000000"/>
          <w:szCs w:val="21"/>
        </w:rPr>
        <w:t>分、技术</w:t>
      </w:r>
      <w:r>
        <w:rPr>
          <w:rFonts w:hint="eastAsia" w:ascii="宋体" w:hAnsi="宋体" w:eastAsia="宋体" w:cs="Times New Roman"/>
          <w:bCs/>
          <w:color w:val="000000"/>
          <w:szCs w:val="21"/>
          <w:lang w:val="en-US" w:eastAsia="zh-CN"/>
        </w:rPr>
        <w:t>服务</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40</w:t>
      </w:r>
      <w:r>
        <w:rPr>
          <w:rFonts w:ascii="宋体" w:hAnsi="宋体" w:eastAsia="宋体" w:cs="Times New Roman"/>
          <w:bCs/>
          <w:color w:val="000000"/>
          <w:szCs w:val="21"/>
        </w:rPr>
        <w:t>分、信誉业绩分10分。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w:t>
      </w:r>
      <w:r>
        <w:rPr>
          <w:rFonts w:hint="eastAsia" w:ascii="宋体" w:hAnsi="宋体" w:eastAsia="宋体" w:cs="Times New Roman"/>
          <w:bCs/>
          <w:color w:val="000000"/>
          <w:szCs w:val="21"/>
          <w:lang w:val="en-US" w:eastAsia="zh-CN"/>
        </w:rPr>
        <w:t>服务</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hint="eastAsia" w:ascii="宋体" w:hAnsi="宋体" w:eastAsia="宋体" w:cs="Times New Roman"/>
          <w:bCs/>
          <w:color w:val="000000"/>
          <w:szCs w:val="21"/>
          <w:lang w:val="en-US" w:eastAsia="zh-CN"/>
        </w:rPr>
        <w:t>12</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分</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售后服务分</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10分</w:t>
      </w:r>
      <w:r>
        <w:rPr>
          <w:rFonts w:hint="eastAsia" w:ascii="宋体" w:hAnsi="宋体" w:eastAsia="宋体" w:cs="Times New Roman"/>
          <w:bCs/>
          <w:color w:val="000000"/>
          <w:szCs w:val="21"/>
          <w:lang w:eastAsia="zh-CN"/>
        </w:rPr>
        <w:t>）</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w:t>
      </w:r>
      <w:r>
        <w:rPr>
          <w:rFonts w:hint="eastAsia" w:ascii="宋体" w:hAnsi="宋体" w:eastAsia="宋体" w:cs="Times New Roman"/>
          <w:bCs/>
          <w:color w:val="000000"/>
          <w:szCs w:val="21"/>
          <w:lang w:eastAsia="zh-CN"/>
        </w:rPr>
        <w:t>。</w:t>
      </w:r>
    </w:p>
    <w:p>
      <w:pPr>
        <w:spacing w:line="400" w:lineRule="exact"/>
        <w:ind w:firstLine="420" w:firstLineChars="200"/>
        <w:rPr>
          <w:rFonts w:hint="eastAsia" w:ascii="宋体" w:hAnsi="宋体" w:eastAsia="宋体" w:cs="Times New Roman"/>
          <w:bCs/>
          <w:color w:val="000000"/>
          <w:szCs w:val="21"/>
        </w:rPr>
      </w:pPr>
      <w:r>
        <w:rPr>
          <w:rFonts w:ascii="宋体" w:hAnsi="宋体" w:eastAsia="宋体" w:cs="Times New Roman"/>
          <w:bCs/>
          <w:color w:val="000000"/>
          <w:szCs w:val="21"/>
        </w:rPr>
        <w:t>由评委在打分前根据投标人</w:t>
      </w:r>
      <w:r>
        <w:rPr>
          <w:rFonts w:hint="eastAsia" w:ascii="宋体" w:hAnsi="宋体" w:eastAsia="宋体" w:cs="Times New Roman"/>
          <w:bCs/>
          <w:color w:val="000000"/>
          <w:szCs w:val="21"/>
        </w:rPr>
        <w:t>投标货物品牌市场知名度</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售后服方案的优劣集体讨论确定投标人</w:t>
      </w:r>
      <w:r>
        <w:rPr>
          <w:rFonts w:hint="eastAsia" w:ascii="宋体" w:hAnsi="宋体" w:eastAsia="宋体" w:cs="Times New Roman"/>
          <w:bCs/>
          <w:color w:val="000000"/>
          <w:szCs w:val="21"/>
        </w:rPr>
        <w:t>品牌所属档次</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bookmarkStart w:id="20" w:name="_GoBack"/>
      <w:bookmarkEnd w:id="20"/>
      <w:r>
        <w:rPr>
          <w:rFonts w:ascii="宋体" w:hAnsi="宋体" w:eastAsia="宋体" w:cs="Times New Roman"/>
          <w:bCs/>
          <w:color w:val="000000"/>
          <w:szCs w:val="21"/>
        </w:rPr>
        <w:t>。</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推荐评审得分第一的为成交候选供应商。评审得分排名第一的成交候选供应商放弃中标、或因不可抗力提出不能履行合同，可以确定评审得分排名第二的成交候选供应商为中标人，依此类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75C1FDF"/>
    <w:rsid w:val="1AE63062"/>
    <w:rsid w:val="21F941EF"/>
    <w:rsid w:val="25E72C97"/>
    <w:rsid w:val="403C5C82"/>
    <w:rsid w:val="486E744E"/>
    <w:rsid w:val="4DBB0BB6"/>
    <w:rsid w:val="500718F9"/>
    <w:rsid w:val="519F5099"/>
    <w:rsid w:val="551E5F54"/>
    <w:rsid w:val="5D2460AD"/>
    <w:rsid w:val="606739DA"/>
    <w:rsid w:val="67411F89"/>
    <w:rsid w:val="6A4E0CDE"/>
    <w:rsid w:val="6CE8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2239</Words>
  <Characters>2416</Characters>
  <Lines>19</Lines>
  <Paragraphs>5</Paragraphs>
  <TotalTime>4</TotalTime>
  <ScaleCrop>false</ScaleCrop>
  <LinksUpToDate>false</LinksUpToDate>
  <CharactersWithSpaces>2520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7月LEO</cp:lastModifiedBy>
  <dcterms:modified xsi:type="dcterms:W3CDTF">2022-11-16T02:02:46Z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9022C0B81CE34690BF09C8D56079BB51</vt:lpwstr>
  </property>
</Properties>
</file>