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项目名称：广西骨伤医院喷雾式过氧化氢消毒机采购项目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项目编号：GXGSYY-CGB-YLSBK-2022-25</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年10月 26日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28359012"/>
      <w:bookmarkStart w:id="3" w:name="_Toc35393629"/>
      <w:bookmarkStart w:id="4" w:name="_Toc44229878"/>
      <w:bookmarkStart w:id="5" w:name="_Toc35393798"/>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项目编号：GXGSYY-CGB-YLSBK-2022-25</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项目名称：广西骨伤医院喷雾式过氧化氢消毒机采购项目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预算金额：11.5万元。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最高限价：11.5万元。</w:t>
      </w:r>
      <w:bookmarkStart w:id="7" w:name="_Toc47452206"/>
      <w:bookmarkStart w:id="8" w:name="_Toc35393799"/>
      <w:bookmarkStart w:id="9" w:name="_Toc28359090"/>
      <w:bookmarkStart w:id="10" w:name="_Toc35393630"/>
      <w:bookmarkStart w:id="11" w:name="_Toc44229879"/>
      <w:bookmarkStart w:id="12" w:name="_Toc28359013"/>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广西骨伤医院喷雾式过氧化氢消毒机采购项目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1.采用先进雾化工艺技术，无需加热，非压缩气体喷雾，扩散均匀，有效消毒距离远；</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2.适用于医疗机构中有卫生要求的场所；</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3.雾化颗粒直径≤5μm（提供第三方权威机构粒径测试报告，≤2μm时为正偏离）；</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4.过氧化氢消毒液为食品级过氧化氢，浓度兼容6-35%，非专机专用；</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 </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val="en-US" w:eastAsia="zh-CN"/>
        </w:rPr>
        <w:fldChar w:fldCharType="begin"/>
      </w:r>
      <w:r>
        <w:rPr>
          <w:rFonts w:hint="eastAsia" w:ascii="宋体" w:hAnsi="宋体" w:eastAsia="宋体" w:cs="Times New Roman"/>
          <w:color w:val="000000"/>
          <w:szCs w:val="21"/>
          <w:lang w:val="en-US" w:eastAsia="zh-CN"/>
        </w:rPr>
        <w:instrText xml:space="preserve"> HYPERLINK "mailto:gxgsyycgb@163.com" </w:instrText>
      </w:r>
      <w:r>
        <w:rPr>
          <w:rFonts w:hint="eastAsia" w:ascii="宋体" w:hAnsi="宋体" w:eastAsia="宋体" w:cs="Times New Roman"/>
          <w:color w:val="000000"/>
          <w:szCs w:val="21"/>
          <w:lang w:val="en-US" w:eastAsia="zh-CN"/>
        </w:rPr>
        <w:fldChar w:fldCharType="separate"/>
      </w:r>
      <w:r>
        <w:rPr>
          <w:rStyle w:val="9"/>
          <w:rFonts w:hint="eastAsia" w:ascii="宋体" w:hAnsi="宋体" w:eastAsia="宋体" w:cs="Times New Roman"/>
          <w:color w:val="000000"/>
          <w:szCs w:val="21"/>
          <w:lang w:val="en-US" w:eastAsia="zh-CN"/>
        </w:rPr>
        <w:t>gxgsyycgb@163.com</w:t>
      </w:r>
      <w:r>
        <w:rPr>
          <w:rFonts w:hint="eastAsia" w:ascii="宋体" w:hAnsi="宋体" w:eastAsia="宋体" w:cs="Times New Roman"/>
          <w:color w:val="000000"/>
          <w:szCs w:val="21"/>
          <w:lang w:val="en-US" w:eastAsia="zh-CN"/>
        </w:rPr>
        <w:fldChar w:fldCharType="end"/>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jc w:val="right"/>
        <w:rPr>
          <w:rFonts w:hint="eastAsia" w:ascii="Calibri" w:hAnsi="Calibri" w:eastAsia="宋体" w:cs="Times New Roman"/>
          <w:szCs w:val="24"/>
          <w:lang w:val="en-US" w:eastAsia="zh-CN"/>
        </w:rPr>
      </w:pPr>
      <w:r>
        <w:rPr>
          <w:rFonts w:hint="eastAsia" w:ascii="Calibri" w:hAnsi="Calibri" w:eastAsia="宋体" w:cs="Times New Roman"/>
          <w:szCs w:val="24"/>
          <w:lang w:val="en-US" w:eastAsia="zh-CN"/>
        </w:rPr>
        <w:t>广西骨伤医院</w:t>
      </w:r>
    </w:p>
    <w:p>
      <w:pPr>
        <w:spacing w:line="320" w:lineRule="exact"/>
        <w:ind w:firstLine="420" w:firstLineChars="200"/>
        <w:jc w:val="right"/>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2022年10月31日</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广西骨伤医院喷雾式过氧化氢消毒机采购项目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广西骨伤医院喷雾式过氧化氢消毒机采购项目</w:t>
            </w:r>
          </w:p>
        </w:tc>
        <w:tc>
          <w:tcPr>
            <w:tcW w:w="1210" w:type="dxa"/>
            <w:vAlign w:val="center"/>
          </w:tcPr>
          <w:p>
            <w:pPr>
              <w:tabs>
                <w:tab w:val="left" w:pos="180"/>
                <w:tab w:val="left" w:pos="1620"/>
              </w:tabs>
              <w:spacing w:line="320" w:lineRule="exact"/>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6845" w:type="dxa"/>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1.采用先进雾化工艺技术，无需加热，非压缩气体喷雾，扩散均匀，有效消毒距离远；</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2.适用于医疗机构中有卫生要求的场所；</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3.雾化颗粒直径≤5μm（提供第三方权威机构粒径测试报告，≤2μm时为正偏离）；</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4.过氧化氢消毒液为食品级过氧化氢，浓度兼容6-35%，非专机专用；</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5.消毒液使用量≤6ml/m3（保证消毒效果，≤3ml/m3时为正偏离）；</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6.配备显示屏操作，内置计算软件；</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7.设备操作具有按空间体积和按消毒时间计算双模式；</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8.空气消毒效果：对白色葡萄球菌杀灭率＞99.90%，对空气中自然菌的消亡率＞90%（提供第三方权威机构</w:t>
            </w:r>
            <w:r>
              <w:rPr>
                <w:rFonts w:hint="eastAsia" w:ascii="宋体" w:hAnsi="宋体" w:eastAsia="宋体" w:cs="宋体"/>
                <w:bCs/>
                <w:szCs w:val="21"/>
                <w:lang w:val="en-US" w:eastAsia="zh-CN"/>
              </w:rPr>
              <w:t>检测</w:t>
            </w:r>
            <w:r>
              <w:rPr>
                <w:rFonts w:hint="eastAsia" w:ascii="宋体" w:hAnsi="宋体" w:eastAsia="宋体" w:cs="宋体"/>
                <w:bCs/>
                <w:szCs w:val="21"/>
              </w:rPr>
              <w:t>报告，对白色葡萄球菌杀灭率和对空气中自然菌的消亡率是100%</w:t>
            </w:r>
            <w:r>
              <w:rPr>
                <w:rFonts w:hint="eastAsia" w:ascii="宋体" w:hAnsi="宋体" w:eastAsia="宋体" w:cs="宋体"/>
                <w:bCs/>
                <w:szCs w:val="21"/>
                <w:lang w:eastAsia="zh-CN"/>
              </w:rPr>
              <w:t>，</w:t>
            </w:r>
            <w:r>
              <w:rPr>
                <w:rFonts w:hint="eastAsia" w:ascii="宋体" w:hAnsi="宋体" w:eastAsia="宋体" w:cs="宋体"/>
                <w:bCs/>
                <w:szCs w:val="21"/>
                <w:lang w:val="en-US" w:eastAsia="zh-CN"/>
              </w:rPr>
              <w:t>或</w:t>
            </w:r>
            <w:r>
              <w:rPr>
                <w:rFonts w:hint="eastAsia" w:ascii="宋体" w:hAnsi="宋体" w:eastAsia="宋体" w:cs="宋体"/>
                <w:bCs/>
                <w:szCs w:val="21"/>
              </w:rPr>
              <w:t>对大肠杆菌、金葡菌、铜绿假单胞杆菌、谷草芽孢杆菌等的杀灭</w:t>
            </w:r>
            <w:r>
              <w:rPr>
                <w:rFonts w:hint="eastAsia" w:ascii="宋体" w:hAnsi="宋体" w:eastAsia="宋体" w:cs="宋体"/>
                <w:bCs/>
                <w:szCs w:val="21"/>
                <w:lang w:val="en-US" w:eastAsia="zh-CN"/>
              </w:rPr>
              <w:t>作用，</w:t>
            </w:r>
            <w:r>
              <w:rPr>
                <w:rFonts w:hint="eastAsia" w:ascii="宋体" w:hAnsi="宋体" w:eastAsia="宋体" w:cs="宋体"/>
                <w:bCs/>
                <w:szCs w:val="21"/>
              </w:rPr>
              <w:t>对气溶胶</w:t>
            </w:r>
            <w:r>
              <w:rPr>
                <w:rFonts w:hint="eastAsia" w:ascii="宋体" w:hAnsi="宋体" w:eastAsia="宋体" w:cs="宋体"/>
                <w:bCs/>
                <w:szCs w:val="21"/>
                <w:lang w:val="en-US" w:eastAsia="zh-CN"/>
              </w:rPr>
              <w:t>有</w:t>
            </w:r>
            <w:r>
              <w:rPr>
                <w:rFonts w:hint="eastAsia" w:ascii="宋体" w:hAnsi="宋体" w:eastAsia="宋体" w:cs="宋体"/>
                <w:bCs/>
                <w:szCs w:val="21"/>
              </w:rPr>
              <w:t>清除</w:t>
            </w:r>
            <w:r>
              <w:rPr>
                <w:rFonts w:hint="eastAsia" w:ascii="宋体" w:hAnsi="宋体" w:eastAsia="宋体" w:cs="宋体"/>
                <w:bCs/>
                <w:szCs w:val="21"/>
                <w:lang w:val="en-US" w:eastAsia="zh-CN"/>
              </w:rPr>
              <w:t>作用</w:t>
            </w:r>
            <w:r>
              <w:rPr>
                <w:rFonts w:hint="eastAsia" w:ascii="宋体" w:hAnsi="宋体" w:eastAsia="宋体" w:cs="宋体"/>
                <w:bCs/>
                <w:szCs w:val="21"/>
              </w:rPr>
              <w:t>，</w:t>
            </w:r>
            <w:r>
              <w:rPr>
                <w:rFonts w:hint="eastAsia" w:ascii="宋体" w:hAnsi="宋体" w:eastAsia="宋体" w:cs="宋体"/>
                <w:bCs/>
                <w:szCs w:val="21"/>
                <w:lang w:val="en-US" w:eastAsia="zh-CN"/>
              </w:rPr>
              <w:t>为正偏离</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Times New Roman"/>
                <w:b/>
                <w:color w:val="000000"/>
                <w:szCs w:val="21"/>
              </w:rPr>
              <w:t>▲</w:t>
            </w:r>
            <w:r>
              <w:rPr>
                <w:rFonts w:hint="eastAsia" w:ascii="宋体" w:hAnsi="宋体" w:eastAsia="宋体" w:cs="Times New Roman"/>
                <w:b w:val="0"/>
                <w:bCs/>
                <w:color w:val="000000"/>
                <w:szCs w:val="21"/>
                <w:lang w:val="en-US" w:eastAsia="zh-CN"/>
              </w:rPr>
              <w:t>9</w:t>
            </w:r>
            <w:r>
              <w:rPr>
                <w:rFonts w:hint="eastAsia" w:ascii="宋体" w:hAnsi="宋体" w:eastAsia="宋体" w:cs="宋体"/>
                <w:b w:val="0"/>
                <w:bCs/>
                <w:szCs w:val="21"/>
                <w:lang w:val="en-US" w:eastAsia="zh-CN"/>
              </w:rPr>
              <w:t>.</w:t>
            </w:r>
            <w:r>
              <w:rPr>
                <w:rFonts w:hint="eastAsia" w:ascii="宋体" w:hAnsi="宋体" w:eastAsia="宋体" w:cs="宋体"/>
                <w:bCs/>
                <w:szCs w:val="21"/>
              </w:rPr>
              <w:t>设备可使用交流电和内置蓄电池（可充电）供电工作。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bookmarkStart w:id="25" w:name="_GoBack"/>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w:t>
            </w:r>
            <w:r>
              <w:rPr>
                <w:rFonts w:hint="eastAsia" w:ascii="宋体" w:hAnsi="宋体" w:eastAsia="宋体" w:cs="Times New Roman"/>
                <w:bCs/>
                <w:szCs w:val="21"/>
                <w:lang w:val="en-US" w:eastAsia="zh-CN"/>
              </w:rPr>
              <w:t>通过</w:t>
            </w:r>
            <w:r>
              <w:rPr>
                <w:rFonts w:hint="eastAsia" w:ascii="宋体" w:hAnsi="宋体" w:eastAsia="宋体" w:cs="Times New Roman"/>
                <w:bCs/>
                <w:szCs w:val="21"/>
              </w:rPr>
              <w:t>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15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3.1</w:t>
            </w:r>
            <w:r>
              <w:rPr>
                <w:rFonts w:hint="eastAsia" w:ascii="宋体" w:hAnsi="宋体" w:eastAsia="宋体" w:cs="Times New Roman"/>
                <w:color w:val="000000"/>
                <w:szCs w:val="21"/>
              </w:rPr>
              <w:t>～</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6.1</w:t>
            </w:r>
            <w:r>
              <w:rPr>
                <w:rFonts w:hint="eastAsia" w:ascii="宋体" w:hAnsi="宋体" w:eastAsia="宋体" w:cs="Times New Roman"/>
                <w:color w:val="000000"/>
                <w:szCs w:val="21"/>
              </w:rPr>
              <w:t>～</w:t>
            </w:r>
            <w:r>
              <w:rPr>
                <w:rFonts w:ascii="宋体" w:hAnsi="宋体" w:eastAsia="宋体" w:cs="Times New Roman"/>
                <w:color w:val="000000"/>
                <w:szCs w:val="21"/>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w:t>
      </w:r>
      <w:r>
        <w:rPr>
          <w:rFonts w:hint="eastAsia" w:ascii="宋体" w:hAnsi="宋体" w:eastAsia="宋体"/>
          <w:szCs w:val="21"/>
        </w:rPr>
        <w:t>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推荐评审得分第一的为成交候选供应商。评审得分排名第一的成交候选供应商放弃中标、或因不可抗力提出不能履行合同，可以确定评审得分排名第二的成交候选供应商为中标人，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D31A2"/>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EE5A54"/>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0292443"/>
    <w:rsid w:val="230C6132"/>
    <w:rsid w:val="253B739C"/>
    <w:rsid w:val="267D2BB8"/>
    <w:rsid w:val="2C3C3D64"/>
    <w:rsid w:val="2D724FEA"/>
    <w:rsid w:val="2DA74808"/>
    <w:rsid w:val="2F60116C"/>
    <w:rsid w:val="303D69DF"/>
    <w:rsid w:val="36EF4890"/>
    <w:rsid w:val="39026745"/>
    <w:rsid w:val="399D69A6"/>
    <w:rsid w:val="3CF86B7C"/>
    <w:rsid w:val="45DB2F02"/>
    <w:rsid w:val="53FE114B"/>
    <w:rsid w:val="55F82FD1"/>
    <w:rsid w:val="57874CD5"/>
    <w:rsid w:val="59B64834"/>
    <w:rsid w:val="5D72019D"/>
    <w:rsid w:val="5DAA4E66"/>
    <w:rsid w:val="5E9A1F4D"/>
    <w:rsid w:val="5EBA7B70"/>
    <w:rsid w:val="64BF359F"/>
    <w:rsid w:val="64E861BC"/>
    <w:rsid w:val="6D5A388E"/>
    <w:rsid w:val="74DA269D"/>
    <w:rsid w:val="759E4911"/>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日期 字符"/>
    <w:basedOn w:val="8"/>
    <w:link w:val="3"/>
    <w:semiHidden/>
    <w:qFormat/>
    <w:uiPriority w:val="99"/>
  </w:style>
  <w:style w:type="character" w:customStyle="1" w:styleId="13">
    <w:name w:val="标题 2 字符"/>
    <w:basedOn w:val="8"/>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8"/>
    <w:qFormat/>
    <w:uiPriority w:val="0"/>
    <w:rPr>
      <w:rFonts w:hint="eastAsia" w:ascii="宋体" w:hAnsi="宋体" w:eastAsia="宋体" w:cs="宋体"/>
      <w:color w:val="000000"/>
      <w:sz w:val="20"/>
      <w:szCs w:val="20"/>
      <w:u w:val="none"/>
    </w:rPr>
  </w:style>
  <w:style w:type="character" w:customStyle="1" w:styleId="16">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18645</Words>
  <Characters>19453</Characters>
  <Lines>157</Lines>
  <Paragraphs>44</Paragraphs>
  <TotalTime>2</TotalTime>
  <ScaleCrop>false</ScaleCrop>
  <LinksUpToDate>false</LinksUpToDate>
  <CharactersWithSpaces>21323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dcterms:modified xsi:type="dcterms:W3CDTF">2022-11-08T09:40:30Z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