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项目名称：广西骨伤医院中医药文化宣传能力提升项目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项目编号：GXGSYY-CGB-XCB-2022-04</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年1</w:t>
      </w:r>
      <w:r>
        <w:rPr>
          <w:rFonts w:hint="eastAsia" w:ascii="仿宋_GB2312" w:hAnsi="宋体" w:eastAsia="仿宋_GB2312" w:cs="Times New Roman"/>
          <w:b/>
          <w:color w:val="000000"/>
          <w:sz w:val="32"/>
          <w:szCs w:val="32"/>
          <w:lang w:val="en-US" w:eastAsia="zh-CN"/>
        </w:rPr>
        <w:t>1</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89"/>
      <w:bookmarkStart w:id="2" w:name="_Toc35393798"/>
      <w:bookmarkStart w:id="3" w:name="_Toc47452205"/>
      <w:bookmarkStart w:id="4" w:name="_Toc44229878"/>
      <w:bookmarkStart w:id="5" w:name="_Toc28359012"/>
      <w:bookmarkStart w:id="6" w:name="_Toc35393629"/>
      <w:bookmarkStart w:id="25" w:name="_GoBack"/>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highlight w:val="yellow"/>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项目编号：GXGSYY-CGB-XCB-2022-04</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项目名称：广西骨伤医院中医药文化宣传能力提升项目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ascii="宋体" w:hAnsi="宋体" w:eastAsia="宋体" w:cs="Times New Roman"/>
          <w:color w:val="000000"/>
          <w:szCs w:val="21"/>
        </w:rPr>
        <w:t>25</w:t>
      </w:r>
      <w:r>
        <w:rPr>
          <w:rFonts w:hint="eastAsia" w:ascii="宋体" w:hAnsi="宋体" w:eastAsia="宋体" w:cs="Times New Roman"/>
          <w:color w:val="000000"/>
          <w:szCs w:val="21"/>
          <w:lang w:val="en-US" w:eastAsia="zh-CN"/>
        </w:rPr>
        <w:t>0</w:t>
      </w:r>
      <w:r>
        <w:rPr>
          <w:rFonts w:ascii="宋体" w:hAnsi="宋体" w:eastAsia="宋体" w:cs="Times New Roman"/>
          <w:color w:val="000000"/>
          <w:szCs w:val="21"/>
        </w:rPr>
        <w:t>000</w:t>
      </w:r>
      <w:r>
        <w:rPr>
          <w:rFonts w:hint="eastAsia" w:ascii="宋体" w:hAnsi="宋体" w:eastAsia="宋体" w:cs="Times New Roman"/>
          <w:color w:val="000000"/>
          <w:szCs w:val="21"/>
        </w:rPr>
        <w:t>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bookmarkStart w:id="7" w:name="_Toc35393630"/>
      <w:bookmarkStart w:id="8" w:name="_Toc35393799"/>
      <w:bookmarkStart w:id="9" w:name="_Toc28359013"/>
      <w:bookmarkStart w:id="10" w:name="_Toc47452206"/>
      <w:bookmarkStart w:id="11" w:name="_Toc44229879"/>
      <w:bookmarkStart w:id="12" w:name="_Toc28359090"/>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Calibri"/>
                <w:color w:val="000000"/>
                <w:szCs w:val="21"/>
              </w:rPr>
            </w:pPr>
            <w:r>
              <w:rPr>
                <w:rFonts w:hint="eastAsia" w:ascii="宋体" w:hAnsi="宋体" w:eastAsia="宋体" w:cs="Times New Roman"/>
                <w:color w:val="000000"/>
                <w:szCs w:val="21"/>
              </w:rPr>
              <w:t>广西骨伤医院中医药文化宣传能力提升项目</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1项</w:t>
            </w:r>
          </w:p>
        </w:tc>
        <w:tc>
          <w:tcPr>
            <w:tcW w:w="5103" w:type="dxa"/>
            <w:tcBorders>
              <w:top w:val="single" w:color="auto" w:sz="4" w:space="0"/>
              <w:left w:val="nil"/>
              <w:bottom w:val="single" w:color="auto" w:sz="4" w:space="0"/>
              <w:right w:val="single" w:color="auto" w:sz="4" w:space="0"/>
            </w:tcBorders>
          </w:tcPr>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1.医院亮化工程设计及布置（包含：医院大门左侧、门诊楼前“广西骨伤医院”、住院楼顶）；</w:t>
            </w:r>
          </w:p>
          <w:p>
            <w:pPr>
              <w:spacing w:line="320" w:lineRule="exact"/>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2.住院楼2-7楼病区过道宣传，包含中医文化宣传栏、中医特色技术专栏、中医民医介绍栏、党建园地等内容设计及布置（材料以亚克力板为主）；</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hint="eastAsia" w:ascii="宋体" w:hAnsi="宋体" w:eastAsia="宋体" w:cs="Times New Roman"/>
          <w:color w:val="000000"/>
          <w:szCs w:val="21"/>
          <w:highlight w:val="none"/>
          <w:lang w:val="en-US" w:eastAsia="zh-CN"/>
        </w:rPr>
        <w:t>.</w:t>
      </w:r>
      <w:r>
        <w:rPr>
          <w:rFonts w:hint="eastAsia" w:ascii="宋体" w:hAnsi="宋体" w:eastAsia="宋体" w:cs="Times New Roman"/>
          <w:color w:val="000000"/>
          <w:szCs w:val="21"/>
          <w:highlight w:val="none"/>
        </w:rPr>
        <w:t>注册（指按国家有关规定要求注册的）具备提供本次报名能力且具有法人资格。</w:t>
      </w:r>
    </w:p>
    <w:p>
      <w:pPr>
        <w:spacing w:line="320" w:lineRule="exact"/>
        <w:ind w:firstLine="420" w:firstLineChars="200"/>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2</w:t>
      </w:r>
      <w:r>
        <w:rPr>
          <w:rFonts w:hint="eastAsia" w:ascii="宋体" w:hAnsi="宋体" w:eastAsia="宋体" w:cs="Times New Roman"/>
          <w:color w:val="000000"/>
          <w:szCs w:val="21"/>
          <w:highlight w:val="none"/>
          <w:lang w:val="en-US" w:eastAsia="zh-CN"/>
        </w:rPr>
        <w:t>.</w:t>
      </w:r>
      <w:r>
        <w:rPr>
          <w:rFonts w:hint="eastAsia" w:ascii="宋体" w:hAnsi="宋体" w:eastAsia="宋体" w:cs="Times New Roman"/>
          <w:color w:val="000000"/>
          <w:szCs w:val="21"/>
          <w:highlight w:val="none"/>
        </w:rPr>
        <w:t>在经营活动没有重大违法记录和不良信息记录</w:t>
      </w:r>
      <w:r>
        <w:rPr>
          <w:rFonts w:hint="eastAsia" w:ascii="宋体" w:hAnsi="宋体" w:eastAsia="宋体" w:cs="Times New Roman"/>
          <w:color w:val="000000"/>
          <w:szCs w:val="21"/>
          <w:highlight w:val="none"/>
          <w:lang w:eastAsia="zh-CN"/>
        </w:rPr>
        <w:t>。</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highlight w:val="none"/>
        </w:rPr>
        <w:t>3</w:t>
      </w:r>
      <w:r>
        <w:rPr>
          <w:rFonts w:hint="eastAsia" w:ascii="宋体" w:hAnsi="宋体" w:eastAsia="宋体" w:cs="Times New Roman"/>
          <w:color w:val="000000"/>
          <w:szCs w:val="21"/>
          <w:highlight w:val="none"/>
          <w:lang w:val="en-US" w:eastAsia="zh-CN"/>
        </w:rPr>
        <w:t>.</w:t>
      </w:r>
      <w:r>
        <w:rPr>
          <w:rFonts w:hint="eastAsia" w:ascii="宋体" w:hAnsi="宋体" w:eastAsia="宋体" w:cs="Times New Roman"/>
          <w:color w:val="000000"/>
          <w:szCs w:val="21"/>
          <w:highlight w:val="none"/>
        </w:rPr>
        <w:t>报名公司、个人必须具备相应的经营范围和资质</w:t>
      </w:r>
      <w:r>
        <w:rPr>
          <w:rFonts w:hint="eastAsia" w:ascii="宋体" w:hAnsi="宋体" w:eastAsia="宋体" w:cs="Times New Roman"/>
          <w:color w:val="000000"/>
          <w:szCs w:val="21"/>
          <w:highlight w:val="none"/>
          <w:lang w:eastAsia="zh-CN"/>
        </w:rPr>
        <w:t>。</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1.获取时间：自本公告发布之时起至2022年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15</w:t>
      </w:r>
      <w:r>
        <w:rPr>
          <w:rFonts w:hint="eastAsia" w:ascii="宋体" w:hAnsi="宋体" w:eastAsia="宋体" w:cs="Times New Roman"/>
          <w:color w:val="000000"/>
          <w:szCs w:val="21"/>
        </w:rPr>
        <w:t>日18时00分。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Times New Roman"/>
          <w:b/>
          <w:bCs/>
          <w:color w:val="000000"/>
          <w:szCs w:val="21"/>
          <w:lang w:val="en-US" w:eastAsia="zh-CN"/>
        </w:rPr>
        <w:t>报名及</w:t>
      </w:r>
      <w:r>
        <w:rPr>
          <w:rFonts w:hint="eastAsia" w:ascii="宋体" w:hAnsi="宋体" w:eastAsia="宋体" w:cs="Times New Roman"/>
          <w:b/>
          <w:bCs/>
          <w:color w:val="000000"/>
          <w:szCs w:val="21"/>
        </w:rPr>
        <w:t>响应文件提交</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报名材料</w:t>
      </w:r>
      <w:r>
        <w:rPr>
          <w:rFonts w:hint="eastAsia" w:ascii="宋体" w:hAnsi="宋体" w:eastAsia="宋体" w:cs="Times New Roman"/>
          <w:color w:val="000000"/>
          <w:szCs w:val="21"/>
        </w:rPr>
        <w:t>提交开始时间：2022年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日8时00分（北京时间）</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2.报名材料</w:t>
      </w:r>
      <w:r>
        <w:rPr>
          <w:rFonts w:hint="eastAsia" w:ascii="宋体" w:hAnsi="宋体" w:eastAsia="宋体" w:cs="Times New Roman"/>
          <w:color w:val="000000"/>
          <w:szCs w:val="21"/>
        </w:rPr>
        <w:t>提交截止时间：2022年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日1</w:t>
      </w: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.响应文件提交截止时间：2022年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15</w:t>
      </w:r>
      <w:r>
        <w:rPr>
          <w:rFonts w:hint="eastAsia" w:ascii="宋体" w:hAnsi="宋体" w:eastAsia="宋体" w:cs="Times New Roman"/>
          <w:color w:val="000000"/>
          <w:szCs w:val="21"/>
        </w:rPr>
        <w:t>日 18时00分（北京时间）</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首次响应文件提交地点：广西骨伤医院采购办（广西南宁市东葛路1号锦华大酒店副楼4楼401号）注：供应商应当在首次响应文件提交截止时间前，将响应文件密封送达首次响应文件提交地点。在首次响应文件提交截止时间后送达的响应文件为无效文件，将被拒收。</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5.报名所需资料见附件。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五、开启</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现场勘察时间：2022年11月11日17时10分</w:t>
      </w:r>
      <w:r>
        <w:rPr>
          <w:rFonts w:hint="eastAsia" w:ascii="宋体" w:hAnsi="宋体" w:eastAsia="宋体" w:cs="Times New Roman"/>
          <w:color w:val="000000"/>
          <w:szCs w:val="21"/>
        </w:rPr>
        <w:t>（北京时间）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会议</w:t>
      </w:r>
      <w:r>
        <w:rPr>
          <w:rFonts w:hint="eastAsia" w:ascii="宋体" w:hAnsi="宋体" w:eastAsia="宋体" w:cs="Times New Roman"/>
          <w:color w:val="000000"/>
          <w:szCs w:val="21"/>
        </w:rPr>
        <w:t>时间：另行通知。</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2.地点：另行通知。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六、公告期限</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自本公告发布之日起5个工作日。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七、凡对本次采购提出询问，请按以下方式联系。</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名    称：广西骨伤医院</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地    址：广西南宁市青秀区新民路32号</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联系方式：联系人：李老师；联系电话：0771-2622251，17344229910 </w:t>
      </w:r>
    </w:p>
    <w:p>
      <w:pPr>
        <w:spacing w:line="320" w:lineRule="exact"/>
        <w:ind w:firstLine="420" w:firstLineChars="200"/>
        <w:rPr>
          <w:rFonts w:hint="default" w:ascii="Calibri" w:hAnsi="Calibri" w:eastAsia="宋体" w:cs="Times New Roman"/>
          <w:szCs w:val="24"/>
          <w:lang w:val="en-US" w:eastAsia="zh-CN"/>
        </w:rPr>
      </w:pPr>
      <w:r>
        <w:rPr>
          <w:rFonts w:hint="eastAsia" w:ascii="宋体" w:hAnsi="宋体" w:eastAsia="宋体" w:cs="Times New Roman"/>
          <w:color w:val="000000"/>
          <w:szCs w:val="21"/>
          <w:lang w:val="en-US" w:eastAsia="zh-CN"/>
        </w:rPr>
        <w:t>邮    箱：</w:t>
      </w:r>
      <w:r>
        <w:rPr>
          <w:rFonts w:hint="eastAsia" w:ascii="宋体" w:hAnsi="宋体" w:eastAsia="宋体" w:cs="Times New Roman"/>
          <w:color w:val="000000"/>
          <w:szCs w:val="21"/>
          <w:lang w:val="en-US" w:eastAsia="zh-CN"/>
        </w:rPr>
        <w:fldChar w:fldCharType="begin"/>
      </w:r>
      <w:r>
        <w:rPr>
          <w:rFonts w:hint="eastAsia" w:ascii="宋体" w:hAnsi="宋体" w:eastAsia="宋体" w:cs="Times New Roman"/>
          <w:color w:val="000000"/>
          <w:szCs w:val="21"/>
          <w:lang w:val="en-US" w:eastAsia="zh-CN"/>
        </w:rPr>
        <w:instrText xml:space="preserve"> HYPERLINK "mailto:gxgsyycgb@163.com" </w:instrText>
      </w:r>
      <w:r>
        <w:rPr>
          <w:rFonts w:hint="eastAsia" w:ascii="宋体" w:hAnsi="宋体" w:eastAsia="宋体" w:cs="Times New Roman"/>
          <w:color w:val="000000"/>
          <w:szCs w:val="21"/>
          <w:lang w:val="en-US" w:eastAsia="zh-CN"/>
        </w:rPr>
        <w:fldChar w:fldCharType="separate"/>
      </w:r>
      <w:r>
        <w:rPr>
          <w:rStyle w:val="9"/>
          <w:rFonts w:hint="eastAsia" w:ascii="宋体" w:hAnsi="宋体" w:eastAsia="宋体" w:cs="Times New Roman"/>
          <w:color w:val="000000"/>
          <w:szCs w:val="21"/>
          <w:lang w:val="en-US" w:eastAsia="zh-CN"/>
        </w:rPr>
        <w:t>gxgsyycgb@163.com</w:t>
      </w:r>
      <w:r>
        <w:rPr>
          <w:rFonts w:hint="eastAsia" w:ascii="宋体" w:hAnsi="宋体" w:eastAsia="宋体" w:cs="Times New Roman"/>
          <w:color w:val="000000"/>
          <w:szCs w:val="21"/>
          <w:lang w:val="en-US" w:eastAsia="zh-CN"/>
        </w:rPr>
        <w:fldChar w:fldCharType="end"/>
      </w:r>
    </w:p>
    <w:bookmarkEnd w:id="25"/>
    <w:p>
      <w:pPr>
        <w:spacing w:line="320" w:lineRule="exact"/>
        <w:ind w:firstLine="420" w:firstLineChars="200"/>
        <w:rPr>
          <w:rFonts w:hint="eastAsia" w:ascii="Calibri" w:hAnsi="Calibri" w:eastAsia="宋体" w:cs="Times New Roman"/>
          <w:szCs w:val="24"/>
          <w:lang w:val="en-US" w:eastAsia="zh-CN"/>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广西骨伤医院中医药文化宣传能力提升项目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w:t>
      </w:r>
      <w:r>
        <w:rPr>
          <w:rFonts w:ascii="宋体" w:hAnsi="宋体" w:eastAsia="宋体"/>
          <w:szCs w:val="21"/>
        </w:rPr>
        <w:t>按照评审得分由高到低顺序</w:t>
      </w:r>
      <w:r>
        <w:rPr>
          <w:rFonts w:hint="eastAsia" w:ascii="宋体" w:hAnsi="宋体" w:eastAsia="宋体"/>
          <w:szCs w:val="21"/>
          <w:lang w:val="en-US" w:eastAsia="zh-CN"/>
        </w:rPr>
        <w:t>进行排名（评</w:t>
      </w:r>
      <w:r>
        <w:rPr>
          <w:rFonts w:ascii="宋体" w:hAnsi="宋体" w:eastAsia="宋体"/>
          <w:szCs w:val="21"/>
        </w:rPr>
        <w:t>审得分相同的，按照最后报价由低到高的顺序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评审得分且最后报价相同的，按照</w:t>
      </w:r>
      <w:r>
        <w:rPr>
          <w:rFonts w:hint="eastAsia" w:ascii="宋体" w:hAnsi="宋体" w:eastAsia="宋体"/>
          <w:szCs w:val="21"/>
          <w:lang w:val="en-US" w:eastAsia="zh-CN"/>
        </w:rPr>
        <w:t>技术分</w:t>
      </w:r>
      <w:r>
        <w:rPr>
          <w:rFonts w:ascii="宋体" w:hAnsi="宋体" w:eastAsia="宋体"/>
          <w:szCs w:val="21"/>
        </w:rPr>
        <w:t>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按技术得分由高到低排序，技术得分相同的按照技术需求偏离分由高到低排序）</w:t>
      </w:r>
      <w:r>
        <w:rPr>
          <w:rFonts w:hint="eastAsia" w:ascii="宋体" w:hAnsi="宋体" w:eastAsia="宋体"/>
          <w:szCs w:val="21"/>
          <w:lang w:eastAsia="zh-CN"/>
        </w:rPr>
        <w:t>，</w:t>
      </w:r>
      <w:r>
        <w:rPr>
          <w:rFonts w:ascii="宋体" w:hAnsi="宋体" w:eastAsia="宋体"/>
          <w:szCs w:val="21"/>
        </w:rPr>
        <w:t>并编写评审报告</w:t>
      </w:r>
      <w:r>
        <w:rPr>
          <w:rFonts w:hint="eastAsia" w:ascii="宋体" w:hAnsi="宋体" w:eastAsia="宋体" w:cs="Calibri"/>
          <w:color w:val="000000"/>
          <w:kern w:val="0"/>
          <w:szCs w:val="21"/>
        </w:rPr>
        <w:t>。</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tabs>
                <w:tab w:val="left" w:pos="180"/>
                <w:tab w:val="left" w:pos="1620"/>
              </w:tabs>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广西骨伤医院中医药文化宣传能力提升项目</w:t>
            </w:r>
          </w:p>
        </w:tc>
        <w:tc>
          <w:tcPr>
            <w:tcW w:w="1210" w:type="dxa"/>
            <w:vAlign w:val="center"/>
          </w:tcPr>
          <w:p>
            <w:pPr>
              <w:tabs>
                <w:tab w:val="left" w:pos="180"/>
                <w:tab w:val="left" w:pos="1620"/>
              </w:tabs>
              <w:spacing w:line="32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1项</w:t>
            </w:r>
          </w:p>
        </w:tc>
        <w:tc>
          <w:tcPr>
            <w:tcW w:w="6845" w:type="dxa"/>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1.医院亮化工程设计及布置（包含：医院大门左侧、门诊楼前“广西骨伤医院”、住院楼顶）；</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2.住院楼2-7楼病区过道宣传，包含中医文化宣传栏、中医特色技术专栏、中医民医介绍栏、党建园地等内容设计及布置（材料以亚克力板为主）；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3.门诊8楼党员活动室宣传改造，门诊8楼会议室党建宣传提升设计及布置（材料以亚克力板为主）；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4.广西骨伤医院行政办公区（锦华酒店副楼）4-6楼党建宣传提升设计及布置（材料以亚克力板为主）；</w:t>
            </w:r>
          </w:p>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宋体"/>
                <w:bCs/>
                <w:szCs w:val="21"/>
                <w:lang w:val="en-US" w:eastAsia="zh-CN"/>
              </w:rPr>
              <w:t>5.具体需求以实地勘察测量为准（必须参加现场勘察）。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rPr>
              <w:t>竞标报价为全包价，以人民币为结算单位，包括本项目所有安装调试、验收、售后服务、伴随的服务及各种税费等全部费用。在合同实施时，采购人将不予支付成交供应商没有列入的项目费用，并认为此项目的费用已包括在总报价中。</w:t>
            </w:r>
            <w:r>
              <w:rPr>
                <w:rFonts w:hint="eastAsia" w:ascii="宋体" w:hAnsi="宋体" w:eastAsia="宋体" w:cs="宋体"/>
                <w:bCs/>
                <w:szCs w:val="21"/>
                <w:lang w:val="en-US" w:eastAsia="zh-CN"/>
              </w:rPr>
              <w:t>提供报价明细，包含制作所用到的材质、尺寸、价格等内容明细。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w:t>
            </w:r>
            <w:r>
              <w:rPr>
                <w:rFonts w:hint="eastAsia" w:ascii="宋体" w:hAnsi="宋体" w:eastAsia="宋体" w:cs="Times New Roman"/>
                <w:color w:val="000000"/>
                <w:szCs w:val="21"/>
                <w:lang w:val="en-US" w:eastAsia="zh-CN"/>
              </w:rPr>
              <w:t>项目完成期限2022年12月20日前</w:t>
            </w:r>
            <w:r>
              <w:rPr>
                <w:rFonts w:hint="eastAsia" w:ascii="宋体" w:hAnsi="宋体" w:eastAsia="宋体" w:cs="Times New Roman"/>
                <w:color w:val="000000"/>
                <w:szCs w:val="21"/>
              </w:rPr>
              <w:t>。</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rPr>
              <w:t>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1.必须按时间规定完成项目设计及布置。</w:t>
            </w:r>
          </w:p>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.投标人</w:t>
            </w:r>
            <w:r>
              <w:rPr>
                <w:rFonts w:hint="eastAsia" w:ascii="宋体" w:hAnsi="宋体" w:eastAsia="宋体" w:cs="Times New Roman"/>
                <w:color w:val="000000"/>
                <w:szCs w:val="21"/>
                <w:lang w:val="en-US" w:eastAsia="zh-CN"/>
              </w:rPr>
              <w:t>需</w:t>
            </w:r>
            <w:r>
              <w:rPr>
                <w:rFonts w:hint="eastAsia" w:ascii="宋体" w:hAnsi="宋体" w:eastAsia="宋体" w:cs="Times New Roman"/>
                <w:color w:val="000000"/>
                <w:szCs w:val="21"/>
              </w:rPr>
              <w:t>提出服务</w:t>
            </w:r>
            <w:r>
              <w:rPr>
                <w:rFonts w:hint="eastAsia" w:ascii="宋体" w:hAnsi="宋体" w:eastAsia="宋体" w:cs="Times New Roman"/>
                <w:color w:val="000000"/>
                <w:szCs w:val="21"/>
                <w:lang w:val="en-US" w:eastAsia="zh-CN"/>
              </w:rPr>
              <w:t>方案，包含制作所用的材料、尺寸。</w:t>
            </w:r>
          </w:p>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3.投标人需做出项目售后承诺。</w:t>
            </w:r>
          </w:p>
          <w:p>
            <w:pPr>
              <w:spacing w:line="32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4.必须到现场勘察，并制定效果图。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1.质量要求：达到本招标文件要求的业务处理能力、满足功能要求和相应的技术规范，达到国家质量标准的验收规定。</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2.验收小组签字验收合格视为设备验收通过。</w:t>
            </w:r>
          </w:p>
          <w:p>
            <w:pPr>
              <w:spacing w:line="32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3.项目完成后若验收不合格，中标人应在5个工作日内完成整改，整改期限不能超出项目要求的完成期限</w:t>
            </w: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w:t>
            </w:r>
            <w:r>
              <w:rPr>
                <w:rFonts w:hint="eastAsia" w:ascii="宋体" w:hAnsi="宋体" w:eastAsia="宋体" w:cs="Times New Roman"/>
                <w:color w:val="000000"/>
                <w:szCs w:val="21"/>
                <w:lang w:val="en-US" w:eastAsia="zh-CN"/>
              </w:rPr>
              <w:t>合同签订后，支付全款的40%作为预付款，项目验收合格后，甲方支付剩余60%的货款，乙方30日内开具发票给甲方。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w:t>
      </w:r>
      <w:r>
        <w:rPr>
          <w:rFonts w:hint="eastAsia" w:ascii="宋体" w:hAnsi="宋体" w:eastAsia="宋体" w:cs="Times New Roman"/>
          <w:color w:val="000000"/>
          <w:szCs w:val="21"/>
          <w:lang w:val="en-US" w:eastAsia="zh-CN"/>
        </w:rPr>
        <w:t>设计服务</w:t>
      </w:r>
      <w:r>
        <w:rPr>
          <w:rFonts w:hint="eastAsia" w:ascii="宋体" w:hAnsi="宋体" w:eastAsia="宋体" w:cs="Times New Roman"/>
          <w:color w:val="000000"/>
          <w:szCs w:val="21"/>
        </w:rPr>
        <w:t>、业绩等方面内容按百分制打分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价格分（以进入评标的最低的评标报价为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lang w:val="en-US" w:eastAsia="zh-CN"/>
              </w:rPr>
              <w:t>设计服务</w:t>
            </w:r>
            <w:r>
              <w:rPr>
                <w:rFonts w:hint="eastAsia" w:ascii="宋体" w:hAnsi="宋体" w:eastAsia="宋体" w:cs="Times New Roman"/>
                <w:bCs/>
                <w:color w:val="000000"/>
                <w:kern w:val="0"/>
                <w:szCs w:val="21"/>
              </w:rPr>
              <w:t>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hint="eastAsia" w:ascii="宋体" w:hAnsi="宋体" w:eastAsia="宋体" w:cs="Times New Roman"/>
                <w:bCs/>
                <w:color w:val="000000"/>
                <w:szCs w:val="24"/>
                <w:lang w:eastAsia="zh-CN"/>
              </w:rPr>
            </w:pPr>
            <w:r>
              <w:rPr>
                <w:rFonts w:hint="eastAsia" w:ascii="宋体" w:hAnsi="宋体" w:eastAsia="宋体" w:cs="Times New Roman"/>
                <w:bCs/>
                <w:color w:val="000000"/>
                <w:szCs w:val="21"/>
                <w:lang w:val="en-US" w:eastAsia="zh-CN"/>
              </w:rPr>
              <w:t>投标人设计方案以及效果图制作</w:t>
            </w:r>
          </w:p>
        </w:tc>
        <w:tc>
          <w:tcPr>
            <w:tcW w:w="6309" w:type="dxa"/>
            <w:vAlign w:val="center"/>
          </w:tcPr>
          <w:p>
            <w:pPr>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设计</w:t>
            </w:r>
            <w:r>
              <w:rPr>
                <w:rFonts w:hint="default" w:ascii="宋体" w:hAnsi="宋体" w:eastAsia="宋体" w:cs="Times New Roman"/>
                <w:bCs/>
                <w:color w:val="000000"/>
                <w:szCs w:val="21"/>
                <w:lang w:val="en-US" w:eastAsia="zh-CN"/>
              </w:rPr>
              <w:t>方案理念新颖合理，富有创意，空间造型效果</w:t>
            </w:r>
            <w:r>
              <w:rPr>
                <w:rFonts w:hint="eastAsia" w:ascii="宋体" w:hAnsi="宋体" w:eastAsia="宋体" w:cs="Times New Roman"/>
                <w:bCs/>
                <w:color w:val="000000"/>
                <w:szCs w:val="21"/>
                <w:lang w:val="en-US" w:eastAsia="zh-CN"/>
              </w:rPr>
              <w:t>很</w:t>
            </w:r>
            <w:r>
              <w:rPr>
                <w:rFonts w:hint="default" w:ascii="宋体" w:hAnsi="宋体" w:eastAsia="宋体" w:cs="Times New Roman"/>
                <w:bCs/>
                <w:color w:val="000000"/>
                <w:szCs w:val="21"/>
                <w:lang w:val="en-US" w:eastAsia="zh-CN"/>
              </w:rPr>
              <w:t>明显，</w:t>
            </w:r>
            <w:r>
              <w:rPr>
                <w:rFonts w:hint="eastAsia" w:ascii="宋体" w:hAnsi="宋体" w:eastAsia="宋体" w:cs="Times New Roman"/>
                <w:bCs/>
                <w:color w:val="000000"/>
                <w:szCs w:val="21"/>
                <w:lang w:val="en-US" w:eastAsia="zh-CN"/>
              </w:rPr>
              <w:t>方案、</w:t>
            </w:r>
            <w:r>
              <w:rPr>
                <w:rFonts w:hint="default" w:ascii="宋体" w:hAnsi="宋体" w:eastAsia="宋体" w:cs="Times New Roman"/>
                <w:bCs/>
                <w:color w:val="000000"/>
                <w:szCs w:val="21"/>
                <w:lang w:val="en-US" w:eastAsia="zh-CN"/>
              </w:rPr>
              <w:t>图纸很完整</w:t>
            </w:r>
            <w:r>
              <w:rPr>
                <w:rFonts w:hint="eastAsia" w:ascii="宋体" w:hAnsi="宋体" w:eastAsia="宋体" w:cs="Times New Roman"/>
                <w:bCs/>
                <w:color w:val="000000"/>
                <w:szCs w:val="21"/>
                <w:lang w:val="en-US" w:eastAsia="zh-CN"/>
              </w:rPr>
              <w:t>，整体效果很美观</w:t>
            </w:r>
            <w:r>
              <w:rPr>
                <w:rFonts w:hint="default" w:ascii="宋体" w:hAnsi="宋体" w:eastAsia="宋体" w:cs="Times New Roman"/>
                <w:bCs/>
                <w:color w:val="000000"/>
                <w:szCs w:val="21"/>
                <w:lang w:val="en-US" w:eastAsia="zh-CN"/>
              </w:rPr>
              <w:t>（</w:t>
            </w:r>
            <w:r>
              <w:rPr>
                <w:rFonts w:hint="eastAsia" w:ascii="宋体" w:hAnsi="宋体" w:eastAsia="宋体" w:cs="Times New Roman"/>
                <w:bCs/>
                <w:color w:val="000000"/>
                <w:szCs w:val="21"/>
                <w:lang w:val="en-US" w:eastAsia="zh-CN"/>
              </w:rPr>
              <w:t>20</w:t>
            </w:r>
            <w:r>
              <w:rPr>
                <w:rFonts w:hint="default" w:ascii="宋体" w:hAnsi="宋体" w:eastAsia="宋体" w:cs="Times New Roman"/>
                <w:bCs/>
                <w:color w:val="000000"/>
                <w:szCs w:val="21"/>
                <w:lang w:val="en-US" w:eastAsia="zh-CN"/>
              </w:rPr>
              <w:t>.1～</w:t>
            </w:r>
            <w:r>
              <w:rPr>
                <w:rFonts w:hint="eastAsia" w:ascii="宋体" w:hAnsi="宋体" w:eastAsia="宋体" w:cs="Times New Roman"/>
                <w:bCs/>
                <w:color w:val="000000"/>
                <w:szCs w:val="21"/>
                <w:lang w:val="en-US" w:eastAsia="zh-CN"/>
              </w:rPr>
              <w:t>30</w:t>
            </w:r>
            <w:r>
              <w:rPr>
                <w:rFonts w:hint="default" w:ascii="宋体" w:hAnsi="宋体" w:eastAsia="宋体" w:cs="Times New Roman"/>
                <w:bCs/>
                <w:color w:val="000000"/>
                <w:szCs w:val="21"/>
                <w:lang w:val="en-US" w:eastAsia="zh-CN"/>
              </w:rPr>
              <w:t>分）</w:t>
            </w:r>
            <w:r>
              <w:rPr>
                <w:rFonts w:hint="eastAsia" w:ascii="宋体" w:hAnsi="宋体" w:eastAsia="宋体" w:cs="Times New Roman"/>
                <w:bCs/>
                <w:color w:val="000000"/>
                <w:szCs w:val="21"/>
                <w:lang w:val="en-US" w:eastAsia="zh-CN"/>
              </w:rPr>
              <w:t>；</w:t>
            </w:r>
          </w:p>
          <w:p>
            <w:pPr>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设计</w:t>
            </w:r>
            <w:r>
              <w:rPr>
                <w:rFonts w:hint="default" w:ascii="宋体" w:hAnsi="宋体" w:eastAsia="宋体" w:cs="Times New Roman"/>
                <w:bCs/>
                <w:color w:val="000000"/>
                <w:szCs w:val="21"/>
                <w:lang w:val="en-US" w:eastAsia="zh-CN"/>
              </w:rPr>
              <w:t>方案理念</w:t>
            </w:r>
            <w:r>
              <w:rPr>
                <w:rFonts w:hint="eastAsia" w:ascii="宋体" w:hAnsi="宋体" w:eastAsia="宋体" w:cs="Times New Roman"/>
                <w:bCs/>
                <w:color w:val="000000"/>
                <w:szCs w:val="21"/>
                <w:lang w:val="en-US" w:eastAsia="zh-CN"/>
              </w:rPr>
              <w:t>较为</w:t>
            </w:r>
            <w:r>
              <w:rPr>
                <w:rFonts w:hint="default" w:ascii="宋体" w:hAnsi="宋体" w:eastAsia="宋体" w:cs="Times New Roman"/>
                <w:bCs/>
                <w:color w:val="000000"/>
                <w:szCs w:val="21"/>
                <w:lang w:val="en-US" w:eastAsia="zh-CN"/>
              </w:rPr>
              <w:t>新颖合理，</w:t>
            </w:r>
            <w:r>
              <w:rPr>
                <w:rFonts w:hint="eastAsia" w:ascii="宋体" w:hAnsi="宋体" w:eastAsia="宋体" w:cs="Times New Roman"/>
                <w:bCs/>
                <w:color w:val="000000"/>
                <w:szCs w:val="21"/>
                <w:lang w:val="en-US" w:eastAsia="zh-CN"/>
              </w:rPr>
              <w:t>有一定</w:t>
            </w:r>
            <w:r>
              <w:rPr>
                <w:rFonts w:hint="default" w:ascii="宋体" w:hAnsi="宋体" w:eastAsia="宋体" w:cs="Times New Roman"/>
                <w:bCs/>
                <w:color w:val="000000"/>
                <w:szCs w:val="21"/>
                <w:lang w:val="en-US" w:eastAsia="zh-CN"/>
              </w:rPr>
              <w:t>创意，空间造型效果</w:t>
            </w:r>
            <w:r>
              <w:rPr>
                <w:rFonts w:hint="eastAsia" w:ascii="宋体" w:hAnsi="宋体" w:eastAsia="宋体" w:cs="Times New Roman"/>
                <w:bCs/>
                <w:color w:val="000000"/>
                <w:szCs w:val="21"/>
                <w:lang w:val="en-US" w:eastAsia="zh-CN"/>
              </w:rPr>
              <w:t>较为</w:t>
            </w:r>
            <w:r>
              <w:rPr>
                <w:rFonts w:hint="default" w:ascii="宋体" w:hAnsi="宋体" w:eastAsia="宋体" w:cs="Times New Roman"/>
                <w:bCs/>
                <w:color w:val="000000"/>
                <w:szCs w:val="21"/>
                <w:lang w:val="en-US" w:eastAsia="zh-CN"/>
              </w:rPr>
              <w:t>明显，</w:t>
            </w:r>
            <w:r>
              <w:rPr>
                <w:rFonts w:hint="eastAsia" w:ascii="宋体" w:hAnsi="宋体" w:eastAsia="宋体" w:cs="Times New Roman"/>
                <w:bCs/>
                <w:color w:val="000000"/>
                <w:szCs w:val="21"/>
                <w:lang w:val="en-US" w:eastAsia="zh-CN"/>
              </w:rPr>
              <w:t>方案、</w:t>
            </w:r>
            <w:r>
              <w:rPr>
                <w:rFonts w:hint="default" w:ascii="宋体" w:hAnsi="宋体" w:eastAsia="宋体" w:cs="Times New Roman"/>
                <w:bCs/>
                <w:color w:val="000000"/>
                <w:szCs w:val="21"/>
                <w:lang w:val="en-US" w:eastAsia="zh-CN"/>
              </w:rPr>
              <w:t>图纸</w:t>
            </w:r>
            <w:r>
              <w:rPr>
                <w:rFonts w:hint="eastAsia" w:ascii="宋体" w:hAnsi="宋体" w:eastAsia="宋体" w:cs="Times New Roman"/>
                <w:bCs/>
                <w:color w:val="000000"/>
                <w:szCs w:val="21"/>
                <w:lang w:val="en-US" w:eastAsia="zh-CN"/>
              </w:rPr>
              <w:t>较为</w:t>
            </w:r>
            <w:r>
              <w:rPr>
                <w:rFonts w:hint="default" w:ascii="宋体" w:hAnsi="宋体" w:eastAsia="宋体" w:cs="Times New Roman"/>
                <w:bCs/>
                <w:color w:val="000000"/>
                <w:szCs w:val="21"/>
                <w:lang w:val="en-US" w:eastAsia="zh-CN"/>
              </w:rPr>
              <w:t>完整</w:t>
            </w:r>
            <w:r>
              <w:rPr>
                <w:rFonts w:hint="eastAsia" w:ascii="宋体" w:hAnsi="宋体" w:eastAsia="宋体" w:cs="Times New Roman"/>
                <w:bCs/>
                <w:color w:val="000000"/>
                <w:szCs w:val="21"/>
                <w:lang w:val="en-US" w:eastAsia="zh-CN"/>
              </w:rPr>
              <w:t>，整体效果较为美观</w:t>
            </w:r>
            <w:r>
              <w:rPr>
                <w:rFonts w:hint="default" w:ascii="宋体" w:hAnsi="宋体" w:eastAsia="宋体" w:cs="Times New Roman"/>
                <w:bCs/>
                <w:color w:val="000000"/>
                <w:szCs w:val="21"/>
                <w:lang w:val="en-US" w:eastAsia="zh-CN"/>
              </w:rPr>
              <w:t>（</w:t>
            </w:r>
            <w:r>
              <w:rPr>
                <w:rFonts w:hint="eastAsia" w:ascii="宋体" w:hAnsi="宋体" w:eastAsia="宋体" w:cs="Times New Roman"/>
                <w:bCs/>
                <w:color w:val="000000"/>
                <w:szCs w:val="21"/>
                <w:lang w:val="en-US" w:eastAsia="zh-CN"/>
              </w:rPr>
              <w:t>10</w:t>
            </w:r>
            <w:r>
              <w:rPr>
                <w:rFonts w:hint="default" w:ascii="宋体" w:hAnsi="宋体" w:eastAsia="宋体" w:cs="Times New Roman"/>
                <w:bCs/>
                <w:color w:val="000000"/>
                <w:szCs w:val="21"/>
                <w:lang w:val="en-US" w:eastAsia="zh-CN"/>
              </w:rPr>
              <w:t>.1～</w:t>
            </w:r>
            <w:r>
              <w:rPr>
                <w:rFonts w:hint="eastAsia" w:ascii="宋体" w:hAnsi="宋体" w:eastAsia="宋体" w:cs="Times New Roman"/>
                <w:bCs/>
                <w:color w:val="000000"/>
                <w:szCs w:val="21"/>
                <w:lang w:val="en-US" w:eastAsia="zh-CN"/>
              </w:rPr>
              <w:t>20</w:t>
            </w:r>
            <w:r>
              <w:rPr>
                <w:rFonts w:hint="default" w:ascii="宋体" w:hAnsi="宋体" w:eastAsia="宋体" w:cs="Times New Roman"/>
                <w:bCs/>
                <w:color w:val="000000"/>
                <w:szCs w:val="21"/>
                <w:lang w:val="en-US" w:eastAsia="zh-CN"/>
              </w:rPr>
              <w:t>分）</w:t>
            </w:r>
            <w:r>
              <w:rPr>
                <w:rFonts w:hint="eastAsia" w:ascii="宋体" w:hAnsi="宋体" w:eastAsia="宋体" w:cs="Times New Roman"/>
                <w:bCs/>
                <w:color w:val="000000"/>
                <w:szCs w:val="21"/>
                <w:lang w:val="en-US" w:eastAsia="zh-CN"/>
              </w:rPr>
              <w:t>；</w:t>
            </w:r>
          </w:p>
          <w:p>
            <w:pPr>
              <w:rPr>
                <w:rFonts w:ascii="宋体" w:hAnsi="宋体" w:eastAsia="宋体" w:cs="Times New Roman"/>
                <w:color w:val="000000"/>
                <w:szCs w:val="21"/>
              </w:rPr>
            </w:pPr>
            <w:r>
              <w:rPr>
                <w:rFonts w:hint="eastAsia" w:ascii="宋体" w:hAnsi="宋体" w:eastAsia="宋体" w:cs="Times New Roman"/>
                <w:bCs/>
                <w:color w:val="000000"/>
                <w:szCs w:val="21"/>
                <w:lang w:val="en-US" w:eastAsia="zh-CN"/>
              </w:rPr>
              <w:t>设计</w:t>
            </w:r>
            <w:r>
              <w:rPr>
                <w:rFonts w:hint="default" w:ascii="宋体" w:hAnsi="宋体" w:eastAsia="宋体" w:cs="Times New Roman"/>
                <w:bCs/>
                <w:color w:val="000000"/>
                <w:szCs w:val="21"/>
                <w:lang w:val="en-US" w:eastAsia="zh-CN"/>
              </w:rPr>
              <w:t>方案理念合理，创意</w:t>
            </w:r>
            <w:r>
              <w:rPr>
                <w:rFonts w:hint="eastAsia" w:ascii="宋体" w:hAnsi="宋体" w:eastAsia="宋体" w:cs="Times New Roman"/>
                <w:bCs/>
                <w:color w:val="000000"/>
                <w:szCs w:val="21"/>
                <w:lang w:val="en-US" w:eastAsia="zh-CN"/>
              </w:rPr>
              <w:t>一般</w:t>
            </w:r>
            <w:r>
              <w:rPr>
                <w:rFonts w:hint="default" w:ascii="宋体" w:hAnsi="宋体" w:eastAsia="宋体" w:cs="Times New Roman"/>
                <w:bCs/>
                <w:color w:val="000000"/>
                <w:szCs w:val="21"/>
                <w:lang w:val="en-US" w:eastAsia="zh-CN"/>
              </w:rPr>
              <w:t>，空间造型效果</w:t>
            </w:r>
            <w:r>
              <w:rPr>
                <w:rFonts w:hint="eastAsia" w:ascii="宋体" w:hAnsi="宋体" w:eastAsia="宋体" w:cs="Times New Roman"/>
                <w:bCs/>
                <w:color w:val="000000"/>
                <w:szCs w:val="21"/>
                <w:lang w:val="en-US" w:eastAsia="zh-CN"/>
              </w:rPr>
              <w:t>一般</w:t>
            </w:r>
            <w:r>
              <w:rPr>
                <w:rFonts w:hint="default" w:ascii="宋体" w:hAnsi="宋体" w:eastAsia="宋体" w:cs="Times New Roman"/>
                <w:bCs/>
                <w:color w:val="000000"/>
                <w:szCs w:val="21"/>
                <w:lang w:val="en-US" w:eastAsia="zh-CN"/>
              </w:rPr>
              <w:t>，</w:t>
            </w:r>
            <w:r>
              <w:rPr>
                <w:rFonts w:hint="eastAsia" w:ascii="宋体" w:hAnsi="宋体" w:eastAsia="宋体" w:cs="Times New Roman"/>
                <w:bCs/>
                <w:color w:val="000000"/>
                <w:szCs w:val="21"/>
                <w:lang w:val="en-US" w:eastAsia="zh-CN"/>
              </w:rPr>
              <w:t>方案、</w:t>
            </w:r>
            <w:r>
              <w:rPr>
                <w:rFonts w:hint="default" w:ascii="宋体" w:hAnsi="宋体" w:eastAsia="宋体" w:cs="Times New Roman"/>
                <w:bCs/>
                <w:color w:val="000000"/>
                <w:szCs w:val="21"/>
                <w:lang w:val="en-US" w:eastAsia="zh-CN"/>
              </w:rPr>
              <w:t>图纸完整</w:t>
            </w:r>
            <w:r>
              <w:rPr>
                <w:rFonts w:hint="eastAsia" w:ascii="宋体" w:hAnsi="宋体" w:eastAsia="宋体" w:cs="Times New Roman"/>
                <w:bCs/>
                <w:color w:val="000000"/>
                <w:szCs w:val="21"/>
                <w:lang w:val="en-US" w:eastAsia="zh-CN"/>
              </w:rPr>
              <w:t>性一般，整体效果美观度一般</w:t>
            </w:r>
            <w:r>
              <w:rPr>
                <w:rFonts w:hint="default" w:ascii="宋体" w:hAnsi="宋体" w:eastAsia="宋体" w:cs="Times New Roman"/>
                <w:bCs/>
                <w:color w:val="000000"/>
                <w:szCs w:val="21"/>
                <w:lang w:val="en-US" w:eastAsia="zh-CN"/>
              </w:rPr>
              <w:t>（</w:t>
            </w:r>
            <w:r>
              <w:rPr>
                <w:rFonts w:hint="eastAsia" w:ascii="宋体" w:hAnsi="宋体" w:eastAsia="宋体" w:cs="Times New Roman"/>
                <w:bCs/>
                <w:color w:val="000000"/>
                <w:szCs w:val="21"/>
                <w:lang w:val="en-US" w:eastAsia="zh-CN"/>
              </w:rPr>
              <w:t>1</w:t>
            </w:r>
            <w:r>
              <w:rPr>
                <w:rFonts w:hint="default" w:ascii="宋体" w:hAnsi="宋体" w:eastAsia="宋体" w:cs="Times New Roman"/>
                <w:bCs/>
                <w:color w:val="000000"/>
                <w:szCs w:val="21"/>
                <w:lang w:val="en-US" w:eastAsia="zh-CN"/>
              </w:rPr>
              <w:t>～</w:t>
            </w:r>
            <w:r>
              <w:rPr>
                <w:rFonts w:hint="eastAsia" w:ascii="宋体" w:hAnsi="宋体" w:eastAsia="宋体" w:cs="Times New Roman"/>
                <w:bCs/>
                <w:color w:val="000000"/>
                <w:szCs w:val="21"/>
                <w:lang w:val="en-US" w:eastAsia="zh-CN"/>
              </w:rPr>
              <w:t>10</w:t>
            </w:r>
            <w:r>
              <w:rPr>
                <w:rFonts w:hint="default" w:ascii="宋体" w:hAnsi="宋体" w:eastAsia="宋体" w:cs="Times New Roman"/>
                <w:bCs/>
                <w:color w:val="000000"/>
                <w:szCs w:val="21"/>
                <w:lang w:val="en-US" w:eastAsia="zh-CN"/>
              </w:rPr>
              <w:t>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30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hint="eastAsia" w:ascii="宋体" w:hAnsi="宋体" w:eastAsia="宋体" w:cs="Times New Roman"/>
                <w:bCs/>
                <w:color w:val="000000"/>
                <w:kern w:val="0"/>
                <w:szCs w:val="21"/>
                <w:lang w:eastAsia="zh-CN"/>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lang w:val="en-US" w:eastAsia="zh-CN"/>
              </w:rPr>
              <w:t>2</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一档（1-</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投标人自2019年以来同类项目业绩分（提供合同复印件），每提供一个合同复印件得</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分</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满分10分。</w:t>
            </w:r>
            <w:r>
              <w:rPr>
                <w:rFonts w:hint="eastAsia" w:ascii="宋体" w:hAnsi="宋体" w:eastAsia="宋体" w:cs="Arial"/>
                <w:szCs w:val="21"/>
              </w:rPr>
              <w:t>（以响应文件中提</w:t>
            </w:r>
            <w:r>
              <w:rPr>
                <w:rFonts w:ascii="宋体" w:hAnsi="宋体" w:eastAsia="宋体" w:cs="Arial"/>
                <w:szCs w:val="21"/>
              </w:rPr>
              <w:t>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w:t>
      </w:r>
      <w:r>
        <w:rPr>
          <w:rFonts w:hint="eastAsia" w:ascii="宋体" w:hAnsi="宋体" w:eastAsia="宋体"/>
          <w:szCs w:val="21"/>
          <w:lang w:val="en-US" w:eastAsia="zh-CN"/>
        </w:rPr>
        <w:t>进行排名（评</w:t>
      </w:r>
      <w:r>
        <w:rPr>
          <w:rFonts w:ascii="宋体" w:hAnsi="宋体" w:eastAsia="宋体"/>
          <w:szCs w:val="21"/>
        </w:rPr>
        <w:t>审得分相同的，按照最后报价由低到高的顺序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评审得分且最后报价相同的，按照</w:t>
      </w:r>
      <w:r>
        <w:rPr>
          <w:rFonts w:hint="eastAsia" w:ascii="宋体" w:hAnsi="宋体" w:eastAsia="宋体"/>
          <w:szCs w:val="21"/>
          <w:lang w:val="en-US" w:eastAsia="zh-CN"/>
        </w:rPr>
        <w:t>技术分</w:t>
      </w:r>
      <w:r>
        <w:rPr>
          <w:rFonts w:ascii="宋体" w:hAnsi="宋体" w:eastAsia="宋体"/>
          <w:szCs w:val="21"/>
        </w:rPr>
        <w:t>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按技术得分由高到低排序，技术得分相同的按照技术需求偏离分由高到低排序）</w:t>
      </w:r>
      <w:r>
        <w:rPr>
          <w:rFonts w:hint="eastAsia" w:ascii="宋体" w:hAnsi="宋体" w:eastAsia="宋体"/>
          <w:szCs w:val="21"/>
          <w:lang w:eastAsia="zh-CN"/>
        </w:rPr>
        <w:t>，</w:t>
      </w:r>
      <w:r>
        <w:rPr>
          <w:rFonts w:ascii="宋体" w:hAnsi="宋体" w:eastAsia="宋体"/>
          <w:szCs w:val="21"/>
        </w:rPr>
        <w:t>并编写评审报告</w:t>
      </w:r>
      <w:r>
        <w:rPr>
          <w:rFonts w:hint="eastAsia" w:ascii="宋体" w:hAnsi="宋体" w:eastAsia="宋体"/>
          <w:szCs w:val="21"/>
          <w:lang w:eastAsia="zh-CN"/>
        </w:rPr>
        <w:t>，</w:t>
      </w:r>
      <w:r>
        <w:rPr>
          <w:rFonts w:hint="eastAsia" w:ascii="宋体" w:hAnsi="宋体" w:eastAsia="宋体"/>
          <w:szCs w:val="21"/>
          <w:lang w:val="en-US" w:eastAsia="zh-CN"/>
        </w:rPr>
        <w:t>推荐评审得分第一</w:t>
      </w:r>
      <w:r>
        <w:rPr>
          <w:rFonts w:hint="eastAsia" w:ascii="宋体" w:hAnsi="宋体" w:eastAsia="宋体"/>
          <w:szCs w:val="21"/>
          <w:lang w:eastAsia="zh-CN"/>
        </w:rPr>
        <w:t>的</w:t>
      </w:r>
      <w:r>
        <w:rPr>
          <w:rFonts w:hint="eastAsia" w:ascii="宋体" w:hAnsi="宋体" w:eastAsia="宋体"/>
          <w:szCs w:val="21"/>
          <w:lang w:val="en-US" w:eastAsia="zh-CN"/>
        </w:rPr>
        <w:t>为</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lang w:val="en-US" w:eastAsia="zh-CN"/>
        </w:rPr>
        <w:t>评审得分</w:t>
      </w:r>
      <w:r>
        <w:rPr>
          <w:rFonts w:hint="eastAsia" w:ascii="宋体" w:hAnsi="宋体" w:eastAsia="宋体"/>
          <w:szCs w:val="21"/>
        </w:rPr>
        <w:t>排名第一的</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rPr>
        <w:t>放弃中标、</w:t>
      </w:r>
      <w:r>
        <w:rPr>
          <w:rFonts w:hint="eastAsia" w:ascii="宋体" w:hAnsi="宋体" w:eastAsia="宋体"/>
          <w:szCs w:val="21"/>
          <w:lang w:val="en-US" w:eastAsia="zh-CN"/>
        </w:rPr>
        <w:t>或</w:t>
      </w:r>
      <w:r>
        <w:rPr>
          <w:rFonts w:hint="eastAsia" w:ascii="宋体" w:hAnsi="宋体" w:eastAsia="宋体"/>
          <w:szCs w:val="21"/>
        </w:rPr>
        <w:t>因不可抗力提出不能履行合同，</w:t>
      </w:r>
      <w:r>
        <w:rPr>
          <w:rFonts w:hint="eastAsia" w:ascii="宋体" w:hAnsi="宋体" w:eastAsia="宋体"/>
          <w:szCs w:val="21"/>
          <w:lang w:val="en-US" w:eastAsia="zh-CN"/>
        </w:rPr>
        <w:t>可以</w:t>
      </w:r>
      <w:r>
        <w:rPr>
          <w:rFonts w:hint="eastAsia" w:ascii="宋体" w:hAnsi="宋体" w:eastAsia="宋体"/>
          <w:szCs w:val="21"/>
        </w:rPr>
        <w:t>确定</w:t>
      </w:r>
      <w:r>
        <w:rPr>
          <w:rFonts w:hint="eastAsia" w:ascii="宋体" w:hAnsi="宋体" w:eastAsia="宋体"/>
          <w:szCs w:val="21"/>
          <w:lang w:val="en-US" w:eastAsia="zh-CN"/>
        </w:rPr>
        <w:t>评审得分</w:t>
      </w:r>
      <w:r>
        <w:rPr>
          <w:rFonts w:hint="eastAsia" w:ascii="宋体" w:hAnsi="宋体" w:eastAsia="宋体"/>
          <w:szCs w:val="21"/>
        </w:rPr>
        <w:t>排名第二的</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rPr>
        <w:t>为中标人</w:t>
      </w:r>
      <w:r>
        <w:rPr>
          <w:rFonts w:hint="eastAsia" w:ascii="宋体" w:hAnsi="宋体" w:eastAsia="宋体"/>
          <w:szCs w:val="21"/>
          <w:lang w:eastAsia="zh-CN"/>
        </w:rPr>
        <w:t>，</w:t>
      </w:r>
      <w:r>
        <w:rPr>
          <w:rFonts w:hint="eastAsia" w:ascii="宋体" w:hAnsi="宋体" w:eastAsia="宋体"/>
          <w:szCs w:val="21"/>
          <w:lang w:val="en-US" w:eastAsia="zh-CN"/>
        </w:rPr>
        <w:t>依此类推。</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包含但不限于报价表、产品技术、商务偏离表、营业执照、法人授权书、相关注册证书、售后服务方案、彩页等产品信息的相关资料。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tbl>
      <w:tblPr>
        <w:tblStyle w:val="6"/>
        <w:tblpPr w:leftFromText="180" w:rightFromText="180" w:vertAnchor="text" w:horzAnchor="page" w:tblpX="1615" w:tblpY="511"/>
        <w:tblOverlap w:val="never"/>
        <w:tblW w:w="8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3237"/>
        <w:gridCol w:w="1424"/>
        <w:gridCol w:w="1861"/>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9" w:hRule="atLeast"/>
        </w:trPr>
        <w:tc>
          <w:tcPr>
            <w:tcW w:w="6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序号</w:t>
            </w:r>
          </w:p>
        </w:tc>
        <w:tc>
          <w:tcPr>
            <w:tcW w:w="323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_GB2312" w:hAnsi="Calibri" w:eastAsia="仿宋_GB2312" w:cs="Calibri"/>
                <w:color w:val="000000"/>
                <w:sz w:val="24"/>
                <w:szCs w:val="24"/>
              </w:rPr>
            </w:pPr>
            <w:r>
              <w:rPr>
                <w:rFonts w:hint="eastAsia" w:ascii="仿宋_GB2312" w:hAnsi="Calibri" w:eastAsia="仿宋_GB2312" w:cs="Calibri"/>
                <w:color w:val="000000"/>
                <w:sz w:val="24"/>
                <w:szCs w:val="24"/>
                <w:lang w:val="en-US" w:eastAsia="zh-CN"/>
              </w:rPr>
              <w:t>项目内容</w:t>
            </w:r>
            <w:r>
              <w:rPr>
                <w:rFonts w:hint="eastAsia" w:ascii="仿宋_GB2312" w:hAnsi="Calibri" w:eastAsia="仿宋_GB2312" w:cs="Calibri"/>
                <w:color w:val="000000"/>
                <w:sz w:val="24"/>
                <w:szCs w:val="24"/>
              </w:rPr>
              <w:t>名称</w:t>
            </w:r>
          </w:p>
        </w:tc>
        <w:tc>
          <w:tcPr>
            <w:tcW w:w="1424"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Calibri" w:eastAsia="仿宋_GB2312" w:cs="Calibri"/>
                <w:color w:val="000000"/>
                <w:sz w:val="24"/>
                <w:szCs w:val="24"/>
                <w:lang w:val="en-US" w:eastAsia="zh-CN"/>
              </w:rPr>
            </w:pPr>
            <w:r>
              <w:rPr>
                <w:rFonts w:hint="eastAsia" w:ascii="仿宋_GB2312" w:hAnsi="Calibri" w:eastAsia="仿宋_GB2312" w:cs="Calibri"/>
                <w:color w:val="000000"/>
                <w:sz w:val="24"/>
                <w:szCs w:val="24"/>
                <w:lang w:val="en-US" w:eastAsia="zh-CN"/>
              </w:rPr>
              <w:t>数量</w:t>
            </w:r>
          </w:p>
        </w:tc>
        <w:tc>
          <w:tcPr>
            <w:tcW w:w="186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Calibri" w:eastAsia="仿宋_GB2312" w:cs="Calibri"/>
                <w:color w:val="000000"/>
                <w:sz w:val="24"/>
                <w:szCs w:val="24"/>
                <w:lang w:val="en-US" w:eastAsia="zh-CN"/>
              </w:rPr>
            </w:pPr>
            <w:r>
              <w:rPr>
                <w:rFonts w:hint="eastAsia" w:ascii="仿宋_GB2312" w:hAnsi="Calibri" w:eastAsia="仿宋_GB2312" w:cs="Calibri"/>
                <w:color w:val="000000"/>
                <w:sz w:val="24"/>
                <w:szCs w:val="24"/>
              </w:rPr>
              <w:t>价</w:t>
            </w:r>
            <w:r>
              <w:rPr>
                <w:rFonts w:hint="eastAsia" w:ascii="仿宋_GB2312" w:hAnsi="Calibri" w:eastAsia="仿宋_GB2312" w:cs="Calibri"/>
                <w:color w:val="000000"/>
                <w:sz w:val="24"/>
                <w:szCs w:val="24"/>
                <w:lang w:val="en-US" w:eastAsia="zh-CN"/>
              </w:rPr>
              <w:t>格（元）</w:t>
            </w:r>
          </w:p>
        </w:tc>
        <w:tc>
          <w:tcPr>
            <w:tcW w:w="1263"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trPr>
        <w:tc>
          <w:tcPr>
            <w:tcW w:w="6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Calibri" w:eastAsia="仿宋_GB2312" w:cs="Calibri"/>
                <w:color w:val="000000"/>
                <w:sz w:val="24"/>
                <w:szCs w:val="24"/>
                <w:lang w:val="en-US" w:eastAsia="zh-CN"/>
              </w:rPr>
            </w:pPr>
            <w:r>
              <w:rPr>
                <w:rFonts w:hint="eastAsia" w:ascii="仿宋_GB2312" w:hAnsi="Calibri" w:eastAsia="仿宋_GB2312" w:cs="Calibri"/>
                <w:color w:val="000000"/>
                <w:sz w:val="24"/>
                <w:szCs w:val="24"/>
                <w:lang w:val="en-US" w:eastAsia="zh-CN"/>
              </w:rPr>
              <w:t>1</w:t>
            </w:r>
          </w:p>
        </w:tc>
        <w:tc>
          <w:tcPr>
            <w:tcW w:w="323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Calibri" w:eastAsia="仿宋_GB2312" w:cs="Calibri"/>
                <w:color w:val="000000"/>
                <w:sz w:val="24"/>
                <w:szCs w:val="24"/>
                <w:lang w:val="en-US" w:eastAsia="zh-CN"/>
              </w:rPr>
            </w:pPr>
            <w:r>
              <w:rPr>
                <w:rFonts w:hint="eastAsia" w:ascii="仿宋_GB2312" w:hAnsi="Calibri" w:eastAsia="仿宋_GB2312" w:cs="Calibri"/>
                <w:color w:val="000000"/>
                <w:sz w:val="24"/>
                <w:szCs w:val="24"/>
                <w:lang w:val="en-US" w:eastAsia="zh-CN"/>
              </w:rPr>
              <w:t>广西骨伤医院中医药文化宣传能力提升项目</w:t>
            </w:r>
          </w:p>
        </w:tc>
        <w:tc>
          <w:tcPr>
            <w:tcW w:w="1424"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Calibri" w:eastAsia="仿宋_GB2312" w:cs="Calibri"/>
                <w:color w:val="000000"/>
                <w:sz w:val="24"/>
                <w:szCs w:val="24"/>
                <w:lang w:val="en-US" w:eastAsia="zh-CN"/>
              </w:rPr>
            </w:pPr>
            <w:r>
              <w:rPr>
                <w:rFonts w:hint="eastAsia" w:ascii="仿宋_GB2312" w:hAnsi="Calibri" w:eastAsia="仿宋_GB2312" w:cs="Calibri"/>
                <w:color w:val="000000"/>
                <w:sz w:val="24"/>
                <w:szCs w:val="24"/>
                <w:lang w:val="en-US" w:eastAsia="zh-CN"/>
              </w:rPr>
              <w:t>1项</w:t>
            </w:r>
          </w:p>
        </w:tc>
        <w:tc>
          <w:tcPr>
            <w:tcW w:w="1861"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Calibri" w:eastAsia="仿宋_GB2312" w:cs="Calibri"/>
                <w:color w:val="000000"/>
                <w:sz w:val="24"/>
                <w:szCs w:val="24"/>
                <w:lang w:val="en-US" w:eastAsia="zh-CN"/>
              </w:rPr>
            </w:pPr>
          </w:p>
        </w:tc>
        <w:tc>
          <w:tcPr>
            <w:tcW w:w="1263"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Calibri" w:eastAsia="仿宋_GB2312" w:cs="Calibri"/>
                <w:color w:val="000000"/>
                <w:sz w:val="24"/>
                <w:szCs w:val="24"/>
                <w:lang w:val="en-US" w:eastAsia="zh-CN"/>
              </w:rPr>
            </w:pPr>
          </w:p>
        </w:tc>
      </w:tr>
    </w:tbl>
    <w:p>
      <w:pPr>
        <w:snapToGrid w:val="0"/>
        <w:spacing w:before="50" w:after="50" w:line="440" w:lineRule="exact"/>
        <w:jc w:val="left"/>
        <w:rPr>
          <w:rFonts w:ascii="仿宋_GB2312" w:hAnsi="Calibri" w:eastAsia="仿宋_GB2312" w:cs="Calibri"/>
          <w:color w:val="000000"/>
          <w:sz w:val="32"/>
          <w:szCs w:val="32"/>
        </w:rPr>
      </w:pP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hint="eastAsia"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firstLine="643" w:firstLineChars="200"/>
        <w:jc w:val="left"/>
        <w:rPr>
          <w:rFonts w:hint="default" w:ascii="仿宋_GB2312" w:hAnsi="Calibri" w:eastAsia="仿宋_GB2312" w:cs="Calibri"/>
          <w:color w:val="000000"/>
          <w:sz w:val="32"/>
          <w:szCs w:val="32"/>
          <w:lang w:val="en-US" w:eastAsia="zh-CN"/>
        </w:rPr>
      </w:pPr>
      <w:r>
        <w:rPr>
          <w:rFonts w:hint="eastAsia" w:ascii="仿宋_GB2312" w:hAnsi="Calibri" w:eastAsia="仿宋_GB2312" w:cs="Calibri"/>
          <w:b/>
          <w:color w:val="000000"/>
          <w:sz w:val="32"/>
          <w:szCs w:val="32"/>
          <w:lang w:val="en-US" w:eastAsia="zh-CN"/>
        </w:rPr>
        <w:t>3.</w:t>
      </w:r>
      <w:r>
        <w:rPr>
          <w:rFonts w:hint="eastAsia" w:ascii="仿宋_GB2312" w:hAnsi="Calibri" w:eastAsia="仿宋_GB2312" w:cs="Calibri"/>
          <w:color w:val="000000"/>
          <w:sz w:val="32"/>
          <w:szCs w:val="32"/>
          <w:lang w:val="en-US" w:eastAsia="zh-CN"/>
        </w:rPr>
        <w:t>总报价后附报价明细，报价明细包含每一个小项所用到的材料、规格、价格等内容。</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7A57"/>
    <w:rsid w:val="00804931"/>
    <w:rsid w:val="00827DAF"/>
    <w:rsid w:val="00851441"/>
    <w:rsid w:val="00866E90"/>
    <w:rsid w:val="00876610"/>
    <w:rsid w:val="008B0597"/>
    <w:rsid w:val="008B759C"/>
    <w:rsid w:val="008D1A95"/>
    <w:rsid w:val="008F2FB5"/>
    <w:rsid w:val="009021D5"/>
    <w:rsid w:val="009123EC"/>
    <w:rsid w:val="00914286"/>
    <w:rsid w:val="009149DA"/>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67099"/>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7E10079"/>
    <w:rsid w:val="100B70C3"/>
    <w:rsid w:val="16A95621"/>
    <w:rsid w:val="1A632FBA"/>
    <w:rsid w:val="1BB72373"/>
    <w:rsid w:val="1D523578"/>
    <w:rsid w:val="230C6132"/>
    <w:rsid w:val="267D2BB8"/>
    <w:rsid w:val="2C3C3D64"/>
    <w:rsid w:val="2D0E68A8"/>
    <w:rsid w:val="2F45680A"/>
    <w:rsid w:val="2F60116C"/>
    <w:rsid w:val="303D69DF"/>
    <w:rsid w:val="35A4326D"/>
    <w:rsid w:val="36EF4890"/>
    <w:rsid w:val="39026745"/>
    <w:rsid w:val="399D69A6"/>
    <w:rsid w:val="3CF86B7C"/>
    <w:rsid w:val="45DB2F02"/>
    <w:rsid w:val="53FE114B"/>
    <w:rsid w:val="57874CD5"/>
    <w:rsid w:val="59B64834"/>
    <w:rsid w:val="5A3E3690"/>
    <w:rsid w:val="5D72019D"/>
    <w:rsid w:val="5E7677A3"/>
    <w:rsid w:val="5E9A1F4D"/>
    <w:rsid w:val="5EBA7B70"/>
    <w:rsid w:val="64BF359F"/>
    <w:rsid w:val="64E861BC"/>
    <w:rsid w:val="6D5A388E"/>
    <w:rsid w:val="74DA269D"/>
    <w:rsid w:val="78D3337A"/>
    <w:rsid w:val="78DB147E"/>
    <w:rsid w:val="7D0E37F9"/>
    <w:rsid w:val="7E5F3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2"/>
    <w:semiHidden/>
    <w:unhideWhenUsed/>
    <w:qFormat/>
    <w:uiPriority w:val="99"/>
    <w:pPr>
      <w:ind w:left="100" w:leftChars="250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日期 字符"/>
    <w:basedOn w:val="8"/>
    <w:link w:val="3"/>
    <w:semiHidden/>
    <w:qFormat/>
    <w:uiPriority w:val="99"/>
  </w:style>
  <w:style w:type="character" w:customStyle="1" w:styleId="13">
    <w:name w:val="标题 2 字符"/>
    <w:basedOn w:val="8"/>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8"/>
    <w:qFormat/>
    <w:uiPriority w:val="0"/>
    <w:rPr>
      <w:rFonts w:hint="eastAsia" w:ascii="宋体" w:hAnsi="宋体" w:eastAsia="宋体" w:cs="宋体"/>
      <w:color w:val="000000"/>
      <w:sz w:val="20"/>
      <w:szCs w:val="20"/>
      <w:u w:val="none"/>
    </w:rPr>
  </w:style>
  <w:style w:type="character" w:customStyle="1" w:styleId="16">
    <w:name w:val="font5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18117</Words>
  <Characters>18879</Characters>
  <Lines>160</Lines>
  <Paragraphs>45</Paragraphs>
  <TotalTime>18</TotalTime>
  <ScaleCrop>false</ScaleCrop>
  <LinksUpToDate>false</LinksUpToDate>
  <CharactersWithSpaces>20704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2022-08-29T00:23:00Z</dcterms:created>
  <dc:creator>魏宝兴</dc:creator>
  <cp:lastModifiedBy>7月LEO</cp:lastModifiedBy>
  <dcterms:modified xsi:type="dcterms:W3CDTF">2022-11-07T07:41:52Z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003F4B7C55754348827E781723701253</vt:lpwstr>
  </property>
</Properties>
</file>