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项目名称：广西骨伤医院喷雾式过氧化氢消毒机采购项目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项目编号：GXGSYY-CGB-YLSBK-2022-25</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年10月 26日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44229878"/>
      <w:bookmarkStart w:id="3" w:name="_Toc28359089"/>
      <w:bookmarkStart w:id="4" w:name="_Toc35393798"/>
      <w:bookmarkStart w:id="5" w:name="_Toc28359012"/>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项目编号：GXGSYY-CGB-YLSBK-2022-25</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项目名称：广西骨伤医院喷雾式过氧化氢消毒机采购项目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预算金额：11.5万元。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最高限价：11.5万元。</w:t>
      </w:r>
      <w:bookmarkStart w:id="7" w:name="_Toc47452206"/>
      <w:bookmarkStart w:id="8" w:name="_Toc35393630"/>
      <w:bookmarkStart w:id="9" w:name="_Toc28359090"/>
      <w:bookmarkStart w:id="10" w:name="_Toc44229879"/>
      <w:bookmarkStart w:id="11" w:name="_Toc28359013"/>
      <w:bookmarkStart w:id="12" w:name="_Toc35393799"/>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广西骨伤医院喷雾式过氧化氢消毒机采购项目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1.采用先进雾化工艺技术，无需加热，非压缩气体喷雾，扩散均匀，有效消毒距离远；</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2.适用于医疗机构中有卫生要求的场所；</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3.雾化颗粒直径≤5μm（提供第三方权威机构粒径测试报告，≤2μm时为正偏离）；</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4.过氧化氢消毒液为食品级过氧化氢，浓度兼容6-35%，非专机专用；</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 </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val="en-US" w:eastAsia="zh-CN"/>
        </w:rPr>
        <w:fldChar w:fldCharType="begin"/>
      </w:r>
      <w:r>
        <w:rPr>
          <w:rFonts w:hint="eastAsia" w:ascii="宋体" w:hAnsi="宋体" w:eastAsia="宋体" w:cs="Times New Roman"/>
          <w:color w:val="000000"/>
          <w:szCs w:val="21"/>
          <w:lang w:val="en-US" w:eastAsia="zh-CN"/>
        </w:rPr>
        <w:instrText xml:space="preserve"> HYPERLINK "mailto:gxgsyycgb@163.com" </w:instrText>
      </w:r>
      <w:r>
        <w:rPr>
          <w:rFonts w:hint="eastAsia" w:ascii="宋体" w:hAnsi="宋体" w:eastAsia="宋体" w:cs="Times New Roman"/>
          <w:color w:val="000000"/>
          <w:szCs w:val="21"/>
          <w:lang w:val="en-US" w:eastAsia="zh-CN"/>
        </w:rPr>
        <w:fldChar w:fldCharType="separate"/>
      </w:r>
      <w:r>
        <w:rPr>
          <w:rStyle w:val="9"/>
          <w:rFonts w:hint="eastAsia" w:ascii="宋体" w:hAnsi="宋体" w:eastAsia="宋体" w:cs="Times New Roman"/>
          <w:color w:val="000000"/>
          <w:szCs w:val="21"/>
          <w:lang w:val="en-US" w:eastAsia="zh-CN"/>
        </w:rPr>
        <w:t>gxgsyycgb@163.com</w:t>
      </w:r>
      <w:r>
        <w:rPr>
          <w:rFonts w:hint="eastAsia" w:ascii="宋体" w:hAnsi="宋体" w:eastAsia="宋体" w:cs="Times New Roman"/>
          <w:color w:val="000000"/>
          <w:szCs w:val="21"/>
          <w:lang w:val="en-US" w:eastAsia="zh-CN"/>
        </w:rPr>
        <w:fldChar w:fldCharType="end"/>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jc w:val="right"/>
        <w:rPr>
          <w:rFonts w:hint="eastAsia" w:ascii="Calibri" w:hAnsi="Calibri" w:eastAsia="宋体" w:cs="Times New Roman"/>
          <w:szCs w:val="24"/>
          <w:lang w:val="en-US" w:eastAsia="zh-CN"/>
        </w:rPr>
      </w:pPr>
      <w:r>
        <w:rPr>
          <w:rFonts w:hint="eastAsia" w:ascii="Calibri" w:hAnsi="Calibri" w:eastAsia="宋体" w:cs="Times New Roman"/>
          <w:szCs w:val="24"/>
          <w:lang w:val="en-US" w:eastAsia="zh-CN"/>
        </w:rPr>
        <w:t>广西骨伤医院</w:t>
      </w:r>
    </w:p>
    <w:p>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2022年10月31日</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广西骨伤医院喷雾式过氧化氢消毒机采购项目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广西骨伤医院喷雾式过氧化氢消毒机采购项目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6845" w:type="dxa"/>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1.采用先进雾化工艺技术，无需加热，非压缩气体喷雾，扩散均匀，有效消毒距离远；</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2.适用于医疗机构中有卫生要求的场所；</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3.雾化颗粒直径≤5μm（提供第三方权威机构粒径测试报告，≤2μm时为正偏离）；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4.过氧化氢消毒液为食品级过氧化氢，浓度兼容6-35%，非专机专用；</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5.消毒液使用量≤6ml/m3（保证消毒效果，≤3ml/m3时为正偏离）；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6.配备显示屏操作，内置计算软件；</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7.设备操作具有按空间体积和按消毒时间计算双模式；</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8.空气消毒效果：对白色葡萄球菌杀灭率＞99.90%，对空气中自然菌的消亡率＞90%（提供CMA认证检验报告，杀灭率和消亡率是100%时为正偏离）；</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9.对大肠杆菌、金葡菌、铜绿假单胞杆菌、谷草芽孢杆菌等的杀灭对数值≥5（提供CMA认证检验报告）；</w:t>
            </w:r>
          </w:p>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10.对气溶胶核酸（DNA、RNA）清除率＞99%，提供第三方权威机构检测报告；</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Times New Roman"/>
                <w:b/>
                <w:color w:val="000000"/>
                <w:szCs w:val="21"/>
              </w:rPr>
              <w:t>▲</w:t>
            </w:r>
            <w:r>
              <w:rPr>
                <w:rFonts w:hint="eastAsia" w:ascii="宋体" w:hAnsi="宋体" w:eastAsia="宋体" w:cs="宋体"/>
                <w:bCs/>
                <w:szCs w:val="21"/>
              </w:rPr>
              <w:t>11</w:t>
            </w:r>
            <w:r>
              <w:rPr>
                <w:rFonts w:hint="eastAsia" w:ascii="宋体" w:hAnsi="宋体" w:eastAsia="宋体" w:cs="宋体"/>
                <w:bCs/>
                <w:szCs w:val="21"/>
                <w:lang w:val="en-US" w:eastAsia="zh-CN"/>
              </w:rPr>
              <w:t>.</w:t>
            </w:r>
            <w:r>
              <w:rPr>
                <w:rFonts w:hint="eastAsia" w:ascii="宋体" w:hAnsi="宋体" w:eastAsia="宋体" w:cs="宋体"/>
                <w:bCs/>
                <w:szCs w:val="21"/>
              </w:rPr>
              <w:t>设备可使用交流电和内置蓄电池（可充电）供电工作。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6.1</w:t>
            </w:r>
            <w:r>
              <w:rPr>
                <w:rFonts w:hint="eastAsia" w:ascii="宋体" w:hAnsi="宋体" w:eastAsia="宋体" w:cs="Times New Roman"/>
                <w:color w:val="000000"/>
                <w:szCs w:val="21"/>
              </w:rPr>
              <w:t>～</w:t>
            </w:r>
            <w:r>
              <w:rPr>
                <w:rFonts w:ascii="宋体" w:hAnsi="宋体" w:eastAsia="宋体" w:cs="Times New Roman"/>
                <w:color w:val="000000"/>
                <w:szCs w:val="21"/>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5</w:t>
            </w:r>
            <w:bookmarkStart w:id="25" w:name="_GoBack"/>
            <w:bookmarkEnd w:id="25"/>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w:t>
      </w:r>
      <w:r>
        <w:rPr>
          <w:rFonts w:hint="eastAsia" w:ascii="宋体" w:hAnsi="宋体" w:eastAsia="宋体"/>
          <w:szCs w:val="21"/>
        </w:rPr>
        <w:t>按照评审得分由高到低顺序进行排名（评审得分相同的，按照最后报价由低到高的顺序排名，评审得分且最后报价相同的，按照技术分顺序排名，按技术得分由高到低排序，技术得分相同的按照技术需求偏离分由高到低排序），并编写评审报告，推荐评审得分第一的为成交候选供应商。评审得分排名第一的成交候选供应商放弃中标、或因不可抗力提出不能履行合同，可以确定评审得分排名第二的成交候选供应商为中标人，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D31A2"/>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EE5A54"/>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0292443"/>
    <w:rsid w:val="230C6132"/>
    <w:rsid w:val="253B739C"/>
    <w:rsid w:val="267D2BB8"/>
    <w:rsid w:val="2C3C3D64"/>
    <w:rsid w:val="2D724FEA"/>
    <w:rsid w:val="2F60116C"/>
    <w:rsid w:val="303D69DF"/>
    <w:rsid w:val="36EF4890"/>
    <w:rsid w:val="39026745"/>
    <w:rsid w:val="399D69A6"/>
    <w:rsid w:val="3CF86B7C"/>
    <w:rsid w:val="45DB2F02"/>
    <w:rsid w:val="53FE114B"/>
    <w:rsid w:val="55F82FD1"/>
    <w:rsid w:val="57874CD5"/>
    <w:rsid w:val="59B64834"/>
    <w:rsid w:val="5D72019D"/>
    <w:rsid w:val="5DAA4E66"/>
    <w:rsid w:val="5E9A1F4D"/>
    <w:rsid w:val="5EBA7B70"/>
    <w:rsid w:val="64BF359F"/>
    <w:rsid w:val="64E861BC"/>
    <w:rsid w:val="6D5A388E"/>
    <w:rsid w:val="74DA269D"/>
    <w:rsid w:val="759E4911"/>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 w:type="character" w:customStyle="1" w:styleId="13">
    <w:name w:val="标题 2 字符"/>
    <w:basedOn w:val="8"/>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8"/>
    <w:qFormat/>
    <w:uiPriority w:val="0"/>
    <w:rPr>
      <w:rFonts w:hint="eastAsia" w:ascii="宋体" w:hAnsi="宋体" w:eastAsia="宋体" w:cs="宋体"/>
      <w:color w:val="000000"/>
      <w:sz w:val="20"/>
      <w:szCs w:val="20"/>
      <w:u w:val="none"/>
    </w:rPr>
  </w:style>
  <w:style w:type="character" w:customStyle="1" w:styleId="16">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18653</Words>
  <Characters>19474</Characters>
  <Lines>157</Lines>
  <Paragraphs>44</Paragraphs>
  <TotalTime>1</TotalTime>
  <ScaleCrop>false</ScaleCrop>
  <LinksUpToDate>false</LinksUpToDate>
  <CharactersWithSpaces>21344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dcterms:modified xsi:type="dcterms:W3CDTF">2022-10-31T05:06:37Z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