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54" w:leftChars="740" w:hanging="1600" w:hangingChars="498"/>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广西骨伤医院2022-2023年医院中药饮片供应商院内遴选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项目编号：GXGSYY-CGB-YXB-2022-04</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lang w:eastAsia="zh-CN"/>
        </w:rPr>
        <w:t>2022</w:t>
      </w:r>
      <w:r>
        <w:rPr>
          <w:rFonts w:hint="eastAsia" w:ascii="仿宋_GB2312" w:hAnsi="宋体" w:eastAsia="仿宋_GB2312" w:cs="Times New Roman"/>
          <w:b/>
          <w:color w:val="000000"/>
          <w:sz w:val="32"/>
          <w:szCs w:val="32"/>
          <w:lang w:val="en-US" w:eastAsia="zh-CN"/>
        </w:rPr>
        <w:t>年10</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14</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28359089"/>
      <w:bookmarkStart w:id="3" w:name="_Toc44229878"/>
      <w:bookmarkStart w:id="4" w:name="_Toc28359012"/>
      <w:bookmarkStart w:id="5" w:name="_Toc47452205"/>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项目编号：GXGSYY-CGB-YXB-2022-04</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广西骨伤医院2022-2023年医院中药饮片供应商院内遴选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28359090"/>
      <w:bookmarkStart w:id="8" w:name="_Toc35393630"/>
      <w:bookmarkStart w:id="9" w:name="_Toc35393799"/>
      <w:bookmarkStart w:id="10" w:name="_Toc44229879"/>
      <w:bookmarkStart w:id="11" w:name="_Toc28359013"/>
      <w:bookmarkStart w:id="12" w:name="_Toc47452206"/>
      <w:r>
        <w:rPr>
          <w:rFonts w:hint="eastAsia" w:ascii="宋体" w:hAnsi="宋体" w:eastAsia="宋体" w:cs="Times New Roman"/>
          <w:color w:val="000000"/>
          <w:szCs w:val="21"/>
        </w:rPr>
        <w:t>.服务期限：</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7"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宋体" w:hAnsi="宋体" w:eastAsia="宋体" w:cs="Calibri"/>
                <w:color w:val="000000"/>
                <w:szCs w:val="21"/>
              </w:rPr>
            </w:pPr>
            <w:r>
              <w:rPr>
                <w:rFonts w:hint="eastAsia" w:ascii="宋体" w:hAnsi="宋体" w:eastAsia="宋体" w:cs="Times New Roman"/>
                <w:color w:val="000000"/>
                <w:szCs w:val="21"/>
                <w:lang w:eastAsia="zh-CN"/>
              </w:rPr>
              <w:t>广西骨伤医</w:t>
            </w:r>
            <w:r>
              <w:rPr>
                <w:rFonts w:hint="eastAsia" w:ascii="宋体" w:hAnsi="宋体" w:eastAsia="宋体" w:cs="Times New Roman"/>
                <w:color w:val="000000"/>
                <w:szCs w:val="21"/>
                <w:lang w:val="en-US" w:eastAsia="zh-CN"/>
              </w:rPr>
              <w:t>院</w:t>
            </w:r>
            <w:r>
              <w:rPr>
                <w:rFonts w:hint="eastAsia" w:ascii="宋体" w:hAnsi="宋体" w:eastAsia="宋体" w:cs="Times New Roman"/>
                <w:color w:val="000000"/>
                <w:szCs w:val="21"/>
                <w:lang w:eastAsia="zh-CN"/>
              </w:rPr>
              <w:t>2022-2023年医院中药饮片供应商院内遴选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tbl>
            <w:tblPr>
              <w:tblStyle w:val="7"/>
              <w:tblW w:w="4794"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1"/>
              <w:gridCol w:w="360"/>
              <w:gridCol w:w="510"/>
              <w:gridCol w:w="495"/>
              <w:gridCol w:w="825"/>
              <w:gridCol w:w="1535"/>
              <w:gridCol w:w="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794" w:type="dxa"/>
                  <w:gridSpan w:val="7"/>
                  <w:tcBorders>
                    <w:top w:val="single" w:color="auto" w:sz="4" w:space="0"/>
                    <w:left w:val="single" w:color="auto" w:sz="0" w:space="0"/>
                    <w:bottom w:val="single" w:color="auto" w:sz="4" w:space="0"/>
                    <w:right w:val="single" w:color="auto" w:sz="4" w:space="0"/>
                  </w:tcBorders>
                  <w:shd w:val="clear" w:color="auto" w:fill="auto"/>
                  <w:noWrap/>
                  <w:vAlign w:val="center"/>
                </w:tcPr>
                <w:p>
                  <w:pPr>
                    <w:rPr>
                      <w:rFonts w:hint="eastAsia"/>
                      <w:sz w:val="18"/>
                      <w:szCs w:val="20"/>
                    </w:rPr>
                  </w:pPr>
                  <w:r>
                    <w:rPr>
                      <w:rFonts w:hint="eastAsia"/>
                      <w:sz w:val="18"/>
                      <w:szCs w:val="20"/>
                      <w:lang w:val="en-US" w:eastAsia="zh-CN"/>
                    </w:rPr>
                    <w:t>请注意：请严格按序号数字报价，序号不得改动！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2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sz w:val="18"/>
                      <w:szCs w:val="20"/>
                    </w:rPr>
                  </w:pPr>
                  <w:r>
                    <w:rPr>
                      <w:rFonts w:hint="default"/>
                      <w:sz w:val="18"/>
                      <w:szCs w:val="20"/>
                      <w:lang w:val="en-US" w:eastAsia="zh-CN"/>
                    </w:rPr>
                    <w:t>序号</w:t>
                  </w:r>
                </w:p>
              </w:tc>
              <w:tc>
                <w:tcPr>
                  <w:tcW w:w="36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药品名称</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规格</w:t>
                  </w:r>
                </w:p>
              </w:tc>
              <w:tc>
                <w:tcPr>
                  <w:tcW w:w="49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单位</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要求</w:t>
                  </w:r>
                </w:p>
              </w:tc>
              <w:tc>
                <w:tcPr>
                  <w:tcW w:w="153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要求提供参考样本</w:t>
                  </w:r>
                </w:p>
              </w:tc>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sz w:val="18"/>
                      <w:szCs w:val="20"/>
                    </w:rPr>
                  </w:pPr>
                  <w:r>
                    <w:rPr>
                      <w:rFonts w:hint="eastAsia"/>
                      <w:sz w:val="18"/>
                      <w:szCs w:val="20"/>
                      <w:lang w:val="en-US" w:eastAsia="zh-CN"/>
                    </w:rPr>
                    <w:t>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2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1</w:t>
                  </w:r>
                </w:p>
              </w:tc>
              <w:tc>
                <w:tcPr>
                  <w:tcW w:w="36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阿胶珠</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蛤粉烫</w:t>
                  </w:r>
                </w:p>
              </w:tc>
              <w:tc>
                <w:tcPr>
                  <w:tcW w:w="49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kg</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2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2</w:t>
                  </w:r>
                </w:p>
              </w:tc>
              <w:tc>
                <w:tcPr>
                  <w:tcW w:w="36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矮地茶</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切段</w:t>
                  </w:r>
                </w:p>
              </w:tc>
              <w:tc>
                <w:tcPr>
                  <w:tcW w:w="49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kg</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2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3</w:t>
                  </w:r>
                </w:p>
              </w:tc>
              <w:tc>
                <w:tcPr>
                  <w:tcW w:w="36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艾叶</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叶</w:t>
                  </w:r>
                </w:p>
              </w:tc>
              <w:tc>
                <w:tcPr>
                  <w:tcW w:w="49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kg</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2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4</w:t>
                  </w:r>
                </w:p>
              </w:tc>
              <w:tc>
                <w:tcPr>
                  <w:tcW w:w="36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白矾</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原</w:t>
                  </w:r>
                </w:p>
              </w:tc>
              <w:tc>
                <w:tcPr>
                  <w:tcW w:w="49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r>
                    <w:rPr>
                      <w:rFonts w:hint="default"/>
                      <w:sz w:val="18"/>
                      <w:szCs w:val="20"/>
                      <w:lang w:val="en-US" w:eastAsia="zh-CN"/>
                    </w:rPr>
                    <w:t>kg</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sz w:val="18"/>
                      <w:szCs w:val="20"/>
                    </w:rPr>
                  </w:pPr>
                </w:p>
              </w:tc>
            </w:tr>
          </w:tbl>
          <w:p>
            <w:pPr>
              <w:spacing w:line="320" w:lineRule="exact"/>
              <w:jc w:val="left"/>
              <w:rPr>
                <w:rFonts w:hint="eastAsia" w:ascii="宋体" w:hAnsi="宋体" w:eastAsia="宋体" w:cs="Calibri"/>
                <w:color w:val="000000"/>
                <w:szCs w:val="21"/>
                <w:lang w:val="en-US" w:eastAsia="zh-CN"/>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hint="eastAsia"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1.供应商必须是取得合法生产和经营资质的中药饮片生产或经营企业。</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2.满足《中华人民共和国政府采购法》第二十二条的规定要求。</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3.本次招标不接受联合体投标。</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4.单位负责人为同一人或者存在直接控股、管理关系的不同供应商，不得同时参加本采购项目投标。</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5.拟投标中药饮片投标品种应达到招标品种数量的85％以上。</w:t>
      </w:r>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6.饮片必须符合现行版《中华人民共和国药典》要求，非药典收载的品种，须符合地方标准的要求。</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w:t>
      </w:r>
      <w:r>
        <w:rPr>
          <w:rFonts w:ascii="宋体" w:hAnsi="宋体" w:eastAsia="宋体" w:cs="Times New Roman"/>
          <w:color w:val="000000"/>
          <w:szCs w:val="21"/>
          <w:highlight w:val="none"/>
          <w:u w:val="single"/>
        </w:rPr>
        <w:t>202</w:t>
      </w:r>
      <w:r>
        <w:rPr>
          <w:rFonts w:hint="eastAsia" w:ascii="宋体" w:hAnsi="宋体" w:eastAsia="宋体" w:cs="Times New Roman"/>
          <w:color w:val="000000"/>
          <w:szCs w:val="21"/>
          <w:highlight w:val="none"/>
          <w:u w:val="single"/>
        </w:rPr>
        <w:t>2</w:t>
      </w:r>
      <w:r>
        <w:rPr>
          <w:rFonts w:ascii="宋体" w:hAnsi="宋体" w:eastAsia="宋体" w:cs="Times New Roman"/>
          <w:color w:val="000000"/>
          <w:szCs w:val="21"/>
          <w:highlight w:val="none"/>
          <w:u w:val="single"/>
        </w:rPr>
        <w:t>年</w:t>
      </w:r>
      <w:r>
        <w:rPr>
          <w:rFonts w:hint="eastAsia" w:ascii="宋体" w:hAnsi="宋体" w:eastAsia="宋体" w:cs="Times New Roman"/>
          <w:color w:val="000000"/>
          <w:szCs w:val="21"/>
          <w:highlight w:val="none"/>
          <w:u w:val="single"/>
          <w:lang w:val="en-US" w:eastAsia="zh-CN"/>
        </w:rPr>
        <w:t>10</w:t>
      </w:r>
      <w:r>
        <w:rPr>
          <w:rFonts w:ascii="宋体" w:hAnsi="宋体" w:eastAsia="宋体" w:cs="Times New Roman"/>
          <w:color w:val="000000"/>
          <w:szCs w:val="21"/>
          <w:highlight w:val="none"/>
          <w:u w:val="single"/>
        </w:rPr>
        <w:t>月</w:t>
      </w:r>
      <w:r>
        <w:rPr>
          <w:rFonts w:hint="eastAsia" w:ascii="宋体" w:hAnsi="宋体" w:eastAsia="宋体" w:cs="Times New Roman"/>
          <w:color w:val="000000"/>
          <w:szCs w:val="21"/>
          <w:highlight w:val="none"/>
          <w:u w:val="single"/>
          <w:lang w:val="en-US" w:eastAsia="zh-CN"/>
        </w:rPr>
        <w:t>26</w:t>
      </w:r>
      <w:r>
        <w:rPr>
          <w:rFonts w:ascii="宋体" w:hAnsi="宋体" w:eastAsia="宋体" w:cs="Times New Roman"/>
          <w:color w:val="000000"/>
          <w:szCs w:val="21"/>
          <w:highlight w:val="none"/>
          <w:u w:val="single"/>
        </w:rPr>
        <w:t>日18时00分</w:t>
      </w:r>
      <w:r>
        <w:rPr>
          <w:rFonts w:ascii="宋体" w:hAnsi="宋体" w:eastAsia="宋体" w:cs="Times New Roman"/>
          <w:color w:val="000000"/>
          <w:szCs w:val="21"/>
          <w:highlight w:val="none"/>
        </w:rPr>
        <w:t>。</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ascii="宋体" w:hAnsi="宋体" w:eastAsia="宋体" w:cs="Calibri"/>
          <w:bCs/>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10</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20</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ascii="宋体" w:hAnsi="宋体" w:eastAsia="宋体" w:cs="Calibri"/>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10</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26</w:t>
      </w:r>
      <w:r>
        <w:rPr>
          <w:rFonts w:hint="eastAsia" w:ascii="宋体" w:hAnsi="宋体" w:eastAsia="宋体" w:cs="Calibri"/>
          <w:bCs/>
          <w:color w:val="000000"/>
          <w:szCs w:val="21"/>
          <w:highlight w:val="none"/>
          <w:u w:val="single"/>
        </w:rPr>
        <w:t xml:space="preserve">日 </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non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w:t>
      </w:r>
      <w:r>
        <w:rPr>
          <w:rFonts w:hint="eastAsia" w:ascii="Calibri" w:hAnsi="Calibri" w:eastAsia="宋体" w:cs="Times New Roman"/>
          <w:szCs w:val="24"/>
          <w:u w:val="single"/>
          <w:lang w:val="en-US" w:eastAsia="zh-CN"/>
        </w:rPr>
        <w:t>老师</w:t>
      </w:r>
      <w:r>
        <w:rPr>
          <w:rFonts w:hint="eastAsia" w:ascii="Calibri" w:hAnsi="Calibri" w:eastAsia="宋体" w:cs="Times New Roman"/>
          <w:szCs w:val="24"/>
          <w:u w:val="single"/>
        </w:rPr>
        <w:t>；联系电话：</w:t>
      </w:r>
      <w:r>
        <w:rPr>
          <w:rFonts w:hint="eastAsia" w:ascii="Calibri" w:hAnsi="Calibri" w:eastAsia="宋体" w:cs="Times New Roman"/>
          <w:szCs w:val="24"/>
          <w:u w:val="single"/>
          <w:lang w:val="en-US" w:eastAsia="zh-CN"/>
        </w:rPr>
        <w:t xml:space="preserve">0771-2622251  </w:t>
      </w:r>
      <w:r>
        <w:rPr>
          <w:rFonts w:ascii="Calibri" w:hAnsi="Calibri" w:eastAsia="宋体" w:cs="Times New Roman"/>
          <w:szCs w:val="24"/>
          <w:u w:val="single"/>
        </w:rPr>
        <w:t>17344229910</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u w:val="none"/>
          <w:lang w:val="en-US" w:eastAsia="zh-CN"/>
        </w:rPr>
        <w:t xml:space="preserve">          </w:t>
      </w:r>
      <w:r>
        <w:rPr>
          <w:rFonts w:hint="eastAsia" w:ascii="Calibri" w:hAnsi="Calibri" w:eastAsia="宋体" w:cs="Times New Roman"/>
          <w:szCs w:val="24"/>
          <w:u w:val="single"/>
        </w:rPr>
        <w:t>联系人：黄药师；联系电话：15994465320</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lang w:eastAsia="zh-CN"/>
        </w:rPr>
        <w:t>广西骨伤医院2022-2023年医院中药饮片供应商院内遴选</w:t>
      </w:r>
      <w:r>
        <w:rPr>
          <w:rFonts w:hint="eastAsia" w:ascii="宋体" w:hAnsi="宋体" w:eastAsia="宋体" w:cs="Times New Roman"/>
          <w:color w:val="000000"/>
          <w:szCs w:val="21"/>
        </w:rPr>
        <w:t>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eastAsia="zh-CN"/>
              </w:rPr>
              <w:t>广西骨伤医院2022-2023年医院中药饮片供应商院内遴选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tbl>
            <w:tblPr>
              <w:tblStyle w:val="7"/>
              <w:tblW w:w="6920"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0"/>
              <w:gridCol w:w="1283"/>
              <w:gridCol w:w="930"/>
              <w:gridCol w:w="615"/>
              <w:gridCol w:w="1680"/>
              <w:gridCol w:w="975"/>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6920" w:type="dxa"/>
                  <w:gridSpan w:val="7"/>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8"/>
                      <w:szCs w:val="28"/>
                      <w:u w:val="none"/>
                    </w:rPr>
                  </w:pPr>
                  <w:r>
                    <w:rPr>
                      <w:rFonts w:hint="eastAsia" w:ascii="宋体" w:hAnsi="宋体" w:eastAsia="宋体" w:cs="宋体"/>
                      <w:i w:val="0"/>
                      <w:iCs w:val="0"/>
                      <w:color w:val="FF0000"/>
                      <w:kern w:val="0"/>
                      <w:sz w:val="28"/>
                      <w:szCs w:val="28"/>
                      <w:u w:val="none"/>
                      <w:lang w:val="en-US" w:eastAsia="zh-CN" w:bidi="ar"/>
                    </w:rPr>
                    <w:t>请注意：请严格按序号数字报价，序号不得改动！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序号</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药品名称</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规格</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单位</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要求</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要求提供参考样本</w:t>
                  </w:r>
                </w:p>
              </w:tc>
              <w:tc>
                <w:tcPr>
                  <w:tcW w:w="827"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阿胶珠</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蛤粉烫</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矮地茶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艾叶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白矾</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白胡椒</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白花蛇舌草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新鲜一级无泥</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白及</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白茅根</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白前</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白芍</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圆片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新鲜园片</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白鲜皮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白芷</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圆片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新鲜香薄片一级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百部</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百合</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新鲜无硫薄片无黑心一级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柏子仁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除去杂质和残留的种皮</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败酱草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板蓝根</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片(北)</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半枝莲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薄荷</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新鲜、香，一级无泥</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薄荷脑</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北柴胡</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厚片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根</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北沙参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萹蓄</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槟榔</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冰片</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合成</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侧柏叶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除去硬梗及杂质</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蝉蜕</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一级，无泥</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燀苦杏仁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去皮</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去皮</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燀桃仁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去皮</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去皮</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炒白扁豆</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炒苍耳子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炒黄</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炒鸡内金</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炒至鼓起</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炒蒺藜</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炒黄</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炒芥子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炒黄</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炒莱菔子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炒黄</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炒麦芽</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炒黄</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炮制规范（炒黄）</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炒牛蒡子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炒黄</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炒神曲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炒黄</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炒王不留行</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大多数爆开白花。</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车前草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无泥沙</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陈皮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一年以上陈</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赤芍</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新鲜园片</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赤小豆</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茺蔚子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楮实子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川贝母</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松贝，四川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川楝子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川木通</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无黑心新鲜一级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川牛膝</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川芎</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酒制，味香，薄片一级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穿破石</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垂盆草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醋鳖甲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打碎</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醋甘遂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醋龟甲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醋制，打碎</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醋没药</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炮制规范无木屑等杂质</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醋乳香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符合炮制规范，无木屑等杂质</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醋五灵脂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醋延胡索</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切薄片一级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大驳骨</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大腹皮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大黄</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一级</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新鲜一级，无泥</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大蓟</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大罗伞</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大青盐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大青叶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大血藤</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大枣</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优</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丹参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新鲜一级，无泥</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胆南星</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淡豆豉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淡竹叶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新鲜一级，无泥</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当归</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新鲜一级，无泥</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当归尾</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党参片</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厚片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新鲜无硫切小段一级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稻芽</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灯心草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地耳草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地肤子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地骨皮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地黄</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生，切片，一级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地锦草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地龙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去泥</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剖去内脏，无泥</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地榆</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丁香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原.公</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冬瓜子</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豆蔻</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果实</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独活</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新鲜无泥一级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煅磁石</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煅蛤壳</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煅龙骨</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煅牡蛎</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煅石决明</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煅自然铜</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无杂质</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莪术</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鹅不食草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儿茶</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法半夏</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复制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炮制规范个大一级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番泻叶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防风</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北防风</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根，切厚片</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防己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飞龙掌血</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飞扬草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粉葛</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切块</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薄片新鲜色白</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凤仙透骨草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佛手</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麸炒白术</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炮制规范（炒黄）</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麸炒苍术</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麸炒</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茯苓</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小块</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切薄片一级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浮萍</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浮石</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浮小麦</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附片（黑顺片）</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四川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覆盆子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甘草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圆片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切小圆片一级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甘松</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干姜</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无硫</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薄片新鲜</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干石斛</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非铁皮石斛</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119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干益母草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干鱼腥草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岗梅根</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杠板归</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藁本片</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功劳木</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钩藤</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去叶，切段</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狗脊</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枸杞子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280粒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一级，新鲜，宁夏</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谷精草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谷芽</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骨碎补</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新鲜无泥一级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瓜蒌皮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瓜蒌子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新鲜大粒一级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贯众</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广藿香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广金钱草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新鲜无泥一级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桂枝</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海风藤</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海金沙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海螵蛸</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海桐皮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海藻</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寒水石</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诃子肉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合欢皮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荷叶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红参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边条64支</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红花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红景天</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葫芦茶</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虎杖</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琥珀</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花椒</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滑石</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粉</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化橘红</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化州柚</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槐花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黄柏</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新鲜一级切丝</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黄杜鹃根（三钱三）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黄花倒水莲</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黄精</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蒸</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黄连片</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黄芪</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斜片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小圆片，一级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黄芩片</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新鲜，切圆片</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火麻仁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碎</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新鲜大粒</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鸡骨草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鸡矢藤</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鸡血藤</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建曲</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姜半夏</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旱</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旱半夏，一级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169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姜厚朴</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姜制，一级，切片</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姜黄</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僵蚕</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无杂质一级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降香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条</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金樱子肉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原.肉</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荆芥</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净山楂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大片色红新鲜一级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酒苁蓉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酒乌梢蛇</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酒萸肉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去核，酒制</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179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救必应</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桔梗</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切小园片一级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菊花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散朵(白)</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杭白菊，一级白菊，新鲜无叶茎等杂质</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橘红</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决明子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新鲜大粒</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枯矾</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煅</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苦参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宽筋藤</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款冬花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昆布</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189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老鹳草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连翘</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莲子</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两面针</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根，切片</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凌霄花</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硫磺</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粉</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龙胆</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龙胆草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龙血竭</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龙眼肉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199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芦根</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炉甘石</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鹿衔草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路路通</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罗汉果</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络石藤</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麻黄</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绿色新鲜一级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麻黄根</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马鞭草</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马齿苋</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麦冬</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蔓荆子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芒硝</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绵萆薢</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墨旱莲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牡丹皮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木瓜</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皱皮，薄片一级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木蝴蝶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无泥</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木棉花</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木香</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219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木贼</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南刘寄奴</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牛大力</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女贞子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胖大海</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炮姜</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炮山甲</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佩兰</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枇杷叶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蒲公英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新鲜一级无泥</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229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七叶莲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千斤拔</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千里光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千年健</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前胡</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芡实</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茜草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羌活</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无泥一级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秦艽</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新鲜无杂质一级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秦皮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239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青黛</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青风藤</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青果</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青蒿</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青皮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青葙子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瞿麦</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全蝎</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忍冬藤</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肉桂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249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三棱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三七粉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细粉</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符合药典要求</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三七花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三七片</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桑白皮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桑寄生</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桑螵蛸</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桑椹</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桑叶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色绿新鲜一级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桑枝</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259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砂仁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新鲜无泥一级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山慈菇</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山豆根</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山香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符合壮药质量标准</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山药</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园片新鲜一级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山银花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新鲜无叶茎等杂质一级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山萸肉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山芝麻</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蛇床子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射干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269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伸筋草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升麻</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生草果</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生姜</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生龙骨</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生牡蛎</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生蒲黄</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生晒参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吉林</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生石膏</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粉.生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生瓦楞子</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279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石菖蒲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石决明</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石决明</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石榴皮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石上柏</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石韦</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柿蒂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首乌藤</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熟地黄</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熟片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符合药典炮制规范</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水牛角</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镑片或挫成粗粉。</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289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丝瓜络</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四方木皮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四制香附</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四制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新鲜香薄片一级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松针</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苏木</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条</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酸枣仁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锁阳</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太子参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烫水蛭</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天冬</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299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天花粉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天麻</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薄片一级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天竺黄</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葶苈子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清炒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通草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通城虎</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土鳖虫</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无泥干透</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土茯苓</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土槿皮</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土荆皮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309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菟丝子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威灵仙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乌梅</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乌药</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无花果</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无名异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吴茱萸</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蜈蚣</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条</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切段袋装（1条）</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切段袋装（1条）</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五倍子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五加皮</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319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五味藤</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符合壮药质量标准</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五味子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原(北)</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五指毛桃</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西红花</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西洋参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短支</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稀签草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豨莶草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细辛</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根茎部位</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新鲜无泥一级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夏枯草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仙鹤草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329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香加皮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皮</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香薷</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小茴香</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小麦</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薤白</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辛夷</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新疆紫草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新疆紫草</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徐长卿</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玄参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旋覆花</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339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寻骨风</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盐巴戟天</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盐蒸法</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盐补骨脂</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盐车前子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盐杜仲</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盐制，一级，切小段</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盐牛膝</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盐制，符合炮制规范</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盐续断</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盐制</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野菊花</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益智仁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盐制，符合炮制规范</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薏苡仁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349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茵陈（绵茵陈）</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银耳</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淫羊藿</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无泥新鲜一级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油松节</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玉竹</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新鲜无硫薄片无黑心一级</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郁金</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醋制</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郁李仁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皂角刺</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原片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泽兰</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泽泻</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薄片</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359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樟脑</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浙贝母</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新鲜无硫薄片无黑心一级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珍珠母</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粉</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打碎</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知母</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薄片新鲜一级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栀子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碎</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打碎</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枳壳</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枳实</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制白附子</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制草乌</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制川乌</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369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制何首乌</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黑豆制片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符合炮制规范，一级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制马钱子</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符合炮制规范</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制天南星</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制远志</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段，去心</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去心</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炙甘草</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圆片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符合炮制规范，一级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肿节风</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重楼</w:t>
                  </w:r>
                </w:p>
              </w:tc>
              <w:tc>
                <w:tcPr>
                  <w:tcW w:w="93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0</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新鲜一级</w:t>
                  </w: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猪苓</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厚片</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竹茹</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紫河车</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379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紫花地丁</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紫荆皮</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丝</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紫苏梗</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紫苏叶</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紫苏子</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炒</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新鲜</w:t>
                  </w: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紫菀</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切厚片或段</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紫珠草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甘遂</w:t>
                  </w:r>
                </w:p>
              </w:tc>
              <w:tc>
                <w:tcPr>
                  <w:tcW w:w="930"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生品</w:t>
                  </w: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387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仙茅</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388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艾绒</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389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粉萆薢</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390</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半边莲</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391</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海马</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条</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392</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人工麝香</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393</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四块瓦</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394</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陆英（接骨草）</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395</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小罗伞（小驳骨）</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396</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祖师麻</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397</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制甘遂</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398</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茯神</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10" w:type="dxa"/>
                  <w:shd w:val="clear" w:color="auto" w:fill="auto"/>
                  <w:noWrap/>
                  <w:vAlign w:val="center"/>
                </w:tcPr>
                <w:p>
                  <w:pPr>
                    <w:keepNext w:val="0"/>
                    <w:keepLines w:val="0"/>
                    <w:widowControl/>
                    <w:suppressLineNumbers w:val="0"/>
                    <w:jc w:val="righ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399</w:t>
                  </w:r>
                </w:p>
              </w:tc>
              <w:tc>
                <w:tcPr>
                  <w:tcW w:w="1283"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荆芥穗</w:t>
                  </w:r>
                </w:p>
              </w:tc>
              <w:tc>
                <w:tcPr>
                  <w:tcW w:w="930" w:type="dxa"/>
                  <w:shd w:val="clear" w:color="auto" w:fill="auto"/>
                  <w:noWrap/>
                  <w:vAlign w:val="center"/>
                </w:tcPr>
                <w:p>
                  <w:pPr>
                    <w:rPr>
                      <w:rFonts w:hint="default" w:ascii="Tahoma" w:hAnsi="Tahoma" w:eastAsia="Tahoma" w:cs="Tahoma"/>
                      <w:i w:val="0"/>
                      <w:iCs w:val="0"/>
                      <w:color w:val="000000"/>
                      <w:sz w:val="22"/>
                      <w:szCs w:val="22"/>
                      <w:u w:val="none"/>
                    </w:rPr>
                  </w:pPr>
                </w:p>
              </w:tc>
              <w:tc>
                <w:tcPr>
                  <w:tcW w:w="615" w:type="dxa"/>
                  <w:shd w:val="clear" w:color="auto" w:fill="auto"/>
                  <w:noWrap/>
                  <w:vAlign w:val="center"/>
                </w:tcPr>
                <w:p>
                  <w:pPr>
                    <w:keepNext w:val="0"/>
                    <w:keepLines w:val="0"/>
                    <w:widowControl/>
                    <w:suppressLineNumbers w:val="0"/>
                    <w:jc w:val="left"/>
                    <w:textAlignment w:val="center"/>
                    <w:rPr>
                      <w:rFonts w:hint="default" w:ascii="Tahoma" w:hAnsi="Tahoma" w:eastAsia="Tahoma" w:cs="Tahoma"/>
                      <w:i w:val="0"/>
                      <w:iCs w:val="0"/>
                      <w:color w:val="000000"/>
                      <w:kern w:val="0"/>
                      <w:sz w:val="22"/>
                      <w:szCs w:val="22"/>
                      <w:u w:val="none"/>
                      <w:lang w:val="en-US" w:eastAsia="zh-CN" w:bidi="ar"/>
                    </w:rPr>
                  </w:pPr>
                  <w:r>
                    <w:rPr>
                      <w:rFonts w:hint="default" w:ascii="Tahoma" w:hAnsi="Tahoma" w:eastAsia="Tahoma" w:cs="Tahoma"/>
                      <w:i w:val="0"/>
                      <w:iCs w:val="0"/>
                      <w:color w:val="000000"/>
                      <w:kern w:val="0"/>
                      <w:sz w:val="22"/>
                      <w:szCs w:val="22"/>
                      <w:u w:val="none"/>
                      <w:lang w:val="en-US" w:eastAsia="zh-CN" w:bidi="ar"/>
                    </w:rPr>
                    <w:t>kg</w:t>
                  </w:r>
                </w:p>
              </w:tc>
              <w:tc>
                <w:tcPr>
                  <w:tcW w:w="1680" w:type="dxa"/>
                  <w:shd w:val="clear" w:color="auto" w:fill="auto"/>
                  <w:noWrap/>
                  <w:vAlign w:val="center"/>
                </w:tcPr>
                <w:p>
                  <w:pPr>
                    <w:rPr>
                      <w:rFonts w:hint="default" w:ascii="Tahoma" w:hAnsi="Tahoma" w:eastAsia="Tahoma" w:cs="Tahoma"/>
                      <w:i w:val="0"/>
                      <w:iCs w:val="0"/>
                      <w:color w:val="000000"/>
                      <w:sz w:val="22"/>
                      <w:szCs w:val="22"/>
                      <w:u w:val="none"/>
                    </w:rPr>
                  </w:pPr>
                </w:p>
              </w:tc>
              <w:tc>
                <w:tcPr>
                  <w:tcW w:w="975" w:type="dxa"/>
                  <w:shd w:val="clear" w:color="auto" w:fill="auto"/>
                  <w:noWrap/>
                  <w:vAlign w:val="center"/>
                </w:tcPr>
                <w:p>
                  <w:pPr>
                    <w:rPr>
                      <w:rFonts w:hint="default" w:ascii="Tahoma" w:hAnsi="Tahoma" w:eastAsia="Tahoma" w:cs="Tahoma"/>
                      <w:i w:val="0"/>
                      <w:iCs w:val="0"/>
                      <w:color w:val="000000"/>
                      <w:sz w:val="22"/>
                      <w:szCs w:val="22"/>
                      <w:u w:val="none"/>
                    </w:rPr>
                  </w:pP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093" w:type="dxa"/>
                  <w:gridSpan w:val="6"/>
                  <w:shd w:val="clear" w:color="auto" w:fill="auto"/>
                  <w:noWrap/>
                  <w:vAlign w:val="center"/>
                </w:tcPr>
                <w:p>
                  <w:pPr>
                    <w:jc w:val="right"/>
                    <w:rPr>
                      <w:rFonts w:hint="eastAsia"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合计：</w:t>
                  </w:r>
                </w:p>
              </w:tc>
              <w:tc>
                <w:tcPr>
                  <w:tcW w:w="827" w:type="dxa"/>
                  <w:shd w:val="clear" w:color="auto" w:fill="auto"/>
                  <w:noWrap/>
                  <w:vAlign w:val="center"/>
                </w:tcPr>
                <w:p>
                  <w:pPr>
                    <w:rPr>
                      <w:rFonts w:hint="default" w:ascii="Tahoma" w:hAnsi="Tahoma" w:eastAsia="Tahoma" w:cs="Tahoma"/>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920" w:type="dxa"/>
                  <w:gridSpan w:val="7"/>
                  <w:shd w:val="clear" w:color="auto" w:fill="auto"/>
                  <w:vAlign w:val="center"/>
                </w:tcPr>
                <w:p>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未标注要求的，须符合</w:t>
                  </w:r>
                  <w:r>
                    <w:rPr>
                      <w:rStyle w:val="31"/>
                      <w:lang w:val="en-US" w:eastAsia="zh-CN" w:bidi="ar"/>
                    </w:rPr>
                    <w:t>2020</w:t>
                  </w:r>
                  <w:r>
                    <w:rPr>
                      <w:rFonts w:hint="eastAsia" w:ascii="宋体" w:hAnsi="宋体" w:eastAsia="宋体" w:cs="宋体"/>
                      <w:i w:val="0"/>
                      <w:iCs w:val="0"/>
                      <w:color w:val="000000"/>
                      <w:kern w:val="0"/>
                      <w:sz w:val="22"/>
                      <w:szCs w:val="22"/>
                      <w:u w:val="none"/>
                      <w:lang w:val="en-US" w:eastAsia="zh-CN" w:bidi="ar"/>
                    </w:rPr>
                    <w:t>版药典要求或现行版地方标准要求。如本招标文件与现行标准不一致，以法定标准为准。</w:t>
                  </w:r>
                </w:p>
              </w:tc>
            </w:tr>
          </w:tbl>
          <w:p>
            <w:pPr>
              <w:pStyle w:val="25"/>
              <w:spacing w:line="441" w:lineRule="exact"/>
              <w:ind w:firstLine="440"/>
              <w:jc w:val="left"/>
              <w:rPr>
                <w:rFonts w:hint="default" w:ascii="宋体" w:hAnsi="宋体" w:eastAsia="宋体" w:cs="Times New Roman"/>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default" w:ascii="宋体" w:hAnsi="宋体" w:eastAsia="宋体" w:cs="宋体"/>
                <w:bCs/>
                <w:szCs w:val="21"/>
                <w:lang w:val="en-US"/>
              </w:rPr>
            </w:pPr>
            <w:r>
              <w:rPr>
                <w:rFonts w:hint="eastAsia" w:ascii="宋体" w:hAnsi="宋体" w:eastAsia="宋体" w:cs="Times New Roman"/>
                <w:color w:val="000000"/>
                <w:szCs w:val="21"/>
                <w:lang w:val="en-US" w:eastAsia="zh-CN"/>
              </w:rPr>
              <w:t>投标人以对以上商品进行报价。以此报价参与磋商评分。中标人供应商品不得高于此报价，报价单外的商品价格，与采购人沟通协商同意后，方可供应。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Times New Roman"/>
                <w:bCs/>
                <w:szCs w:val="21"/>
              </w:rPr>
              <w:t>各公司配送给我院的中药饮片，不得有虫蛀、霉变、鼠咬、封口包装不严等情况。同一品种连续出现问题两次以上，更改由备选公司供货。出现混装、与招标样品不相符，取消该供应公司的所有中药饮片配送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样品要求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Times New Roman"/>
                <w:bCs/>
                <w:szCs w:val="21"/>
                <w:lang w:eastAsia="zh-CN"/>
              </w:rPr>
            </w:pPr>
            <w:r>
              <w:rPr>
                <w:rFonts w:hint="eastAsia" w:ascii="宋体" w:hAnsi="宋体" w:eastAsia="宋体" w:cs="Times New Roman"/>
                <w:bCs/>
                <w:szCs w:val="21"/>
              </w:rPr>
              <w:t>按投标目录要求提交中药饮片样品10g（属贵细药材3g）。样品用统一的透明袋包装，并在包装中部粘贴统一规格的标签（请务必先联系报名联络人以知悉要求）。标签注明中药饮片序号、名称。附样品清单一份（盖公司印章</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包装运输要求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Times New Roman"/>
                <w:bCs/>
                <w:szCs w:val="21"/>
              </w:rPr>
              <w:t>药品搬运、保管、运输、交通、配送等费用由中标公司自理。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投标人需提供售后服务方案及应急预案。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提供样品截止时间</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32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u w:val="single"/>
                <w:lang w:val="en-US" w:eastAsia="zh-CN"/>
              </w:rPr>
              <w:t>2022年10月26日18:00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收到中标公司配送的药品并开具正式发票之日起6个月内付清该批货款。</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93" w:type="dxa"/>
        <w:tblLayout w:type="fixed"/>
        <w:tblCellMar>
          <w:top w:w="0" w:type="dxa"/>
          <w:left w:w="108" w:type="dxa"/>
          <w:bottom w:w="0" w:type="dxa"/>
          <w:right w:w="108" w:type="dxa"/>
        </w:tblCellMar>
      </w:tblPr>
      <w:tblGrid>
        <w:gridCol w:w="1060"/>
        <w:gridCol w:w="1182"/>
        <w:gridCol w:w="6395"/>
      </w:tblGrid>
      <w:tr>
        <w:tblPrEx>
          <w:tblCellMar>
            <w:top w:w="0" w:type="dxa"/>
            <w:left w:w="108" w:type="dxa"/>
            <w:bottom w:w="0" w:type="dxa"/>
            <w:right w:w="108" w:type="dxa"/>
          </w:tblCellMar>
        </w:tblPrEx>
        <w:trPr>
          <w:trHeight w:val="588" w:hRule="atLeast"/>
        </w:trPr>
        <w:tc>
          <w:tcPr>
            <w:tcW w:w="1060"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182"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395"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873" w:hRule="atLeast"/>
        </w:trPr>
        <w:tc>
          <w:tcPr>
            <w:tcW w:w="1060" w:type="dxa"/>
            <w:vMerge w:val="restart"/>
            <w:tcBorders>
              <w:top w:val="single" w:color="000000" w:sz="8" w:space="0"/>
              <w:left w:val="single" w:color="000000" w:sz="8"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60分</w:t>
            </w:r>
            <w:r>
              <w:rPr>
                <w:rFonts w:hint="eastAsia" w:ascii="宋体" w:hAnsi="宋体" w:eastAsia="宋体" w:cs="Calibri"/>
                <w:color w:val="000000"/>
                <w:szCs w:val="21"/>
              </w:rPr>
              <w:t>）</w:t>
            </w: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both"/>
              <w:rPr>
                <w:rFonts w:ascii="宋体" w:hAnsi="宋体" w:eastAsia="宋体" w:cs="Calibri"/>
                <w:color w:val="000000"/>
                <w:szCs w:val="21"/>
              </w:rPr>
            </w:pPr>
            <w:r>
              <w:rPr>
                <w:rFonts w:hint="eastAsia" w:ascii="宋体" w:hAnsi="宋体" w:eastAsia="宋体" w:cs="Calibri"/>
                <w:color w:val="000000"/>
                <w:szCs w:val="21"/>
                <w:lang w:val="en-US" w:eastAsia="zh-CN"/>
              </w:rPr>
              <w:t>未提供样品价格分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60</w:t>
            </w:r>
            <w:r>
              <w:rPr>
                <w:rFonts w:hint="eastAsia" w:ascii="宋体" w:hAnsi="宋体" w:eastAsia="宋体" w:cs="Calibri"/>
                <w:color w:val="000000"/>
                <w:szCs w:val="21"/>
              </w:rPr>
              <w:t xml:space="preserve"> 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评标基准价格为入围公司有效报价的最低价</w:t>
            </w:r>
          </w:p>
          <w:p>
            <w:pPr>
              <w:spacing w:line="400" w:lineRule="exact"/>
              <w:jc w:val="both"/>
              <w:rPr>
                <w:rFonts w:hint="default" w:ascii="宋体" w:hAnsi="宋体" w:eastAsia="宋体" w:cs="Calibri"/>
                <w:color w:val="000000"/>
                <w:szCs w:val="21"/>
                <w:lang w:val="en-US"/>
              </w:rPr>
            </w:pPr>
            <w:r>
              <w:rPr>
                <w:rFonts w:hint="eastAsia" w:ascii="宋体" w:hAnsi="宋体" w:eastAsia="宋体" w:cs="Calibri"/>
                <w:color w:val="000000"/>
                <w:szCs w:val="21"/>
                <w:lang w:val="en-US" w:eastAsia="zh-CN"/>
              </w:rPr>
              <w:t>未供样品品种价格分计算方法：价格分=评标基准价÷投标价格×60</w:t>
            </w:r>
          </w:p>
        </w:tc>
      </w:tr>
      <w:tr>
        <w:tblPrEx>
          <w:tblCellMar>
            <w:top w:w="0" w:type="dxa"/>
            <w:left w:w="108" w:type="dxa"/>
            <w:bottom w:w="0" w:type="dxa"/>
            <w:right w:w="108" w:type="dxa"/>
          </w:tblCellMar>
        </w:tblPrEx>
        <w:trPr>
          <w:trHeight w:val="2840" w:hRule="atLeast"/>
        </w:trPr>
        <w:tc>
          <w:tcPr>
            <w:tcW w:w="1060" w:type="dxa"/>
            <w:vMerge w:val="continue"/>
            <w:tcBorders>
              <w:left w:val="single" w:color="000000" w:sz="8" w:space="0"/>
              <w:bottom w:val="single" w:color="auto" w:sz="4" w:space="0"/>
              <w:right w:val="single" w:color="000000" w:sz="8" w:space="0"/>
            </w:tcBorders>
            <w:shd w:val="clear" w:color="auto" w:fill="auto"/>
            <w:vAlign w:val="center"/>
          </w:tcPr>
          <w:p>
            <w:pPr>
              <w:spacing w:line="400" w:lineRule="exact"/>
              <w:jc w:val="center"/>
              <w:rPr>
                <w:rFonts w:hint="eastAsia" w:ascii="宋体" w:hAnsi="宋体" w:eastAsia="宋体" w:cs="Calibri"/>
                <w:color w:val="000000"/>
                <w:szCs w:val="21"/>
                <w:lang w:val="en-US" w:eastAsia="zh-CN"/>
              </w:rPr>
            </w:pP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提供样品价格分=价格分（30分）+产品性状鉴定得分（30分）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1.提供样品品种价格分计算方法：价格分=评标基准价÷投标价格×30；</w:t>
            </w:r>
          </w:p>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2.产品性状鉴定得分：由3名中药师对样品质量进行评价，分不合格，合格，良好，优秀四个等级。不合格记0分，合格记10分，良好记20分，优秀记30分。</w:t>
            </w:r>
            <w:bookmarkStart w:id="27" w:name="_GoBack"/>
            <w:bookmarkEnd w:id="27"/>
          </w:p>
        </w:tc>
      </w:tr>
      <w:tr>
        <w:tblPrEx>
          <w:tblCellMar>
            <w:top w:w="0" w:type="dxa"/>
            <w:left w:w="108" w:type="dxa"/>
            <w:bottom w:w="0" w:type="dxa"/>
            <w:right w:w="108" w:type="dxa"/>
          </w:tblCellMar>
        </w:tblPrEx>
        <w:trPr>
          <w:trHeight w:val="588" w:hRule="atLeast"/>
        </w:trPr>
        <w:tc>
          <w:tcPr>
            <w:tcW w:w="1060" w:type="dxa"/>
            <w:vMerge w:val="restart"/>
            <w:tcBorders>
              <w:top w:val="single" w:color="auto" w:sz="4" w:space="0"/>
              <w:left w:val="single" w:color="auto" w:sz="4" w:space="0"/>
              <w:right w:val="single" w:color="auto" w:sz="4"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服务分（20分）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服务承诺（10分）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供货商应配备足够库存的饮片，能够按医院的采购计划（品种、规格和数量）在48h内运送至医院指定地点，急需药品4h配送到位，保证1周多次，送货得5分，急需药品配送不能满足，减2分，</w:t>
            </w:r>
          </w:p>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有定期随访计划、各种原因退换货5个工作日内解决，得5分。</w:t>
            </w:r>
          </w:p>
        </w:tc>
      </w:tr>
      <w:tr>
        <w:tblPrEx>
          <w:tblCellMar>
            <w:top w:w="0" w:type="dxa"/>
            <w:left w:w="108" w:type="dxa"/>
            <w:bottom w:w="0" w:type="dxa"/>
            <w:right w:w="108" w:type="dxa"/>
          </w:tblCellMar>
        </w:tblPrEx>
        <w:trPr>
          <w:trHeight w:val="471" w:hRule="atLeast"/>
        </w:trPr>
        <w:tc>
          <w:tcPr>
            <w:tcW w:w="1060" w:type="dxa"/>
            <w:vMerge w:val="continue"/>
            <w:tcBorders>
              <w:left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仓储地点（5分）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南宁市区范围内得5分，区内其他地方得2分，区外得0分</w:t>
            </w:r>
          </w:p>
        </w:tc>
      </w:tr>
      <w:tr>
        <w:tblPrEx>
          <w:tblCellMar>
            <w:top w:w="0" w:type="dxa"/>
            <w:left w:w="108" w:type="dxa"/>
            <w:bottom w:w="0" w:type="dxa"/>
            <w:right w:w="108" w:type="dxa"/>
          </w:tblCellMar>
        </w:tblPrEx>
        <w:trPr>
          <w:trHeight w:val="471" w:hRule="atLeast"/>
        </w:trPr>
        <w:tc>
          <w:tcPr>
            <w:tcW w:w="1060" w:type="dxa"/>
            <w:vMerge w:val="continue"/>
            <w:tcBorders>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供应医院情况（5分）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在两家以上（含两家）三甲医院使用1年以上者得5分，在一家三甲医院及一家以上（含一家）二甲医院使用1年以上者得4分，在两家以上（含两家）二甲医院使用1年以上者得3分，其余情况得0分（需提供合同复印件）</w:t>
            </w:r>
          </w:p>
        </w:tc>
      </w:tr>
      <w:tr>
        <w:tblPrEx>
          <w:tblCellMar>
            <w:top w:w="0" w:type="dxa"/>
            <w:left w:w="108" w:type="dxa"/>
            <w:bottom w:w="0" w:type="dxa"/>
            <w:right w:w="108" w:type="dxa"/>
          </w:tblCellMar>
        </w:tblPrEx>
        <w:trPr>
          <w:trHeight w:val="854" w:hRule="atLeast"/>
        </w:trPr>
        <w:tc>
          <w:tcPr>
            <w:tcW w:w="1060" w:type="dxa"/>
            <w:vMerge w:val="restart"/>
            <w:tcBorders>
              <w:top w:val="single" w:color="auto" w:sz="4" w:space="0"/>
              <w:left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实力分（20分）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2021年销售额（5分）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年销售额应在1000万元以上（以2021年1～12月的纳税报表为准）得5分（需提供公司业绩、注册资金等）每少100万减0.5分。</w:t>
            </w:r>
          </w:p>
        </w:tc>
      </w:tr>
      <w:tr>
        <w:tblPrEx>
          <w:tblCellMar>
            <w:top w:w="0" w:type="dxa"/>
            <w:left w:w="108" w:type="dxa"/>
            <w:bottom w:w="0" w:type="dxa"/>
            <w:right w:w="108" w:type="dxa"/>
          </w:tblCellMar>
        </w:tblPrEx>
        <w:trPr>
          <w:trHeight w:val="854" w:hRule="atLeast"/>
        </w:trPr>
        <w:tc>
          <w:tcPr>
            <w:tcW w:w="1060" w:type="dxa"/>
            <w:vMerge w:val="continue"/>
            <w:tcBorders>
              <w:left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中药饮片品种齐全（5分）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中药饮片常用品种应达到500种以上得5分（提供供货目录），每减少100种减1分。</w:t>
            </w:r>
          </w:p>
        </w:tc>
      </w:tr>
      <w:tr>
        <w:tblPrEx>
          <w:tblCellMar>
            <w:top w:w="0" w:type="dxa"/>
            <w:left w:w="108" w:type="dxa"/>
            <w:bottom w:w="0" w:type="dxa"/>
            <w:right w:w="108" w:type="dxa"/>
          </w:tblCellMar>
        </w:tblPrEx>
        <w:trPr>
          <w:trHeight w:val="854" w:hRule="atLeast"/>
        </w:trPr>
        <w:tc>
          <w:tcPr>
            <w:tcW w:w="1060" w:type="dxa"/>
            <w:vMerge w:val="continue"/>
            <w:tcBorders>
              <w:left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top"/>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信誉情况 （5分）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2020-2021年无行政处罚记录得5分；有记录者得0分。</w:t>
            </w:r>
          </w:p>
        </w:tc>
      </w:tr>
      <w:tr>
        <w:tblPrEx>
          <w:tblCellMar>
            <w:top w:w="0" w:type="dxa"/>
            <w:left w:w="108" w:type="dxa"/>
            <w:bottom w:w="0" w:type="dxa"/>
            <w:right w:w="108" w:type="dxa"/>
          </w:tblCellMar>
        </w:tblPrEx>
        <w:trPr>
          <w:trHeight w:val="854" w:hRule="atLeast"/>
        </w:trPr>
        <w:tc>
          <w:tcPr>
            <w:tcW w:w="1060" w:type="dxa"/>
            <w:vMerge w:val="continue"/>
            <w:tcBorders>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top"/>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仓储面积 （5分）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不少于1000㎡，并应有保障药品质量安全的仓储条件得5分（提供仓储的平面图、质量保证相关管理文件），每少100㎡减0.5分。</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服务</w:t>
      </w:r>
      <w:r>
        <w:rPr>
          <w:rFonts w:ascii="宋体" w:hAnsi="宋体" w:eastAsia="宋体"/>
          <w:szCs w:val="21"/>
        </w:rPr>
        <w:t>优劣顺序推荐（按</w:t>
      </w:r>
      <w:r>
        <w:rPr>
          <w:rFonts w:hint="eastAsia" w:ascii="宋体" w:hAnsi="宋体" w:eastAsia="宋体"/>
          <w:szCs w:val="21"/>
          <w:lang w:val="en-US" w:eastAsia="zh-CN"/>
        </w:rPr>
        <w:t>服务</w:t>
      </w:r>
      <w:r>
        <w:rPr>
          <w:rFonts w:ascii="宋体" w:hAnsi="宋体" w:eastAsia="宋体"/>
          <w:szCs w:val="21"/>
        </w:rPr>
        <w:t>得分由高到低排序，</w:t>
      </w:r>
      <w:r>
        <w:rPr>
          <w:rFonts w:hint="eastAsia" w:ascii="宋体" w:hAnsi="宋体" w:eastAsia="宋体"/>
          <w:szCs w:val="21"/>
          <w:lang w:val="en-US" w:eastAsia="zh-CN"/>
        </w:rPr>
        <w:t>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服务</w:t>
      </w:r>
      <w:r>
        <w:rPr>
          <w:rFonts w:ascii="宋体" w:hAnsi="宋体" w:eastAsia="宋体"/>
          <w:szCs w:val="21"/>
        </w:rPr>
        <w:t>分均相同的，由评审小组随机抽取推荐。</w:t>
      </w: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both"/>
        <w:rPr>
          <w:color w:val="000000"/>
        </w:rPr>
      </w:pPr>
      <w:r>
        <w:rPr>
          <w:rFonts w:hint="eastAsia" w:ascii="宋体" w:hAnsi="宋体" w:eastAsia="宋体" w:cs="Calibri"/>
          <w:b/>
          <w:bCs/>
          <w:color w:val="000000"/>
          <w:sz w:val="32"/>
          <w:szCs w:val="32"/>
          <w:lang w:val="en-US" w:eastAsia="zh-CN"/>
        </w:rPr>
        <w:t>3.报价单</w:t>
      </w:r>
      <w:r>
        <w:rPr>
          <w:rFonts w:hint="eastAsia"/>
          <w:color w:val="000000"/>
          <w:lang w:val="en-US" w:eastAsia="zh-CN"/>
        </w:rPr>
        <w:t>（详见技术及服务需求表</w:t>
      </w:r>
      <w:r>
        <w:rPr>
          <w:color w:val="000000"/>
        </w:rPr>
        <w:t>）</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ind w:left="142"/>
        <w:jc w:val="left"/>
        <w:rPr>
          <w:rFonts w:hint="default" w:ascii="宋体" w:hAnsi="宋体" w:eastAsia="宋体" w:cs="Calibri"/>
          <w:b/>
          <w:bCs/>
          <w:color w:val="000000"/>
          <w:sz w:val="32"/>
          <w:szCs w:val="32"/>
          <w:lang w:val="en-US" w:eastAsia="zh-CN"/>
        </w:rPr>
      </w:pPr>
      <w:r>
        <w:rPr>
          <w:rFonts w:hint="eastAsia" w:ascii="宋体" w:hAnsi="宋体" w:eastAsia="宋体" w:cs="Calibri"/>
          <w:b/>
          <w:bCs/>
          <w:color w:val="000000"/>
          <w:sz w:val="32"/>
          <w:szCs w:val="32"/>
          <w:lang w:val="en-US" w:eastAsia="zh-CN"/>
        </w:rPr>
        <w:t>3.人员配置清单</w:t>
      </w:r>
      <w:r>
        <w:rPr>
          <w:rFonts w:hint="eastAsia" w:ascii="宋体" w:hAnsi="宋体" w:eastAsia="宋体" w:cs="Calibri"/>
          <w:b w:val="0"/>
          <w:bCs w:val="0"/>
          <w:color w:val="000000"/>
          <w:sz w:val="32"/>
          <w:szCs w:val="32"/>
          <w:lang w:val="en-US" w:eastAsia="zh-CN"/>
        </w:rPr>
        <w:t>（格式自拟）</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hint="eastAsia" w:ascii="宋体" w:hAnsi="宋体" w:eastAsia="宋体" w:cs="Calibri"/>
          <w:color w:val="000000"/>
          <w:szCs w:val="21"/>
          <w:lang w:val="en-US" w:eastAsia="zh-CN"/>
        </w:rPr>
      </w:pPr>
    </w:p>
    <w:p>
      <w:pPr>
        <w:autoSpaceDE w:val="0"/>
        <w:autoSpaceDN w:val="0"/>
        <w:spacing w:line="300" w:lineRule="auto"/>
        <w:rPr>
          <w:rFonts w:hint="eastAsia" w:ascii="宋体" w:hAnsi="宋体" w:eastAsia="宋体" w:cs="Courier New"/>
          <w:b/>
          <w:color w:val="000000"/>
          <w:sz w:val="32"/>
          <w:szCs w:val="32"/>
        </w:rPr>
      </w:pPr>
      <w:r>
        <w:rPr>
          <w:rFonts w:hint="eastAsia" w:ascii="宋体" w:hAnsi="宋体" w:eastAsia="宋体" w:cs="Calibri"/>
          <w:b/>
          <w:bCs/>
          <w:color w:val="000000"/>
          <w:szCs w:val="21"/>
          <w:lang w:val="en-US" w:eastAsia="zh-CN"/>
        </w:rPr>
        <w:t>合同模板</w:t>
      </w:r>
      <w:r>
        <w:rPr>
          <w:rFonts w:hint="eastAsia" w:ascii="宋体" w:hAnsi="宋体" w:eastAsia="宋体" w:cs="Calibri"/>
          <w:b/>
          <w:bCs/>
          <w:color w:val="000000"/>
          <w:szCs w:val="21"/>
        </w:rPr>
        <w:t xml:space="preserve"> </w:t>
      </w:r>
      <w:r>
        <w:rPr>
          <w:rFonts w:hint="eastAsia" w:ascii="宋体" w:hAnsi="宋体" w:eastAsia="宋体" w:cs="Courier New"/>
          <w:b/>
          <w:color w:val="000000"/>
          <w:sz w:val="32"/>
          <w:szCs w:val="32"/>
        </w:rPr>
        <w:t xml:space="preserve"> </w:t>
      </w:r>
    </w:p>
    <w:p>
      <w:pPr>
        <w:jc w:val="center"/>
        <w:rPr>
          <w:rFonts w:hint="eastAsia"/>
          <w:b/>
          <w:sz w:val="44"/>
          <w:szCs w:val="44"/>
        </w:rPr>
      </w:pPr>
      <w:r>
        <w:rPr>
          <w:rFonts w:hint="eastAsia"/>
          <w:b/>
          <w:sz w:val="44"/>
          <w:szCs w:val="44"/>
        </w:rPr>
        <w:t>中药饮片购销合同</w:t>
      </w:r>
    </w:p>
    <w:p>
      <w:pPr>
        <w:rPr>
          <w:rFonts w:hint="eastAsia"/>
          <w:sz w:val="28"/>
          <w:szCs w:val="28"/>
        </w:rPr>
      </w:pPr>
    </w:p>
    <w:p>
      <w:pPr>
        <w:rPr>
          <w:rFonts w:hint="eastAsia"/>
          <w:sz w:val="28"/>
          <w:szCs w:val="28"/>
        </w:rPr>
      </w:pPr>
      <w:r>
        <w:rPr>
          <w:rFonts w:hint="eastAsia"/>
          <w:sz w:val="28"/>
          <w:szCs w:val="28"/>
        </w:rPr>
        <w:t>甲方：</w:t>
      </w:r>
      <w:r>
        <w:rPr>
          <w:rFonts w:hint="eastAsia"/>
          <w:sz w:val="28"/>
          <w:szCs w:val="28"/>
          <w:lang w:val="en-US" w:eastAsia="zh-CN"/>
        </w:rPr>
        <w:t>广西骨伤医院</w:t>
      </w:r>
      <w:r>
        <w:rPr>
          <w:rFonts w:hint="eastAsia"/>
          <w:sz w:val="28"/>
          <w:szCs w:val="28"/>
        </w:rPr>
        <w:t xml:space="preserve"> </w:t>
      </w:r>
    </w:p>
    <w:p>
      <w:pPr>
        <w:rPr>
          <w:rFonts w:hint="eastAsia"/>
          <w:sz w:val="28"/>
          <w:szCs w:val="28"/>
        </w:rPr>
      </w:pPr>
      <w:r>
        <w:rPr>
          <w:rFonts w:hint="eastAsia"/>
          <w:sz w:val="28"/>
          <w:szCs w:val="28"/>
        </w:rPr>
        <w:t xml:space="preserve">乙方： </w:t>
      </w:r>
    </w:p>
    <w:p>
      <w:pPr>
        <w:ind w:firstLine="560" w:firstLineChars="200"/>
        <w:rPr>
          <w:rFonts w:hint="eastAsia"/>
          <w:sz w:val="28"/>
          <w:szCs w:val="28"/>
        </w:rPr>
      </w:pPr>
      <w:r>
        <w:rPr>
          <w:rFonts w:hint="eastAsia"/>
          <w:sz w:val="28"/>
          <w:szCs w:val="28"/>
        </w:rPr>
        <w:t>为确保中药饮片交易的顺利进行，明确交易双方的权利和义务，根据《中华人民共和国</w:t>
      </w:r>
      <w:r>
        <w:rPr>
          <w:rFonts w:hint="eastAsia" w:ascii="Times New Roman" w:hAnsi="Times New Roman" w:eastAsia="宋体" w:cs="Times New Roman"/>
          <w:sz w:val="28"/>
          <w:szCs w:val="28"/>
          <w:lang w:eastAsia="zh-CN"/>
        </w:rPr>
        <w:t>民法典</w:t>
      </w:r>
      <w:r>
        <w:rPr>
          <w:rFonts w:hint="eastAsia"/>
          <w:sz w:val="28"/>
          <w:szCs w:val="28"/>
        </w:rPr>
        <w:t>》、《药品管理法》的有关规定，甲乙双方在平等互利，协商一致的基础上签 订本合同。</w:t>
      </w:r>
    </w:p>
    <w:p>
      <w:pPr>
        <w:numPr>
          <w:ilvl w:val="0"/>
          <w:numId w:val="1"/>
        </w:numPr>
        <w:rPr>
          <w:rFonts w:hint="eastAsia"/>
          <w:sz w:val="28"/>
          <w:szCs w:val="28"/>
        </w:rPr>
      </w:pPr>
      <w:r>
        <w:rPr>
          <w:rFonts w:hint="eastAsia"/>
          <w:sz w:val="28"/>
          <w:szCs w:val="28"/>
        </w:rPr>
        <w:t>质量标准及资质证明</w:t>
      </w:r>
    </w:p>
    <w:p>
      <w:pPr>
        <w:ind w:firstLine="560" w:firstLineChars="200"/>
        <w:rPr>
          <w:rFonts w:hint="eastAsia"/>
          <w:sz w:val="28"/>
          <w:szCs w:val="28"/>
        </w:rPr>
      </w:pPr>
      <w:r>
        <w:rPr>
          <w:rFonts w:hint="eastAsia"/>
          <w:sz w:val="28"/>
          <w:szCs w:val="28"/>
        </w:rPr>
        <w:t>乙方所供应中药饮片的质量应符合《中华人民共和国药典》、或《广西壮族自治区中药材标准》、《广西壮族自治区中药饮片炮制规范》，民族药材要符合《广西壮族自治区壮药质量标准》、《广西壮族自治区瑶药材质量标准》。乙方需在供货前向甲方提供合法的药品生产企业及经营企业的《营业执照》、《生产许可证》、GMP证书的复印件并加盖单位公章，以及乙方业务员的法人委托书和被委托人的身份证复印件。</w:t>
      </w:r>
    </w:p>
    <w:p>
      <w:pPr>
        <w:numPr>
          <w:ilvl w:val="0"/>
          <w:numId w:val="1"/>
        </w:numPr>
        <w:rPr>
          <w:rFonts w:hint="eastAsia"/>
          <w:sz w:val="28"/>
          <w:szCs w:val="28"/>
        </w:rPr>
      </w:pPr>
      <w:r>
        <w:rPr>
          <w:rFonts w:hint="eastAsia"/>
          <w:sz w:val="28"/>
          <w:szCs w:val="28"/>
        </w:rPr>
        <w:t xml:space="preserve">供货价格 </w:t>
      </w:r>
    </w:p>
    <w:p>
      <w:pPr>
        <w:ind w:firstLine="560" w:firstLineChars="200"/>
        <w:rPr>
          <w:rFonts w:hint="eastAsia"/>
          <w:sz w:val="28"/>
          <w:szCs w:val="28"/>
        </w:rPr>
      </w:pPr>
      <w:r>
        <w:rPr>
          <w:rFonts w:hint="eastAsia"/>
          <w:sz w:val="28"/>
          <w:szCs w:val="28"/>
        </w:rPr>
        <w:t>供货价格按双方协议价格供应，具体价格以双方签字确认的供货单据为准。如遇市场行情变动乙方应及时向甲方提供价格信息并申请调价，经双方协商同意后再执行调节价。</w:t>
      </w:r>
    </w:p>
    <w:p>
      <w:pPr>
        <w:numPr>
          <w:ilvl w:val="0"/>
          <w:numId w:val="1"/>
        </w:numPr>
        <w:rPr>
          <w:rFonts w:hint="eastAsia"/>
          <w:sz w:val="28"/>
          <w:szCs w:val="28"/>
        </w:rPr>
      </w:pPr>
      <w:r>
        <w:rPr>
          <w:rFonts w:hint="eastAsia"/>
          <w:sz w:val="28"/>
          <w:szCs w:val="28"/>
        </w:rPr>
        <w:t xml:space="preserve">交货方式 </w:t>
      </w:r>
    </w:p>
    <w:p>
      <w:pPr>
        <w:numPr>
          <w:ilvl w:val="0"/>
          <w:numId w:val="2"/>
        </w:numPr>
        <w:ind w:left="720" w:hanging="180"/>
        <w:rPr>
          <w:rFonts w:hint="eastAsia"/>
          <w:sz w:val="28"/>
          <w:szCs w:val="28"/>
        </w:rPr>
      </w:pPr>
      <w:r>
        <w:rPr>
          <w:rFonts w:hint="eastAsia"/>
          <w:sz w:val="28"/>
          <w:szCs w:val="28"/>
        </w:rPr>
        <w:t>交货时间：乙方应自确认甲方订单通知起3个工作日内交货，最长不得超过7个工作日。甲方特殊情况需要紧急配送的，乙方应积极迅速配送。乙方应按甲方要求送货至甲方指定的地址。</w:t>
      </w:r>
    </w:p>
    <w:p>
      <w:pPr>
        <w:numPr>
          <w:ilvl w:val="0"/>
          <w:numId w:val="2"/>
        </w:numPr>
        <w:ind w:left="900"/>
        <w:rPr>
          <w:rFonts w:hint="eastAsia"/>
          <w:sz w:val="28"/>
          <w:szCs w:val="28"/>
        </w:rPr>
      </w:pPr>
      <w:r>
        <w:rPr>
          <w:rFonts w:hint="eastAsia"/>
          <w:sz w:val="28"/>
          <w:szCs w:val="28"/>
        </w:rPr>
        <w:t>交货地点：甲方的中药仓库。</w:t>
      </w:r>
    </w:p>
    <w:p>
      <w:pPr>
        <w:numPr>
          <w:ilvl w:val="0"/>
          <w:numId w:val="2"/>
        </w:numPr>
        <w:ind w:left="900"/>
        <w:rPr>
          <w:rFonts w:hint="eastAsia"/>
          <w:sz w:val="28"/>
          <w:szCs w:val="28"/>
        </w:rPr>
      </w:pPr>
      <w:r>
        <w:rPr>
          <w:rFonts w:hint="eastAsia"/>
          <w:sz w:val="28"/>
          <w:szCs w:val="28"/>
        </w:rPr>
        <w:t>乙方必须提供一式三联的送货凭证，按实际成交金额如实开具税务发票。</w:t>
      </w:r>
    </w:p>
    <w:p>
      <w:pPr>
        <w:numPr>
          <w:ilvl w:val="0"/>
          <w:numId w:val="1"/>
        </w:numPr>
        <w:rPr>
          <w:rFonts w:hint="eastAsia"/>
          <w:sz w:val="28"/>
          <w:szCs w:val="28"/>
        </w:rPr>
      </w:pPr>
      <w:r>
        <w:rPr>
          <w:rFonts w:hint="eastAsia"/>
          <w:sz w:val="28"/>
          <w:szCs w:val="28"/>
        </w:rPr>
        <w:t xml:space="preserve">药品验收 </w:t>
      </w:r>
    </w:p>
    <w:p>
      <w:pPr>
        <w:ind w:firstLine="560" w:firstLineChars="200"/>
        <w:rPr>
          <w:rFonts w:hint="eastAsia"/>
          <w:color w:val="FF0000"/>
          <w:sz w:val="28"/>
          <w:szCs w:val="28"/>
        </w:rPr>
      </w:pPr>
      <w:r>
        <w:rPr>
          <w:rFonts w:hint="eastAsia"/>
          <w:sz w:val="28"/>
          <w:szCs w:val="28"/>
        </w:rPr>
        <w:t>甲方按照《中华人民共和国药典》或《广西壮族自治区中药材标准》、《广西壮族自治区中药饮片炮制规范》、《广西壮族自治区壮药质量标准》、《广西壮族自治区瑶药材质量标准》进行验收，对不符合质量、有效期、包装和订单数量要求药品，甲方有权拒绝接收，乙方应当予以退换。当药品检验部门抽检药品时发现存在质量问题，乙方应负全部责任。因验收不严、使用、保管、保养不善等自身原因造成产品失效或质量下降的，后果由甲</w:t>
      </w:r>
      <w:r>
        <w:rPr>
          <w:sz w:val="28"/>
          <w:szCs w:val="28"/>
        </w:rPr>
        <w:t>方</w:t>
      </w:r>
      <w:r>
        <w:rPr>
          <w:rFonts w:hint="eastAsia"/>
          <w:sz w:val="28"/>
          <w:szCs w:val="28"/>
        </w:rPr>
        <w:t>负责。</w:t>
      </w:r>
    </w:p>
    <w:p>
      <w:pPr>
        <w:numPr>
          <w:ilvl w:val="0"/>
          <w:numId w:val="1"/>
        </w:numPr>
        <w:rPr>
          <w:rFonts w:hint="eastAsia"/>
          <w:sz w:val="28"/>
          <w:szCs w:val="28"/>
        </w:rPr>
      </w:pPr>
      <w:r>
        <w:rPr>
          <w:rFonts w:hint="eastAsia"/>
          <w:sz w:val="28"/>
          <w:szCs w:val="28"/>
        </w:rPr>
        <w:t xml:space="preserve">货款结算 </w:t>
      </w:r>
    </w:p>
    <w:p>
      <w:pPr>
        <w:numPr>
          <w:ilvl w:val="0"/>
          <w:numId w:val="3"/>
        </w:numPr>
        <w:ind w:firstLine="179" w:firstLineChars="64"/>
        <w:rPr>
          <w:rFonts w:hint="eastAsia"/>
          <w:sz w:val="28"/>
          <w:szCs w:val="28"/>
        </w:rPr>
      </w:pPr>
      <w:r>
        <w:rPr>
          <w:rFonts w:hint="eastAsia"/>
          <w:sz w:val="28"/>
          <w:szCs w:val="28"/>
        </w:rPr>
        <w:t>甲方应在收到乙方配送的药品并开具正式发票之日起6个月内付清该批货款。</w:t>
      </w:r>
    </w:p>
    <w:p>
      <w:pPr>
        <w:numPr>
          <w:ilvl w:val="0"/>
          <w:numId w:val="3"/>
        </w:numPr>
        <w:ind w:firstLine="180"/>
        <w:rPr>
          <w:rFonts w:hint="eastAsia"/>
          <w:sz w:val="28"/>
          <w:szCs w:val="28"/>
        </w:rPr>
      </w:pPr>
      <w:r>
        <w:rPr>
          <w:rFonts w:hint="eastAsia"/>
          <w:sz w:val="28"/>
          <w:szCs w:val="28"/>
        </w:rPr>
        <w:t>付款方式：</w:t>
      </w:r>
      <w:r>
        <w:rPr>
          <w:rFonts w:hint="eastAsia"/>
          <w:sz w:val="28"/>
          <w:szCs w:val="28"/>
          <w:lang w:val="en-US" w:eastAsia="zh-CN"/>
        </w:rPr>
        <w:t>转账</w:t>
      </w:r>
      <w:r>
        <w:rPr>
          <w:rFonts w:hint="eastAsia"/>
          <w:sz w:val="28"/>
          <w:szCs w:val="28"/>
        </w:rPr>
        <w:t>。</w:t>
      </w:r>
    </w:p>
    <w:p>
      <w:pPr>
        <w:numPr>
          <w:ilvl w:val="0"/>
          <w:numId w:val="1"/>
        </w:numPr>
        <w:rPr>
          <w:rFonts w:hint="eastAsia"/>
          <w:sz w:val="28"/>
          <w:szCs w:val="28"/>
        </w:rPr>
      </w:pPr>
      <w:r>
        <w:rPr>
          <w:rFonts w:hint="eastAsia"/>
          <w:sz w:val="28"/>
          <w:szCs w:val="28"/>
        </w:rPr>
        <w:t>违约责任</w:t>
      </w:r>
    </w:p>
    <w:p>
      <w:pPr>
        <w:rPr>
          <w:sz w:val="28"/>
          <w:szCs w:val="28"/>
        </w:rPr>
      </w:pPr>
      <w:r>
        <w:rPr>
          <w:rFonts w:hint="eastAsia"/>
          <w:sz w:val="28"/>
          <w:szCs w:val="28"/>
        </w:rPr>
        <w:t>（一）甲乙双方在执行本合同时，应严格遵守国家相关法律、法规有关规定。因一方违犯国家相关法规而给对方造成不良后果及损失的，有过错方承担赔偿责任；双方都有过错的，各自承担相应的责任。</w:t>
      </w:r>
    </w:p>
    <w:p>
      <w:pPr>
        <w:rPr>
          <w:sz w:val="28"/>
          <w:szCs w:val="28"/>
        </w:rPr>
      </w:pPr>
      <w:r>
        <w:rPr>
          <w:rFonts w:hint="eastAsia"/>
          <w:sz w:val="28"/>
          <w:szCs w:val="28"/>
        </w:rPr>
        <w:t>（二）甲方必须按</w:t>
      </w:r>
      <w:r>
        <w:rPr>
          <w:sz w:val="28"/>
          <w:szCs w:val="28"/>
        </w:rPr>
        <w:t>合同约定</w:t>
      </w:r>
      <w:r>
        <w:rPr>
          <w:rFonts w:hint="eastAsia"/>
          <w:sz w:val="28"/>
          <w:szCs w:val="28"/>
        </w:rPr>
        <w:t>执行，不得无正当理由终止合同。</w:t>
      </w:r>
    </w:p>
    <w:p>
      <w:pPr>
        <w:rPr>
          <w:sz w:val="28"/>
          <w:szCs w:val="28"/>
        </w:rPr>
      </w:pPr>
      <w:r>
        <w:rPr>
          <w:rFonts w:hint="eastAsia"/>
          <w:sz w:val="28"/>
          <w:szCs w:val="28"/>
        </w:rPr>
        <w:t>（三）甲方须按照合同规定及时结算货款。</w:t>
      </w:r>
    </w:p>
    <w:p>
      <w:pPr>
        <w:rPr>
          <w:sz w:val="28"/>
          <w:szCs w:val="28"/>
        </w:rPr>
      </w:pPr>
      <w:r>
        <w:rPr>
          <w:rFonts w:hint="eastAsia"/>
          <w:sz w:val="28"/>
          <w:szCs w:val="28"/>
        </w:rPr>
        <w:t>（四）乙方应保证有足够的备货数量，以免产生缺货现象，并且按购销合同向甲方供应药品。</w:t>
      </w:r>
    </w:p>
    <w:p>
      <w:pPr>
        <w:rPr>
          <w:rFonts w:hint="eastAsia"/>
          <w:sz w:val="28"/>
          <w:szCs w:val="28"/>
        </w:rPr>
      </w:pPr>
      <w:r>
        <w:rPr>
          <w:rFonts w:hint="eastAsia"/>
          <w:sz w:val="28"/>
          <w:szCs w:val="28"/>
        </w:rPr>
        <w:t>（五）乙方所供应药品的质量应符合国家药品相关标准。</w:t>
      </w:r>
    </w:p>
    <w:p>
      <w:pPr>
        <w:rPr>
          <w:rFonts w:hint="eastAsia"/>
          <w:sz w:val="28"/>
          <w:szCs w:val="28"/>
        </w:rPr>
      </w:pPr>
      <w:r>
        <w:rPr>
          <w:rFonts w:hint="eastAsia"/>
          <w:sz w:val="28"/>
          <w:szCs w:val="28"/>
        </w:rPr>
        <w:t>（六）甲方应在货物送达之日起</w:t>
      </w:r>
      <w:r>
        <w:rPr>
          <w:sz w:val="28"/>
          <w:szCs w:val="28"/>
        </w:rPr>
        <w:t>3</w:t>
      </w:r>
      <w:r>
        <w:rPr>
          <w:rFonts w:hint="eastAsia"/>
          <w:sz w:val="28"/>
          <w:szCs w:val="28"/>
        </w:rPr>
        <w:t>日内完成验收工作，延期验收造成损失的由甲方自行承担。</w:t>
      </w:r>
    </w:p>
    <w:p>
      <w:pPr>
        <w:numPr>
          <w:ilvl w:val="0"/>
          <w:numId w:val="1"/>
        </w:numPr>
        <w:tabs>
          <w:tab w:val="left" w:pos="0"/>
          <w:tab w:val="clear" w:pos="750"/>
        </w:tabs>
        <w:ind w:left="0" w:hanging="30"/>
        <w:jc w:val="left"/>
        <w:rPr>
          <w:rFonts w:hint="eastAsia"/>
          <w:sz w:val="28"/>
          <w:szCs w:val="28"/>
        </w:rPr>
      </w:pPr>
      <w:r>
        <w:rPr>
          <w:rFonts w:hint="eastAsia"/>
          <w:sz w:val="28"/>
          <w:szCs w:val="28"/>
        </w:rPr>
        <w:t xml:space="preserve">   合同双方因不可抗力而导致合同实施延误或不能履行合同义务，不承担误期赔偿或终止合同的责任。（“不可抗力”系指</w:t>
      </w:r>
      <w:r>
        <w:rPr>
          <w:rFonts w:hint="eastAsia" w:ascii="Times New Roman" w:hAnsi="Times New Roman" w:eastAsia="宋体" w:cs="Times New Roman"/>
          <w:sz w:val="28"/>
          <w:szCs w:val="28"/>
        </w:rPr>
        <w:t>不能预见、不能避免并不能克服的客观情况</w:t>
      </w:r>
      <w:r>
        <w:rPr>
          <w:rFonts w:hint="eastAsia"/>
          <w:sz w:val="28"/>
          <w:szCs w:val="28"/>
        </w:rPr>
        <w:t>。这些事件包括但不限于：战争、严重火灾、洪水、台风、地震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numPr>
          <w:ilvl w:val="0"/>
          <w:numId w:val="1"/>
        </w:numPr>
        <w:tabs>
          <w:tab w:val="left" w:pos="1260"/>
        </w:tabs>
        <w:rPr>
          <w:rFonts w:hint="eastAsia"/>
          <w:sz w:val="28"/>
          <w:szCs w:val="28"/>
        </w:rPr>
      </w:pPr>
      <w:r>
        <w:rPr>
          <w:rFonts w:hint="eastAsia"/>
          <w:sz w:val="28"/>
          <w:szCs w:val="28"/>
        </w:rPr>
        <w:t>合同变更及解除</w:t>
      </w:r>
    </w:p>
    <w:p>
      <w:pPr>
        <w:tabs>
          <w:tab w:val="left" w:pos="1260"/>
        </w:tabs>
        <w:ind w:firstLine="537" w:firstLineChars="192"/>
        <w:rPr>
          <w:rFonts w:hint="eastAsia"/>
          <w:sz w:val="28"/>
          <w:szCs w:val="28"/>
        </w:rPr>
      </w:pPr>
      <w:r>
        <w:rPr>
          <w:rFonts w:hint="eastAsia"/>
          <w:sz w:val="28"/>
          <w:szCs w:val="28"/>
        </w:rPr>
        <w:t>由于药品生产企业关、停、并、转的原因造成合同不能履行的，</w:t>
      </w:r>
    </w:p>
    <w:p>
      <w:pPr>
        <w:tabs>
          <w:tab w:val="left" w:pos="1260"/>
        </w:tabs>
        <w:rPr>
          <w:rFonts w:hint="eastAsia"/>
          <w:sz w:val="28"/>
          <w:szCs w:val="28"/>
        </w:rPr>
      </w:pPr>
      <w:r>
        <w:rPr>
          <w:rFonts w:hint="eastAsia"/>
          <w:sz w:val="28"/>
          <w:szCs w:val="28"/>
        </w:rPr>
        <w:t>双方可以协商解除合同。</w:t>
      </w:r>
    </w:p>
    <w:p>
      <w:pPr>
        <w:numPr>
          <w:ilvl w:val="0"/>
          <w:numId w:val="1"/>
        </w:numPr>
        <w:tabs>
          <w:tab w:val="left" w:pos="0"/>
          <w:tab w:val="clear" w:pos="750"/>
        </w:tabs>
        <w:ind w:left="0" w:firstLine="0"/>
        <w:rPr>
          <w:rFonts w:hint="eastAsia"/>
          <w:sz w:val="28"/>
          <w:szCs w:val="28"/>
        </w:rPr>
      </w:pPr>
      <w:r>
        <w:rPr>
          <w:rFonts w:hint="eastAsia"/>
          <w:sz w:val="28"/>
          <w:szCs w:val="28"/>
        </w:rPr>
        <w:t>本合同未尽事项，可根据相关法律法规的规定，经双方共同协商签订补充协议，补充协议与正式合同具有同等法律效力。</w:t>
      </w:r>
    </w:p>
    <w:p>
      <w:pPr>
        <w:numPr>
          <w:ilvl w:val="0"/>
          <w:numId w:val="1"/>
        </w:numPr>
        <w:tabs>
          <w:tab w:val="left" w:pos="0"/>
          <w:tab w:val="left" w:pos="1260"/>
          <w:tab w:val="clear" w:pos="750"/>
        </w:tabs>
        <w:ind w:left="0" w:firstLine="0"/>
        <w:rPr>
          <w:rFonts w:hint="eastAsia"/>
          <w:sz w:val="28"/>
          <w:szCs w:val="28"/>
        </w:rPr>
      </w:pPr>
      <w:r>
        <w:rPr>
          <w:rFonts w:hint="eastAsia"/>
          <w:sz w:val="28"/>
          <w:szCs w:val="28"/>
        </w:rPr>
        <w:t>因本合同引起的或与本合同有关的任何争议，由双方协商解决；协商或调解不成，向甲方所在地人民法院起诉。</w:t>
      </w:r>
    </w:p>
    <w:p>
      <w:pPr>
        <w:numPr>
          <w:ilvl w:val="0"/>
          <w:numId w:val="1"/>
        </w:numPr>
        <w:tabs>
          <w:tab w:val="left" w:pos="0"/>
          <w:tab w:val="clear" w:pos="750"/>
        </w:tabs>
        <w:ind w:left="0" w:firstLine="0"/>
        <w:rPr>
          <w:rFonts w:hint="eastAsia"/>
          <w:sz w:val="28"/>
          <w:szCs w:val="28"/>
        </w:rPr>
      </w:pPr>
      <w:r>
        <w:rPr>
          <w:rFonts w:hint="eastAsia"/>
          <w:sz w:val="28"/>
          <w:szCs w:val="28"/>
        </w:rPr>
        <w:t>本合同自双方签订之日起生效，自本合同生效之日起在合同期内发生的药品交易均受本合同的约束。</w:t>
      </w:r>
    </w:p>
    <w:p>
      <w:pPr>
        <w:numPr>
          <w:ilvl w:val="0"/>
          <w:numId w:val="1"/>
        </w:numPr>
        <w:tabs>
          <w:tab w:val="left" w:pos="0"/>
          <w:tab w:val="clear" w:pos="750"/>
        </w:tabs>
        <w:ind w:left="0" w:hanging="30"/>
        <w:rPr>
          <w:sz w:val="28"/>
          <w:szCs w:val="28"/>
        </w:rPr>
      </w:pPr>
      <w:r>
        <w:rPr>
          <w:rFonts w:hint="eastAsia"/>
          <w:sz w:val="28"/>
          <w:szCs w:val="28"/>
        </w:rPr>
        <w:t>本合同有效期从</w:t>
      </w:r>
      <w:r>
        <w:rPr>
          <w:rFonts w:hint="eastAsia"/>
          <w:sz w:val="28"/>
          <w:szCs w:val="28"/>
          <w:u w:val="single"/>
          <w:lang w:val="en-US" w:eastAsia="zh-CN"/>
        </w:rPr>
        <w:t xml:space="preserve">    </w:t>
      </w:r>
      <w:r>
        <w:rPr>
          <w:rFonts w:hint="eastAsia"/>
          <w:sz w:val="28"/>
          <w:szCs w:val="28"/>
        </w:rPr>
        <w:t>年</w:t>
      </w:r>
      <w:r>
        <w:rPr>
          <w:rFonts w:hint="eastAsia"/>
          <w:sz w:val="28"/>
          <w:szCs w:val="28"/>
          <w:u w:val="single"/>
          <w:lang w:val="en-US" w:eastAsia="zh-CN"/>
        </w:rPr>
        <w:t xml:space="preserve">   </w:t>
      </w:r>
      <w:r>
        <w:rPr>
          <w:rFonts w:hint="eastAsia"/>
          <w:sz w:val="28"/>
          <w:szCs w:val="28"/>
        </w:rPr>
        <w:t>月</w:t>
      </w:r>
      <w:r>
        <w:rPr>
          <w:rFonts w:hint="eastAsia"/>
          <w:sz w:val="28"/>
          <w:szCs w:val="28"/>
          <w:u w:val="single"/>
          <w:lang w:val="en-US" w:eastAsia="zh-CN"/>
        </w:rPr>
        <w:t xml:space="preserve">   </w:t>
      </w:r>
      <w:r>
        <w:rPr>
          <w:rFonts w:hint="eastAsia"/>
          <w:sz w:val="28"/>
          <w:szCs w:val="28"/>
        </w:rPr>
        <w:t>日起至</w:t>
      </w:r>
      <w:r>
        <w:rPr>
          <w:rFonts w:hint="eastAsia"/>
          <w:sz w:val="28"/>
          <w:szCs w:val="28"/>
          <w:u w:val="single"/>
          <w:lang w:val="en-US" w:eastAsia="zh-CN"/>
        </w:rPr>
        <w:t xml:space="preserve">    </w:t>
      </w:r>
      <w:r>
        <w:rPr>
          <w:rFonts w:hint="eastAsia"/>
          <w:sz w:val="28"/>
          <w:szCs w:val="28"/>
        </w:rPr>
        <w:t>年</w:t>
      </w:r>
      <w:r>
        <w:rPr>
          <w:rFonts w:hint="eastAsia"/>
          <w:sz w:val="28"/>
          <w:szCs w:val="28"/>
          <w:u w:val="single"/>
          <w:lang w:val="en-US" w:eastAsia="zh-CN"/>
        </w:rPr>
        <w:t xml:space="preserve">   </w:t>
      </w:r>
      <w:r>
        <w:rPr>
          <w:rFonts w:hint="eastAsia"/>
          <w:sz w:val="28"/>
          <w:szCs w:val="28"/>
          <w:u w:val="none"/>
          <w:lang w:val="en-US" w:eastAsia="zh-CN"/>
        </w:rPr>
        <w:t>月</w:t>
      </w:r>
      <w:r>
        <w:rPr>
          <w:rFonts w:hint="eastAsia"/>
          <w:sz w:val="28"/>
          <w:szCs w:val="28"/>
          <w:u w:val="single"/>
          <w:lang w:val="en-US" w:eastAsia="zh-CN"/>
        </w:rPr>
        <w:t xml:space="preserve">   </w:t>
      </w:r>
      <w:r>
        <w:rPr>
          <w:rFonts w:hint="eastAsia"/>
          <w:sz w:val="28"/>
          <w:szCs w:val="28"/>
        </w:rPr>
        <w:t>日止。合同期限内，甲方需要乙方提供药品供应时，可以纸质书面发出供货通知，也可以通过电话、手机、传真、QQ、电子邮件等联系方式发出供货通知，要求乙方供货。以上几种方式的联系记录、收货签收单均视为合同的有效部分，双方应严格遵守。乙方应按药品购销合同中甲方规定的时间配送药品。如乙方遇到妨碍，不能按时配送药品时，应及时告知甲方，并以书面形式将拖延的事实、可能拖延的时间和原因通知甲方。甲方在收到乙方通知后，应尽快核实，并酌情给予乙方延长交货时间。合同终止后，不影响双方在本合同履行期间所产生违约责任的承担。</w:t>
      </w:r>
    </w:p>
    <w:p>
      <w:pPr>
        <w:rPr>
          <w:rFonts w:hint="eastAsia"/>
          <w:sz w:val="28"/>
          <w:szCs w:val="28"/>
        </w:rPr>
      </w:pPr>
      <w:r>
        <w:rPr>
          <w:rFonts w:hint="eastAsia"/>
          <w:sz w:val="28"/>
          <w:szCs w:val="28"/>
        </w:rPr>
        <w:t>本合同一式</w:t>
      </w:r>
      <w:r>
        <w:rPr>
          <w:rFonts w:hint="eastAsia"/>
          <w:sz w:val="28"/>
          <w:szCs w:val="28"/>
          <w:lang w:val="en-US" w:eastAsia="zh-CN"/>
        </w:rPr>
        <w:t>陆</w:t>
      </w:r>
      <w:r>
        <w:rPr>
          <w:rFonts w:hint="eastAsia"/>
          <w:sz w:val="28"/>
          <w:szCs w:val="28"/>
        </w:rPr>
        <w:t>份，甲乙双方各持</w:t>
      </w:r>
      <w:r>
        <w:rPr>
          <w:rFonts w:hint="eastAsia"/>
          <w:sz w:val="28"/>
          <w:szCs w:val="28"/>
          <w:lang w:val="en-US" w:eastAsia="zh-CN"/>
        </w:rPr>
        <w:t>叁</w:t>
      </w:r>
      <w:r>
        <w:rPr>
          <w:rFonts w:hint="eastAsia"/>
          <w:sz w:val="28"/>
          <w:szCs w:val="28"/>
        </w:rPr>
        <w:t>份。</w:t>
      </w:r>
    </w:p>
    <w:p>
      <w:pPr>
        <w:rPr>
          <w:rFonts w:hint="eastAsia"/>
          <w:sz w:val="28"/>
          <w:szCs w:val="28"/>
        </w:rPr>
      </w:pPr>
    </w:p>
    <w:p>
      <w:pPr>
        <w:rPr>
          <w:rFonts w:hint="eastAsia"/>
          <w:sz w:val="28"/>
          <w:szCs w:val="28"/>
        </w:rPr>
      </w:pPr>
      <w:r>
        <w:rPr>
          <w:rFonts w:hint="eastAsia"/>
          <w:sz w:val="28"/>
          <w:szCs w:val="28"/>
        </w:rPr>
        <w:t>甲方（盖章）：                        乙方（盖章）：</w:t>
      </w:r>
    </w:p>
    <w:p>
      <w:pPr>
        <w:rPr>
          <w:rFonts w:hint="eastAsia"/>
          <w:sz w:val="28"/>
          <w:szCs w:val="28"/>
        </w:rPr>
      </w:pPr>
      <w:r>
        <w:rPr>
          <w:rFonts w:hint="eastAsia"/>
          <w:sz w:val="28"/>
          <w:szCs w:val="28"/>
        </w:rPr>
        <w:t>委托代表人（签名）：                  委托代表人（签名）：</w:t>
      </w:r>
    </w:p>
    <w:p>
      <w:pPr>
        <w:rPr>
          <w:rFonts w:hint="eastAsia"/>
          <w:sz w:val="28"/>
          <w:szCs w:val="28"/>
        </w:rPr>
      </w:pPr>
      <w:r>
        <w:rPr>
          <w:rFonts w:hint="eastAsia"/>
          <w:sz w:val="28"/>
          <w:szCs w:val="28"/>
        </w:rPr>
        <w:t>签章日期：   年  月  日               签章日期：   年  月  日</w:t>
      </w:r>
    </w:p>
    <w:p>
      <w:pPr>
        <w:autoSpaceDE w:val="0"/>
        <w:autoSpaceDN w:val="0"/>
        <w:spacing w:line="300" w:lineRule="auto"/>
        <w:rPr>
          <w:rFonts w:hint="eastAsia" w:ascii="宋体" w:hAnsi="宋体" w:eastAsia="宋体" w:cs="Courier New"/>
          <w:b/>
          <w:color w:val="000000"/>
          <w:sz w:val="32"/>
          <w:szCs w:val="32"/>
        </w:rPr>
      </w:pPr>
    </w:p>
    <w:p>
      <w:pPr>
        <w:autoSpaceDE w:val="0"/>
        <w:autoSpaceDN w:val="0"/>
        <w:spacing w:line="300" w:lineRule="auto"/>
        <w:rPr>
          <w:rFonts w:hint="eastAsia" w:ascii="宋体" w:hAnsi="宋体" w:eastAsia="宋体" w:cs="Courier New"/>
          <w:b/>
          <w:color w:val="00000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250A9"/>
    <w:multiLevelType w:val="multilevel"/>
    <w:tmpl w:val="03825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EBC452B"/>
    <w:multiLevelType w:val="multilevel"/>
    <w:tmpl w:val="1EBC452B"/>
    <w:lvl w:ilvl="0" w:tentative="0">
      <w:start w:val="1"/>
      <w:numFmt w:val="japaneseCounting"/>
      <w:lvlText w:val="第%1条"/>
      <w:lvlJc w:val="left"/>
      <w:pPr>
        <w:tabs>
          <w:tab w:val="left" w:pos="750"/>
        </w:tabs>
        <w:ind w:left="750" w:hanging="75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DA729E9"/>
    <w:multiLevelType w:val="multilevel"/>
    <w:tmpl w:val="5DA729E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1B66B6C"/>
    <w:rsid w:val="01BB6538"/>
    <w:rsid w:val="02566B47"/>
    <w:rsid w:val="02625B16"/>
    <w:rsid w:val="04525DF9"/>
    <w:rsid w:val="04627DB9"/>
    <w:rsid w:val="06380DBE"/>
    <w:rsid w:val="07864920"/>
    <w:rsid w:val="08797E46"/>
    <w:rsid w:val="0B2F7FEB"/>
    <w:rsid w:val="0B6940A1"/>
    <w:rsid w:val="0CFF3BA2"/>
    <w:rsid w:val="0DDF2D96"/>
    <w:rsid w:val="15392A51"/>
    <w:rsid w:val="162172D7"/>
    <w:rsid w:val="17EC4843"/>
    <w:rsid w:val="1A4C797A"/>
    <w:rsid w:val="1BFD2FC2"/>
    <w:rsid w:val="1D020C63"/>
    <w:rsid w:val="1FC40A2F"/>
    <w:rsid w:val="230C6132"/>
    <w:rsid w:val="24062DFC"/>
    <w:rsid w:val="24722845"/>
    <w:rsid w:val="267D2BB8"/>
    <w:rsid w:val="284E26BD"/>
    <w:rsid w:val="2BAF7B59"/>
    <w:rsid w:val="302E16EF"/>
    <w:rsid w:val="303D69DF"/>
    <w:rsid w:val="33395F75"/>
    <w:rsid w:val="39FA5FFB"/>
    <w:rsid w:val="3F353E6B"/>
    <w:rsid w:val="45250531"/>
    <w:rsid w:val="456F454F"/>
    <w:rsid w:val="45A73ECC"/>
    <w:rsid w:val="45DB2F02"/>
    <w:rsid w:val="4A9213B0"/>
    <w:rsid w:val="4C81353D"/>
    <w:rsid w:val="533578E3"/>
    <w:rsid w:val="55690666"/>
    <w:rsid w:val="58E36829"/>
    <w:rsid w:val="5B527EF8"/>
    <w:rsid w:val="5CFC6D15"/>
    <w:rsid w:val="642464A6"/>
    <w:rsid w:val="6705150C"/>
    <w:rsid w:val="71B870AF"/>
    <w:rsid w:val="758A215D"/>
    <w:rsid w:val="76042F76"/>
    <w:rsid w:val="775752F5"/>
    <w:rsid w:val="797B7EEE"/>
    <w:rsid w:val="7A447DAF"/>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1">
    <w:name w:val="font11"/>
    <w:basedOn w:val="9"/>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22067</Words>
  <Characters>23919</Characters>
  <Lines>167</Lines>
  <Paragraphs>47</Paragraphs>
  <TotalTime>23</TotalTime>
  <ScaleCrop>false</ScaleCrop>
  <LinksUpToDate>false</LinksUpToDate>
  <CharactersWithSpaces>25638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2022-08-30T07:21:00Z</cp:lastPrinted>
  <dcterms:modified xsi:type="dcterms:W3CDTF">2022-10-21T01:57:07Z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003F4B7C55754348827E781723701253</vt:lpwstr>
  </property>
</Properties>
</file>