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156" w:afterLines="50" w:line="600" w:lineRule="exact"/>
        <w:jc w:val="center"/>
        <w:rPr>
          <w:rFonts w:hint="eastAsia" w:ascii="方正小标宋简体" w:hAnsi="宋体" w:eastAsia="方正小标宋简体" w:cs="Times New Roman"/>
          <w:b/>
          <w:sz w:val="44"/>
          <w:szCs w:val="44"/>
          <w:lang w:val="en-US" w:eastAsia="zh-CN"/>
        </w:rPr>
      </w:pPr>
      <w:r>
        <w:rPr>
          <w:rFonts w:hint="eastAsia" w:ascii="方正小标宋简体" w:hAnsi="宋体" w:eastAsia="方正小标宋简体" w:cs="Times New Roman"/>
          <w:b/>
          <w:sz w:val="44"/>
          <w:szCs w:val="44"/>
          <w:lang w:val="en-US" w:eastAsia="zh-CN"/>
        </w:rPr>
        <w:t>广西骨伤医院胰岛素泵采购项目</w:t>
      </w:r>
    </w:p>
    <w:p>
      <w:pPr>
        <w:spacing w:before="312" w:beforeLines="100" w:after="156" w:afterLines="50" w:line="600" w:lineRule="exact"/>
        <w:jc w:val="center"/>
        <w:rPr>
          <w:rFonts w:hint="eastAsia"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招标文件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firstLine="1430" w:firstLineChars="445"/>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项目名称：</w:t>
      </w:r>
      <w:bookmarkStart w:id="0" w:name="_Hlk90536625"/>
      <w:r>
        <w:rPr>
          <w:rFonts w:hint="eastAsia" w:ascii="仿宋_GB2312" w:hAnsi="宋体" w:eastAsia="仿宋_GB2312" w:cs="Times New Roman"/>
          <w:b/>
          <w:color w:val="000000"/>
          <w:sz w:val="32"/>
          <w:szCs w:val="32"/>
          <w:lang w:val="en-US" w:eastAsia="zh-CN"/>
        </w:rPr>
        <w:t>胰岛素泵采购项目</w:t>
      </w:r>
    </w:p>
    <w:bookmarkEnd w:id="0"/>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项目编号：</w:t>
      </w:r>
      <w:r>
        <w:rPr>
          <w:rFonts w:ascii="仿宋_GB2312" w:hAnsi="宋体" w:eastAsia="仿宋_GB2312" w:cs="Times New Roman"/>
          <w:b/>
          <w:color w:val="000000"/>
          <w:sz w:val="32"/>
          <w:szCs w:val="32"/>
          <w:highlight w:val="none"/>
        </w:rPr>
        <w:t>GXGSYY-</w:t>
      </w:r>
      <w:r>
        <w:rPr>
          <w:rFonts w:hint="eastAsia" w:ascii="仿宋_GB2312" w:hAnsi="宋体" w:eastAsia="仿宋_GB2312" w:cs="Times New Roman"/>
          <w:b/>
          <w:color w:val="000000"/>
          <w:sz w:val="32"/>
          <w:szCs w:val="32"/>
          <w:highlight w:val="none"/>
        </w:rPr>
        <w:t>C</w:t>
      </w:r>
      <w:r>
        <w:rPr>
          <w:rFonts w:ascii="仿宋_GB2312" w:hAnsi="宋体" w:eastAsia="仿宋_GB2312" w:cs="Times New Roman"/>
          <w:b/>
          <w:color w:val="000000"/>
          <w:sz w:val="32"/>
          <w:szCs w:val="32"/>
          <w:highlight w:val="none"/>
        </w:rPr>
        <w:t>GB-SBK-202</w:t>
      </w:r>
      <w:r>
        <w:rPr>
          <w:rFonts w:hint="eastAsia" w:ascii="仿宋_GB2312" w:hAnsi="宋体" w:eastAsia="仿宋_GB2312" w:cs="Times New Roman"/>
          <w:b/>
          <w:color w:val="000000"/>
          <w:sz w:val="32"/>
          <w:szCs w:val="32"/>
          <w:highlight w:val="none"/>
          <w:lang w:val="en-US" w:eastAsia="zh-CN"/>
        </w:rPr>
        <w:t>2</w:t>
      </w:r>
      <w:r>
        <w:rPr>
          <w:rFonts w:ascii="仿宋_GB2312" w:hAnsi="宋体" w:eastAsia="仿宋_GB2312" w:cs="Times New Roman"/>
          <w:b/>
          <w:color w:val="000000"/>
          <w:sz w:val="32"/>
          <w:szCs w:val="32"/>
          <w:highlight w:val="none"/>
        </w:rPr>
        <w:t>-</w:t>
      </w:r>
      <w:r>
        <w:rPr>
          <w:rFonts w:hint="eastAsia" w:ascii="仿宋_GB2312" w:hAnsi="宋体" w:eastAsia="仿宋_GB2312" w:cs="Times New Roman"/>
          <w:b/>
          <w:color w:val="000000"/>
          <w:sz w:val="32"/>
          <w:szCs w:val="32"/>
          <w:highlight w:val="none"/>
          <w:lang w:val="en-US" w:eastAsia="zh-CN"/>
        </w:rPr>
        <w:t>23</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both"/>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2</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9</w:t>
      </w:r>
      <w:r>
        <w:rPr>
          <w:rFonts w:hint="eastAsia" w:ascii="仿宋_GB2312" w:hAnsi="宋体" w:eastAsia="仿宋_GB2312" w:cs="Times New Roman"/>
          <w:b/>
          <w:color w:val="000000"/>
          <w:sz w:val="32"/>
          <w:szCs w:val="32"/>
        </w:rPr>
        <w:t xml:space="preserve">月 </w:t>
      </w:r>
      <w:r>
        <w:rPr>
          <w:rFonts w:hint="eastAsia" w:ascii="仿宋_GB2312" w:hAnsi="宋体" w:eastAsia="仿宋_GB2312" w:cs="Times New Roman"/>
          <w:b/>
          <w:color w:val="000000"/>
          <w:sz w:val="32"/>
          <w:szCs w:val="32"/>
          <w:lang w:val="en-US" w:eastAsia="zh-CN"/>
        </w:rPr>
        <w:t>5</w:t>
      </w:r>
      <w:r>
        <w:rPr>
          <w:rFonts w:hint="eastAsia" w:ascii="仿宋_GB2312" w:hAnsi="宋体" w:eastAsia="仿宋_GB2312" w:cs="Times New Roman"/>
          <w:b/>
          <w:color w:val="000000"/>
          <w:sz w:val="32"/>
          <w:szCs w:val="32"/>
        </w:rPr>
        <w:t>日</w:t>
      </w:r>
    </w:p>
    <w:p>
      <w:pPr>
        <w:spacing w:line="400" w:lineRule="exact"/>
        <w:jc w:val="center"/>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eastAsia="zh-CN"/>
        </w:rPr>
      </w:pPr>
      <w:bookmarkStart w:id="1" w:name="_Toc47452204"/>
      <w:r>
        <w:rPr>
          <w:rFonts w:hint="eastAsia" w:ascii="Cambria" w:hAnsi="Cambria" w:eastAsia="宋体" w:cs="Times New Roman"/>
          <w:b/>
          <w:bCs/>
          <w:color w:val="000000"/>
          <w:sz w:val="32"/>
          <w:szCs w:val="32"/>
          <w:lang w:val="zh-CN" w:eastAsia="zh-CN"/>
        </w:rPr>
        <w:t xml:space="preserve">第一章 </w:t>
      </w:r>
      <w:r>
        <w:rPr>
          <w:rFonts w:hint="eastAsia" w:ascii="Cambria" w:hAnsi="Cambria" w:eastAsia="宋体" w:cs="Times New Roman"/>
          <w:b/>
          <w:bCs/>
          <w:color w:val="000000"/>
          <w:sz w:val="32"/>
          <w:szCs w:val="32"/>
          <w:lang w:val="zh-CN"/>
        </w:rPr>
        <w:t>议价会</w:t>
      </w:r>
      <w:r>
        <w:rPr>
          <w:rFonts w:hint="eastAsia" w:ascii="Cambria" w:hAnsi="Cambria" w:eastAsia="宋体" w:cs="Times New Roman"/>
          <w:b/>
          <w:bCs/>
          <w:color w:val="000000"/>
          <w:sz w:val="32"/>
          <w:szCs w:val="32"/>
          <w:lang w:val="zh-CN" w:eastAsia="zh-CN"/>
        </w:rPr>
        <w:t>公告</w:t>
      </w:r>
      <w:bookmarkEnd w:id="1"/>
    </w:p>
    <w:p>
      <w:pPr>
        <w:keepNext/>
        <w:keepLines/>
        <w:spacing w:line="320" w:lineRule="exact"/>
        <w:ind w:firstLine="422" w:firstLineChars="200"/>
        <w:outlineLvl w:val="1"/>
        <w:rPr>
          <w:rFonts w:ascii="宋体" w:hAnsi="宋体" w:eastAsia="宋体" w:cs="宋体"/>
          <w:b/>
          <w:color w:val="000000"/>
          <w:szCs w:val="21"/>
          <w:lang w:val="zh-CN" w:eastAsia="zh-CN"/>
        </w:rPr>
      </w:pPr>
      <w:bookmarkStart w:id="2" w:name="_Toc35393629"/>
      <w:bookmarkStart w:id="3" w:name="_Toc35393798"/>
      <w:bookmarkStart w:id="4" w:name="_Toc28359012"/>
      <w:bookmarkStart w:id="5" w:name="_Toc28359089"/>
      <w:bookmarkStart w:id="6" w:name="_Toc47452205"/>
      <w:bookmarkStart w:id="7" w:name="_Toc44229878"/>
      <w:r>
        <w:rPr>
          <w:rFonts w:hint="eastAsia" w:ascii="宋体" w:hAnsi="宋体" w:eastAsia="宋体" w:cs="宋体"/>
          <w:b/>
          <w:color w:val="000000"/>
          <w:szCs w:val="21"/>
          <w:lang w:val="zh-CN" w:eastAsia="zh-CN"/>
        </w:rPr>
        <w:t>一、项目基本情况</w:t>
      </w:r>
      <w:bookmarkEnd w:id="2"/>
      <w:bookmarkEnd w:id="3"/>
      <w:bookmarkEnd w:id="4"/>
      <w:bookmarkEnd w:id="5"/>
      <w:bookmarkEnd w:id="6"/>
      <w:bookmarkEnd w:id="7"/>
    </w:p>
    <w:p>
      <w:pPr>
        <w:spacing w:line="320" w:lineRule="exact"/>
        <w:ind w:firstLine="420" w:firstLineChars="200"/>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w:t>
      </w:r>
      <w:r>
        <w:rPr>
          <w:rFonts w:hint="eastAsia" w:ascii="宋体" w:hAnsi="宋体" w:eastAsia="宋体" w:cs="Times New Roman"/>
          <w:color w:val="000000"/>
          <w:szCs w:val="21"/>
          <w:highlight w:val="none"/>
        </w:rPr>
        <w:t>：</w:t>
      </w:r>
      <w:r>
        <w:rPr>
          <w:rFonts w:ascii="宋体" w:hAnsi="宋体" w:eastAsia="宋体" w:cs="Times New Roman"/>
          <w:color w:val="000000"/>
          <w:szCs w:val="21"/>
          <w:highlight w:val="none"/>
        </w:rPr>
        <w:t>GXGSYY-CGB-SBK-202</w:t>
      </w:r>
      <w:r>
        <w:rPr>
          <w:rFonts w:hint="eastAsia" w:ascii="宋体" w:hAnsi="宋体" w:eastAsia="宋体" w:cs="Times New Roman"/>
          <w:color w:val="000000"/>
          <w:szCs w:val="21"/>
          <w:highlight w:val="none"/>
          <w:lang w:val="en-US" w:eastAsia="zh-CN"/>
        </w:rPr>
        <w:t>2</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23</w:t>
      </w:r>
    </w:p>
    <w:p>
      <w:pPr>
        <w:spacing w:line="320" w:lineRule="exact"/>
        <w:ind w:firstLine="420" w:firstLineChars="200"/>
        <w:rPr>
          <w:rFonts w:hint="default" w:ascii="宋体" w:hAnsi="宋体" w:eastAsia="宋体" w:cs="Times New Roman"/>
          <w:color w:val="000000"/>
          <w:szCs w:val="21"/>
          <w:u w:val="single"/>
          <w:lang w:val="en-US" w:eastAsia="zh-CN"/>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w:t>
      </w:r>
      <w:r>
        <w:rPr>
          <w:rFonts w:hint="eastAsia" w:ascii="宋体" w:hAnsi="宋体" w:eastAsia="宋体" w:cs="Times New Roman"/>
          <w:color w:val="000000"/>
          <w:szCs w:val="21"/>
          <w:lang w:val="en-US" w:eastAsia="zh-CN"/>
        </w:rPr>
        <w:t>胰岛素泵</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采购方式：院内议价</w:t>
      </w:r>
    </w:p>
    <w:p>
      <w:pPr>
        <w:spacing w:line="320" w:lineRule="exact"/>
        <w:ind w:firstLine="420" w:firstLineChars="200"/>
        <w:rPr>
          <w:rFonts w:hint="default" w:ascii="宋体" w:hAnsi="宋体" w:eastAsia="宋体" w:cs="Times New Roman"/>
          <w:color w:val="000000"/>
          <w:szCs w:val="21"/>
          <w:lang w:val="en-US"/>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预算金额：</w:t>
      </w:r>
      <w:r>
        <w:rPr>
          <w:rFonts w:hint="eastAsia" w:ascii="宋体" w:hAnsi="宋体" w:eastAsia="宋体" w:cs="Times New Roman"/>
          <w:color w:val="000000"/>
          <w:szCs w:val="21"/>
          <w:lang w:val="en-US" w:eastAsia="zh-CN"/>
        </w:rPr>
        <w:t>3.9万元/台</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lang w:val="en-US" w:eastAsia="zh-CN"/>
        </w:rPr>
        <w:t>5</w:t>
      </w:r>
      <w:r>
        <w:rPr>
          <w:rFonts w:ascii="宋体" w:hAnsi="宋体" w:eastAsia="宋体" w:cs="Times New Roman"/>
          <w:color w:val="000000"/>
          <w:szCs w:val="21"/>
        </w:rPr>
        <w:t>.</w:t>
      </w:r>
      <w:r>
        <w:rPr>
          <w:rFonts w:hint="eastAsia" w:ascii="宋体" w:hAnsi="宋体" w:eastAsia="宋体" w:cs="Times New Roman"/>
          <w:color w:val="000000"/>
          <w:szCs w:val="21"/>
        </w:rPr>
        <w:t>采购需求：</w:t>
      </w:r>
      <w:r>
        <w:rPr>
          <w:rFonts w:ascii="宋体" w:hAnsi="宋体" w:eastAsia="宋体" w:cs="Times New Roman"/>
          <w:color w:val="000000"/>
          <w:szCs w:val="21"/>
        </w:rPr>
        <w:t xml:space="preserve"> </w:t>
      </w:r>
    </w:p>
    <w:p>
      <w:pPr>
        <w:widowControl/>
        <w:ind w:firstLine="420" w:firstLineChars="200"/>
        <w:rPr>
          <w:rFonts w:ascii="宋体" w:hAnsi="宋体" w:eastAsia="宋体" w:cs="Times New Roman"/>
          <w:color w:val="000000"/>
          <w:szCs w:val="21"/>
        </w:rPr>
      </w:pPr>
    </w:p>
    <w:tbl>
      <w:tblPr>
        <w:tblStyle w:val="5"/>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709"/>
        <w:gridCol w:w="5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8359" w:type="dxa"/>
            <w:gridSpan w:val="3"/>
            <w:shd w:val="clear" w:color="auto" w:fill="auto"/>
            <w:vAlign w:val="center"/>
          </w:tcPr>
          <w:p>
            <w:pPr>
              <w:spacing w:line="400" w:lineRule="exact"/>
              <w:rPr>
                <w:rFonts w:ascii="宋体" w:hAnsi="宋体" w:eastAsia="宋体" w:cs="Times New Roman"/>
                <w:b/>
                <w:bCs/>
                <w:szCs w:val="21"/>
              </w:rPr>
            </w:pPr>
            <w:r>
              <w:rPr>
                <w:rFonts w:hint="eastAsia" w:ascii="宋体" w:hAnsi="宋体" w:eastAsia="宋体" w:cs="Times New Roman"/>
                <w:b/>
                <w:bCs/>
                <w:szCs w:val="21"/>
              </w:rPr>
              <w:t>一、项目要求及技术需求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96" w:type="dxa"/>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rPr>
              <w:t>采购内容</w:t>
            </w:r>
          </w:p>
        </w:tc>
        <w:tc>
          <w:tcPr>
            <w:tcW w:w="709" w:type="dxa"/>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rPr>
              <w:t>数量</w:t>
            </w:r>
          </w:p>
        </w:tc>
        <w:tc>
          <w:tcPr>
            <w:tcW w:w="5954" w:type="dxa"/>
            <w:shd w:val="clear" w:color="auto" w:fill="auto"/>
          </w:tcPr>
          <w:p>
            <w:pPr>
              <w:spacing w:line="400" w:lineRule="exact"/>
              <w:rPr>
                <w:rFonts w:ascii="宋体" w:hAnsi="宋体" w:eastAsia="宋体" w:cs="Times New Roman"/>
                <w:szCs w:val="21"/>
              </w:rPr>
            </w:pPr>
            <w:r>
              <w:rPr>
                <w:rFonts w:hint="eastAsia" w:ascii="宋体" w:hAnsi="宋体" w:eastAsia="宋体" w:cs="Times New Roman"/>
                <w:szCs w:val="21"/>
              </w:rPr>
              <w:t>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5" w:hRule="atLeast"/>
          <w:jc w:val="center"/>
        </w:trPr>
        <w:tc>
          <w:tcPr>
            <w:tcW w:w="1696" w:type="dxa"/>
            <w:shd w:val="clear" w:color="auto" w:fill="auto"/>
            <w:vAlign w:val="center"/>
          </w:tcPr>
          <w:p>
            <w:pPr>
              <w:spacing w:line="400" w:lineRule="exact"/>
              <w:rPr>
                <w:rFonts w:hint="default" w:ascii="宋体" w:hAnsi="宋体" w:eastAsia="宋体" w:cs="Times New Roman"/>
                <w:szCs w:val="21"/>
                <w:lang w:val="en-US" w:eastAsia="zh-CN"/>
              </w:rPr>
            </w:pPr>
            <w:r>
              <w:rPr>
                <w:rFonts w:hint="eastAsia" w:ascii="宋体" w:hAnsi="宋体" w:eastAsia="宋体" w:cs="Times New Roman"/>
                <w:color w:val="000000"/>
                <w:szCs w:val="21"/>
                <w:lang w:val="en-US" w:eastAsia="zh-CN"/>
              </w:rPr>
              <w:t>胰岛素泵</w:t>
            </w:r>
          </w:p>
        </w:tc>
        <w:tc>
          <w:tcPr>
            <w:tcW w:w="709" w:type="dxa"/>
            <w:shd w:val="clear" w:color="auto" w:fill="auto"/>
            <w:vAlign w:val="center"/>
          </w:tcPr>
          <w:p>
            <w:pPr>
              <w:spacing w:line="400" w:lineRule="exac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1台</w:t>
            </w:r>
          </w:p>
        </w:tc>
        <w:tc>
          <w:tcPr>
            <w:tcW w:w="5954" w:type="dxa"/>
            <w:shd w:val="clear" w:color="auto" w:fill="auto"/>
          </w:tcPr>
          <w:p>
            <w:pPr>
              <w:spacing w:line="40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1.输注方式：基础输注、大剂量输注等；</w:t>
            </w:r>
          </w:p>
          <w:p>
            <w:pPr>
              <w:spacing w:line="40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2.全天IPX7以上防水；</w:t>
            </w:r>
          </w:p>
          <w:p>
            <w:pPr>
              <w:spacing w:line="40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3.基础率步长：最小0.05U，大剂量增量：0.1U，大剂量：0.1-25U；</w:t>
            </w:r>
          </w:p>
          <w:p>
            <w:pPr>
              <w:spacing w:line="40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4.胰岛素选择：U-100/ml；</w:t>
            </w:r>
          </w:p>
          <w:p>
            <w:pPr>
              <w:spacing w:line="40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5.显示胰岛素余量；</w:t>
            </w:r>
          </w:p>
          <w:p>
            <w:pPr>
              <w:spacing w:line="40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6.储药器：3ml；</w:t>
            </w:r>
          </w:p>
          <w:p>
            <w:pPr>
              <w:spacing w:line="40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7.屏幕电池显示；</w:t>
            </w:r>
          </w:p>
          <w:p>
            <w:pPr>
              <w:spacing w:line="40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8.可回顾至</w:t>
            </w:r>
            <w:bookmarkStart w:id="20" w:name="_GoBack"/>
            <w:bookmarkEnd w:id="20"/>
            <w:r>
              <w:rPr>
                <w:rFonts w:hint="eastAsia" w:ascii="宋体" w:hAnsi="宋体" w:eastAsia="宋体" w:cs="Times New Roman"/>
                <w:color w:val="000000"/>
                <w:szCs w:val="21"/>
                <w:lang w:val="en-US" w:eastAsia="zh-CN"/>
              </w:rPr>
              <w:t>少36次以上报警，以及报警类型及日期。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pPr>
              <w:spacing w:line="400" w:lineRule="exact"/>
              <w:jc w:val="left"/>
              <w:rPr>
                <w:rFonts w:ascii="宋体" w:hAnsi="宋体" w:eastAsia="宋体" w:cs="Times New Roman"/>
                <w:b/>
                <w:szCs w:val="21"/>
              </w:rPr>
            </w:pPr>
            <w:r>
              <w:rPr>
                <w:rFonts w:hint="eastAsia" w:ascii="宋体" w:hAnsi="宋体" w:eastAsia="宋体" w:cs="Times New Roman"/>
                <w:b/>
                <w:szCs w:val="21"/>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jc w:val="left"/>
              <w:rPr>
                <w:rFonts w:hint="eastAsia" w:ascii="宋体" w:hAnsi="宋体" w:eastAsia="宋体" w:cs="Times New Roman"/>
                <w:b/>
                <w:szCs w:val="21"/>
              </w:rPr>
            </w:pPr>
            <w:r>
              <w:rPr>
                <w:rFonts w:hint="eastAsia" w:ascii="宋体" w:hAnsi="宋体" w:eastAsia="宋体" w:cs="Times New Roman"/>
                <w:szCs w:val="21"/>
              </w:rPr>
              <w:t>▲</w:t>
            </w:r>
            <w:r>
              <w:rPr>
                <w:rFonts w:hint="eastAsia" w:ascii="Calibri" w:hAnsi="Calibri" w:eastAsia="宋体" w:cs="Times New Roman"/>
                <w:szCs w:val="24"/>
              </w:rPr>
              <w:t>报价要求</w:t>
            </w:r>
          </w:p>
        </w:tc>
        <w:tc>
          <w:tcPr>
            <w:tcW w:w="6663" w:type="dxa"/>
            <w:gridSpan w:val="2"/>
            <w:shd w:val="clear" w:color="auto" w:fill="auto"/>
            <w:vAlign w:val="center"/>
          </w:tcPr>
          <w:p>
            <w:pPr>
              <w:adjustRightInd w:val="0"/>
              <w:snapToGrid w:val="0"/>
              <w:spacing w:line="360" w:lineRule="exact"/>
              <w:jc w:val="left"/>
              <w:outlineLvl w:val="0"/>
              <w:rPr>
                <w:rFonts w:hint="eastAsia" w:ascii="宋体" w:hAnsi="宋体" w:eastAsia="宋体" w:cs="Times New Roman"/>
                <w:b/>
                <w:szCs w:val="21"/>
              </w:rPr>
            </w:pPr>
            <w:r>
              <w:rPr>
                <w:rFonts w:hint="eastAsia" w:ascii="宋体" w:hAnsi="宋体" w:eastAsia="宋体" w:cs="宋体"/>
                <w:bCs/>
                <w:szCs w:val="21"/>
              </w:rPr>
              <w:t>竞标报价为全包价，以人民币为结算单位，包括本项目所有系统、安装调试、验收、培训、售后服务、伴随的服务及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▲质保期</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按国家有关产品“三包”规定执行“三包”，交货验收合格之日起所有货物提供二年的免费上门保修和包换、维护服务（各分项另有要求的以各分项要求为准）。质保期内免费上门维修、免费更换零部件。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售后服务要求</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免费送货上门、免费培训操作人员。</w:t>
            </w:r>
          </w:p>
          <w:p>
            <w:pPr>
              <w:spacing w:line="400" w:lineRule="exact"/>
              <w:jc w:val="left"/>
              <w:rPr>
                <w:rFonts w:ascii="宋体" w:hAnsi="宋体" w:eastAsia="宋体" w:cs="Times New Roman"/>
                <w:bCs/>
                <w:szCs w:val="21"/>
              </w:rPr>
            </w:pPr>
            <w:r>
              <w:rPr>
                <w:rFonts w:ascii="宋体" w:hAnsi="宋体" w:eastAsia="宋体" w:cs="Times New Roman"/>
                <w:bCs/>
                <w:szCs w:val="21"/>
              </w:rPr>
              <w:t>2</w:t>
            </w:r>
            <w:r>
              <w:rPr>
                <w:rFonts w:hint="eastAsia" w:ascii="宋体" w:hAnsi="宋体" w:eastAsia="宋体" w:cs="Times New Roman"/>
                <w:bCs/>
                <w:szCs w:val="21"/>
              </w:rPr>
              <w:t>.</w:t>
            </w:r>
            <w:r>
              <w:rPr>
                <w:rFonts w:ascii="宋体" w:hAnsi="宋体" w:eastAsia="宋体" w:cs="Times New Roman"/>
                <w:bCs/>
                <w:szCs w:val="21"/>
              </w:rPr>
              <w:t>维修响应：中标供应商在接到用户维修电话后4小时内响应， 12小时内到达现场修理解决，并免费更换有缺陷的货物或零部件，24小时内恢复正常使用，若不能修复则应有合理应对方案。</w:t>
            </w:r>
          </w:p>
          <w:p>
            <w:pPr>
              <w:spacing w:line="400" w:lineRule="exact"/>
              <w:jc w:val="left"/>
              <w:rPr>
                <w:rFonts w:ascii="宋体" w:hAnsi="宋体" w:eastAsia="宋体" w:cs="Times New Roman"/>
                <w:bCs/>
                <w:szCs w:val="21"/>
              </w:rPr>
            </w:pPr>
            <w:r>
              <w:rPr>
                <w:rFonts w:ascii="宋体" w:hAnsi="宋体" w:eastAsia="宋体" w:cs="Times New Roman"/>
                <w:bCs/>
                <w:szCs w:val="21"/>
              </w:rPr>
              <w:t>3</w:t>
            </w:r>
            <w:r>
              <w:rPr>
                <w:rFonts w:hint="eastAsia" w:ascii="宋体" w:hAnsi="宋体" w:eastAsia="宋体" w:cs="Times New Roman"/>
                <w:bCs/>
                <w:szCs w:val="21"/>
              </w:rPr>
              <w:t>.</w:t>
            </w:r>
            <w:r>
              <w:rPr>
                <w:rFonts w:ascii="宋体" w:hAnsi="宋体" w:eastAsia="宋体" w:cs="Times New Roman"/>
                <w:bCs/>
                <w:szCs w:val="21"/>
              </w:rPr>
              <w:t>中标人除承担运输、安装、调试、验收与培训等义务外，还将为采购方提供技术支持，包括保修期外的修理及技术指导、配件供应等。</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4</w:t>
            </w:r>
            <w:r>
              <w:rPr>
                <w:rFonts w:hint="eastAsia" w:ascii="宋体" w:hAnsi="宋体" w:eastAsia="宋体" w:cs="Times New Roman"/>
                <w:bCs/>
                <w:szCs w:val="21"/>
              </w:rPr>
              <w:t>.</w:t>
            </w:r>
            <w:r>
              <w:rPr>
                <w:rFonts w:ascii="宋体" w:hAnsi="宋体" w:eastAsia="宋体" w:cs="Times New Roman"/>
                <w:bCs/>
                <w:szCs w:val="21"/>
              </w:rPr>
              <w:t>投标人应提出售后服务承诺书。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▲交货时间及地点</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交付时间：自签订合同之日起7日内。</w:t>
            </w:r>
          </w:p>
          <w:p>
            <w:pPr>
              <w:spacing w:line="400" w:lineRule="exact"/>
              <w:jc w:val="left"/>
              <w:rPr>
                <w:rFonts w:ascii="宋体" w:hAnsi="宋体" w:eastAsia="宋体" w:cs="Times New Roman"/>
                <w:bCs/>
                <w:szCs w:val="21"/>
              </w:rPr>
            </w:pPr>
            <w:r>
              <w:rPr>
                <w:rFonts w:ascii="宋体" w:hAnsi="宋体" w:eastAsia="宋体" w:cs="Times New Roman"/>
                <w:bCs/>
                <w:szCs w:val="21"/>
              </w:rPr>
              <w:t>2</w:t>
            </w:r>
            <w:r>
              <w:rPr>
                <w:rFonts w:hint="eastAsia" w:ascii="宋体" w:hAnsi="宋体" w:eastAsia="宋体" w:cs="Times New Roman"/>
                <w:bCs/>
                <w:szCs w:val="21"/>
              </w:rPr>
              <w:t>.</w:t>
            </w:r>
            <w:r>
              <w:rPr>
                <w:rFonts w:ascii="宋体" w:hAnsi="宋体" w:eastAsia="宋体" w:cs="Times New Roman"/>
                <w:bCs/>
                <w:szCs w:val="21"/>
              </w:rPr>
              <w:t>交货地点：广西</w:t>
            </w:r>
            <w:r>
              <w:rPr>
                <w:rFonts w:hint="eastAsia" w:ascii="宋体" w:hAnsi="宋体" w:eastAsia="宋体" w:cs="Times New Roman"/>
                <w:bCs/>
                <w:szCs w:val="21"/>
              </w:rPr>
              <w:t>骨伤医院</w:t>
            </w:r>
            <w:r>
              <w:rPr>
                <w:rFonts w:ascii="宋体" w:hAnsi="宋体" w:eastAsia="宋体" w:cs="Times New Roman"/>
                <w:bCs/>
                <w:szCs w:val="21"/>
              </w:rPr>
              <w:t>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付款条件</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付款方式：货物</w:t>
            </w:r>
            <w:r>
              <w:rPr>
                <w:rFonts w:hint="eastAsia" w:ascii="宋体" w:hAnsi="宋体" w:eastAsia="宋体" w:cs="Times New Roman"/>
                <w:bCs/>
                <w:szCs w:val="21"/>
                <w:lang w:val="en-US" w:eastAsia="zh-CN"/>
              </w:rPr>
              <w:t>到货</w:t>
            </w:r>
            <w:r>
              <w:rPr>
                <w:rFonts w:hint="eastAsia" w:ascii="宋体" w:hAnsi="宋体" w:eastAsia="宋体" w:cs="Times New Roman"/>
                <w:bCs/>
                <w:szCs w:val="21"/>
              </w:rPr>
              <w:t>验收合格后，中标人应在</w:t>
            </w:r>
            <w:r>
              <w:rPr>
                <w:rFonts w:hint="eastAsia" w:ascii="宋体" w:hAnsi="宋体" w:eastAsia="宋体" w:cs="Times New Roman"/>
                <w:bCs/>
                <w:szCs w:val="21"/>
                <w:lang w:val="en-US" w:eastAsia="zh-CN"/>
              </w:rPr>
              <w:t>30</w:t>
            </w:r>
            <w:r>
              <w:rPr>
                <w:rFonts w:hint="eastAsia" w:ascii="宋体" w:hAnsi="宋体" w:eastAsia="宋体" w:cs="Times New Roman"/>
                <w:bCs/>
                <w:szCs w:val="21"/>
              </w:rPr>
              <w:t>日内开具发票给采购人</w:t>
            </w:r>
            <w:r>
              <w:rPr>
                <w:rFonts w:hint="eastAsia" w:ascii="宋体" w:hAnsi="宋体" w:eastAsia="宋体" w:cs="Times New Roman"/>
                <w:bCs/>
                <w:szCs w:val="21"/>
                <w:lang w:eastAsia="zh-CN"/>
              </w:rPr>
              <w:t>，</w:t>
            </w:r>
            <w:r>
              <w:rPr>
                <w:rFonts w:hint="eastAsia" w:ascii="宋体" w:hAnsi="宋体" w:eastAsia="宋体" w:cs="Times New Roman"/>
                <w:bCs/>
                <w:szCs w:val="21"/>
              </w:rPr>
              <w:t>采购人在</w:t>
            </w:r>
            <w:r>
              <w:rPr>
                <w:rFonts w:hint="eastAsia" w:ascii="宋体" w:hAnsi="宋体" w:eastAsia="宋体" w:cs="Times New Roman"/>
                <w:bCs/>
                <w:szCs w:val="21"/>
                <w:lang w:val="en-US" w:eastAsia="zh-CN"/>
              </w:rPr>
              <w:t>7个工作日内</w:t>
            </w:r>
            <w:r>
              <w:rPr>
                <w:rFonts w:hint="eastAsia" w:ascii="宋体" w:hAnsi="宋体" w:eastAsia="宋体" w:cs="Times New Roman"/>
                <w:bCs/>
                <w:szCs w:val="21"/>
              </w:rPr>
              <w:t>支付合同总金额的1</w:t>
            </w:r>
            <w:r>
              <w:rPr>
                <w:rFonts w:ascii="宋体" w:hAnsi="宋体" w:eastAsia="宋体" w:cs="Times New Roman"/>
                <w:bCs/>
                <w:szCs w:val="21"/>
              </w:rPr>
              <w:t>00%货款</w:t>
            </w:r>
            <w:r>
              <w:rPr>
                <w:rFonts w:hint="eastAsia"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其它要求</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3.投标时必须提供产品有效的医疗器械注册证复印件或注册证受理证明复印件。</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备注</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p>
        </w:tc>
      </w:tr>
    </w:tbl>
    <w:p>
      <w:pPr>
        <w:keepNext/>
        <w:keepLines/>
        <w:spacing w:line="276" w:lineRule="auto"/>
        <w:ind w:firstLine="422" w:firstLineChars="200"/>
        <w:outlineLvl w:val="1"/>
        <w:rPr>
          <w:rFonts w:ascii="宋体" w:hAnsi="宋体" w:eastAsia="宋体" w:cs="宋体"/>
          <w:b/>
          <w:color w:val="000000"/>
          <w:szCs w:val="21"/>
          <w:lang w:val="zh-CN" w:eastAsia="zh-CN"/>
        </w:rPr>
      </w:pPr>
      <w:bookmarkStart w:id="8" w:name="_Toc47452206"/>
      <w:bookmarkStart w:id="9" w:name="_Toc35393799"/>
      <w:bookmarkStart w:id="10" w:name="_Toc35393630"/>
      <w:bookmarkStart w:id="11" w:name="_Toc28359013"/>
      <w:bookmarkStart w:id="12" w:name="_Toc28359090"/>
      <w:bookmarkStart w:id="13" w:name="_Toc44229879"/>
      <w:r>
        <w:rPr>
          <w:rFonts w:hint="eastAsia" w:ascii="宋体" w:hAnsi="宋体" w:eastAsia="宋体" w:cs="宋体"/>
          <w:b/>
          <w:color w:val="000000"/>
          <w:szCs w:val="21"/>
          <w:lang w:val="zh-CN" w:eastAsia="zh-CN"/>
        </w:rPr>
        <w:t>二、供应商的资格条件：</w:t>
      </w:r>
      <w:bookmarkEnd w:id="8"/>
      <w:bookmarkEnd w:id="9"/>
      <w:bookmarkEnd w:id="10"/>
      <w:bookmarkEnd w:id="11"/>
      <w:bookmarkEnd w:id="12"/>
      <w:bookmarkEnd w:id="13"/>
    </w:p>
    <w:p>
      <w:pPr>
        <w:keepNext/>
        <w:keepLines/>
        <w:spacing w:line="276" w:lineRule="auto"/>
        <w:ind w:firstLine="420" w:firstLineChars="200"/>
        <w:outlineLvl w:val="1"/>
        <w:rPr>
          <w:rFonts w:ascii="宋体" w:hAnsi="宋体" w:eastAsia="宋体" w:cs="Times New Roman"/>
          <w:color w:val="000000"/>
          <w:szCs w:val="21"/>
        </w:rPr>
      </w:pPr>
      <w:bookmarkStart w:id="14" w:name="_Toc44229880"/>
      <w:bookmarkStart w:id="15" w:name="_Toc47452207"/>
      <w:bookmarkStart w:id="16" w:name="_Toc35393631"/>
      <w:bookmarkStart w:id="17" w:name="_Toc28359014"/>
      <w:bookmarkStart w:id="18" w:name="_Toc28359091"/>
      <w:bookmarkStart w:id="19" w:name="_Toc35393800"/>
      <w:r>
        <w:rPr>
          <w:rFonts w:hint="eastAsia" w:ascii="宋体" w:hAnsi="宋体" w:eastAsia="宋体" w:cs="Times New Roman"/>
          <w:color w:val="000000"/>
          <w:szCs w:val="21"/>
        </w:rPr>
        <w:t>除应具备《政府采购法》第二十二条资格条件外，还必须满足：</w:t>
      </w:r>
      <w:r>
        <w:rPr>
          <w:rFonts w:ascii="宋体" w:hAnsi="宋体" w:eastAsia="宋体" w:cs="Times New Roman"/>
          <w:color w:val="000000"/>
          <w:szCs w:val="21"/>
        </w:rPr>
        <w:t xml:space="preserve">  </w:t>
      </w:r>
    </w:p>
    <w:p>
      <w:pPr>
        <w:keepNext/>
        <w:keepLines/>
        <w:spacing w:line="276" w:lineRule="auto"/>
        <w:ind w:firstLine="420" w:firstLineChars="200"/>
        <w:outlineLvl w:val="1"/>
        <w:rPr>
          <w:rFonts w:ascii="宋体" w:hAnsi="宋体" w:eastAsia="宋体" w:cs="Times New Roman"/>
          <w:color w:val="000000"/>
          <w:szCs w:val="21"/>
        </w:rPr>
      </w:pPr>
      <w:r>
        <w:rPr>
          <w:rFonts w:ascii="宋体" w:hAnsi="宋体" w:eastAsia="宋体" w:cs="Times New Roman"/>
          <w:color w:val="000000"/>
          <w:szCs w:val="21"/>
        </w:rPr>
        <w:t xml:space="preserve">1.具有独立承担民事责任能力的在中华人民共和国境内注册的法人。  </w:t>
      </w:r>
    </w:p>
    <w:p>
      <w:pPr>
        <w:keepNext/>
        <w:keepLines/>
        <w:spacing w:line="276" w:lineRule="auto"/>
        <w:ind w:firstLine="420" w:firstLineChars="200"/>
        <w:outlineLvl w:val="1"/>
        <w:rPr>
          <w:rFonts w:ascii="宋体" w:hAnsi="宋体" w:eastAsia="宋体" w:cs="Times New Roman"/>
          <w:color w:val="000000"/>
          <w:szCs w:val="21"/>
        </w:rPr>
      </w:pPr>
      <w:r>
        <w:rPr>
          <w:rFonts w:ascii="宋体" w:hAnsi="宋体" w:eastAsia="宋体" w:cs="Times New Roman"/>
          <w:color w:val="000000"/>
          <w:szCs w:val="21"/>
        </w:rPr>
        <w:t xml:space="preserve">2.依法取得《医疗器械生产企业许可证》《医疗器械经营企业许可证》《药品经营许可证》或《药品生产许可证》(经营范围包含所投产品)。  </w:t>
      </w:r>
    </w:p>
    <w:p>
      <w:pPr>
        <w:keepNext/>
        <w:keepLines/>
        <w:spacing w:line="276" w:lineRule="auto"/>
        <w:ind w:firstLine="420" w:firstLineChars="200"/>
        <w:outlineLvl w:val="1"/>
        <w:rPr>
          <w:rFonts w:ascii="宋体" w:hAnsi="宋体" w:eastAsia="宋体" w:cs="Times New Roman"/>
          <w:color w:val="000000"/>
          <w:szCs w:val="21"/>
        </w:rPr>
      </w:pPr>
      <w:r>
        <w:rPr>
          <w:rFonts w:ascii="宋体" w:hAnsi="宋体" w:eastAsia="宋体" w:cs="Times New Roman"/>
          <w:color w:val="000000"/>
          <w:szCs w:val="21"/>
        </w:rPr>
        <w:t xml:space="preserve">3.为所投产品的制造商或销售代理商(提供授权书原件)。  </w:t>
      </w:r>
    </w:p>
    <w:p>
      <w:pPr>
        <w:keepNext/>
        <w:keepLines/>
        <w:spacing w:line="276" w:lineRule="auto"/>
        <w:ind w:firstLine="420" w:firstLineChars="200"/>
        <w:outlineLvl w:val="1"/>
        <w:rPr>
          <w:rFonts w:ascii="宋体" w:hAnsi="宋体" w:eastAsia="宋体" w:cs="Times New Roman"/>
          <w:color w:val="000000"/>
          <w:szCs w:val="21"/>
        </w:rPr>
      </w:pPr>
      <w:r>
        <w:rPr>
          <w:rFonts w:ascii="宋体" w:hAnsi="宋体" w:eastAsia="宋体" w:cs="Times New Roman"/>
          <w:color w:val="000000"/>
          <w:szCs w:val="21"/>
        </w:rPr>
        <w:t>4.所投产品具有有效的医疗器械注册证(或备案凭证)或不作为医疗器械管理的依据或《药品再注册批件》。</w:t>
      </w:r>
    </w:p>
    <w:bookmarkEnd w:id="14"/>
    <w:bookmarkEnd w:id="15"/>
    <w:bookmarkEnd w:id="16"/>
    <w:bookmarkEnd w:id="17"/>
    <w:bookmarkEnd w:id="18"/>
    <w:bookmarkEnd w:id="19"/>
    <w:p>
      <w:pPr>
        <w:spacing w:line="360" w:lineRule="atLeast"/>
        <w:ind w:firstLine="495"/>
        <w:rPr>
          <w:rFonts w:ascii="Calibri" w:hAnsi="Calibri" w:eastAsia="宋体" w:cs="Times New Roman"/>
          <w:szCs w:val="24"/>
        </w:rPr>
      </w:pPr>
    </w:p>
    <w:p>
      <w:pPr>
        <w:jc w:val="center"/>
        <w:rPr>
          <w:rFonts w:ascii="宋体" w:hAnsi="宋体" w:eastAsia="宋体"/>
          <w:b/>
          <w:bCs/>
          <w:sz w:val="32"/>
          <w:szCs w:val="32"/>
        </w:rPr>
      </w:pPr>
      <w:r>
        <w:rPr>
          <w:rFonts w:hint="eastAsia" w:ascii="宋体" w:hAnsi="宋体" w:eastAsia="宋体"/>
          <w:b/>
          <w:bCs/>
          <w:sz w:val="32"/>
          <w:szCs w:val="32"/>
        </w:rPr>
        <w:t xml:space="preserve">第二章 </w:t>
      </w:r>
      <w:r>
        <w:rPr>
          <w:rFonts w:ascii="宋体" w:hAnsi="宋体" w:eastAsia="宋体"/>
          <w:b/>
          <w:bCs/>
          <w:sz w:val="32"/>
          <w:szCs w:val="32"/>
        </w:rPr>
        <w:t xml:space="preserve"> </w:t>
      </w:r>
      <w:r>
        <w:rPr>
          <w:rFonts w:hint="eastAsia" w:ascii="宋体" w:hAnsi="宋体" w:eastAsia="宋体"/>
          <w:b/>
          <w:bCs/>
          <w:sz w:val="32"/>
          <w:szCs w:val="32"/>
        </w:rPr>
        <w:t>评标办法及评分标准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一、评标办法：综合评分法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二、评审原则</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(一)评委构成：本招标采购项目的评委分别由</w:t>
      </w:r>
      <w:r>
        <w:rPr>
          <w:rFonts w:hint="eastAsia" w:ascii="宋体" w:hAnsi="宋体" w:eastAsia="宋体" w:cs="Times New Roman"/>
          <w:bCs/>
          <w:color w:val="000000"/>
          <w:szCs w:val="21"/>
        </w:rPr>
        <w:t>医院相关部门及医院评审专家</w:t>
      </w:r>
      <w:r>
        <w:rPr>
          <w:rFonts w:ascii="宋体" w:hAnsi="宋体" w:eastAsia="宋体" w:cs="Times New Roman"/>
          <w:bCs/>
          <w:color w:val="000000"/>
          <w:szCs w:val="21"/>
        </w:rPr>
        <w:t>共5人</w:t>
      </w:r>
      <w:r>
        <w:rPr>
          <w:rFonts w:hint="eastAsia" w:ascii="宋体" w:hAnsi="宋体" w:eastAsia="宋体" w:cs="Times New Roman"/>
          <w:bCs/>
          <w:color w:val="000000"/>
          <w:szCs w:val="21"/>
        </w:rPr>
        <w:t>及</w:t>
      </w:r>
      <w:r>
        <w:rPr>
          <w:rFonts w:ascii="宋体" w:hAnsi="宋体" w:eastAsia="宋体" w:cs="Times New Roman"/>
          <w:bCs/>
          <w:color w:val="000000"/>
          <w:szCs w:val="21"/>
        </w:rPr>
        <w:t>以上单数构成。</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(二)评标依据：评委将以招投标文件为评标依据，对投标人的投标报价、技术、信誉业绩、售后服务等方面内容按百分制打分。其中价格分</w:t>
      </w:r>
      <w:r>
        <w:rPr>
          <w:rFonts w:hint="eastAsia" w:ascii="宋体" w:hAnsi="宋体" w:eastAsia="宋体" w:cs="Times New Roman"/>
          <w:bCs/>
          <w:color w:val="000000"/>
          <w:szCs w:val="21"/>
          <w:lang w:val="en-US" w:eastAsia="zh-CN"/>
        </w:rPr>
        <w:t>60</w:t>
      </w:r>
      <w:r>
        <w:rPr>
          <w:rFonts w:ascii="宋体" w:hAnsi="宋体" w:eastAsia="宋体" w:cs="Times New Roman"/>
          <w:bCs/>
          <w:color w:val="000000"/>
          <w:szCs w:val="21"/>
        </w:rPr>
        <w:t>分、技术分</w:t>
      </w:r>
      <w:r>
        <w:rPr>
          <w:rFonts w:hint="eastAsia" w:ascii="宋体" w:hAnsi="宋体" w:eastAsia="宋体" w:cs="Times New Roman"/>
          <w:bCs/>
          <w:color w:val="000000"/>
          <w:szCs w:val="21"/>
          <w:lang w:val="en-US" w:eastAsia="zh-CN"/>
        </w:rPr>
        <w:t>20</w:t>
      </w:r>
      <w:r>
        <w:rPr>
          <w:rFonts w:ascii="宋体" w:hAnsi="宋体" w:eastAsia="宋体" w:cs="Times New Roman"/>
          <w:bCs/>
          <w:color w:val="000000"/>
          <w:szCs w:val="21"/>
        </w:rPr>
        <w:t>分、信誉业绩分10分、售后服务分10分。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三、评定方法</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（一）对进入详评的，采用百分制综合评分法。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（二）计分办法（按四舍五入取至百分位）：</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w:t>
      </w:r>
      <w:r>
        <w:rPr>
          <w:rFonts w:hint="eastAsia" w:ascii="宋体" w:hAnsi="宋体" w:eastAsia="宋体" w:cs="Times New Roman"/>
          <w:bCs/>
          <w:color w:val="000000"/>
          <w:szCs w:val="21"/>
        </w:rPr>
        <w:t>.</w:t>
      </w:r>
      <w:r>
        <w:rPr>
          <w:rFonts w:ascii="宋体" w:hAnsi="宋体" w:eastAsia="宋体" w:cs="Times New Roman"/>
          <w:bCs/>
          <w:color w:val="000000"/>
          <w:szCs w:val="21"/>
        </w:rPr>
        <w:t>价格分………………………………………………………………………</w:t>
      </w:r>
      <w:r>
        <w:rPr>
          <w:rFonts w:hint="eastAsia" w:ascii="宋体" w:hAnsi="宋体" w:eastAsia="宋体" w:cs="Times New Roman"/>
          <w:bCs/>
          <w:color w:val="000000"/>
          <w:szCs w:val="21"/>
          <w:lang w:val="en-US" w:eastAsia="zh-CN"/>
        </w:rPr>
        <w:t>60</w:t>
      </w:r>
      <w:r>
        <w:rPr>
          <w:rFonts w:ascii="宋体" w:hAnsi="宋体" w:eastAsia="宋体" w:cs="Times New Roman"/>
          <w:bCs/>
          <w:color w:val="000000"/>
          <w:szCs w:val="21"/>
        </w:rPr>
        <w:t>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1）以进入评标的最低的评标报价为</w:t>
      </w:r>
      <w:r>
        <w:rPr>
          <w:rFonts w:hint="eastAsia" w:ascii="宋体" w:hAnsi="宋体" w:eastAsia="宋体" w:cs="Times New Roman"/>
          <w:bCs/>
          <w:color w:val="000000"/>
          <w:szCs w:val="21"/>
          <w:lang w:val="en-US" w:eastAsia="zh-CN"/>
        </w:rPr>
        <w:t>6</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p>
    <w:p>
      <w:pPr>
        <w:spacing w:line="400" w:lineRule="exact"/>
        <w:ind w:firstLine="2940" w:firstLineChars="14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6</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w:t>
      </w:r>
      <w:r>
        <w:rPr>
          <w:rFonts w:hint="eastAsia" w:ascii="宋体" w:hAnsi="宋体" w:eastAsia="宋体" w:cs="Times New Roman"/>
          <w:bCs/>
          <w:color w:val="000000"/>
          <w:szCs w:val="21"/>
        </w:rPr>
        <w:t>.</w:t>
      </w:r>
      <w:r>
        <w:rPr>
          <w:rFonts w:ascii="宋体" w:hAnsi="宋体" w:eastAsia="宋体" w:cs="Times New Roman"/>
          <w:bCs/>
          <w:color w:val="000000"/>
          <w:szCs w:val="21"/>
        </w:rPr>
        <w:t>技术分………………………………………………………………………</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1）品牌分（满分10分）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一档：一般品牌</w:t>
      </w:r>
      <w:r>
        <w:rPr>
          <w:rFonts w:ascii="宋体" w:hAnsi="宋体" w:eastAsia="宋体" w:cs="Times New Roman"/>
          <w:bCs/>
          <w:color w:val="000000"/>
          <w:szCs w:val="21"/>
        </w:rPr>
        <w:t>(同一品牌，应同一分值)                    1～3分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二档：同行认可品牌</w:t>
      </w:r>
      <w:r>
        <w:rPr>
          <w:rFonts w:ascii="宋体" w:hAnsi="宋体" w:eastAsia="宋体" w:cs="Times New Roman"/>
          <w:bCs/>
          <w:color w:val="000000"/>
          <w:szCs w:val="21"/>
        </w:rPr>
        <w:t>(同一品牌，应同一分值)                4～7分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三档：著名品牌</w:t>
      </w:r>
      <w:r>
        <w:rPr>
          <w:rFonts w:ascii="宋体" w:hAnsi="宋体" w:eastAsia="宋体" w:cs="Times New Roman"/>
          <w:bCs/>
          <w:color w:val="000000"/>
          <w:szCs w:val="21"/>
        </w:rPr>
        <w:t>(同一品牌，应同一分值)                    8～10分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由评委在打分前根据投标货物品牌市场知名度集体讨论确定各投标人货物品牌所属档次，然后评委在各档次内独立打分。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2）设备性能分（满分</w:t>
      </w:r>
      <w:r>
        <w:rPr>
          <w:rFonts w:hint="eastAsia" w:ascii="宋体" w:hAnsi="宋体" w:eastAsia="宋体" w:cs="Times New Roman"/>
          <w:bCs/>
          <w:color w:val="000000"/>
          <w:szCs w:val="21"/>
          <w:lang w:val="en-US" w:eastAsia="zh-CN"/>
        </w:rPr>
        <w:t>1</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投标文件技术参数无负偏离且有</w:t>
      </w:r>
      <w:r>
        <w:rPr>
          <w:rFonts w:ascii="宋体" w:hAnsi="宋体" w:eastAsia="宋体" w:cs="Times New Roman"/>
          <w:bCs/>
          <w:color w:val="000000"/>
          <w:szCs w:val="21"/>
        </w:rPr>
        <w:t>1个及以上正偏离，得10分；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投标文件技术参数无正、负偏离，得</w:t>
      </w:r>
      <w:r>
        <w:rPr>
          <w:rFonts w:ascii="宋体" w:hAnsi="宋体" w:eastAsia="宋体" w:cs="Times New Roman"/>
          <w:bCs/>
          <w:color w:val="000000"/>
          <w:szCs w:val="21"/>
        </w:rPr>
        <w:t>6分；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投标文件技术参数有</w:t>
      </w:r>
      <w:r>
        <w:rPr>
          <w:rFonts w:ascii="宋体" w:hAnsi="宋体" w:eastAsia="宋体" w:cs="Times New Roman"/>
          <w:bCs/>
          <w:color w:val="000000"/>
          <w:szCs w:val="21"/>
        </w:rPr>
        <w:t>1个负偏离，得3分；</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投标文件技术参数有</w:t>
      </w:r>
      <w:r>
        <w:rPr>
          <w:rFonts w:ascii="宋体" w:hAnsi="宋体" w:eastAsia="宋体" w:cs="Times New Roman"/>
          <w:bCs/>
          <w:color w:val="000000"/>
          <w:szCs w:val="21"/>
        </w:rPr>
        <w:t>1个负偏离</w:t>
      </w:r>
      <w:r>
        <w:rPr>
          <w:rFonts w:hint="eastAsia" w:ascii="宋体" w:hAnsi="宋体" w:eastAsia="宋体" w:cs="Times New Roman"/>
          <w:bCs/>
          <w:color w:val="000000"/>
          <w:szCs w:val="21"/>
        </w:rPr>
        <w:t>以上，得0分。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w:t>
      </w:r>
      <w:r>
        <w:rPr>
          <w:rFonts w:hint="eastAsia" w:ascii="宋体" w:hAnsi="宋体" w:eastAsia="宋体" w:cs="Times New Roman"/>
          <w:bCs/>
          <w:color w:val="000000"/>
          <w:szCs w:val="21"/>
        </w:rPr>
        <w:t>.</w:t>
      </w:r>
      <w:r>
        <w:rPr>
          <w:rFonts w:ascii="宋体" w:hAnsi="宋体" w:eastAsia="宋体" w:cs="Times New Roman"/>
          <w:bCs/>
          <w:color w:val="000000"/>
          <w:szCs w:val="21"/>
        </w:rPr>
        <w:t>信誉业绩分…………………………………………………………………………10分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⑴投标人或所投标产品通过</w:t>
      </w:r>
      <w:r>
        <w:rPr>
          <w:rFonts w:ascii="宋体" w:hAnsi="宋体" w:eastAsia="宋体" w:cs="Times New Roman"/>
          <w:bCs/>
          <w:color w:val="000000"/>
          <w:szCs w:val="21"/>
        </w:rPr>
        <w:t>ISO9000认证的（提供证书复印件），每提供一个证书得0.5分，满分2分。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⑵投标人自</w:t>
      </w:r>
      <w:r>
        <w:rPr>
          <w:rFonts w:ascii="宋体" w:hAnsi="宋体" w:eastAsia="宋体" w:cs="Times New Roman"/>
          <w:bCs/>
          <w:color w:val="000000"/>
          <w:szCs w:val="21"/>
        </w:rPr>
        <w:t>2019年以来同类项目业绩分（提供合同复印件以及清晰反应采购内容页面，要求合同里至少明确注明有一个项目的投标产品），每提供一个合同得2分，满分8分。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w:t>
      </w:r>
      <w:r>
        <w:rPr>
          <w:rFonts w:hint="eastAsia" w:ascii="宋体" w:hAnsi="宋体" w:eastAsia="宋体" w:cs="Times New Roman"/>
          <w:bCs/>
          <w:color w:val="000000"/>
          <w:szCs w:val="21"/>
        </w:rPr>
        <w:t>.</w:t>
      </w:r>
      <w:r>
        <w:rPr>
          <w:rFonts w:ascii="宋体" w:hAnsi="宋体" w:eastAsia="宋体" w:cs="Times New Roman"/>
          <w:bCs/>
          <w:color w:val="000000"/>
          <w:szCs w:val="21"/>
        </w:rPr>
        <w:t>售后服务分………………………………………………………………………… 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一般</w:t>
      </w:r>
      <w:r>
        <w:rPr>
          <w:rFonts w:ascii="宋体" w:hAnsi="宋体" w:eastAsia="宋体" w:cs="Times New Roman"/>
          <w:bCs/>
          <w:color w:val="000000"/>
          <w:szCs w:val="21"/>
        </w:rPr>
        <w:t>0.1～4分，良好4.1～8分，优秀8.1～10分，由评委在打分前根据投标人售后服方案的优劣集体讨论确定投标人售后服务方案的档次，并由评委在相应的档次内独立打分。</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（三）总得分</w:t>
      </w:r>
      <w:r>
        <w:rPr>
          <w:rFonts w:ascii="宋体" w:hAnsi="宋体" w:eastAsia="宋体" w:cs="Times New Roman"/>
          <w:bCs/>
          <w:color w:val="000000"/>
          <w:szCs w:val="21"/>
        </w:rPr>
        <w:t>=1+2+3+4。</w:t>
      </w:r>
    </w:p>
    <w:p>
      <w:pPr>
        <w:spacing w:line="276" w:lineRule="auto"/>
        <w:ind w:firstLine="420" w:firstLineChars="200"/>
        <w:jc w:val="left"/>
        <w:rPr>
          <w:rFonts w:ascii="宋体" w:hAnsi="宋体" w:eastAsia="宋体"/>
          <w:szCs w:val="21"/>
        </w:rPr>
      </w:pPr>
      <w:r>
        <w:rPr>
          <w:rFonts w:hint="eastAsia" w:ascii="宋体" w:hAnsi="宋体" w:eastAsia="宋体"/>
          <w:szCs w:val="21"/>
        </w:rPr>
        <w:t>四、中标候选人推荐原则</w:t>
      </w:r>
    </w:p>
    <w:p>
      <w:pPr>
        <w:spacing w:line="276" w:lineRule="auto"/>
        <w:ind w:firstLine="420" w:firstLineChars="200"/>
        <w:jc w:val="left"/>
        <w:rPr>
          <w:rFonts w:hint="eastAsia" w:ascii="宋体" w:hAnsi="宋体" w:eastAsia="宋体"/>
          <w:szCs w:val="21"/>
        </w:rPr>
      </w:pPr>
      <w:r>
        <w:rPr>
          <w:rFonts w:hint="eastAsia" w:ascii="宋体" w:hAnsi="宋体" w:eastAsia="宋体"/>
          <w:szCs w:val="21"/>
        </w:rPr>
        <w:t>评标小组将根据得分由高到低排列次序（得分相同时，以投标报价由低到高顺序排列；得分相同且投标报价相同的，按技术指标优劣顺序排列）并推荐不多于三名中标候选供应商。采购单位应当确定评审小组推荐排名第一的中标候选人为中标人。排名第一的中标候选人放弃中标、因不可抗力提出不能履行合同，采购单位可以确定排名第二的中标候选人为中标人。排名第二的中标候选人因前款规定的同样原因不能签订合同的，招标采购单位可以确定排名第三的中标候选人为中标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4ZTc1ZjU5Y2Y5YmNlNDE4ZGY4MmEyMWQ4NjliMWEifQ=="/>
  </w:docVars>
  <w:rsids>
    <w:rsidRoot w:val="004970E7"/>
    <w:rsid w:val="0000112F"/>
    <w:rsid w:val="00076BFC"/>
    <w:rsid w:val="000F1777"/>
    <w:rsid w:val="001115B9"/>
    <w:rsid w:val="0013782D"/>
    <w:rsid w:val="001947FD"/>
    <w:rsid w:val="0024032F"/>
    <w:rsid w:val="002433FD"/>
    <w:rsid w:val="00246FCB"/>
    <w:rsid w:val="002E5099"/>
    <w:rsid w:val="00345625"/>
    <w:rsid w:val="003D4A28"/>
    <w:rsid w:val="004261FD"/>
    <w:rsid w:val="004970E7"/>
    <w:rsid w:val="004B7907"/>
    <w:rsid w:val="0055706B"/>
    <w:rsid w:val="005E5076"/>
    <w:rsid w:val="006A1DFD"/>
    <w:rsid w:val="006E370F"/>
    <w:rsid w:val="0070309E"/>
    <w:rsid w:val="007A7D54"/>
    <w:rsid w:val="008B5B3D"/>
    <w:rsid w:val="008B759C"/>
    <w:rsid w:val="00976EF4"/>
    <w:rsid w:val="00A31622"/>
    <w:rsid w:val="00A440C3"/>
    <w:rsid w:val="00B002D0"/>
    <w:rsid w:val="00B207CB"/>
    <w:rsid w:val="00BD2670"/>
    <w:rsid w:val="00BF0177"/>
    <w:rsid w:val="00C51223"/>
    <w:rsid w:val="00CA32F0"/>
    <w:rsid w:val="00D346A0"/>
    <w:rsid w:val="00DB11EC"/>
    <w:rsid w:val="00DE69C9"/>
    <w:rsid w:val="00EC5631"/>
    <w:rsid w:val="00F65C52"/>
    <w:rsid w:val="00FA0D28"/>
    <w:rsid w:val="075C1FDF"/>
    <w:rsid w:val="1AE63062"/>
    <w:rsid w:val="21F941EF"/>
    <w:rsid w:val="403C5C82"/>
    <w:rsid w:val="486E744E"/>
    <w:rsid w:val="4DBB0BB6"/>
    <w:rsid w:val="500718F9"/>
    <w:rsid w:val="519F5099"/>
    <w:rsid w:val="551E5F54"/>
    <w:rsid w:val="5D2460AD"/>
    <w:rsid w:val="606739DA"/>
    <w:rsid w:val="67411F89"/>
    <w:rsid w:val="6A4E0CDE"/>
    <w:rsid w:val="6CE83C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9"/>
    <w:semiHidden/>
    <w:unhideWhenUsed/>
    <w:qFormat/>
    <w:uiPriority w:val="99"/>
    <w:pPr>
      <w:ind w:left="100" w:leftChars="2500"/>
    </w:p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日期 字符"/>
    <w:basedOn w:val="6"/>
    <w:link w:val="2"/>
    <w:semiHidden/>
    <w:qFormat/>
    <w:uiPriority w:val="99"/>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2399</Words>
  <Characters>2562</Characters>
  <Lines>19</Lines>
  <Paragraphs>5</Paragraphs>
  <TotalTime>35</TotalTime>
  <ScaleCrop>false</ScaleCrop>
  <LinksUpToDate>false</LinksUpToDate>
  <CharactersWithSpaces>2666</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2021-12-15T08:27:00Z</dcterms:created>
  <dc:creator>魏宝兴</dc:creator>
  <cp:lastModifiedBy>7月LEO</cp:lastModifiedBy>
  <dcterms:modified xsi:type="dcterms:W3CDTF">2022-09-05T09:36:34Z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9022C0B81CE34690BF09C8D56079BB51</vt:lpwstr>
  </property>
</Properties>
</file>