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beforeLines="100" w:line="600" w:lineRule="exact"/>
        <w:jc w:val="center"/>
        <w:rPr>
          <w:rFonts w:ascii="方正小标宋简体" w:hAnsi="宋体" w:eastAsia="方正小标宋简体" w:cs="Times New Roman"/>
          <w:b/>
          <w:sz w:val="48"/>
          <w:szCs w:val="48"/>
        </w:rPr>
      </w:pPr>
      <w:r>
        <w:rPr>
          <w:rFonts w:hint="eastAsia" w:ascii="方正小标宋简体" w:hAnsi="宋体" w:eastAsia="方正小标宋简体" w:cs="Times New Roman"/>
          <w:b/>
          <w:sz w:val="72"/>
          <w:szCs w:val="72"/>
        </w:rPr>
        <w:t>竞争性磋商文件</w:t>
      </w:r>
    </w:p>
    <w:p>
      <w:pPr>
        <w:spacing w:before="240" w:beforeLines="100" w:after="120"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20"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eastAsia="zh-CN"/>
        </w:rPr>
        <w:t>广西骨伤医院营养食堂便民医疗用品供应商遴选</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w:t>
      </w:r>
      <w:r>
        <w:rPr>
          <w:rFonts w:hint="eastAsia" w:ascii="仿宋_GB2312" w:hAnsi="宋体" w:eastAsia="仿宋_GB2312" w:cs="Times New Roman"/>
          <w:b/>
          <w:color w:val="000000"/>
          <w:sz w:val="32"/>
          <w:szCs w:val="32"/>
          <w:lang w:val="en-US" w:eastAsia="zh-CN"/>
        </w:rPr>
        <w:t>YYST</w:t>
      </w:r>
      <w:r>
        <w:rPr>
          <w:rFonts w:hint="eastAsia" w:ascii="仿宋_GB2312" w:hAnsi="宋体" w:eastAsia="仿宋_GB2312" w:cs="Times New Roman"/>
          <w:b/>
          <w:color w:val="000000"/>
          <w:sz w:val="32"/>
          <w:szCs w:val="32"/>
        </w:rPr>
        <w:t>-2022-</w:t>
      </w:r>
      <w:r>
        <w:rPr>
          <w:rFonts w:hint="eastAsia" w:ascii="仿宋_GB2312" w:hAnsi="宋体" w:eastAsia="仿宋_GB2312" w:cs="Times New Roman"/>
          <w:b/>
          <w:color w:val="000000"/>
          <w:sz w:val="32"/>
          <w:szCs w:val="32"/>
          <w:lang w:val="en-US" w:eastAsia="zh-CN"/>
        </w:rPr>
        <w:t>08</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28</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遴选公告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798"/>
      <w:bookmarkStart w:id="2" w:name="_Toc44229878"/>
      <w:bookmarkStart w:id="3" w:name="_Toc35393629"/>
      <w:bookmarkStart w:id="4" w:name="_Toc28359089"/>
      <w:bookmarkStart w:id="5" w:name="_Toc47452205"/>
      <w:bookmarkStart w:id="6" w:name="_Toc28359012"/>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项目编号：GXGSYY-CGB-YYST-2022-0</w:t>
      </w:r>
      <w:r>
        <w:rPr>
          <w:rFonts w:hint="eastAsia" w:ascii="宋体" w:hAnsi="宋体" w:eastAsia="宋体" w:cs="Times New Roman"/>
          <w:color w:val="000000"/>
          <w:szCs w:val="21"/>
          <w:lang w:val="en-US" w:eastAsia="zh-CN"/>
        </w:rPr>
        <w:t>8</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eastAsia="zh-CN"/>
        </w:rPr>
        <w:t>广西骨伤医院营养食堂便民医疗用品供应商遴选</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bookmarkStart w:id="7" w:name="_Toc47452206"/>
      <w:bookmarkStart w:id="8" w:name="_Toc28359090"/>
      <w:bookmarkStart w:id="9" w:name="_Toc44229879"/>
      <w:bookmarkStart w:id="10" w:name="_Toc35393630"/>
      <w:bookmarkStart w:id="11" w:name="_Toc28359013"/>
      <w:bookmarkStart w:id="12" w:name="_Toc35393799"/>
      <w:r>
        <w:rPr>
          <w:rFonts w:hint="eastAsia" w:ascii="宋体" w:hAnsi="宋体" w:eastAsia="宋体" w:cs="Times New Roman"/>
          <w:color w:val="000000"/>
          <w:szCs w:val="21"/>
        </w:rPr>
        <w:t>.服务期限：2年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87"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eastAsia="zh-CN"/>
              </w:rPr>
              <w:t>广西骨伤医院营养食堂便民医疗用品供应商遴选</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pPr>
              <w:spacing w:line="320" w:lineRule="exact"/>
              <w:jc w:val="both"/>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投标人对以下产品单个进行报价，并汇总。</w:t>
            </w:r>
          </w:p>
          <w:p>
            <w:pPr>
              <w:spacing w:line="320" w:lineRule="exact"/>
              <w:jc w:val="left"/>
              <w:rPr>
                <w:rFonts w:hint="eastAsia" w:ascii="宋体" w:hAnsi="宋体" w:eastAsia="宋体" w:cs="Calibri"/>
                <w:color w:val="000000"/>
                <w:szCs w:val="21"/>
                <w:lang w:val="en-US" w:eastAsia="zh-CN"/>
              </w:rPr>
            </w:pPr>
            <w:r>
              <w:rPr>
                <w:rFonts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91"/>
      <w:bookmarkStart w:id="14" w:name="_Toc28359014"/>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hint="eastAsia" w:ascii="宋体" w:hAnsi="宋体" w:eastAsia="宋体" w:cs="Times New Roman"/>
          <w:color w:val="000000"/>
          <w:szCs w:val="21"/>
          <w:lang w:eastAsia="zh-CN"/>
        </w:rPr>
      </w:pPr>
      <w:r>
        <w:rPr>
          <w:rFonts w:ascii="宋体" w:hAnsi="宋体" w:eastAsia="宋体" w:cs="Times New Roman"/>
          <w:color w:val="000000"/>
          <w:szCs w:val="21"/>
        </w:rPr>
        <w:t>3.国内注册，具有法人资格，具备相关项目经营范围的单位</w:t>
      </w:r>
      <w:r>
        <w:rPr>
          <w:rFonts w:hint="eastAsia" w:ascii="宋体" w:hAnsi="宋体" w:eastAsia="宋体" w:cs="Times New Roman"/>
          <w:color w:val="000000"/>
          <w:szCs w:val="21"/>
          <w:lang w:eastAsia="zh-CN"/>
        </w:rPr>
        <w:t>；</w:t>
      </w:r>
    </w:p>
    <w:bookmarkEnd w:id="13"/>
    <w:bookmarkEnd w:id="14"/>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9</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日18时00分。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、遴选文件提交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响应文件提交开始时间：</w:t>
      </w:r>
      <w:r>
        <w:rPr>
          <w:rFonts w:hint="eastAsia" w:ascii="宋体" w:hAnsi="宋体" w:eastAsia="宋体" w:cs="Calibri"/>
          <w:bCs/>
          <w:color w:val="000000"/>
          <w:szCs w:val="21"/>
          <w:highlight w:val="none"/>
          <w:u w:val="single"/>
        </w:rPr>
        <w:t>202</w:t>
      </w:r>
      <w:r>
        <w:rPr>
          <w:rFonts w:ascii="宋体" w:hAnsi="宋体" w:eastAsia="宋体" w:cs="Calibri"/>
          <w:bCs/>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31</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响应文件提交截止时间：</w:t>
      </w:r>
      <w:r>
        <w:rPr>
          <w:rFonts w:hint="eastAsia" w:ascii="宋体" w:hAnsi="宋体" w:eastAsia="宋体" w:cs="Calibri"/>
          <w:color w:val="000000"/>
          <w:szCs w:val="21"/>
          <w:highlight w:val="none"/>
          <w:u w:val="single"/>
        </w:rPr>
        <w:t>202</w:t>
      </w:r>
      <w:r>
        <w:rPr>
          <w:rFonts w:ascii="宋体" w:hAnsi="宋体" w:eastAsia="宋体" w:cs="Calibri"/>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9</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 xml:space="preserve">日 </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五、评审</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bookmarkStart w:id="27" w:name="_GoBack"/>
      <w:bookmarkEnd w:id="27"/>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w:t>
      </w:r>
      <w:r>
        <w:rPr>
          <w:rFonts w:hint="eastAsia" w:ascii="Calibri" w:hAnsi="Calibri" w:eastAsia="宋体" w:cs="Times New Roman"/>
          <w:szCs w:val="24"/>
          <w:u w:val="single"/>
          <w:lang w:val="en-US" w:eastAsia="zh-CN"/>
        </w:rPr>
        <w:t>老师</w:t>
      </w:r>
      <w:r>
        <w:rPr>
          <w:rFonts w:hint="eastAsia" w:ascii="Calibri" w:hAnsi="Calibri" w:eastAsia="宋体" w:cs="Times New Roman"/>
          <w:szCs w:val="24"/>
          <w:u w:val="single"/>
        </w:rPr>
        <w:t>；联系电话：</w:t>
      </w:r>
      <w:r>
        <w:rPr>
          <w:rFonts w:ascii="Calibri" w:hAnsi="Calibri" w:eastAsia="宋体" w:cs="Times New Roman"/>
          <w:szCs w:val="24"/>
          <w:u w:val="single"/>
        </w:rPr>
        <w:t>17344229910</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r>
        <w:rPr>
          <w:rFonts w:hint="eastAsia" w:ascii="Cambria" w:hAnsi="Cambria" w:eastAsia="宋体" w:cs="Times New Roman"/>
          <w:b/>
          <w:bCs/>
          <w:color w:val="000000"/>
          <w:sz w:val="32"/>
          <w:szCs w:val="32"/>
          <w:lang w:val="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7"/>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pPr>
              <w:spacing w:line="320" w:lineRule="exact"/>
              <w:rPr>
                <w:rFonts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pPr>
              <w:spacing w:line="320" w:lineRule="exact"/>
              <w:rPr>
                <w:rFonts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响应文件提交地点：详见遴选公告。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评审小组的人数：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响应文件的评审：采购人另行通知。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yellow"/>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lang w:eastAsia="zh-CN"/>
        </w:rPr>
        <w:t>广西骨伤医院营养食堂便民医疗用品供应商遴选</w:t>
      </w:r>
      <w:r>
        <w:rPr>
          <w:rFonts w:hint="eastAsia" w:ascii="宋体" w:hAnsi="宋体" w:eastAsia="宋体" w:cs="Times New Roman"/>
          <w:color w:val="000000"/>
          <w:szCs w:val="21"/>
        </w:rPr>
        <w:t>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（1）遴选公告；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（3）项目需求；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项目需求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一、遴选项目需求一览表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7"/>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67" w:type="dxa"/>
            <w:gridSpan w:val="3"/>
            <w:vAlign w:val="center"/>
          </w:tcPr>
          <w:p>
            <w:pPr>
              <w:tabs>
                <w:tab w:val="left" w:pos="180"/>
                <w:tab w:val="left" w:pos="1620"/>
              </w:tabs>
              <w:spacing w:line="440" w:lineRule="exact"/>
              <w:jc w:val="left"/>
              <w:rPr>
                <w:rFonts w:ascii="宋体" w:hAnsi="宋体" w:eastAsia="宋体" w:cs="宋体"/>
                <w:b/>
                <w:bCs/>
                <w:color w:val="000000"/>
                <w:szCs w:val="21"/>
              </w:rPr>
            </w:pPr>
            <w:r>
              <w:rPr>
                <w:rFonts w:hint="eastAsia" w:ascii="宋体" w:hAnsi="宋体" w:eastAsia="宋体" w:cs="宋体"/>
                <w:b/>
                <w:bCs/>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945"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名 称</w:t>
            </w:r>
          </w:p>
        </w:tc>
        <w:tc>
          <w:tcPr>
            <w:tcW w:w="893" w:type="dxa"/>
            <w:vAlign w:val="center"/>
          </w:tcPr>
          <w:p>
            <w:pPr>
              <w:tabs>
                <w:tab w:val="left" w:pos="180"/>
                <w:tab w:val="left" w:pos="1620"/>
              </w:tabs>
              <w:jc w:val="center"/>
              <w:rPr>
                <w:rFonts w:ascii="宋体" w:hAnsi="宋体" w:eastAsia="宋体" w:cs="宋体"/>
                <w:b/>
                <w:bCs/>
                <w:color w:val="000000"/>
                <w:szCs w:val="21"/>
              </w:rPr>
            </w:pPr>
            <w:r>
              <w:rPr>
                <w:rFonts w:hint="eastAsia" w:ascii="宋体" w:hAnsi="宋体" w:eastAsia="宋体" w:cs="宋体"/>
                <w:b/>
                <w:bCs/>
                <w:color w:val="000000"/>
                <w:szCs w:val="21"/>
              </w:rPr>
              <w:t>数量及单位</w:t>
            </w:r>
          </w:p>
        </w:tc>
        <w:tc>
          <w:tcPr>
            <w:tcW w:w="7229"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技术及服务需求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2"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lang w:eastAsia="zh-CN"/>
              </w:rPr>
              <w:t>广西骨伤医院营养食堂便民医疗用品供应商遴选</w:t>
            </w:r>
          </w:p>
        </w:tc>
        <w:tc>
          <w:tcPr>
            <w:tcW w:w="8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7229" w:type="dxa"/>
          </w:tcPr>
          <w:p>
            <w:pPr>
              <w:spacing w:line="320" w:lineRule="exact"/>
              <w:jc w:val="both"/>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投标人对以下产品单个进行报价，并汇总。</w:t>
            </w:r>
          </w:p>
          <w:tbl>
            <w:tblPr>
              <w:tblStyle w:val="7"/>
              <w:tblW w:w="692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548"/>
              <w:gridCol w:w="1965"/>
              <w:gridCol w:w="1725"/>
              <w:gridCol w:w="660"/>
              <w:gridCol w:w="990"/>
              <w:gridCol w:w="1027"/>
              <w:gridCol w:w="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660" w:hRule="atLeast"/>
              </w:trPr>
              <w:tc>
                <w:tcPr>
                  <w:tcW w:w="6920"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广西骨伤医院食堂超市便民医疗用品遴选报价单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品牌名称</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报价金额</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创嘉医疗三角垫</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50*25*15  36个/1件</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塑料便盆(白色)</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20个/件</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塑料大便盆(蓝色)</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20个/件</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男用尿壶(白色)</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50个/件</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女用尿壶</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FS663B</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医用拐杖(钢)</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E15</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付</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大浴巾（懒人）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洗面毛巾（瑞诚锦绣）</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货号6688</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亲肤爽 湿巾</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80片1包/24包1件</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少童牌洗面毛巾</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货号0860/0863</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枕头</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塑料口杯</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塑料洗脸盆</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货号;941</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塑料桶</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TG-284</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腰椎固定带中号</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D型M号</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十字便盆(白色)</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200个/件</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腰椎固定器(大号)</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QX-YZ1支撑透气型</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6排水垫</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12张/1件</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成人纸尿裤(盛安康)</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加大号 8包/件 1*10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护理床垫60*90(盛安康)</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60*90 15片1包/12包1件</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护理床垫60*90( 益年康)5片</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60*90 5片1包  1*24包/件</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医用固定带（前臂吊带）</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前臂吊带(网状)</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腰椎固定带大号</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D型L号</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GD-3007靠背坐厕椅</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GD-3007 6张/1件</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腰椎固定器(大号)</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QX-YZ1支撑透气型</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晾衣架</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10个/1扎</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扎</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医用拐杖(铝)</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E14</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付</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约束手套(带拉链)</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CX121</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颈部固定器(软式颈托)A1-001</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A1-001 S</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DY913L助行器</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DY913L</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4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医用拐（FS926）</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FS926（三脚拐杖)</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70" w:hRule="atLeast"/>
              </w:trPr>
              <w:tc>
                <w:tcPr>
                  <w:tcW w:w="5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医用外科口罩</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10个/1包</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bl>
          <w:p>
            <w:pPr>
              <w:pStyle w:val="25"/>
              <w:keepNext w:val="0"/>
              <w:keepLines w:val="0"/>
              <w:pageBreakBefore w:val="0"/>
              <w:widowControl w:val="0"/>
              <w:kinsoku/>
              <w:wordWrap/>
              <w:overflowPunct/>
              <w:topLinePunct w:val="0"/>
              <w:autoSpaceDE/>
              <w:autoSpaceDN/>
              <w:bidi w:val="0"/>
              <w:adjustRightInd/>
              <w:snapToGrid/>
              <w:spacing w:after="0" w:line="280" w:lineRule="exact"/>
              <w:ind w:left="0" w:leftChars="0" w:firstLine="0" w:firstLineChars="0"/>
              <w:jc w:val="left"/>
              <w:textAlignment w:val="auto"/>
              <w:rPr>
                <w:color w:val="000000"/>
              </w:rPr>
            </w:pPr>
          </w:p>
          <w:p>
            <w:pPr>
              <w:pStyle w:val="25"/>
              <w:keepNext w:val="0"/>
              <w:keepLines w:val="0"/>
              <w:pageBreakBefore w:val="0"/>
              <w:widowControl w:val="0"/>
              <w:kinsoku/>
              <w:wordWrap/>
              <w:overflowPunct/>
              <w:topLinePunct w:val="0"/>
              <w:autoSpaceDE/>
              <w:autoSpaceDN/>
              <w:bidi w:val="0"/>
              <w:adjustRightInd/>
              <w:snapToGrid/>
              <w:spacing w:after="0" w:line="280" w:lineRule="exact"/>
              <w:ind w:firstLine="442"/>
              <w:jc w:val="left"/>
              <w:textAlignment w:val="auto"/>
              <w:rPr>
                <w:rFonts w:hint="default" w:ascii="宋体" w:hAnsi="宋体" w:eastAsia="宋体" w:cs="Times New Roman"/>
                <w:color w:val="000000"/>
                <w:szCs w:val="21"/>
                <w:lang w:val="en-US" w:eastAsia="zh-CN"/>
              </w:rPr>
            </w:pPr>
            <w:r>
              <w:rPr>
                <w:color w:val="000000"/>
              </w:rPr>
              <w:t>注：总价包含完成</w:t>
            </w:r>
            <w:r>
              <w:rPr>
                <w:rFonts w:hint="eastAsia"/>
                <w:color w:val="000000"/>
                <w:lang w:val="en-US" w:eastAsia="zh-CN"/>
              </w:rPr>
              <w:t>配送</w:t>
            </w:r>
            <w:r>
              <w:rPr>
                <w:color w:val="000000"/>
              </w:rPr>
              <w:t>并达到采购人要求后的全部费用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7"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default" w:ascii="宋体" w:hAnsi="宋体" w:eastAsia="宋体" w:cs="宋体"/>
                <w:bCs/>
                <w:szCs w:val="21"/>
                <w:lang w:val="en-US"/>
              </w:rPr>
            </w:pPr>
            <w:r>
              <w:rPr>
                <w:rFonts w:hint="eastAsia" w:ascii="宋体" w:hAnsi="宋体" w:eastAsia="宋体" w:cs="Times New Roman"/>
                <w:color w:val="000000"/>
                <w:szCs w:val="21"/>
                <w:lang w:val="en-US" w:eastAsia="zh-CN"/>
              </w:rPr>
              <w:t>投标人以对以上商品进行报价以此报价参与磋商评分。中标人供应商品不得高于此报价，报价单外的商品价格，与采购人沟通协商同意后，方可供应。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宋体" w:hAnsi="宋体" w:eastAsia="宋体" w:cs="宋体"/>
                <w:bCs/>
                <w:szCs w:val="21"/>
              </w:rPr>
              <w:t>质量要求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宋体"/>
                <w:bCs/>
                <w:szCs w:val="21"/>
                <w:lang w:val="en-US" w:eastAsia="zh-CN"/>
              </w:rPr>
              <w:t>必须具备的产品合格证明或检验报告书、产品说明书。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rPr>
              <w:t>售后服务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1"/>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供货方无论质量缺陷属采购方还是供应责任，在接到采购方通知后均应在12小时内响应并替换完毕；若供货方委派他方替换处理，其所发生的一切费用及其他不利后果均供货方承担。</w:t>
            </w:r>
          </w:p>
          <w:p>
            <w:pPr>
              <w:numPr>
                <w:ilvl w:val="0"/>
                <w:numId w:val="1"/>
              </w:num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rPr>
              <w:t>按国家有关产品“三包”规定执行“三包”</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付款方式：按</w:t>
            </w:r>
            <w:r>
              <w:rPr>
                <w:rFonts w:hint="eastAsia" w:ascii="宋体" w:hAnsi="宋体" w:eastAsia="宋体" w:cs="Times New Roman"/>
                <w:bCs/>
                <w:szCs w:val="21"/>
                <w:lang w:val="en-US" w:eastAsia="zh-CN"/>
              </w:rPr>
              <w:t>月</w:t>
            </w:r>
            <w:r>
              <w:rPr>
                <w:rFonts w:hint="eastAsia" w:ascii="宋体" w:hAnsi="宋体" w:eastAsia="宋体" w:cs="Times New Roman"/>
                <w:bCs/>
                <w:szCs w:val="21"/>
              </w:rPr>
              <w:t>结算费用，</w:t>
            </w:r>
            <w:r>
              <w:rPr>
                <w:rFonts w:hint="eastAsia" w:ascii="宋体" w:hAnsi="宋体" w:eastAsia="宋体" w:cs="Times New Roman"/>
                <w:bCs/>
                <w:szCs w:val="21"/>
                <w:lang w:val="en-US" w:eastAsia="zh-CN"/>
              </w:rPr>
              <w:t>每月物资的数量和质量经核实无异议</w:t>
            </w:r>
            <w:r>
              <w:rPr>
                <w:rFonts w:hint="eastAsia" w:ascii="宋体" w:hAnsi="宋体" w:eastAsia="宋体" w:cs="Times New Roman"/>
                <w:bCs/>
                <w:szCs w:val="21"/>
              </w:rPr>
              <w:t>后，</w:t>
            </w:r>
            <w:r>
              <w:rPr>
                <w:rFonts w:hint="eastAsia" w:ascii="宋体" w:hAnsi="宋体" w:eastAsia="宋体" w:cs="Times New Roman"/>
                <w:bCs/>
                <w:szCs w:val="21"/>
                <w:lang w:val="en-US" w:eastAsia="zh-CN"/>
              </w:rPr>
              <w:t>供应商</w:t>
            </w:r>
            <w:r>
              <w:rPr>
                <w:rFonts w:hint="eastAsia" w:ascii="宋体" w:hAnsi="宋体" w:eastAsia="宋体" w:cs="Times New Roman"/>
                <w:bCs/>
                <w:szCs w:val="21"/>
              </w:rPr>
              <w:t>应在30日内开具</w:t>
            </w:r>
            <w:r>
              <w:rPr>
                <w:rFonts w:hint="eastAsia" w:ascii="宋体" w:hAnsi="宋体" w:eastAsia="宋体" w:cs="Times New Roman"/>
                <w:bCs/>
                <w:szCs w:val="21"/>
                <w:lang w:val="en-US" w:eastAsia="zh-CN"/>
              </w:rPr>
              <w:t>上月清单的</w:t>
            </w:r>
            <w:r>
              <w:rPr>
                <w:rFonts w:hint="eastAsia" w:ascii="宋体" w:hAnsi="宋体" w:eastAsia="宋体" w:cs="Times New Roman"/>
                <w:bCs/>
                <w:szCs w:val="21"/>
              </w:rPr>
              <w:t>发票给采购人</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采购人核实无误后</w:t>
            </w:r>
            <w:r>
              <w:rPr>
                <w:rFonts w:hint="eastAsia" w:ascii="宋体" w:hAnsi="宋体" w:eastAsia="宋体" w:cs="Times New Roman"/>
                <w:bCs/>
                <w:szCs w:val="21"/>
                <w:lang w:eastAsia="zh-CN"/>
              </w:rPr>
              <w:t>，</w:t>
            </w:r>
            <w:r>
              <w:rPr>
                <w:rFonts w:hint="eastAsia" w:ascii="宋体" w:hAnsi="宋体" w:eastAsia="宋体" w:cs="Times New Roman"/>
                <w:bCs/>
                <w:szCs w:val="21"/>
              </w:rPr>
              <w:t>采购人在7个工作日内</w:t>
            </w:r>
            <w:r>
              <w:rPr>
                <w:rFonts w:hint="eastAsia" w:ascii="宋体" w:hAnsi="宋体" w:eastAsia="宋体" w:cs="Times New Roman"/>
                <w:bCs/>
                <w:szCs w:val="21"/>
                <w:lang w:val="en-US" w:eastAsia="zh-CN"/>
              </w:rPr>
              <w:t>支付发票金额的100%</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bCs/>
                <w:szCs w:val="21"/>
              </w:rPr>
            </w:pPr>
            <w:r>
              <w:rPr>
                <w:rFonts w:hint="eastAsia" w:ascii="宋体" w:hAnsi="宋体" w:eastAsia="宋体" w:cs="Times New Roman"/>
                <w:szCs w:val="21"/>
              </w:rPr>
              <w:t>其它要求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cs="Times New Roman"/>
                <w:bCs/>
                <w:szCs w:val="21"/>
              </w:rPr>
            </w:pPr>
            <w:r>
              <w:rPr>
                <w:rFonts w:ascii="宋体" w:hAnsi="宋体" w:eastAsia="宋体" w:cs="Times New Roman"/>
                <w:bCs/>
                <w:szCs w:val="21"/>
              </w:rPr>
              <w:t>中标人保证向采购人提供的货物是全新、完整、未使用过的。</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w:t>
      </w:r>
      <w:r>
        <w:rPr>
          <w:rFonts w:hint="eastAsia" w:ascii="宋体" w:hAnsi="宋体" w:eastAsia="宋体" w:cs="Times New Roman"/>
          <w:color w:val="000000"/>
          <w:szCs w:val="21"/>
          <w:lang w:val="en-US" w:eastAsia="zh-CN"/>
        </w:rPr>
        <w:t>售后</w:t>
      </w:r>
      <w:r>
        <w:rPr>
          <w:rFonts w:hint="eastAsia" w:ascii="宋体" w:hAnsi="宋体" w:eastAsia="宋体" w:cs="Times New Roman"/>
          <w:color w:val="000000"/>
          <w:szCs w:val="21"/>
        </w:rPr>
        <w:t>服务</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综合实力</w:t>
      </w:r>
      <w:r>
        <w:rPr>
          <w:rFonts w:hint="eastAsia" w:ascii="宋体" w:hAnsi="宋体" w:eastAsia="宋体" w:cs="Times New Roman"/>
          <w:color w:val="000000"/>
          <w:szCs w:val="21"/>
        </w:rPr>
        <w:t>等方面内容按百分制打分</w:t>
      </w:r>
      <w:r>
        <w:rPr>
          <w:rFonts w:hint="eastAsia" w:ascii="宋体" w:hAnsi="宋体" w:eastAsia="宋体" w:cs="Times New Roman"/>
          <w:bCs/>
          <w:color w:val="000000"/>
          <w:szCs w:val="21"/>
        </w:rPr>
        <w:t>。（计分方法按四舍五入取至百分位）</w:t>
      </w:r>
    </w:p>
    <w:p>
      <w:pPr>
        <w:ind w:firstLine="420" w:firstLineChars="200"/>
        <w:jc w:val="left"/>
        <w:rPr>
          <w:rFonts w:ascii="宋体" w:hAnsi="宋体" w:eastAsia="宋体"/>
          <w:szCs w:val="21"/>
        </w:rPr>
      </w:pPr>
    </w:p>
    <w:tbl>
      <w:tblPr>
        <w:tblStyle w:val="7"/>
        <w:tblW w:w="8637" w:type="dxa"/>
        <w:tblInd w:w="93" w:type="dxa"/>
        <w:tblLayout w:type="fixed"/>
        <w:tblCellMar>
          <w:top w:w="0" w:type="dxa"/>
          <w:left w:w="108" w:type="dxa"/>
          <w:bottom w:w="0" w:type="dxa"/>
          <w:right w:w="108" w:type="dxa"/>
        </w:tblCellMar>
      </w:tblPr>
      <w:tblGrid>
        <w:gridCol w:w="1060"/>
        <w:gridCol w:w="1182"/>
        <w:gridCol w:w="6395"/>
      </w:tblGrid>
      <w:tr>
        <w:trPr>
          <w:trHeight w:val="588" w:hRule="atLeast"/>
        </w:trPr>
        <w:tc>
          <w:tcPr>
            <w:tcW w:w="1060"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评分项目</w:t>
            </w:r>
          </w:p>
        </w:tc>
        <w:tc>
          <w:tcPr>
            <w:tcW w:w="1182"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w:t>
            </w:r>
          </w:p>
        </w:tc>
        <w:tc>
          <w:tcPr>
            <w:tcW w:w="6395"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评分标准</w:t>
            </w:r>
          </w:p>
        </w:tc>
      </w:tr>
      <w:tr>
        <w:tblPrEx>
          <w:tblCellMar>
            <w:top w:w="0" w:type="dxa"/>
            <w:left w:w="108" w:type="dxa"/>
            <w:bottom w:w="0" w:type="dxa"/>
            <w:right w:w="108" w:type="dxa"/>
          </w:tblCellMar>
        </w:tblPrEx>
        <w:trPr>
          <w:trHeight w:val="873" w:hRule="atLeast"/>
        </w:trPr>
        <w:tc>
          <w:tcPr>
            <w:tcW w:w="1060"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50</w:t>
            </w:r>
            <w:r>
              <w:rPr>
                <w:rFonts w:hint="eastAsia" w:ascii="宋体" w:hAnsi="宋体" w:eastAsia="宋体" w:cs="Calibri"/>
                <w:color w:val="000000"/>
                <w:szCs w:val="21"/>
              </w:rPr>
              <w:t xml:space="preserve"> 分）</w:t>
            </w:r>
          </w:p>
        </w:tc>
        <w:tc>
          <w:tcPr>
            <w:tcW w:w="1182"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50</w:t>
            </w:r>
            <w:r>
              <w:rPr>
                <w:rFonts w:hint="eastAsia" w:ascii="宋体" w:hAnsi="宋体" w:eastAsia="宋体" w:cs="Calibri"/>
                <w:color w:val="000000"/>
                <w:szCs w:val="21"/>
              </w:rPr>
              <w:t xml:space="preserve"> 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tcPr>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s="Calibri"/>
                <w:color w:val="000000"/>
                <w:szCs w:val="21"/>
                <w:lang w:val="en-US"/>
              </w:rPr>
            </w:pP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 xml:space="preserve">  </w:t>
            </w:r>
            <w:r>
              <w:rPr>
                <w:rFonts w:ascii="宋体" w:hAnsi="宋体" w:eastAsia="宋体" w:cs="Times New Roman"/>
                <w:bCs/>
                <w:color w:val="000000"/>
                <w:szCs w:val="21"/>
              </w:rPr>
              <w:t>某投标人评标报价（金额）</w:t>
            </w:r>
          </w:p>
        </w:tc>
      </w:tr>
      <w:tr>
        <w:tblPrEx>
          <w:tblCellMar>
            <w:top w:w="0" w:type="dxa"/>
            <w:left w:w="108" w:type="dxa"/>
            <w:bottom w:w="0" w:type="dxa"/>
            <w:right w:w="108" w:type="dxa"/>
          </w:tblCellMar>
        </w:tblPrEx>
        <w:trPr>
          <w:trHeight w:val="588" w:hRule="atLeast"/>
        </w:trPr>
        <w:tc>
          <w:tcPr>
            <w:tcW w:w="10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售后服务分（40分）</w:t>
            </w: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tabs>
                <w:tab w:val="left" w:pos="567"/>
                <w:tab w:val="left" w:pos="851"/>
              </w:tabs>
              <w:spacing w:line="42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配送服务方案分（20分）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top"/>
          </w:tcPr>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 0-7分）：方案可行性较差，无针对性，不能对大部分货品质量、可追溯性和采购渠道的正规、合法性进行承诺。</w:t>
            </w:r>
          </w:p>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 （</w:t>
            </w:r>
            <w:r>
              <w:rPr>
                <w:rFonts w:hint="eastAsia" w:ascii="宋体" w:hAnsi="宋体" w:cs="Calibri"/>
                <w:color w:val="000000"/>
                <w:kern w:val="2"/>
                <w:sz w:val="21"/>
                <w:szCs w:val="21"/>
                <w:lang w:val="en-US" w:eastAsia="zh-CN" w:bidi="ar-SA"/>
              </w:rPr>
              <w:t>7.1</w:t>
            </w:r>
            <w:r>
              <w:rPr>
                <w:rFonts w:hint="eastAsia" w:ascii="宋体" w:hAnsi="宋体" w:eastAsia="宋体" w:cs="Calibri"/>
                <w:color w:val="000000"/>
                <w:kern w:val="2"/>
                <w:sz w:val="21"/>
                <w:szCs w:val="21"/>
                <w:lang w:val="en-US" w:eastAsia="zh-CN" w:bidi="ar-SA"/>
              </w:rPr>
              <w:t>-14分）：方案可行性一般，针对性不强，对部分货品质量、可追溯性和采购渠道的正规、合法性进行承诺。</w:t>
            </w:r>
          </w:p>
          <w:p>
            <w:pPr>
              <w:spacing w:line="40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三档（14.1-20分):方案可行性强，有较强的针对性、对需货人所在行业食堂熟悉性比分析，制定有精准详细的配送、售后方案、有对全部货品质量、可追溯性和采购渠道的正规、合法性进行承诺。</w:t>
            </w:r>
          </w:p>
        </w:tc>
      </w:tr>
      <w:tr>
        <w:tblPrEx>
          <w:tblCellMar>
            <w:top w:w="0" w:type="dxa"/>
            <w:left w:w="108" w:type="dxa"/>
            <w:bottom w:w="0" w:type="dxa"/>
            <w:right w:w="108" w:type="dxa"/>
          </w:tblCellMar>
        </w:tblPrEx>
        <w:trPr>
          <w:trHeight w:val="471" w:hRule="atLeast"/>
        </w:trPr>
        <w:tc>
          <w:tcPr>
            <w:tcW w:w="10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tabs>
                <w:tab w:val="left" w:pos="567"/>
                <w:tab w:val="left" w:pos="851"/>
              </w:tabs>
              <w:spacing w:line="42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应急预案分（</w:t>
            </w:r>
            <w:r>
              <w:rPr>
                <w:rFonts w:hint="eastAsia" w:ascii="宋体" w:hAnsi="宋体" w:cs="Calibri"/>
                <w:color w:val="000000"/>
                <w:kern w:val="2"/>
                <w:sz w:val="21"/>
                <w:szCs w:val="21"/>
                <w:lang w:val="en-US" w:eastAsia="zh-CN" w:bidi="ar-SA"/>
              </w:rPr>
              <w:t>2</w:t>
            </w:r>
            <w:r>
              <w:rPr>
                <w:rFonts w:hint="eastAsia" w:ascii="宋体" w:hAnsi="宋体" w:eastAsia="宋体" w:cs="Calibri"/>
                <w:color w:val="000000"/>
                <w:kern w:val="2"/>
                <w:sz w:val="21"/>
                <w:szCs w:val="21"/>
                <w:lang w:val="en-US" w:eastAsia="zh-CN" w:bidi="ar-SA"/>
              </w:rPr>
              <w:t>0）</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top"/>
          </w:tcPr>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一档（0-</w:t>
            </w:r>
            <w:r>
              <w:rPr>
                <w:rFonts w:hint="eastAsia" w:ascii="宋体" w:hAnsi="宋体" w:cs="Calibri"/>
                <w:color w:val="000000"/>
                <w:kern w:val="2"/>
                <w:sz w:val="21"/>
                <w:szCs w:val="21"/>
                <w:lang w:val="en-US" w:eastAsia="zh-CN" w:bidi="ar-SA"/>
              </w:rPr>
              <w:t>7</w:t>
            </w:r>
            <w:r>
              <w:rPr>
                <w:rFonts w:hint="eastAsia" w:ascii="宋体" w:hAnsi="宋体" w:eastAsia="宋体" w:cs="Calibri"/>
                <w:color w:val="000000"/>
                <w:kern w:val="2"/>
                <w:sz w:val="21"/>
                <w:szCs w:val="21"/>
                <w:lang w:val="en-US" w:eastAsia="zh-CN" w:bidi="ar-SA"/>
              </w:rPr>
              <w:t>分）：应急保障机制以及问题的处理方案描述简单，具体实施步骤和要求描述较简单；</w:t>
            </w:r>
          </w:p>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w:t>
            </w:r>
            <w:r>
              <w:rPr>
                <w:rFonts w:hint="eastAsia" w:ascii="宋体" w:hAnsi="宋体" w:cs="Calibri"/>
                <w:color w:val="000000"/>
                <w:kern w:val="2"/>
                <w:sz w:val="21"/>
                <w:szCs w:val="21"/>
                <w:lang w:val="en-US" w:eastAsia="zh-CN" w:bidi="ar-SA"/>
              </w:rPr>
              <w:t>7.1</w:t>
            </w:r>
            <w:r>
              <w:rPr>
                <w:rFonts w:hint="eastAsia" w:ascii="宋体" w:hAnsi="宋体" w:eastAsia="宋体" w:cs="Calibri"/>
                <w:color w:val="000000"/>
                <w:kern w:val="2"/>
                <w:sz w:val="21"/>
                <w:szCs w:val="21"/>
                <w:lang w:val="en-US" w:eastAsia="zh-CN" w:bidi="ar-SA"/>
              </w:rPr>
              <w:t>-</w:t>
            </w:r>
            <w:r>
              <w:rPr>
                <w:rFonts w:hint="eastAsia" w:ascii="宋体" w:hAnsi="宋体" w:cs="Calibri"/>
                <w:color w:val="000000"/>
                <w:kern w:val="2"/>
                <w:sz w:val="21"/>
                <w:szCs w:val="21"/>
                <w:lang w:val="en-US" w:eastAsia="zh-CN" w:bidi="ar-SA"/>
              </w:rPr>
              <w:t>14</w:t>
            </w:r>
            <w:r>
              <w:rPr>
                <w:rFonts w:hint="eastAsia" w:ascii="宋体" w:hAnsi="宋体" w:eastAsia="宋体" w:cs="Calibri"/>
                <w:color w:val="000000"/>
                <w:kern w:val="2"/>
                <w:sz w:val="21"/>
                <w:szCs w:val="21"/>
                <w:lang w:val="en-US" w:eastAsia="zh-CN" w:bidi="ar-SA"/>
              </w:rPr>
              <w:t xml:space="preserve">分）：应急保障机制以及问题的处理方案满足要求、描述简单，具体实施步骤和要求描述较简单，优于一档的；     </w:t>
            </w:r>
          </w:p>
          <w:p>
            <w:pPr>
              <w:pStyle w:val="30"/>
              <w:tabs>
                <w:tab w:val="left" w:pos="567"/>
                <w:tab w:val="left" w:pos="851"/>
              </w:tabs>
              <w:spacing w:line="420" w:lineRule="exact"/>
              <w:jc w:val="left"/>
              <w:rPr>
                <w:rFonts w:hint="eastAsia" w:ascii="宋体" w:hAnsi="宋体" w:eastAsia="宋体" w:cs="Calibri"/>
                <w:color w:val="000000"/>
                <w:szCs w:val="21"/>
                <w:lang w:eastAsia="zh-CN"/>
              </w:rPr>
            </w:pPr>
            <w:r>
              <w:rPr>
                <w:rFonts w:hint="eastAsia" w:ascii="宋体" w:hAnsi="宋体" w:eastAsia="宋体" w:cs="Calibri"/>
                <w:color w:val="000000"/>
                <w:kern w:val="2"/>
                <w:sz w:val="21"/>
                <w:szCs w:val="21"/>
                <w:lang w:val="en-US" w:eastAsia="zh-CN" w:bidi="ar-SA"/>
              </w:rPr>
              <w:t>三档（</w:t>
            </w:r>
            <w:r>
              <w:rPr>
                <w:rFonts w:hint="eastAsia" w:ascii="宋体" w:hAnsi="宋体" w:cs="Calibri"/>
                <w:color w:val="000000"/>
                <w:kern w:val="2"/>
                <w:sz w:val="21"/>
                <w:szCs w:val="21"/>
                <w:lang w:val="en-US" w:eastAsia="zh-CN" w:bidi="ar-SA"/>
              </w:rPr>
              <w:t>14.1</w:t>
            </w:r>
            <w:r>
              <w:rPr>
                <w:rFonts w:hint="eastAsia" w:ascii="宋体" w:hAnsi="宋体" w:eastAsia="宋体" w:cs="Calibri"/>
                <w:color w:val="000000"/>
                <w:kern w:val="2"/>
                <w:sz w:val="21"/>
                <w:szCs w:val="21"/>
                <w:lang w:val="en-US" w:eastAsia="zh-CN" w:bidi="ar-SA"/>
              </w:rPr>
              <w:t>-</w:t>
            </w:r>
            <w:r>
              <w:rPr>
                <w:rFonts w:hint="eastAsia" w:ascii="宋体" w:hAnsi="宋体" w:cs="Calibri"/>
                <w:color w:val="000000"/>
                <w:kern w:val="2"/>
                <w:sz w:val="21"/>
                <w:szCs w:val="21"/>
                <w:lang w:val="en-US" w:eastAsia="zh-CN" w:bidi="ar-SA"/>
              </w:rPr>
              <w:t>2</w:t>
            </w:r>
            <w:r>
              <w:rPr>
                <w:rFonts w:hint="eastAsia" w:ascii="宋体" w:hAnsi="宋体" w:eastAsia="宋体" w:cs="Calibri"/>
                <w:color w:val="000000"/>
                <w:kern w:val="2"/>
                <w:sz w:val="21"/>
                <w:szCs w:val="21"/>
                <w:lang w:val="en-US" w:eastAsia="zh-CN" w:bidi="ar-SA"/>
              </w:rPr>
              <w:t>0分）：应急保障机制以及问题货品的处理方案较先进符合要求、描述较详细，具体实施步骤和要求描述较详细，优于二档的，可行性强。</w:t>
            </w:r>
          </w:p>
        </w:tc>
      </w:tr>
      <w:tr>
        <w:tblPrEx>
          <w:tblCellMar>
            <w:top w:w="0" w:type="dxa"/>
            <w:left w:w="108" w:type="dxa"/>
            <w:bottom w:w="0" w:type="dxa"/>
            <w:right w:w="108" w:type="dxa"/>
          </w:tblCellMar>
        </w:tblPrEx>
        <w:trPr>
          <w:trHeight w:val="854" w:hRule="atLeast"/>
        </w:trPr>
        <w:tc>
          <w:tcPr>
            <w:tcW w:w="10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eastAsia" w:ascii="宋体" w:hAnsi="宋体" w:eastAsia="宋体" w:cs="Calibri"/>
                <w:color w:val="000000"/>
                <w:szCs w:val="21"/>
                <w:lang w:eastAsia="zh-CN"/>
              </w:rPr>
            </w:pPr>
            <w:r>
              <w:rPr>
                <w:rFonts w:hint="eastAsia" w:ascii="宋体" w:hAnsi="宋体" w:eastAsia="宋体" w:cs="Calibri"/>
                <w:color w:val="000000"/>
                <w:szCs w:val="21"/>
                <w:lang w:val="en-US" w:eastAsia="zh-CN"/>
              </w:rPr>
              <w:t>综合实力</w:t>
            </w:r>
            <w:r>
              <w:rPr>
                <w:rFonts w:hint="eastAsia" w:ascii="宋体" w:hAnsi="宋体" w:eastAsia="宋体" w:cs="Calibri"/>
                <w:color w:val="000000"/>
                <w:szCs w:val="21"/>
              </w:rPr>
              <w:t xml:space="preserve">分 </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10分</w:t>
            </w:r>
            <w:r>
              <w:rPr>
                <w:rFonts w:hint="eastAsia" w:ascii="宋体" w:hAnsi="宋体" w:eastAsia="宋体" w:cs="Calibri"/>
                <w:color w:val="000000"/>
                <w:szCs w:val="21"/>
                <w:lang w:eastAsia="zh-CN"/>
              </w:rPr>
              <w:t>）</w:t>
            </w: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业绩分（5分）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top"/>
          </w:tcPr>
          <w:p>
            <w:pPr>
              <w:numPr>
                <w:ilvl w:val="0"/>
                <w:numId w:val="0"/>
              </w:numPr>
              <w:spacing w:line="420" w:lineRule="exact"/>
              <w:ind w:left="0" w:leftChars="0" w:firstLine="0" w:firstLineChars="0"/>
              <w:rPr>
                <w:rFonts w:hint="eastAsia" w:ascii="宋体" w:hAnsi="宋体" w:eastAsia="宋体" w:cs="Calibri"/>
                <w:color w:val="000000"/>
                <w:szCs w:val="21"/>
                <w:lang w:eastAsia="zh-CN"/>
              </w:rPr>
            </w:pPr>
            <w:r>
              <w:rPr>
                <w:rFonts w:hint="eastAsia" w:ascii="宋体" w:hAnsi="宋体" w:eastAsia="宋体" w:cs="Calibri"/>
                <w:color w:val="000000"/>
                <w:szCs w:val="21"/>
              </w:rPr>
              <w:t>201</w:t>
            </w:r>
            <w:r>
              <w:rPr>
                <w:rFonts w:hint="eastAsia" w:ascii="宋体" w:hAnsi="宋体" w:eastAsia="宋体" w:cs="Calibri"/>
                <w:color w:val="000000"/>
                <w:szCs w:val="21"/>
                <w:lang w:val="en-US" w:eastAsia="zh-CN"/>
              </w:rPr>
              <w:t>9</w:t>
            </w:r>
            <w:r>
              <w:rPr>
                <w:rFonts w:hint="eastAsia" w:ascii="宋体" w:hAnsi="宋体" w:eastAsia="宋体" w:cs="Calibri"/>
                <w:color w:val="000000"/>
                <w:szCs w:val="21"/>
              </w:rPr>
              <w:t>年1月</w:t>
            </w:r>
            <w:r>
              <w:rPr>
                <w:rFonts w:hint="eastAsia" w:ascii="宋体" w:hAnsi="宋体" w:eastAsia="宋体" w:cs="Calibri"/>
                <w:color w:val="000000"/>
                <w:szCs w:val="21"/>
                <w:lang w:val="en-US" w:eastAsia="zh-CN"/>
              </w:rPr>
              <w:t>至今</w:t>
            </w:r>
            <w:r>
              <w:rPr>
                <w:rFonts w:hint="eastAsia" w:ascii="宋体" w:hAnsi="宋体" w:eastAsia="宋体" w:cs="Calibri"/>
                <w:color w:val="000000"/>
                <w:szCs w:val="21"/>
              </w:rPr>
              <w:t>，在广西区内供货业绩，投标人提供业绩合同证明的每项得</w:t>
            </w:r>
            <w:r>
              <w:rPr>
                <w:rFonts w:hint="eastAsia" w:ascii="宋体" w:hAnsi="宋体" w:eastAsia="宋体" w:cs="Calibri"/>
                <w:color w:val="000000"/>
                <w:szCs w:val="21"/>
                <w:lang w:val="en-US" w:eastAsia="zh-CN"/>
              </w:rPr>
              <w:t>1</w:t>
            </w:r>
            <w:r>
              <w:rPr>
                <w:rFonts w:hint="eastAsia" w:ascii="宋体" w:hAnsi="宋体" w:eastAsia="宋体" w:cs="Calibri"/>
                <w:color w:val="000000"/>
                <w:szCs w:val="21"/>
              </w:rPr>
              <w:t>分，未提供的不得分，满分</w:t>
            </w:r>
            <w:r>
              <w:rPr>
                <w:rFonts w:hint="eastAsia" w:ascii="宋体" w:hAnsi="宋体" w:eastAsia="宋体" w:cs="Calibri"/>
                <w:color w:val="000000"/>
                <w:szCs w:val="21"/>
                <w:lang w:val="en-US" w:eastAsia="zh-CN"/>
              </w:rPr>
              <w:t>5</w:t>
            </w:r>
            <w:r>
              <w:rPr>
                <w:rFonts w:hint="eastAsia" w:ascii="宋体" w:hAnsi="宋体" w:eastAsia="宋体" w:cs="Calibri"/>
                <w:color w:val="000000"/>
                <w:szCs w:val="21"/>
              </w:rPr>
              <w:t>分。</w:t>
            </w:r>
          </w:p>
        </w:tc>
      </w:tr>
      <w:tr>
        <w:tblPrEx>
          <w:tblCellMar>
            <w:top w:w="0" w:type="dxa"/>
            <w:left w:w="108" w:type="dxa"/>
            <w:bottom w:w="0" w:type="dxa"/>
            <w:right w:w="108" w:type="dxa"/>
          </w:tblCellMar>
        </w:tblPrEx>
        <w:trPr>
          <w:trHeight w:val="854" w:hRule="atLeast"/>
        </w:trPr>
        <w:tc>
          <w:tcPr>
            <w:tcW w:w="10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eastAsia="宋体" w:cs="Calibri"/>
                <w:color w:val="000000"/>
                <w:szCs w:val="21"/>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人员得分（5分）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top"/>
          </w:tcPr>
          <w:p>
            <w:pPr>
              <w:spacing w:line="400" w:lineRule="exact"/>
              <w:rPr>
                <w:rFonts w:hint="eastAsia" w:ascii="宋体" w:hAnsi="宋体" w:eastAsia="宋体" w:cs="Calibri"/>
                <w:color w:val="000000"/>
                <w:szCs w:val="21"/>
              </w:rPr>
            </w:pPr>
            <w:r>
              <w:rPr>
                <w:rFonts w:hint="eastAsia" w:ascii="宋体" w:hAnsi="宋体" w:eastAsia="宋体" w:cs="Calibri"/>
                <w:color w:val="000000"/>
                <w:szCs w:val="21"/>
                <w:lang w:val="en-US" w:eastAsia="zh-CN"/>
              </w:rPr>
              <w:t>投标人拟派本项目从业人员数得分。1人得1分，2人得2分，3人得3分，4人得4分，5人得5分</w:t>
            </w:r>
            <w:r>
              <w:rPr>
                <w:rFonts w:hint="eastAsia" w:ascii="宋体" w:hAnsi="宋体" w:eastAsia="宋体" w:cs="Calibri"/>
                <w:color w:val="000000"/>
                <w:szCs w:val="21"/>
              </w:rPr>
              <w:t>。</w:t>
            </w:r>
          </w:p>
        </w:tc>
      </w:tr>
    </w:tbl>
    <w:p>
      <w:pPr>
        <w:jc w:val="left"/>
        <w:rPr>
          <w:rFonts w:ascii="宋体" w:hAnsi="宋体" w:eastAsia="宋体"/>
          <w:szCs w:val="21"/>
        </w:rPr>
      </w:pPr>
    </w:p>
    <w:p>
      <w:pPr>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评审小组根据综合评分情况，按照评审得分由高到低顺序推荐1名以上成交候选供应商，并编写评审报告。评审得分相同的，按照最后报价（不计算价格折扣）由低到高的顺序推荐。评审得分且最后报价（不计算价格折扣）相同的，按照</w:t>
      </w:r>
      <w:r>
        <w:rPr>
          <w:rFonts w:hint="eastAsia" w:ascii="宋体" w:hAnsi="宋体" w:eastAsia="宋体"/>
          <w:szCs w:val="21"/>
          <w:lang w:val="en-US" w:eastAsia="zh-CN"/>
        </w:rPr>
        <w:t>售后服务</w:t>
      </w:r>
      <w:r>
        <w:rPr>
          <w:rFonts w:ascii="宋体" w:hAnsi="宋体" w:eastAsia="宋体"/>
          <w:szCs w:val="21"/>
        </w:rPr>
        <w:t>优劣顺序推荐（按</w:t>
      </w:r>
      <w:r>
        <w:rPr>
          <w:rFonts w:hint="eastAsia" w:ascii="宋体" w:hAnsi="宋体" w:eastAsia="宋体"/>
          <w:szCs w:val="21"/>
          <w:lang w:val="en-US" w:eastAsia="zh-CN"/>
        </w:rPr>
        <w:t>售后服务</w:t>
      </w:r>
      <w:r>
        <w:rPr>
          <w:rFonts w:ascii="宋体" w:hAnsi="宋体" w:eastAsia="宋体"/>
          <w:szCs w:val="21"/>
        </w:rPr>
        <w:t>得分由高到低排序，</w:t>
      </w:r>
      <w:r>
        <w:rPr>
          <w:rFonts w:hint="eastAsia" w:ascii="宋体" w:hAnsi="宋体" w:eastAsia="宋体"/>
          <w:szCs w:val="21"/>
          <w:lang w:val="en-US" w:eastAsia="zh-CN"/>
        </w:rPr>
        <w:t>售后服务</w:t>
      </w:r>
      <w:r>
        <w:rPr>
          <w:rFonts w:ascii="宋体" w:hAnsi="宋体" w:eastAsia="宋体"/>
          <w:szCs w:val="21"/>
        </w:rPr>
        <w:t>得分相同的按照技术需求偏离分由高到低排序）。评审得分、最后报价（不计算价格折扣）、</w:t>
      </w:r>
      <w:r>
        <w:rPr>
          <w:rFonts w:hint="eastAsia" w:ascii="宋体" w:hAnsi="宋体" w:eastAsia="宋体"/>
          <w:szCs w:val="21"/>
          <w:lang w:val="en-US" w:eastAsia="zh-CN"/>
        </w:rPr>
        <w:t>售后服务</w:t>
      </w:r>
      <w:r>
        <w:rPr>
          <w:rFonts w:ascii="宋体" w:hAnsi="宋体" w:eastAsia="宋体"/>
          <w:szCs w:val="21"/>
        </w:rPr>
        <w:t>分均相同的，由评审小组随机抽取推荐。</w:t>
      </w: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rPr>
          <w:rFonts w:ascii="仿宋_GB2312" w:hAnsi="Calibri" w:eastAsia="仿宋_GB2312" w:cs="Calibri"/>
          <w:bCs/>
          <w:color w:val="000000"/>
          <w:sz w:val="32"/>
          <w:szCs w:val="32"/>
        </w:rPr>
      </w:pPr>
    </w:p>
    <w:p>
      <w:pPr>
        <w:snapToGrid w:val="0"/>
        <w:spacing w:before="120"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20"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p>
    <w:p>
      <w:pPr>
        <w:snapToGrid w:val="0"/>
        <w:spacing w:before="120"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20"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20"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both"/>
        <w:rPr>
          <w:color w:val="000000"/>
        </w:rPr>
      </w:pPr>
      <w:r>
        <w:rPr>
          <w:rFonts w:hint="eastAsia" w:ascii="宋体" w:hAnsi="宋体" w:eastAsia="宋体" w:cs="Calibri"/>
          <w:b/>
          <w:bCs/>
          <w:color w:val="000000"/>
          <w:sz w:val="32"/>
          <w:szCs w:val="32"/>
          <w:lang w:val="en-US" w:eastAsia="zh-CN"/>
        </w:rPr>
        <w:t>3.报价单</w:t>
      </w:r>
      <w:r>
        <w:rPr>
          <w:rFonts w:hint="eastAsia"/>
          <w:color w:val="000000"/>
          <w:lang w:val="en-US" w:eastAsia="zh-CN"/>
        </w:rPr>
        <w:t>（祥见技术及服务需求表</w:t>
      </w:r>
      <w:r>
        <w:rPr>
          <w:color w:val="000000"/>
        </w:rPr>
        <w:t>）</w:t>
      </w:r>
    </w:p>
    <w:p>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color w:val="000000"/>
          <w:szCs w:val="21"/>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7"/>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p>
    <w:p>
      <w:pPr>
        <w:snapToGrid w:val="0"/>
        <w:spacing w:before="120"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20"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20" w:beforeLines="50" w:after="50"/>
        <w:ind w:firstLine="645"/>
        <w:rPr>
          <w:rFonts w:hint="eastAsia"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20" w:beforeLines="50" w:after="50"/>
        <w:ind w:left="142"/>
        <w:jc w:val="left"/>
        <w:rPr>
          <w:rFonts w:hint="default" w:ascii="宋体" w:hAnsi="宋体" w:eastAsia="宋体" w:cs="Calibri"/>
          <w:b/>
          <w:bCs/>
          <w:color w:val="000000"/>
          <w:sz w:val="32"/>
          <w:szCs w:val="32"/>
          <w:lang w:val="en-US" w:eastAsia="zh-CN"/>
        </w:rPr>
      </w:pPr>
      <w:r>
        <w:rPr>
          <w:rFonts w:hint="eastAsia" w:ascii="宋体" w:hAnsi="宋体" w:eastAsia="宋体" w:cs="Calibri"/>
          <w:b/>
          <w:bCs/>
          <w:color w:val="000000"/>
          <w:sz w:val="32"/>
          <w:szCs w:val="32"/>
          <w:lang w:val="en-US" w:eastAsia="zh-CN"/>
        </w:rPr>
        <w:t>3.人员配置清单</w:t>
      </w:r>
      <w:r>
        <w:rPr>
          <w:rFonts w:hint="eastAsia" w:ascii="宋体" w:hAnsi="宋体" w:eastAsia="宋体" w:cs="Calibri"/>
          <w:b w:val="0"/>
          <w:bCs w:val="0"/>
          <w:color w:val="000000"/>
          <w:sz w:val="32"/>
          <w:szCs w:val="32"/>
          <w:lang w:val="en-US" w:eastAsia="zh-CN"/>
        </w:rPr>
        <w:t>（格式自拟）</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20"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20"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20"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1B302"/>
    <w:multiLevelType w:val="singleLevel"/>
    <w:tmpl w:val="A961B30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40FB8"/>
    <w:rsid w:val="00057A98"/>
    <w:rsid w:val="00084F64"/>
    <w:rsid w:val="00095A9E"/>
    <w:rsid w:val="000C7845"/>
    <w:rsid w:val="000E7D02"/>
    <w:rsid w:val="000F1407"/>
    <w:rsid w:val="000F1777"/>
    <w:rsid w:val="00114539"/>
    <w:rsid w:val="00121AC4"/>
    <w:rsid w:val="001407E6"/>
    <w:rsid w:val="001947FD"/>
    <w:rsid w:val="001A09D8"/>
    <w:rsid w:val="001C2CC7"/>
    <w:rsid w:val="001C6C2E"/>
    <w:rsid w:val="001E068C"/>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904DC"/>
    <w:rsid w:val="00590FB2"/>
    <w:rsid w:val="00596758"/>
    <w:rsid w:val="005A3E00"/>
    <w:rsid w:val="005B5BDB"/>
    <w:rsid w:val="005E5076"/>
    <w:rsid w:val="006208AC"/>
    <w:rsid w:val="0064134D"/>
    <w:rsid w:val="006728BD"/>
    <w:rsid w:val="00677924"/>
    <w:rsid w:val="006A39CA"/>
    <w:rsid w:val="006C1533"/>
    <w:rsid w:val="006C5852"/>
    <w:rsid w:val="006D6959"/>
    <w:rsid w:val="006E0D75"/>
    <w:rsid w:val="006F31FF"/>
    <w:rsid w:val="00701B9C"/>
    <w:rsid w:val="0070309E"/>
    <w:rsid w:val="00725A52"/>
    <w:rsid w:val="00732FF0"/>
    <w:rsid w:val="00740BD6"/>
    <w:rsid w:val="00746451"/>
    <w:rsid w:val="00764A4F"/>
    <w:rsid w:val="00771229"/>
    <w:rsid w:val="00783109"/>
    <w:rsid w:val="00795F07"/>
    <w:rsid w:val="007B02BA"/>
    <w:rsid w:val="007B0F96"/>
    <w:rsid w:val="007B1D4B"/>
    <w:rsid w:val="00804931"/>
    <w:rsid w:val="00851441"/>
    <w:rsid w:val="00876610"/>
    <w:rsid w:val="008B0597"/>
    <w:rsid w:val="008B759C"/>
    <w:rsid w:val="008C728A"/>
    <w:rsid w:val="008D1A95"/>
    <w:rsid w:val="009123EC"/>
    <w:rsid w:val="00914286"/>
    <w:rsid w:val="009149DA"/>
    <w:rsid w:val="00927326"/>
    <w:rsid w:val="009535DF"/>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B112EA"/>
    <w:rsid w:val="00B207CB"/>
    <w:rsid w:val="00B66A6A"/>
    <w:rsid w:val="00B80DE8"/>
    <w:rsid w:val="00BA72C3"/>
    <w:rsid w:val="00BA798B"/>
    <w:rsid w:val="00BB3BE6"/>
    <w:rsid w:val="00BC7853"/>
    <w:rsid w:val="00BE6561"/>
    <w:rsid w:val="00BF0177"/>
    <w:rsid w:val="00C02C01"/>
    <w:rsid w:val="00C21E58"/>
    <w:rsid w:val="00C30370"/>
    <w:rsid w:val="00C36592"/>
    <w:rsid w:val="00C51977"/>
    <w:rsid w:val="00C722EE"/>
    <w:rsid w:val="00C7251A"/>
    <w:rsid w:val="00C87A83"/>
    <w:rsid w:val="00C87E3C"/>
    <w:rsid w:val="00CB3325"/>
    <w:rsid w:val="00CC28C7"/>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8B"/>
    <w:rsid w:val="00E832A8"/>
    <w:rsid w:val="00EB6E6F"/>
    <w:rsid w:val="00EE1BC2"/>
    <w:rsid w:val="00F1447C"/>
    <w:rsid w:val="00F47CB8"/>
    <w:rsid w:val="00F55F69"/>
    <w:rsid w:val="00F60E99"/>
    <w:rsid w:val="00F67C17"/>
    <w:rsid w:val="00F806B4"/>
    <w:rsid w:val="00F8364B"/>
    <w:rsid w:val="00F94595"/>
    <w:rsid w:val="00FA0D28"/>
    <w:rsid w:val="00FB3B21"/>
    <w:rsid w:val="00FE3298"/>
    <w:rsid w:val="01B66B6C"/>
    <w:rsid w:val="01BB6538"/>
    <w:rsid w:val="02625B16"/>
    <w:rsid w:val="04525DF9"/>
    <w:rsid w:val="07864920"/>
    <w:rsid w:val="082A7C1B"/>
    <w:rsid w:val="08797E46"/>
    <w:rsid w:val="0B2F7FEB"/>
    <w:rsid w:val="0B6940A1"/>
    <w:rsid w:val="0CFF3BA2"/>
    <w:rsid w:val="0DDF2D96"/>
    <w:rsid w:val="162172D7"/>
    <w:rsid w:val="17EC4843"/>
    <w:rsid w:val="1E102E72"/>
    <w:rsid w:val="230C6132"/>
    <w:rsid w:val="24062DFC"/>
    <w:rsid w:val="24722845"/>
    <w:rsid w:val="267D2BB8"/>
    <w:rsid w:val="284E26BD"/>
    <w:rsid w:val="286E3FCC"/>
    <w:rsid w:val="2BAF7B59"/>
    <w:rsid w:val="302E16EF"/>
    <w:rsid w:val="303D69DF"/>
    <w:rsid w:val="39FA5FFB"/>
    <w:rsid w:val="45250531"/>
    <w:rsid w:val="456F454F"/>
    <w:rsid w:val="45A73ECC"/>
    <w:rsid w:val="45DB2F02"/>
    <w:rsid w:val="4C81353D"/>
    <w:rsid w:val="55690666"/>
    <w:rsid w:val="5B527EF8"/>
    <w:rsid w:val="5CFC6D15"/>
    <w:rsid w:val="601B6518"/>
    <w:rsid w:val="629D6EC8"/>
    <w:rsid w:val="63C974A9"/>
    <w:rsid w:val="642464A6"/>
    <w:rsid w:val="6705150C"/>
    <w:rsid w:val="68A146FF"/>
    <w:rsid w:val="71B870AF"/>
    <w:rsid w:val="76042F76"/>
    <w:rsid w:val="797B7EEE"/>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rPr>
  </w:style>
  <w:style w:type="paragraph" w:styleId="4">
    <w:name w:val="Date"/>
    <w:basedOn w:val="1"/>
    <w:next w:val="1"/>
    <w:link w:val="12"/>
    <w:semiHidden/>
    <w:unhideWhenUsed/>
    <w:qFormat/>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日期 字符"/>
    <w:basedOn w:val="9"/>
    <w:link w:val="4"/>
    <w:semiHidden/>
    <w:qFormat/>
    <w:uiPriority w:val="99"/>
  </w:style>
  <w:style w:type="character" w:customStyle="1" w:styleId="13">
    <w:name w:val="标题 2 字符"/>
    <w:basedOn w:val="9"/>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9"/>
    <w:qFormat/>
    <w:uiPriority w:val="0"/>
    <w:rPr>
      <w:rFonts w:hint="eastAsia" w:ascii="宋体" w:hAnsi="宋体" w:eastAsia="宋体" w:cs="宋体"/>
      <w:color w:val="000000"/>
      <w:sz w:val="20"/>
      <w:szCs w:val="20"/>
      <w:u w:val="none"/>
    </w:rPr>
  </w:style>
  <w:style w:type="character" w:customStyle="1" w:styleId="16">
    <w:name w:val="font51"/>
    <w:basedOn w:val="9"/>
    <w:qFormat/>
    <w:uiPriority w:val="0"/>
    <w:rPr>
      <w:rFonts w:hint="default" w:ascii="Times New Roman" w:hAnsi="Times New Roman" w:cs="Times New Roman"/>
      <w:color w:val="000000"/>
      <w:sz w:val="20"/>
      <w:szCs w:val="20"/>
      <w:u w:val="none"/>
    </w:rPr>
  </w:style>
  <w:style w:type="character" w:customStyle="1" w:styleId="17">
    <w:name w:val="font21"/>
    <w:basedOn w:val="9"/>
    <w:qFormat/>
    <w:uiPriority w:val="0"/>
    <w:rPr>
      <w:rFonts w:ascii="Arial" w:hAnsi="Arial" w:cs="Arial"/>
      <w:color w:val="000000"/>
      <w:sz w:val="16"/>
      <w:szCs w:val="16"/>
      <w:u w:val="none"/>
    </w:rPr>
  </w:style>
  <w:style w:type="character" w:customStyle="1" w:styleId="18">
    <w:name w:val="font71"/>
    <w:basedOn w:val="9"/>
    <w:qFormat/>
    <w:uiPriority w:val="0"/>
    <w:rPr>
      <w:rFonts w:hint="eastAsia" w:ascii="宋体" w:hAnsi="宋体" w:eastAsia="宋体" w:cs="宋体"/>
      <w:color w:val="000000"/>
      <w:sz w:val="18"/>
      <w:szCs w:val="18"/>
      <w:u w:val="none"/>
    </w:rPr>
  </w:style>
  <w:style w:type="character" w:customStyle="1" w:styleId="19">
    <w:name w:val="font41"/>
    <w:basedOn w:val="9"/>
    <w:qFormat/>
    <w:uiPriority w:val="0"/>
    <w:rPr>
      <w:rFonts w:hint="eastAsia" w:ascii="宋体" w:hAnsi="宋体" w:eastAsia="宋体" w:cs="宋体"/>
      <w:color w:val="000000"/>
      <w:sz w:val="16"/>
      <w:szCs w:val="16"/>
      <w:u w:val="none"/>
    </w:rPr>
  </w:style>
  <w:style w:type="character" w:customStyle="1" w:styleId="20">
    <w:name w:val="font61"/>
    <w:basedOn w:val="9"/>
    <w:qFormat/>
    <w:uiPriority w:val="0"/>
    <w:rPr>
      <w:rFonts w:hint="default" w:ascii="PMingLiU" w:hAnsi="PMingLiU" w:eastAsia="PMingLiU" w:cs="PMingLiU"/>
      <w:color w:val="000000"/>
      <w:sz w:val="20"/>
      <w:szCs w:val="20"/>
      <w:u w:val="none"/>
    </w:rPr>
  </w:style>
  <w:style w:type="character" w:customStyle="1" w:styleId="21">
    <w:name w:val="font01"/>
    <w:basedOn w:val="9"/>
    <w:qFormat/>
    <w:uiPriority w:val="0"/>
    <w:rPr>
      <w:rFonts w:hint="default" w:ascii="MingLiU" w:hAnsi="MingLiU" w:eastAsia="MingLiU" w:cs="MingLiU"/>
      <w:color w:val="000000"/>
      <w:sz w:val="20"/>
      <w:szCs w:val="20"/>
      <w:u w:val="none"/>
    </w:rPr>
  </w:style>
  <w:style w:type="character" w:customStyle="1" w:styleId="22">
    <w:name w:val="font31"/>
    <w:basedOn w:val="9"/>
    <w:qFormat/>
    <w:uiPriority w:val="0"/>
    <w:rPr>
      <w:rFonts w:hint="eastAsia" w:ascii="宋体" w:hAnsi="宋体" w:eastAsia="宋体" w:cs="宋体"/>
      <w:color w:val="000000"/>
      <w:sz w:val="20"/>
      <w:szCs w:val="20"/>
      <w:u w:val="none"/>
    </w:rPr>
  </w:style>
  <w:style w:type="character" w:customStyle="1" w:styleId="23">
    <w:name w:val="font101"/>
    <w:basedOn w:val="9"/>
    <w:qFormat/>
    <w:uiPriority w:val="0"/>
    <w:rPr>
      <w:rFonts w:hint="eastAsia" w:ascii="宋体" w:hAnsi="宋体" w:eastAsia="宋体" w:cs="宋体"/>
      <w:i/>
      <w:iCs/>
      <w:color w:val="000000"/>
      <w:sz w:val="20"/>
      <w:szCs w:val="20"/>
      <w:u w:val="none"/>
    </w:rPr>
  </w:style>
  <w:style w:type="paragraph" w:customStyle="1" w:styleId="24">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5">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6">
    <w:name w:val="Table caption|1"/>
    <w:basedOn w:val="1"/>
    <w:qFormat/>
    <w:uiPriority w:val="0"/>
    <w:rPr>
      <w:rFonts w:ascii="宋体" w:hAnsi="宋体" w:eastAsia="宋体" w:cs="宋体"/>
      <w:sz w:val="20"/>
      <w:szCs w:val="20"/>
      <w:lang w:val="zh-TW" w:eastAsia="zh-TW" w:bidi="zh-TW"/>
    </w:rPr>
  </w:style>
  <w:style w:type="paragraph" w:customStyle="1" w:styleId="27">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8">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29">
    <w:name w:val="Header or footer|2"/>
    <w:basedOn w:val="1"/>
    <w:qFormat/>
    <w:uiPriority w:val="0"/>
    <w:rPr>
      <w:sz w:val="20"/>
      <w:szCs w:val="20"/>
      <w:lang w:val="zh-TW" w:eastAsia="zh-TW" w:bidi="zh-TW"/>
    </w:rPr>
  </w:style>
  <w:style w:type="paragraph" w:styleId="30">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17350</Words>
  <Characters>18202</Characters>
  <Lines>167</Lines>
  <Paragraphs>47</Paragraphs>
  <TotalTime>2</TotalTime>
  <ScaleCrop>false</ScaleCrop>
  <LinksUpToDate>false</LinksUpToDate>
  <CharactersWithSpaces>19859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2022-05-16T10:14:00Z</dcterms:created>
  <dc:creator>魏宝兴</dc:creator>
  <cp:lastModifiedBy>7月LEO</cp:lastModifiedBy>
  <cp:lastPrinted>2022-08-29T10:00:00Z</cp:lastPrinted>
  <dcterms:modified xsi:type="dcterms:W3CDTF">2022-08-31T03:25:39Z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003F4B7C55754348827E781723701253</vt:lpwstr>
  </property>
</Properties>
</file>