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广西骨伤医院24小时动态血压监测仪采购项目</w:t>
      </w: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bookmarkStart w:id="20" w:name="_GoBack"/>
      <w:r>
        <w:rPr>
          <w:rFonts w:hint="eastAsia" w:ascii="仿宋_GB2312" w:hAnsi="宋体" w:eastAsia="仿宋_GB2312" w:cs="Times New Roman"/>
          <w:b/>
          <w:color w:val="000000"/>
          <w:sz w:val="32"/>
          <w:szCs w:val="32"/>
          <w:lang w:val="en-US" w:eastAsia="zh-CN"/>
        </w:rPr>
        <w:t>24小时动态血压监测仪采购项目</w:t>
      </w:r>
      <w:bookmarkEnd w:id="20"/>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highlight w:val="none"/>
        </w:rPr>
        <w:t>GXGSYY-</w:t>
      </w:r>
      <w:r>
        <w:rPr>
          <w:rFonts w:hint="eastAsia" w:ascii="仿宋_GB2312" w:hAnsi="宋体" w:eastAsia="仿宋_GB2312" w:cs="Times New Roman"/>
          <w:b/>
          <w:color w:val="000000"/>
          <w:sz w:val="32"/>
          <w:szCs w:val="32"/>
          <w:highlight w:val="none"/>
        </w:rPr>
        <w:t>C</w:t>
      </w:r>
      <w:r>
        <w:rPr>
          <w:rFonts w:ascii="仿宋_GB2312" w:hAnsi="宋体" w:eastAsia="仿宋_GB2312" w:cs="Times New Roman"/>
          <w:b/>
          <w:color w:val="000000"/>
          <w:sz w:val="32"/>
          <w:szCs w:val="32"/>
          <w:highlight w:val="none"/>
        </w:rPr>
        <w:t>GB-SBK-202</w:t>
      </w:r>
      <w:r>
        <w:rPr>
          <w:rFonts w:hint="eastAsia" w:ascii="仿宋_GB2312" w:hAnsi="宋体" w:eastAsia="仿宋_GB2312" w:cs="Times New Roman"/>
          <w:b/>
          <w:color w:val="000000"/>
          <w:sz w:val="32"/>
          <w:szCs w:val="32"/>
          <w:highlight w:val="none"/>
          <w:lang w:val="en-US" w:eastAsia="zh-CN"/>
        </w:rPr>
        <w:t>2</w:t>
      </w:r>
      <w:r>
        <w:rPr>
          <w:rFonts w:ascii="仿宋_GB2312" w:hAnsi="宋体" w:eastAsia="仿宋_GB2312" w:cs="Times New Roman"/>
          <w:b/>
          <w:color w:val="000000"/>
          <w:sz w:val="32"/>
          <w:szCs w:val="32"/>
          <w:highlight w:val="none"/>
        </w:rPr>
        <w:t>-00</w:t>
      </w:r>
      <w:r>
        <w:rPr>
          <w:rFonts w:hint="eastAsia" w:ascii="仿宋_GB2312" w:hAnsi="宋体" w:eastAsia="仿宋_GB2312" w:cs="Times New Roman"/>
          <w:b/>
          <w:color w:val="000000"/>
          <w:sz w:val="32"/>
          <w:szCs w:val="32"/>
          <w:highlight w:val="none"/>
          <w:lang w:val="en-US" w:eastAsia="zh-CN"/>
        </w:rPr>
        <w:t>18</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27</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 w:name="_Toc47452204"/>
      <w:r>
        <w:rPr>
          <w:rFonts w:hint="eastAsia" w:ascii="Cambria" w:hAnsi="Cambria" w:eastAsia="宋体" w:cs="Times New Roman"/>
          <w:b/>
          <w:bCs/>
          <w:color w:val="000000"/>
          <w:sz w:val="32"/>
          <w:szCs w:val="32"/>
          <w:lang w:val="zh-CN" w:eastAsia="zh-CN"/>
        </w:rPr>
        <w:t xml:space="preserve">第一章 </w:t>
      </w:r>
      <w:r>
        <w:rPr>
          <w:rFonts w:hint="eastAsia" w:ascii="Cambria" w:hAnsi="Cambria" w:eastAsia="宋体" w:cs="Times New Roman"/>
          <w:b/>
          <w:bCs/>
          <w:color w:val="000000"/>
          <w:sz w:val="32"/>
          <w:szCs w:val="32"/>
          <w:lang w:val="zh-CN"/>
        </w:rPr>
        <w:t>议价会</w:t>
      </w:r>
      <w:r>
        <w:rPr>
          <w:rFonts w:hint="eastAsia" w:ascii="Cambria" w:hAnsi="Cambria" w:eastAsia="宋体" w:cs="Times New Roman"/>
          <w:b/>
          <w:bCs/>
          <w:color w:val="000000"/>
          <w:sz w:val="32"/>
          <w:szCs w:val="32"/>
          <w:lang w:val="zh-CN" w:eastAsia="zh-CN"/>
        </w:rPr>
        <w:t>公告</w:t>
      </w:r>
      <w:bookmarkEnd w:id="1"/>
    </w:p>
    <w:p>
      <w:pPr>
        <w:keepNext/>
        <w:keepLines/>
        <w:spacing w:line="320" w:lineRule="exact"/>
        <w:ind w:firstLine="422" w:firstLineChars="200"/>
        <w:outlineLvl w:val="1"/>
        <w:rPr>
          <w:rFonts w:ascii="宋体" w:hAnsi="宋体" w:eastAsia="宋体" w:cs="宋体"/>
          <w:b/>
          <w:color w:val="000000"/>
          <w:szCs w:val="21"/>
          <w:lang w:val="zh-CN" w:eastAsia="zh-CN"/>
        </w:rPr>
      </w:pPr>
      <w:bookmarkStart w:id="2" w:name="_Toc28359012"/>
      <w:bookmarkStart w:id="3" w:name="_Toc47452205"/>
      <w:bookmarkStart w:id="4" w:name="_Toc44229878"/>
      <w:bookmarkStart w:id="5" w:name="_Toc35393798"/>
      <w:bookmarkStart w:id="6" w:name="_Toc28359089"/>
      <w:bookmarkStart w:id="7" w:name="_Toc35393629"/>
      <w:r>
        <w:rPr>
          <w:rFonts w:hint="eastAsia" w:ascii="宋体" w:hAnsi="宋体" w:eastAsia="宋体" w:cs="宋体"/>
          <w:b/>
          <w:color w:val="000000"/>
          <w:szCs w:val="21"/>
          <w:lang w:val="zh-CN" w:eastAsia="zh-CN"/>
        </w:rPr>
        <w:t>一、项目基本情况</w:t>
      </w:r>
      <w:bookmarkEnd w:id="2"/>
      <w:bookmarkEnd w:id="3"/>
      <w:bookmarkEnd w:id="4"/>
      <w:bookmarkEnd w:id="5"/>
      <w:bookmarkEnd w:id="6"/>
      <w:bookmarkEnd w:id="7"/>
    </w:p>
    <w:p>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w:t>
      </w:r>
      <w:r>
        <w:rPr>
          <w:rFonts w:ascii="宋体" w:hAnsi="宋体" w:eastAsia="宋体" w:cs="Times New Roman"/>
          <w:color w:val="000000"/>
          <w:szCs w:val="21"/>
          <w:highlight w:val="none"/>
        </w:rPr>
        <w:t>GXGSYY-CGB-SBK-202</w:t>
      </w:r>
      <w:r>
        <w:rPr>
          <w:rFonts w:hint="eastAsia" w:ascii="宋体" w:hAnsi="宋体" w:eastAsia="宋体" w:cs="Times New Roman"/>
          <w:color w:val="000000"/>
          <w:szCs w:val="21"/>
          <w:highlight w:val="none"/>
          <w:lang w:val="en-US" w:eastAsia="zh-CN"/>
        </w:rPr>
        <w:t>2</w:t>
      </w:r>
      <w:r>
        <w:rPr>
          <w:rFonts w:ascii="宋体" w:hAnsi="宋体" w:eastAsia="宋体" w:cs="Times New Roman"/>
          <w:color w:val="000000"/>
          <w:szCs w:val="21"/>
          <w:highlight w:val="none"/>
        </w:rPr>
        <w:t>-00</w:t>
      </w:r>
      <w:r>
        <w:rPr>
          <w:rFonts w:hint="eastAsia" w:ascii="宋体" w:hAnsi="宋体" w:eastAsia="宋体" w:cs="Times New Roman"/>
          <w:color w:val="000000"/>
          <w:szCs w:val="21"/>
          <w:highlight w:val="none"/>
          <w:lang w:val="en-US" w:eastAsia="zh-CN"/>
        </w:rPr>
        <w:t>18</w:t>
      </w:r>
    </w:p>
    <w:p>
      <w:pPr>
        <w:spacing w:line="320" w:lineRule="exact"/>
        <w:ind w:firstLine="420" w:firstLineChars="200"/>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w:t>
      </w:r>
      <w:r>
        <w:rPr>
          <w:rFonts w:hint="eastAsia" w:ascii="宋体" w:hAnsi="宋体" w:eastAsia="宋体" w:cs="Times New Roman"/>
          <w:color w:val="000000"/>
          <w:szCs w:val="21"/>
          <w:lang w:val="en-US" w:eastAsia="zh-CN"/>
        </w:rPr>
        <w:t>24小时动态血压监测仪</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采购方式：院内议价</w:t>
      </w:r>
    </w:p>
    <w:p>
      <w:pPr>
        <w:spacing w:line="320" w:lineRule="exact"/>
        <w:ind w:firstLine="420" w:firstLineChars="200"/>
        <w:rPr>
          <w:rFonts w:hint="default" w:ascii="宋体" w:hAnsi="宋体" w:eastAsia="宋体" w:cs="Times New Roman"/>
          <w:color w:val="000000"/>
          <w:szCs w:val="21"/>
          <w:lang w:val="en-US"/>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8.8万元/4台</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r>
        <w:rPr>
          <w:rFonts w:ascii="宋体" w:hAnsi="宋体" w:eastAsia="宋体" w:cs="Times New Roman"/>
          <w:color w:val="000000"/>
          <w:szCs w:val="21"/>
        </w:rPr>
        <w:t xml:space="preserve"> </w:t>
      </w:r>
    </w:p>
    <w:p>
      <w:pPr>
        <w:widowControl/>
        <w:ind w:firstLine="420" w:firstLineChars="200"/>
        <w:rPr>
          <w:rFonts w:ascii="宋体" w:hAnsi="宋体" w:eastAsia="宋体" w:cs="Times New Roman"/>
          <w:color w:val="000000"/>
          <w:szCs w:val="21"/>
        </w:rPr>
      </w:pPr>
    </w:p>
    <w:tbl>
      <w:tblPr>
        <w:tblStyle w:val="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24小时动态血压监测仪</w:t>
            </w:r>
          </w:p>
        </w:tc>
        <w:tc>
          <w:tcPr>
            <w:tcW w:w="709" w:type="dxa"/>
            <w:shd w:val="clear" w:color="auto" w:fill="auto"/>
            <w:vAlign w:val="center"/>
          </w:tcPr>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4台</w:t>
            </w:r>
          </w:p>
        </w:tc>
        <w:tc>
          <w:tcPr>
            <w:tcW w:w="5954" w:type="dxa"/>
            <w:shd w:val="clear" w:color="auto" w:fill="auto"/>
          </w:tcPr>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w:t>
            </w:r>
            <w:r>
              <w:rPr>
                <w:rFonts w:hint="default" w:ascii="宋体" w:hAnsi="宋体" w:eastAsia="宋体" w:cs="Times New Roman"/>
                <w:color w:val="000000"/>
                <w:szCs w:val="21"/>
                <w:lang w:val="en-US" w:eastAsia="zh-CN"/>
              </w:rPr>
              <w:t>测量方法</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示波法</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支持长达24小时至7天的长时间记录</w:t>
            </w:r>
            <w:r>
              <w:rPr>
                <w:rFonts w:hint="eastAsia" w:ascii="宋体" w:hAnsi="宋体" w:eastAsia="宋体" w:cs="Times New Roman"/>
                <w:color w:val="000000"/>
                <w:szCs w:val="21"/>
                <w:lang w:val="en-US" w:eastAsia="zh-CN"/>
              </w:rPr>
              <w:t>；</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w:t>
            </w:r>
            <w:r>
              <w:rPr>
                <w:rFonts w:hint="default" w:ascii="宋体" w:hAnsi="宋体" w:eastAsia="宋体" w:cs="Times New Roman"/>
                <w:color w:val="000000"/>
                <w:szCs w:val="21"/>
                <w:lang w:val="en-US" w:eastAsia="zh-CN"/>
              </w:rPr>
              <w:t>血压测量范围：0-260mm</w:t>
            </w:r>
            <w:r>
              <w:rPr>
                <w:rFonts w:hint="eastAsia" w:ascii="宋体" w:hAnsi="宋体" w:eastAsia="宋体" w:cs="Times New Roman"/>
                <w:color w:val="000000"/>
                <w:szCs w:val="21"/>
                <w:lang w:val="en-US" w:eastAsia="zh-CN"/>
              </w:rPr>
              <w:t>H</w:t>
            </w:r>
            <w:r>
              <w:rPr>
                <w:rFonts w:hint="default" w:ascii="宋体" w:hAnsi="宋体" w:eastAsia="宋体" w:cs="Times New Roman"/>
                <w:color w:val="000000"/>
                <w:szCs w:val="21"/>
                <w:lang w:val="en-US" w:eastAsia="zh-CN"/>
              </w:rPr>
              <w:t>g，脉搏率测量范围：30-220</w:t>
            </w:r>
            <w:r>
              <w:rPr>
                <w:rFonts w:hint="eastAsia" w:ascii="宋体" w:hAnsi="宋体" w:eastAsia="宋体" w:cs="Times New Roman"/>
                <w:color w:val="000000"/>
                <w:szCs w:val="21"/>
                <w:lang w:val="en-US" w:eastAsia="zh-CN"/>
              </w:rPr>
              <w:t>；</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w:t>
            </w:r>
            <w:r>
              <w:rPr>
                <w:rFonts w:hint="default" w:ascii="宋体" w:hAnsi="宋体" w:eastAsia="宋体" w:cs="Times New Roman"/>
                <w:color w:val="000000"/>
                <w:szCs w:val="21"/>
                <w:lang w:val="en-US" w:eastAsia="zh-CN"/>
              </w:rPr>
              <w:t>支持过压</w:t>
            </w:r>
            <w:r>
              <w:rPr>
                <w:rFonts w:hint="eastAsia" w:ascii="宋体" w:hAnsi="宋体" w:eastAsia="宋体" w:cs="Times New Roman"/>
                <w:color w:val="000000"/>
                <w:szCs w:val="21"/>
                <w:lang w:val="en-US" w:eastAsia="zh-CN"/>
              </w:rPr>
              <w:t>、释</w:t>
            </w:r>
            <w:r>
              <w:rPr>
                <w:rFonts w:hint="default" w:ascii="宋体" w:hAnsi="宋体" w:eastAsia="宋体" w:cs="Times New Roman"/>
                <w:color w:val="000000"/>
                <w:szCs w:val="21"/>
                <w:lang w:val="en-US" w:eastAsia="zh-CN"/>
              </w:rPr>
              <w:t>压保护</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支持掉电数据保护</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支持自动重测功能</w:t>
            </w:r>
            <w:r>
              <w:rPr>
                <w:rFonts w:hint="eastAsia" w:ascii="宋体" w:hAnsi="宋体" w:eastAsia="宋体" w:cs="Times New Roman"/>
                <w:color w:val="000000"/>
                <w:szCs w:val="21"/>
                <w:lang w:val="en-US" w:eastAsia="zh-CN"/>
              </w:rPr>
              <w:t>；</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w:t>
            </w:r>
            <w:r>
              <w:rPr>
                <w:rFonts w:hint="default" w:ascii="宋体" w:hAnsi="宋体" w:eastAsia="宋体" w:cs="Times New Roman"/>
                <w:color w:val="000000"/>
                <w:szCs w:val="21"/>
                <w:lang w:val="en-US" w:eastAsia="zh-CN"/>
              </w:rPr>
              <w:t>可用于房颤病人</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高度房室传导阻滞</w:t>
            </w:r>
            <w:r>
              <w:rPr>
                <w:rFonts w:hint="eastAsia" w:ascii="宋体" w:hAnsi="宋体" w:eastAsia="宋体" w:cs="Times New Roman"/>
                <w:color w:val="000000"/>
                <w:szCs w:val="21"/>
                <w:lang w:val="en-US" w:eastAsia="zh-CN"/>
              </w:rPr>
              <w:t>病人</w:t>
            </w:r>
            <w:r>
              <w:rPr>
                <w:rFonts w:hint="default" w:ascii="宋体" w:hAnsi="宋体" w:eastAsia="宋体" w:cs="Times New Roman"/>
                <w:color w:val="000000"/>
                <w:szCs w:val="21"/>
                <w:lang w:val="en-US" w:eastAsia="zh-CN"/>
              </w:rPr>
              <w:t>动态血压监测；</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w:t>
            </w:r>
            <w:r>
              <w:rPr>
                <w:rFonts w:hint="default" w:ascii="宋体" w:hAnsi="宋体" w:eastAsia="宋体" w:cs="Times New Roman"/>
                <w:color w:val="000000"/>
                <w:szCs w:val="21"/>
                <w:lang w:val="en-US" w:eastAsia="zh-CN"/>
              </w:rPr>
              <w:t>存储容量可储存至少4</w:t>
            </w:r>
            <w:r>
              <w:rPr>
                <w:rFonts w:hint="eastAsia" w:ascii="宋体" w:hAnsi="宋体" w:eastAsia="宋体" w:cs="Times New Roman"/>
                <w:color w:val="000000"/>
                <w:szCs w:val="21"/>
                <w:lang w:val="en-US" w:eastAsia="zh-CN"/>
              </w:rPr>
              <w:t>0</w:t>
            </w:r>
            <w:r>
              <w:rPr>
                <w:rFonts w:hint="default" w:ascii="宋体" w:hAnsi="宋体" w:eastAsia="宋体" w:cs="Times New Roman"/>
                <w:color w:val="000000"/>
                <w:szCs w:val="21"/>
                <w:lang w:val="en-US" w:eastAsia="zh-CN"/>
              </w:rPr>
              <w:t>0条以上测试数据</w:t>
            </w:r>
            <w:r>
              <w:rPr>
                <w:rFonts w:hint="eastAsia" w:ascii="宋体" w:hAnsi="宋体" w:eastAsia="宋体" w:cs="Times New Roman"/>
                <w:color w:val="000000"/>
                <w:szCs w:val="21"/>
                <w:lang w:val="en-US" w:eastAsia="zh-CN"/>
              </w:rPr>
              <w:t>，支持数据输出及打印功能；</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w:t>
            </w:r>
            <w:r>
              <w:rPr>
                <w:rFonts w:hint="default" w:ascii="宋体" w:hAnsi="宋体" w:eastAsia="宋体" w:cs="Times New Roman"/>
                <w:color w:val="000000"/>
                <w:szCs w:val="21"/>
                <w:lang w:val="en-US" w:eastAsia="zh-CN"/>
              </w:rPr>
              <w:t>液晶屏可显示全程记录的血压趋势图，可显示收缩压、舒张压、脉搏及工作状态信息</w:t>
            </w:r>
            <w:r>
              <w:rPr>
                <w:rFonts w:hint="eastAsia" w:ascii="宋体" w:hAnsi="宋体" w:eastAsia="宋体" w:cs="Times New Roman"/>
                <w:color w:val="000000"/>
                <w:szCs w:val="21"/>
                <w:lang w:val="en-US" w:eastAsia="zh-CN"/>
              </w:rPr>
              <w:t>；</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w:t>
            </w:r>
            <w:r>
              <w:rPr>
                <w:rFonts w:hint="default" w:ascii="宋体" w:hAnsi="宋体" w:eastAsia="宋体" w:cs="Times New Roman"/>
                <w:color w:val="000000"/>
                <w:szCs w:val="21"/>
                <w:lang w:val="en-US" w:eastAsia="zh-CN"/>
              </w:rPr>
              <w:t>支持比较分析功能</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支持晨峰血压功能</w:t>
            </w:r>
            <w:r>
              <w:rPr>
                <w:rFonts w:hint="eastAsia" w:ascii="宋体" w:hAnsi="宋体" w:eastAsia="宋体" w:cs="Times New Roman"/>
                <w:color w:val="000000"/>
                <w:szCs w:val="21"/>
                <w:lang w:val="en-US" w:eastAsia="zh-CN"/>
              </w:rPr>
              <w:t>；</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w:t>
            </w:r>
            <w:r>
              <w:rPr>
                <w:rFonts w:hint="default" w:ascii="宋体" w:hAnsi="宋体" w:eastAsia="宋体" w:cs="Times New Roman"/>
                <w:color w:val="000000"/>
                <w:szCs w:val="21"/>
                <w:lang w:val="en-US" w:eastAsia="zh-CN"/>
              </w:rPr>
              <w:t>能记录分析病人的运动状态</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体位状态；</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9、</w:t>
            </w:r>
            <w:r>
              <w:rPr>
                <w:rFonts w:hint="default" w:ascii="宋体" w:hAnsi="宋体" w:eastAsia="宋体" w:cs="Times New Roman"/>
                <w:color w:val="000000"/>
                <w:szCs w:val="21"/>
                <w:lang w:val="en-US" w:eastAsia="zh-CN"/>
              </w:rPr>
              <w:t>提供多种统计图表：趋势图、柱状图、饼图、比较图等；</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w:t>
            </w:r>
            <w:r>
              <w:rPr>
                <w:rFonts w:hint="default" w:ascii="宋体" w:hAnsi="宋体" w:eastAsia="宋体" w:cs="Times New Roman"/>
                <w:color w:val="000000"/>
                <w:szCs w:val="21"/>
                <w:lang w:val="en-US" w:eastAsia="zh-CN"/>
              </w:rPr>
              <w:t>动态血压数据可读入动态心电报告中，形成动态血压及动态心电二合一数据报告；</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11、</w:t>
            </w:r>
            <w:r>
              <w:rPr>
                <w:rFonts w:hint="default" w:ascii="宋体" w:hAnsi="宋体" w:eastAsia="宋体" w:cs="Times New Roman"/>
                <w:color w:val="000000"/>
                <w:szCs w:val="21"/>
                <w:lang w:val="en-US" w:eastAsia="zh-CN"/>
              </w:rPr>
              <w:t>具有趋势图功能</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能选择显示心率趋势图、平均动脉压、脉压差数据、错误数据、RPP数据趋势图</w:t>
            </w:r>
            <w:r>
              <w:rPr>
                <w:rFonts w:hint="eastAsia" w:ascii="宋体" w:hAnsi="宋体" w:eastAsia="宋体" w:cs="Times New Roman"/>
                <w:color w:val="000000"/>
                <w:szCs w:val="21"/>
                <w:lang w:val="en-US" w:eastAsia="zh-CN"/>
              </w:rPr>
              <w:t>；</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12、</w:t>
            </w:r>
            <w:r>
              <w:rPr>
                <w:rFonts w:hint="default" w:ascii="宋体" w:hAnsi="宋体" w:eastAsia="宋体" w:cs="Times New Roman"/>
                <w:color w:val="000000"/>
                <w:szCs w:val="21"/>
                <w:lang w:val="en-US" w:eastAsia="zh-CN"/>
              </w:rPr>
              <w:t>数据表功能</w:t>
            </w:r>
            <w:r>
              <w:rPr>
                <w:rFonts w:hint="eastAsia" w:ascii="宋体" w:hAnsi="宋体" w:eastAsia="宋体" w:cs="Times New Roman"/>
                <w:color w:val="000000"/>
                <w:szCs w:val="21"/>
                <w:lang w:val="en-US" w:eastAsia="zh-CN"/>
              </w:rPr>
              <w:t>：</w:t>
            </w:r>
            <w:r>
              <w:rPr>
                <w:rFonts w:hint="default" w:ascii="宋体" w:hAnsi="宋体" w:eastAsia="宋体" w:cs="Times New Roman"/>
                <w:color w:val="000000"/>
                <w:szCs w:val="21"/>
                <w:lang w:val="en-US" w:eastAsia="zh-CN"/>
              </w:rPr>
              <w:t>能选择显示全部功能、按小时显示、显示小时平均值、显示错误数据。血压异常数据、错误数据以不同颜色进行标注，并可选择是否显示；</w:t>
            </w:r>
          </w:p>
          <w:p>
            <w:pPr>
              <w:spacing w:line="400" w:lineRule="exac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13、</w:t>
            </w:r>
            <w:r>
              <w:rPr>
                <w:rFonts w:hint="default" w:ascii="宋体" w:hAnsi="宋体" w:eastAsia="宋体" w:cs="Times New Roman"/>
                <w:color w:val="000000"/>
                <w:szCs w:val="21"/>
                <w:lang w:val="en-US" w:eastAsia="zh-CN"/>
              </w:rPr>
              <w:t>具备儿童血压模式，具备患者信息登记功能</w:t>
            </w:r>
            <w:r>
              <w:rPr>
                <w:rFonts w:hint="eastAsia" w:ascii="宋体" w:hAnsi="宋体" w:eastAsia="宋体" w:cs="Times New Roman"/>
                <w:color w:val="000000"/>
                <w:szCs w:val="21"/>
                <w:lang w:val="en-US" w:eastAsia="zh-CN"/>
              </w:rPr>
              <w:t>；</w:t>
            </w:r>
          </w:p>
          <w:p>
            <w:pPr>
              <w:spacing w:line="40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14、</w:t>
            </w:r>
            <w:r>
              <w:rPr>
                <w:rFonts w:hint="default" w:ascii="宋体" w:hAnsi="宋体" w:eastAsia="宋体" w:cs="Times New Roman"/>
                <w:color w:val="000000"/>
                <w:szCs w:val="21"/>
                <w:lang w:val="en-US" w:eastAsia="zh-CN"/>
              </w:rPr>
              <w:t>无需手工</w:t>
            </w:r>
            <w:r>
              <w:rPr>
                <w:rFonts w:hint="eastAsia" w:ascii="宋体" w:hAnsi="宋体" w:eastAsia="宋体" w:cs="Times New Roman"/>
                <w:color w:val="000000"/>
                <w:szCs w:val="21"/>
                <w:lang w:val="en-US" w:eastAsia="zh-CN"/>
              </w:rPr>
              <w:t>干</w:t>
            </w:r>
            <w:r>
              <w:rPr>
                <w:rFonts w:hint="default" w:ascii="宋体" w:hAnsi="宋体" w:eastAsia="宋体" w:cs="Times New Roman"/>
                <w:color w:val="000000"/>
                <w:szCs w:val="21"/>
                <w:lang w:val="en-US" w:eastAsia="zh-CN"/>
              </w:rPr>
              <w:t>预，自动进行24小时的血压测量</w:t>
            </w:r>
            <w:r>
              <w:rPr>
                <w:rFonts w:hint="eastAsia" w:ascii="宋体" w:hAnsi="宋体" w:eastAsia="宋体" w:cs="Times New Roman"/>
                <w:color w:val="000000"/>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hint="eastAsia"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hint="eastAsia" w:ascii="宋体" w:hAnsi="宋体" w:eastAsia="宋体" w:cs="Times New Roman"/>
                <w:b/>
                <w:szCs w:val="21"/>
              </w:rPr>
            </w:pPr>
            <w:r>
              <w:rPr>
                <w:rFonts w:hint="eastAsia" w:ascii="宋体" w:hAnsi="宋体" w:eastAsia="宋体" w:cs="宋体"/>
                <w:bCs/>
                <w:szCs w:val="21"/>
              </w:rPr>
              <w:t>竞标报价为全包价，以人民币为结算单位，包括本项目所有系统、安装调试、验收、培训、售后服务、伴随的服务</w:t>
            </w:r>
            <w:r>
              <w:rPr>
                <w:rFonts w:hint="eastAsia" w:ascii="宋体" w:hAnsi="宋体" w:eastAsia="宋体" w:cs="宋体"/>
                <w:bCs/>
                <w:szCs w:val="21"/>
                <w:lang w:val="en-US" w:eastAsia="zh-CN"/>
              </w:rPr>
              <w:t>以及</w:t>
            </w:r>
            <w:r>
              <w:rPr>
                <w:rFonts w:hint="eastAsia" w:ascii="宋体" w:hAnsi="宋体" w:eastAsia="宋体" w:cs="宋体"/>
                <w:b/>
                <w:bCs w:val="0"/>
                <w:szCs w:val="21"/>
                <w:lang w:val="en-US" w:eastAsia="zh-CN"/>
              </w:rPr>
              <w:t>设备连接医院HIS系统所产生的的端口费用</w:t>
            </w:r>
            <w:r>
              <w:rPr>
                <w:rFonts w:hint="eastAsia" w:ascii="宋体" w:hAnsi="宋体" w:eastAsia="宋体" w:cs="宋体"/>
                <w:bCs/>
                <w:szCs w:val="21"/>
              </w:rPr>
              <w:t>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eastAsia="zh-CN"/>
        </w:rPr>
      </w:pPr>
      <w:bookmarkStart w:id="8" w:name="_Toc28359013"/>
      <w:bookmarkStart w:id="9" w:name="_Toc28359090"/>
      <w:bookmarkStart w:id="10" w:name="_Toc35393799"/>
      <w:bookmarkStart w:id="11" w:name="_Toc47452206"/>
      <w:bookmarkStart w:id="12" w:name="_Toc44229879"/>
      <w:bookmarkStart w:id="13" w:name="_Toc35393630"/>
      <w:r>
        <w:rPr>
          <w:rFonts w:hint="eastAsia" w:ascii="宋体" w:hAnsi="宋体" w:eastAsia="宋体" w:cs="宋体"/>
          <w:b/>
          <w:color w:val="000000"/>
          <w:szCs w:val="21"/>
          <w:lang w:val="zh-CN" w:eastAsia="zh-CN"/>
        </w:rPr>
        <w:t>二、供应商的资格条件：</w:t>
      </w:r>
      <w:bookmarkEnd w:id="8"/>
      <w:bookmarkEnd w:id="9"/>
      <w:bookmarkEnd w:id="10"/>
      <w:bookmarkEnd w:id="11"/>
      <w:bookmarkEnd w:id="12"/>
      <w:bookmarkEnd w:id="13"/>
    </w:p>
    <w:p>
      <w:pPr>
        <w:keepNext/>
        <w:keepLines/>
        <w:spacing w:line="276" w:lineRule="auto"/>
        <w:ind w:firstLine="420" w:firstLineChars="200"/>
        <w:outlineLvl w:val="1"/>
        <w:rPr>
          <w:rFonts w:ascii="宋体" w:hAnsi="宋体" w:eastAsia="宋体" w:cs="Times New Roman"/>
          <w:color w:val="000000"/>
          <w:szCs w:val="21"/>
        </w:rPr>
      </w:pPr>
      <w:bookmarkStart w:id="14" w:name="_Toc35393800"/>
      <w:bookmarkStart w:id="15" w:name="_Toc44229880"/>
      <w:bookmarkStart w:id="16" w:name="_Toc47452207"/>
      <w:bookmarkStart w:id="17" w:name="_Toc28359014"/>
      <w:bookmarkStart w:id="18" w:name="_Toc28359091"/>
      <w:bookmarkStart w:id="19" w:name="_Toc35393631"/>
      <w:r>
        <w:rPr>
          <w:rFonts w:hint="eastAsia" w:ascii="宋体" w:hAnsi="宋体" w:eastAsia="宋体" w:cs="Times New Roman"/>
          <w:color w:val="000000"/>
          <w:szCs w:val="21"/>
        </w:rPr>
        <w:t>除应具备《政府采购法》第二十二条资格条件外，还必须满足：</w:t>
      </w:r>
      <w:r>
        <w:rPr>
          <w:rFonts w:ascii="宋体" w:hAnsi="宋体" w:eastAsia="宋体" w:cs="Times New Roman"/>
          <w:color w:val="000000"/>
          <w:szCs w:val="21"/>
        </w:rPr>
        <w:t xml:space="preserve">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1.具有独立承担民事责任能力的在中华人民共和国境内注册的法人。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2.依法取得《医疗器械生产企业许可证》《医疗器械经营企业许可证》《药品经营许可证》或《药品生产许可证》(经营范围包含所投产品)。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 xml:space="preserve">3.为所投产品的制造商或销售代理商(提供授权书原件)。  </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4.所投产品具有有效的医疗器械注册证(或备案凭证)或不作为医疗器械管理的依据或《药品再注册批件》。</w:t>
      </w:r>
    </w:p>
    <w:bookmarkEnd w:id="14"/>
    <w:bookmarkEnd w:id="15"/>
    <w:bookmarkEnd w:id="16"/>
    <w:bookmarkEnd w:id="17"/>
    <w:bookmarkEnd w:id="18"/>
    <w:bookmarkEnd w:id="19"/>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60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ascii="宋体" w:hAnsi="宋体" w:eastAsia="宋体" w:cs="Times New Roman"/>
          <w:bCs/>
          <w:color w:val="000000"/>
          <w:szCs w:val="21"/>
        </w:rPr>
        <w:t>6分；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1个负偏离，得3分；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C5631"/>
    <w:rsid w:val="00F65C52"/>
    <w:rsid w:val="00FA0D28"/>
    <w:rsid w:val="075C1FDF"/>
    <w:rsid w:val="21F941EF"/>
    <w:rsid w:val="403C5C82"/>
    <w:rsid w:val="486E744E"/>
    <w:rsid w:val="4DBB0BB6"/>
    <w:rsid w:val="500718F9"/>
    <w:rsid w:val="519F5099"/>
    <w:rsid w:val="551E5F54"/>
    <w:rsid w:val="5D2460AD"/>
    <w:rsid w:val="606739DA"/>
    <w:rsid w:val="6A4E0CDE"/>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日期 字符"/>
    <w:basedOn w:val="6"/>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2616</Words>
  <Characters>2793</Characters>
  <Lines>19</Lines>
  <Paragraphs>5</Paragraphs>
  <TotalTime>1</TotalTime>
  <ScaleCrop>false</ScaleCrop>
  <LinksUpToDate>false</LinksUpToDate>
  <CharactersWithSpaces>2897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7月LEO</cp:lastModifiedBy>
  <dcterms:modified xsi:type="dcterms:W3CDTF">2022-08-29T00:39:20Z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9022C0B81CE34690BF09C8D56079BB51</vt:lpwstr>
  </property>
</Properties>
</file>