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广西骨伤医院十万分之一天平采购</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项目</w:t>
      </w: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十万分之一天平采购项目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GXGSYY-CGB-YLSBK-2022-17</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16</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47452205"/>
      <w:bookmarkStart w:id="3" w:name="_Toc35393629"/>
      <w:bookmarkStart w:id="4" w:name="_Toc28359089"/>
      <w:bookmarkStart w:id="5" w:name="_Toc35393798"/>
      <w:bookmarkStart w:id="6" w:name="_Toc28359012"/>
      <w:bookmarkStart w:id="7" w:name="_Toc44229878"/>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lang w:val="en-US" w:eastAsia="zh-CN"/>
        </w:rPr>
        <w:t>GXGSYY-CGB-YLSBK-2022-17</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广西骨伤医院十万分之一天平采购项目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3万</w:t>
      </w:r>
      <w:r>
        <w:rPr>
          <w:rFonts w:hint="eastAsia" w:ascii="宋体" w:hAnsi="宋体" w:eastAsia="宋体" w:cs="Times New Roman"/>
          <w:color w:val="000000"/>
          <w:szCs w:val="21"/>
        </w:rPr>
        <w:t>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广西骨伤医院十万分之一天平采购项目</w:t>
            </w:r>
          </w:p>
        </w:tc>
        <w:tc>
          <w:tcPr>
            <w:tcW w:w="709" w:type="dxa"/>
            <w:shd w:val="clear" w:color="auto" w:fill="auto"/>
            <w:vAlign w:val="center"/>
          </w:tcPr>
          <w:p>
            <w:pPr>
              <w:spacing w:line="40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1台</w:t>
            </w:r>
          </w:p>
        </w:tc>
        <w:tc>
          <w:tcPr>
            <w:tcW w:w="5954" w:type="dxa"/>
            <w:shd w:val="clear" w:color="auto" w:fill="auto"/>
          </w:tcPr>
          <w:p>
            <w:pPr>
              <w:spacing w:line="400" w:lineRule="exact"/>
              <w:jc w:val="left"/>
              <w:rPr>
                <w:rFonts w:hint="eastAsia" w:ascii="宋体" w:hAnsi="宋体" w:eastAsia="宋体" w:cs="Times New Roman"/>
                <w:bCs/>
                <w:szCs w:val="21"/>
              </w:rPr>
            </w:pPr>
            <w:r>
              <w:rPr>
                <w:rFonts w:hint="eastAsia" w:ascii="宋体" w:hAnsi="宋体" w:eastAsia="宋体" w:cs="Times New Roman"/>
                <w:szCs w:val="21"/>
              </w:rPr>
              <w:t>▲</w:t>
            </w:r>
            <w:r>
              <w:rPr>
                <w:rFonts w:hint="eastAsia" w:ascii="宋体" w:hAnsi="宋体" w:eastAsia="宋体" w:cs="Times New Roman"/>
                <w:bCs/>
                <w:szCs w:val="21"/>
                <w:lang w:val="en-US" w:eastAsia="zh-CN"/>
              </w:rPr>
              <w:t>1.</w:t>
            </w:r>
            <w:r>
              <w:rPr>
                <w:rFonts w:hint="eastAsia" w:ascii="宋体" w:hAnsi="宋体" w:eastAsia="宋体" w:cs="Times New Roman"/>
                <w:bCs/>
                <w:szCs w:val="21"/>
              </w:rPr>
              <w:t>称重能力：≥120g（0.1mg）/≥52g（0.01mg）</w:t>
            </w:r>
            <w:r>
              <w:rPr>
                <w:rFonts w:hint="eastAsia" w:ascii="宋体" w:hAnsi="宋体" w:eastAsia="宋体" w:cs="Times New Roman"/>
                <w:bCs/>
                <w:szCs w:val="21"/>
                <w:lang w:val="en-US"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szCs w:val="21"/>
              </w:rPr>
              <w:t>▲</w:t>
            </w:r>
            <w:r>
              <w:rPr>
                <w:rFonts w:hint="eastAsia" w:ascii="宋体" w:hAnsi="宋体" w:eastAsia="宋体" w:cs="Times New Roman"/>
                <w:bCs/>
                <w:szCs w:val="21"/>
                <w:lang w:val="en-US" w:eastAsia="zh-CN"/>
              </w:rPr>
              <w:t>2.</w:t>
            </w:r>
            <w:r>
              <w:rPr>
                <w:rFonts w:hint="eastAsia" w:ascii="宋体" w:hAnsi="宋体" w:eastAsia="宋体" w:cs="Times New Roman"/>
                <w:bCs/>
                <w:szCs w:val="21"/>
              </w:rPr>
              <w:t>最小显示值：0.01mg</w:t>
            </w:r>
            <w:r>
              <w:rPr>
                <w:rFonts w:hint="eastAsia" w:ascii="宋体" w:hAnsi="宋体" w:eastAsia="宋体" w:cs="Times New Roman"/>
                <w:bCs/>
                <w:szCs w:val="21"/>
                <w:lang w:val="en-US"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3.</w:t>
            </w:r>
            <w:r>
              <w:rPr>
                <w:rFonts w:hint="eastAsia" w:ascii="宋体" w:hAnsi="宋体" w:eastAsia="宋体" w:cs="Times New Roman"/>
                <w:bCs/>
                <w:szCs w:val="21"/>
              </w:rPr>
              <w:t>标准偏差：≤0.05mg</w:t>
            </w:r>
            <w:r>
              <w:rPr>
                <w:rFonts w:hint="eastAsia" w:ascii="宋体" w:hAnsi="宋体" w:eastAsia="宋体" w:cs="Times New Roman"/>
                <w:bCs/>
                <w:szCs w:val="21"/>
                <w:lang w:val="en-US"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4.</w:t>
            </w:r>
            <w:r>
              <w:rPr>
                <w:rFonts w:hint="eastAsia" w:ascii="宋体" w:hAnsi="宋体" w:eastAsia="宋体" w:cs="Times New Roman"/>
                <w:bCs/>
                <w:szCs w:val="21"/>
              </w:rPr>
              <w:t>线性：≤±0.1mg</w:t>
            </w:r>
            <w:r>
              <w:rPr>
                <w:rFonts w:hint="eastAsia" w:ascii="宋体" w:hAnsi="宋体" w:eastAsia="宋体" w:cs="Times New Roman"/>
                <w:bCs/>
                <w:szCs w:val="21"/>
                <w:lang w:val="en-US"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5.</w:t>
            </w:r>
            <w:r>
              <w:rPr>
                <w:rFonts w:hint="eastAsia" w:ascii="宋体" w:hAnsi="宋体" w:eastAsia="宋体" w:cs="Times New Roman"/>
                <w:bCs/>
                <w:szCs w:val="21"/>
              </w:rPr>
              <w:t>响应时间：≤2秒（0.1mg），≤8 秒（0.01mg）</w:t>
            </w:r>
            <w:r>
              <w:rPr>
                <w:rFonts w:hint="eastAsia" w:ascii="宋体" w:hAnsi="宋体" w:eastAsia="宋体" w:cs="Times New Roman"/>
                <w:bCs/>
                <w:szCs w:val="21"/>
                <w:lang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6.预热时间：30-60分钟；</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7.</w:t>
            </w:r>
            <w:r>
              <w:rPr>
                <w:rFonts w:hint="eastAsia" w:ascii="宋体" w:hAnsi="宋体" w:eastAsia="宋体" w:cs="Times New Roman"/>
                <w:bCs/>
                <w:szCs w:val="21"/>
              </w:rPr>
              <w:t>灵敏度温度：（10-30℃）±2ppm/℃</w:t>
            </w:r>
            <w:r>
              <w:rPr>
                <w:rFonts w:hint="eastAsia" w:ascii="宋体" w:hAnsi="宋体" w:eastAsia="宋体" w:cs="Times New Roman"/>
                <w:bCs/>
                <w:szCs w:val="21"/>
                <w:lang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8.</w:t>
            </w:r>
            <w:r>
              <w:rPr>
                <w:rFonts w:hint="eastAsia" w:ascii="宋体" w:hAnsi="宋体" w:eastAsia="宋体" w:cs="Times New Roman"/>
                <w:bCs/>
                <w:szCs w:val="21"/>
              </w:rPr>
              <w:t>灵敏度对温度的稳定性：±2ppm10-30℃</w:t>
            </w:r>
            <w:r>
              <w:rPr>
                <w:rFonts w:hint="eastAsia" w:ascii="宋体" w:hAnsi="宋体" w:eastAsia="宋体" w:cs="Times New Roman"/>
                <w:bCs/>
                <w:szCs w:val="21"/>
                <w:lang w:eastAsia="zh-CN"/>
              </w:rPr>
              <w:t>；</w:t>
            </w:r>
          </w:p>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9.</w:t>
            </w:r>
            <w:r>
              <w:rPr>
                <w:rFonts w:hint="eastAsia" w:ascii="宋体" w:hAnsi="宋体" w:eastAsia="宋体" w:cs="Times New Roman"/>
                <w:bCs/>
                <w:szCs w:val="21"/>
              </w:rPr>
              <w:t>称量盘的尺寸：≥9</w:t>
            </w:r>
            <w:r>
              <w:rPr>
                <w:rFonts w:hint="eastAsia" w:ascii="宋体" w:hAnsi="宋体" w:eastAsia="宋体" w:cs="Times New Roman"/>
                <w:bCs/>
                <w:szCs w:val="21"/>
                <w:lang w:val="en-US" w:eastAsia="zh-CN"/>
              </w:rPr>
              <w:t>0</w:t>
            </w:r>
            <w:r>
              <w:rPr>
                <w:rFonts w:hint="eastAsia" w:ascii="宋体" w:hAnsi="宋体" w:eastAsia="宋体" w:cs="Times New Roman"/>
                <w:bCs/>
                <w:szCs w:val="21"/>
              </w:rPr>
              <w:t>mm</w:t>
            </w:r>
            <w:r>
              <w:rPr>
                <w:rFonts w:hint="eastAsia" w:ascii="宋体" w:hAnsi="宋体" w:eastAsia="宋体" w:cs="Times New Roman"/>
                <w:bCs/>
                <w:szCs w:val="21"/>
                <w:lang w:eastAsia="zh-CN"/>
              </w:rPr>
              <w:t>；</w:t>
            </w:r>
          </w:p>
          <w:p>
            <w:pPr>
              <w:spacing w:line="400" w:lineRule="exact"/>
              <w:jc w:val="left"/>
              <w:rPr>
                <w:rFonts w:hint="eastAsia" w:ascii="宋体" w:hAnsi="宋体" w:eastAsia="宋体" w:cs="Times New Roman"/>
                <w:bCs/>
                <w:szCs w:val="21"/>
                <w:lang w:eastAsia="zh-CN"/>
              </w:rPr>
            </w:pPr>
            <w:r>
              <w:rPr>
                <w:rFonts w:hint="eastAsia" w:ascii="宋体" w:hAnsi="宋体" w:eastAsia="宋体" w:cs="Times New Roman"/>
                <w:bCs/>
                <w:szCs w:val="21"/>
              </w:rPr>
              <w:t>1</w:t>
            </w:r>
            <w:r>
              <w:rPr>
                <w:rFonts w:hint="eastAsia" w:ascii="宋体" w:hAnsi="宋体" w:eastAsia="宋体" w:cs="Times New Roman"/>
                <w:bCs/>
                <w:szCs w:val="21"/>
                <w:lang w:val="en-US" w:eastAsia="zh-CN"/>
              </w:rPr>
              <w:t>0.</w:t>
            </w:r>
            <w:r>
              <w:rPr>
                <w:rFonts w:hint="eastAsia" w:ascii="宋体" w:hAnsi="宋体" w:eastAsia="宋体" w:cs="Times New Roman"/>
                <w:bCs/>
                <w:szCs w:val="21"/>
              </w:rPr>
              <w:t>内置砝码一键式校正，有GLP/GMP/ISO 校正报告</w:t>
            </w:r>
            <w:r>
              <w:rPr>
                <w:rFonts w:hint="eastAsia" w:ascii="宋体" w:hAnsi="宋体" w:eastAsia="宋体" w:cs="Times New Roman"/>
                <w:bCs/>
                <w:szCs w:val="21"/>
                <w:lang w:eastAsia="zh-CN"/>
              </w:rPr>
              <w:t>；</w:t>
            </w:r>
          </w:p>
          <w:p>
            <w:pPr>
              <w:spacing w:line="40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11.</w:t>
            </w:r>
            <w:r>
              <w:rPr>
                <w:rFonts w:hint="eastAsia" w:ascii="宋体" w:hAnsi="宋体" w:eastAsia="宋体" w:cs="Times New Roman"/>
                <w:bCs/>
                <w:szCs w:val="21"/>
              </w:rPr>
              <w:t>直通视窗：天平内部自带软件，可接驳打印机</w:t>
            </w:r>
            <w:r>
              <w:rPr>
                <w:rFonts w:hint="eastAsia" w:ascii="宋体" w:hAnsi="宋体" w:eastAsia="宋体" w:cs="Times New Roman"/>
                <w:bCs/>
                <w:szCs w:val="21"/>
                <w:lang w:eastAsia="zh-CN"/>
              </w:rPr>
              <w:t>；</w:t>
            </w:r>
          </w:p>
          <w:p>
            <w:pPr>
              <w:spacing w:line="40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12.</w:t>
            </w:r>
            <w:r>
              <w:rPr>
                <w:rFonts w:hint="eastAsia" w:ascii="宋体" w:hAnsi="宋体" w:eastAsia="宋体" w:cs="Times New Roman"/>
                <w:bCs/>
                <w:szCs w:val="21"/>
              </w:rPr>
              <w:t>通过USB 实现的扩展性，可以连接市售USB 键盘</w:t>
            </w:r>
            <w:r>
              <w:rPr>
                <w:rFonts w:hint="eastAsia" w:ascii="宋体" w:hAnsi="宋体" w:eastAsia="宋体" w:cs="Times New Roman"/>
                <w:bCs/>
                <w:szCs w:val="21"/>
                <w:lang w:eastAsia="zh-CN"/>
              </w:rPr>
              <w:t>，</w:t>
            </w:r>
            <w:r>
              <w:rPr>
                <w:rFonts w:hint="eastAsia" w:ascii="宋体" w:hAnsi="宋体" w:eastAsia="宋体" w:cs="Times New Roman"/>
                <w:bCs/>
                <w:szCs w:val="21"/>
              </w:rPr>
              <w:t>便于输入文字和数值</w:t>
            </w:r>
            <w:r>
              <w:rPr>
                <w:rFonts w:hint="eastAsia" w:ascii="宋体" w:hAnsi="宋体" w:eastAsia="宋体" w:cs="Times New Roman"/>
                <w:bCs/>
                <w:szCs w:val="21"/>
                <w:lang w:eastAsia="zh-CN"/>
              </w:rPr>
              <w:t>；</w:t>
            </w:r>
          </w:p>
          <w:p>
            <w:pPr>
              <w:spacing w:line="400" w:lineRule="exact"/>
              <w:jc w:val="left"/>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bCs/>
                <w:szCs w:val="21"/>
                <w:lang w:val="en-US" w:eastAsia="zh-CN"/>
              </w:rPr>
              <w:t>13.</w:t>
            </w:r>
            <w:r>
              <w:rPr>
                <w:rFonts w:hint="eastAsia" w:ascii="宋体" w:hAnsi="宋体" w:eastAsia="宋体" w:cs="Times New Roman"/>
                <w:bCs/>
                <w:szCs w:val="21"/>
              </w:rPr>
              <w:t>采用“UniBloc”或“MonoBloc”或“Momolithic”单体模块传感器。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rPr>
              <w:t>，中标人应在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3.</w:t>
            </w:r>
            <w:r>
              <w:rPr>
                <w:rFonts w:ascii="宋体" w:hAnsi="宋体" w:eastAsia="宋体" w:cs="Times New Roman"/>
                <w:bCs/>
                <w:szCs w:val="21"/>
              </w:rPr>
              <w:t>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即必须满足的参数</w:t>
            </w:r>
            <w:r>
              <w:rPr>
                <w:rFonts w:hint="eastAsia" w:ascii="宋体" w:hAnsi="宋体" w:eastAsia="宋体" w:cs="Times New Roman"/>
                <w:bCs/>
                <w:szCs w:val="21"/>
              </w:rPr>
              <w:t>。</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28359013"/>
      <w:bookmarkStart w:id="9" w:name="_Toc44229879"/>
      <w:bookmarkStart w:id="10" w:name="_Toc35393630"/>
      <w:bookmarkStart w:id="11" w:name="_Toc35393799"/>
      <w:bookmarkStart w:id="12" w:name="_Toc28359090"/>
      <w:bookmarkStart w:id="13" w:name="_Toc47452206"/>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28359014"/>
      <w:bookmarkStart w:id="15" w:name="_Toc28359091"/>
      <w:bookmarkStart w:id="16" w:name="_Toc44229880"/>
      <w:bookmarkStart w:id="17" w:name="_Toc35393631"/>
      <w:bookmarkStart w:id="18" w:name="_Toc35393800"/>
      <w:bookmarkStart w:id="19" w:name="_Toc47452207"/>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bookmarkEnd w:id="14"/>
      <w:bookmarkEnd w:id="15"/>
      <w:bookmarkEnd w:id="16"/>
      <w:bookmarkEnd w:id="17"/>
      <w:bookmarkEnd w:id="18"/>
      <w:bookmarkEnd w:id="19"/>
    </w:p>
    <w:p>
      <w:pPr>
        <w:keepNext/>
        <w:keepLines/>
        <w:spacing w:line="276" w:lineRule="auto"/>
        <w:ind w:firstLine="420" w:firstLineChars="200"/>
        <w:outlineLvl w:val="1"/>
        <w:rPr>
          <w:rFonts w:hint="eastAsia" w:ascii="宋体" w:hAnsi="宋体" w:eastAsia="宋体" w:cs="Times New Roman"/>
          <w:color w:val="000000"/>
          <w:szCs w:val="21"/>
          <w:lang w:val="en-US" w:eastAsia="zh-CN"/>
        </w:rPr>
      </w:pPr>
      <w:bookmarkStart w:id="20" w:name="_GoBack"/>
      <w:bookmarkEnd w:id="20"/>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2.5</w:t>
      </w:r>
      <w:r>
        <w:rPr>
          <w:rFonts w:ascii="宋体" w:hAnsi="宋体" w:eastAsia="宋体" w:cs="Times New Roman"/>
          <w:bCs/>
          <w:color w:val="000000"/>
          <w:szCs w:val="21"/>
        </w:rPr>
        <w:t>分（经评审技术参数及性能配置存在负偏离），二档</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6～</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分（经评审技术参数及性能配置没有负偏离且没有正偏离），三档</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5分[经评审技术参数及性能配置没有负偏离且有1～3项（含3项）正偏离]，四档</w:t>
      </w:r>
      <w:r>
        <w:rPr>
          <w:rFonts w:hint="eastAsia" w:ascii="宋体" w:hAnsi="宋体" w:eastAsia="宋体" w:cs="Times New Roman"/>
          <w:bCs/>
          <w:color w:val="000000"/>
          <w:szCs w:val="21"/>
          <w:lang w:val="en-US" w:eastAsia="zh-CN"/>
        </w:rPr>
        <w:t>7.6</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经评审技术参数及性能配置没有负偏离且有3项以上正偏离，明显优于招标文件要求）。由评委在打分前根据投标货物对招标文件中货物技术要求的响应程度集体讨论确定各投标人货物性能所属档次，然后评委在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99B2ABD"/>
    <w:rsid w:val="21F941EF"/>
    <w:rsid w:val="229F70ED"/>
    <w:rsid w:val="2EE05600"/>
    <w:rsid w:val="403C5C82"/>
    <w:rsid w:val="485768C1"/>
    <w:rsid w:val="4BCC474E"/>
    <w:rsid w:val="4DBB0BB6"/>
    <w:rsid w:val="500718F9"/>
    <w:rsid w:val="551E5F54"/>
    <w:rsid w:val="59011913"/>
    <w:rsid w:val="5E8C07C9"/>
    <w:rsid w:val="6A4E0CDE"/>
    <w:rsid w:val="70BC4038"/>
    <w:rsid w:val="78BA7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2385</Words>
  <Characters>2657</Characters>
  <Lines>19</Lines>
  <Paragraphs>5</Paragraphs>
  <TotalTime>7</TotalTime>
  <ScaleCrop>false</ScaleCrop>
  <LinksUpToDate>false</LinksUpToDate>
  <CharactersWithSpaces>2765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2022-08-16T03:08:44Z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9022C0B81CE34690BF09C8D56079BB51</vt:lpwstr>
  </property>
</Properties>
</file>